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42E26">
      <w:pPr>
        <w:jc w:val="center"/>
        <w:rPr>
          <w:rFonts w:hint="eastAsia" w:ascii="黑体" w:hAnsi="宋体" w:eastAsia="黑体"/>
          <w:color w:val="000000" w:themeColor="text1"/>
          <w:sz w:val="44"/>
          <w:szCs w:val="44"/>
          <w:highlight w:val="none"/>
          <w14:textFill>
            <w14:solidFill>
              <w14:schemeClr w14:val="tx1"/>
            </w14:solidFill>
          </w14:textFill>
        </w:rPr>
      </w:pPr>
    </w:p>
    <w:p w14:paraId="714CC147">
      <w:pPr>
        <w:jc w:val="center"/>
        <w:rPr>
          <w:rFonts w:ascii="黑体" w:hAnsi="宋体" w:eastAsia="黑体"/>
          <w:color w:val="000000" w:themeColor="text1"/>
          <w:sz w:val="48"/>
          <w:szCs w:val="48"/>
          <w:highlight w:val="none"/>
          <w14:textFill>
            <w14:solidFill>
              <w14:schemeClr w14:val="tx1"/>
            </w14:solidFill>
          </w14:textFill>
        </w:rPr>
      </w:pPr>
      <w:r>
        <w:rPr>
          <w:rFonts w:hint="eastAsia" w:ascii="黑体" w:hAnsi="宋体" w:eastAsia="黑体"/>
          <w:color w:val="000000" w:themeColor="text1"/>
          <w:sz w:val="48"/>
          <w:szCs w:val="48"/>
          <w:highlight w:val="none"/>
          <w:lang w:eastAsia="zh-CN"/>
          <w14:textFill>
            <w14:solidFill>
              <w14:schemeClr w14:val="tx1"/>
            </w14:solidFill>
          </w14:textFill>
        </w:rPr>
        <w:t>广东省韶关市始兴县道路交通信息化工程建设项目设计</w:t>
      </w:r>
      <w:r>
        <w:rPr>
          <w:rFonts w:ascii="黑体" w:hAnsi="宋体" w:eastAsia="黑体"/>
          <w:color w:val="000000" w:themeColor="text1"/>
          <w:sz w:val="48"/>
          <w:szCs w:val="48"/>
          <w:highlight w:val="none"/>
          <w14:textFill>
            <w14:solidFill>
              <w14:schemeClr w14:val="tx1"/>
            </w14:solidFill>
          </w14:textFill>
        </w:rPr>
        <w:t>招标</w:t>
      </w:r>
    </w:p>
    <w:p w14:paraId="0AEF817A">
      <w:pPr>
        <w:rPr>
          <w:rFonts w:ascii="宋体" w:hAnsi="宋体" w:cs="宋体"/>
          <w:color w:val="000000" w:themeColor="text1"/>
          <w:sz w:val="30"/>
          <w:szCs w:val="30"/>
          <w:highlight w:val="none"/>
          <w14:textFill>
            <w14:solidFill>
              <w14:schemeClr w14:val="tx1"/>
            </w14:solidFill>
          </w14:textFill>
        </w:rPr>
      </w:pPr>
    </w:p>
    <w:p w14:paraId="63CA1AA5">
      <w:pPr>
        <w:rPr>
          <w:rFonts w:hint="eastAsia" w:ascii="宋体" w:hAnsi="宋体" w:eastAsia="宋体" w:cs="宋体"/>
          <w:color w:val="000000" w:themeColor="text1"/>
          <w:sz w:val="30"/>
          <w:szCs w:val="30"/>
          <w:highlight w:val="none"/>
          <w:lang w:val="en-US" w:eastAsia="zh-CN"/>
          <w14:textFill>
            <w14:solidFill>
              <w14:schemeClr w14:val="tx1"/>
            </w14:solidFill>
          </w14:textFill>
        </w:rPr>
      </w:pPr>
    </w:p>
    <w:p w14:paraId="7AA3D8FC">
      <w:pPr>
        <w:rPr>
          <w:rFonts w:ascii="宋体" w:hAnsi="宋体" w:cs="宋体"/>
          <w:color w:val="000000" w:themeColor="text1"/>
          <w:sz w:val="30"/>
          <w:szCs w:val="30"/>
          <w:highlight w:val="none"/>
          <w14:textFill>
            <w14:solidFill>
              <w14:schemeClr w14:val="tx1"/>
            </w14:solidFill>
          </w14:textFill>
        </w:rPr>
      </w:pPr>
      <w:bookmarkStart w:id="572" w:name="_GoBack"/>
      <w:bookmarkEnd w:id="572"/>
    </w:p>
    <w:p w14:paraId="21E5F48A">
      <w:pPr>
        <w:pStyle w:val="23"/>
        <w:rPr>
          <w:rFonts w:ascii="宋体" w:hAnsi="宋体" w:cs="宋体"/>
          <w:color w:val="000000" w:themeColor="text1"/>
          <w:sz w:val="30"/>
          <w:szCs w:val="30"/>
          <w:highlight w:val="none"/>
          <w14:textFill>
            <w14:solidFill>
              <w14:schemeClr w14:val="tx1"/>
            </w14:solidFill>
          </w14:textFill>
        </w:rPr>
      </w:pPr>
    </w:p>
    <w:p w14:paraId="01011CC1">
      <w:pPr>
        <w:rPr>
          <w:rFonts w:ascii="宋体" w:hAnsi="宋体" w:cs="宋体"/>
          <w:color w:val="000000" w:themeColor="text1"/>
          <w:sz w:val="30"/>
          <w:szCs w:val="30"/>
          <w:highlight w:val="none"/>
          <w14:textFill>
            <w14:solidFill>
              <w14:schemeClr w14:val="tx1"/>
            </w14:solidFill>
          </w14:textFill>
        </w:rPr>
      </w:pPr>
    </w:p>
    <w:p w14:paraId="6D1CD942">
      <w:pPr>
        <w:pStyle w:val="23"/>
        <w:rPr>
          <w:color w:val="000000" w:themeColor="text1"/>
          <w:highlight w:val="none"/>
          <w14:textFill>
            <w14:solidFill>
              <w14:schemeClr w14:val="tx1"/>
            </w14:solidFill>
          </w14:textFill>
        </w:rPr>
      </w:pPr>
    </w:p>
    <w:p w14:paraId="52F586FA">
      <w:pPr>
        <w:rPr>
          <w:rFonts w:ascii="宋体" w:hAnsi="宋体" w:cs="宋体"/>
          <w:color w:val="000000" w:themeColor="text1"/>
          <w:sz w:val="30"/>
          <w:szCs w:val="30"/>
          <w:highlight w:val="none"/>
          <w14:textFill>
            <w14:solidFill>
              <w14:schemeClr w14:val="tx1"/>
            </w14:solidFill>
          </w14:textFill>
        </w:rPr>
      </w:pPr>
    </w:p>
    <w:p w14:paraId="061E11C8">
      <w:pPr>
        <w:rPr>
          <w:rFonts w:ascii="宋体" w:hAnsi="宋体" w:cs="宋体"/>
          <w:color w:val="000000" w:themeColor="text1"/>
          <w:sz w:val="28"/>
          <w:szCs w:val="30"/>
          <w:highlight w:val="none"/>
          <w14:textFill>
            <w14:solidFill>
              <w14:schemeClr w14:val="tx1"/>
            </w14:solidFill>
          </w14:textFill>
        </w:rPr>
      </w:pPr>
    </w:p>
    <w:p w14:paraId="127AB2DF">
      <w:pPr>
        <w:spacing w:before="2"/>
        <w:rPr>
          <w:rFonts w:ascii="宋体" w:hAnsi="宋体" w:cs="宋体"/>
          <w:color w:val="000000" w:themeColor="text1"/>
          <w:sz w:val="36"/>
          <w:szCs w:val="37"/>
          <w:highlight w:val="none"/>
          <w14:textFill>
            <w14:solidFill>
              <w14:schemeClr w14:val="tx1"/>
            </w14:solidFill>
          </w14:textFill>
        </w:rPr>
      </w:pPr>
    </w:p>
    <w:p w14:paraId="4BDE8174">
      <w:pPr>
        <w:jc w:val="center"/>
        <w:rPr>
          <w:rFonts w:ascii="黑体" w:hAnsi="宋体" w:eastAsia="黑体"/>
          <w:b/>
          <w:color w:val="000000" w:themeColor="text1"/>
          <w:sz w:val="84"/>
          <w:szCs w:val="84"/>
          <w:highlight w:val="none"/>
          <w14:textFill>
            <w14:solidFill>
              <w14:schemeClr w14:val="tx1"/>
            </w14:solidFill>
          </w14:textFill>
        </w:rPr>
      </w:pPr>
      <w:r>
        <w:rPr>
          <w:rFonts w:hint="eastAsia" w:ascii="黑体" w:hAnsi="宋体" w:eastAsia="黑体"/>
          <w:b/>
          <w:color w:val="000000" w:themeColor="text1"/>
          <w:sz w:val="84"/>
          <w:szCs w:val="84"/>
          <w:highlight w:val="none"/>
          <w14:textFill>
            <w14:solidFill>
              <w14:schemeClr w14:val="tx1"/>
            </w14:solidFill>
          </w14:textFill>
        </w:rPr>
        <w:t>招标文件</w:t>
      </w:r>
    </w:p>
    <w:p w14:paraId="11B32AC6">
      <w:pPr>
        <w:rPr>
          <w:rFonts w:ascii="宋体" w:hAnsi="宋体" w:cs="宋体"/>
          <w:color w:val="000000" w:themeColor="text1"/>
          <w:sz w:val="50"/>
          <w:szCs w:val="50"/>
          <w:highlight w:val="none"/>
          <w14:textFill>
            <w14:solidFill>
              <w14:schemeClr w14:val="tx1"/>
            </w14:solidFill>
          </w14:textFill>
        </w:rPr>
      </w:pPr>
    </w:p>
    <w:p w14:paraId="6D2A4A62">
      <w:pPr>
        <w:rPr>
          <w:rFonts w:ascii="宋体" w:hAnsi="宋体" w:cs="宋体"/>
          <w:color w:val="000000" w:themeColor="text1"/>
          <w:sz w:val="50"/>
          <w:szCs w:val="50"/>
          <w:highlight w:val="none"/>
          <w14:textFill>
            <w14:solidFill>
              <w14:schemeClr w14:val="tx1"/>
            </w14:solidFill>
          </w14:textFill>
        </w:rPr>
      </w:pPr>
    </w:p>
    <w:p w14:paraId="240B44CE">
      <w:pPr>
        <w:rPr>
          <w:rFonts w:ascii="宋体" w:hAnsi="宋体" w:cs="宋体"/>
          <w:color w:val="000000" w:themeColor="text1"/>
          <w:sz w:val="50"/>
          <w:szCs w:val="50"/>
          <w:highlight w:val="none"/>
          <w14:textFill>
            <w14:solidFill>
              <w14:schemeClr w14:val="tx1"/>
            </w14:solidFill>
          </w14:textFill>
        </w:rPr>
      </w:pPr>
    </w:p>
    <w:p w14:paraId="286F444F">
      <w:pPr>
        <w:pStyle w:val="23"/>
        <w:rPr>
          <w:rFonts w:ascii="宋体" w:hAnsi="宋体" w:cs="宋体"/>
          <w:color w:val="000000" w:themeColor="text1"/>
          <w:sz w:val="50"/>
          <w:szCs w:val="50"/>
          <w:highlight w:val="none"/>
          <w14:textFill>
            <w14:solidFill>
              <w14:schemeClr w14:val="tx1"/>
            </w14:solidFill>
          </w14:textFill>
        </w:rPr>
      </w:pPr>
    </w:p>
    <w:p w14:paraId="11BA67B7">
      <w:pPr>
        <w:rPr>
          <w:color w:val="000000" w:themeColor="text1"/>
          <w:highlight w:val="none"/>
          <w14:textFill>
            <w14:solidFill>
              <w14:schemeClr w14:val="tx1"/>
            </w14:solidFill>
          </w14:textFill>
        </w:rPr>
      </w:pPr>
    </w:p>
    <w:p w14:paraId="7CD3F425">
      <w:pPr>
        <w:rPr>
          <w:rFonts w:ascii="宋体" w:hAnsi="宋体" w:cs="宋体"/>
          <w:color w:val="000000" w:themeColor="text1"/>
          <w:sz w:val="50"/>
          <w:szCs w:val="50"/>
          <w:highlight w:val="none"/>
          <w14:textFill>
            <w14:solidFill>
              <w14:schemeClr w14:val="tx1"/>
            </w14:solidFill>
          </w14:textFill>
        </w:rPr>
      </w:pPr>
    </w:p>
    <w:p w14:paraId="7AEC3ABB">
      <w:pPr>
        <w:rPr>
          <w:rFonts w:ascii="宋体" w:hAnsi="宋体" w:cs="宋体"/>
          <w:color w:val="000000" w:themeColor="text1"/>
          <w:sz w:val="50"/>
          <w:szCs w:val="50"/>
          <w:highlight w:val="none"/>
          <w14:textFill>
            <w14:solidFill>
              <w14:schemeClr w14:val="tx1"/>
            </w14:solidFill>
          </w14:textFill>
        </w:rPr>
      </w:pPr>
    </w:p>
    <w:p w14:paraId="1A7F88DE">
      <w:pPr>
        <w:spacing w:before="5"/>
        <w:rPr>
          <w:rFonts w:ascii="宋体" w:hAnsi="宋体" w:cs="宋体"/>
          <w:color w:val="000000" w:themeColor="text1"/>
          <w:sz w:val="45"/>
          <w:szCs w:val="45"/>
          <w:highlight w:val="none"/>
          <w14:textFill>
            <w14:solidFill>
              <w14:schemeClr w14:val="tx1"/>
            </w14:solidFill>
          </w14:textFill>
        </w:rPr>
      </w:pPr>
    </w:p>
    <w:p w14:paraId="125CF577">
      <w:pPr>
        <w:spacing w:line="600" w:lineRule="auto"/>
        <w:ind w:firstLine="1529" w:firstLineChars="544"/>
        <w:jc w:val="both"/>
        <w:rPr>
          <w:rFonts w:ascii="黑体" w:hAnsi="宋体" w:eastAsia="黑体"/>
          <w:b/>
          <w:bCs/>
          <w:color w:val="000000" w:themeColor="text1"/>
          <w:sz w:val="28"/>
          <w:highlight w:val="none"/>
          <w:u w:val="single"/>
          <w14:textFill>
            <w14:solidFill>
              <w14:schemeClr w14:val="tx1"/>
            </w14:solidFill>
          </w14:textFill>
        </w:rPr>
      </w:pPr>
      <w:r>
        <w:rPr>
          <w:rFonts w:hint="eastAsia" w:ascii="黑体" w:hAnsi="宋体" w:eastAsia="黑体"/>
          <w:b/>
          <w:bCs/>
          <w:color w:val="000000" w:themeColor="text1"/>
          <w:sz w:val="28"/>
          <w:highlight w:val="none"/>
          <w14:textFill>
            <w14:solidFill>
              <w14:schemeClr w14:val="tx1"/>
            </w14:solidFill>
          </w14:textFill>
        </w:rPr>
        <w:t>招</w:t>
      </w:r>
      <w:r>
        <w:rPr>
          <w:rFonts w:hint="eastAsia" w:ascii="黑体" w:hAnsi="宋体" w:eastAsia="黑体"/>
          <w:b/>
          <w:bCs/>
          <w:color w:val="000000" w:themeColor="text1"/>
          <w:sz w:val="28"/>
          <w:highlight w:val="none"/>
          <w:lang w:val="en-US" w:eastAsia="zh-CN"/>
          <w14:textFill>
            <w14:solidFill>
              <w14:schemeClr w14:val="tx1"/>
            </w14:solidFill>
          </w14:textFill>
        </w:rPr>
        <w:t xml:space="preserve">   </w:t>
      </w:r>
      <w:r>
        <w:rPr>
          <w:rFonts w:hint="eastAsia" w:ascii="黑体" w:hAnsi="宋体" w:eastAsia="黑体"/>
          <w:b/>
          <w:bCs/>
          <w:color w:val="000000" w:themeColor="text1"/>
          <w:sz w:val="28"/>
          <w:highlight w:val="none"/>
          <w14:textFill>
            <w14:solidFill>
              <w14:schemeClr w14:val="tx1"/>
            </w14:solidFill>
          </w14:textFill>
        </w:rPr>
        <w:t>标</w:t>
      </w:r>
      <w:r>
        <w:rPr>
          <w:rFonts w:hint="eastAsia" w:ascii="黑体" w:hAnsi="宋体" w:eastAsia="黑体"/>
          <w:b/>
          <w:bCs/>
          <w:color w:val="000000" w:themeColor="text1"/>
          <w:sz w:val="28"/>
          <w:highlight w:val="none"/>
          <w:lang w:val="en-US" w:eastAsia="zh-CN"/>
          <w14:textFill>
            <w14:solidFill>
              <w14:schemeClr w14:val="tx1"/>
            </w14:solidFill>
          </w14:textFill>
        </w:rPr>
        <w:t xml:space="preserve">   </w:t>
      </w:r>
      <w:r>
        <w:rPr>
          <w:rFonts w:hint="eastAsia" w:ascii="黑体" w:hAnsi="宋体" w:eastAsia="黑体"/>
          <w:b/>
          <w:bCs/>
          <w:color w:val="000000" w:themeColor="text1"/>
          <w:sz w:val="28"/>
          <w:highlight w:val="none"/>
          <w14:textFill>
            <w14:solidFill>
              <w14:schemeClr w14:val="tx1"/>
            </w14:solidFill>
          </w14:textFill>
        </w:rPr>
        <w:t>人：</w:t>
      </w:r>
      <w:r>
        <w:rPr>
          <w:rFonts w:hint="eastAsia" w:ascii="黑体" w:hAnsi="宋体" w:eastAsia="黑体"/>
          <w:b/>
          <w:bCs/>
          <w:color w:val="000000" w:themeColor="text1"/>
          <w:sz w:val="28"/>
          <w:highlight w:val="none"/>
          <w:u w:val="single"/>
          <w:lang w:eastAsia="zh-CN"/>
          <w14:textFill>
            <w14:solidFill>
              <w14:schemeClr w14:val="tx1"/>
            </w14:solidFill>
          </w14:textFill>
        </w:rPr>
        <w:t>始兴县地方公路事务中心</w:t>
      </w:r>
      <w:r>
        <w:rPr>
          <w:rFonts w:ascii="黑体" w:hAnsi="宋体" w:eastAsia="黑体"/>
          <w:b/>
          <w:bCs/>
          <w:color w:val="000000" w:themeColor="text1"/>
          <w:sz w:val="28"/>
          <w:highlight w:val="none"/>
          <w14:textFill>
            <w14:solidFill>
              <w14:schemeClr w14:val="tx1"/>
            </w14:solidFill>
          </w14:textFill>
        </w:rPr>
        <w:t>(</w:t>
      </w:r>
      <w:r>
        <w:rPr>
          <w:rFonts w:hint="eastAsia" w:ascii="黑体" w:hAnsi="宋体" w:eastAsia="黑体"/>
          <w:b/>
          <w:bCs/>
          <w:color w:val="000000" w:themeColor="text1"/>
          <w:sz w:val="28"/>
          <w:highlight w:val="none"/>
          <w14:textFill>
            <w14:solidFill>
              <w14:schemeClr w14:val="tx1"/>
            </w14:solidFill>
          </w14:textFill>
        </w:rPr>
        <w:t>盖单位章</w:t>
      </w:r>
      <w:r>
        <w:rPr>
          <w:rFonts w:ascii="黑体" w:hAnsi="宋体" w:eastAsia="黑体"/>
          <w:b/>
          <w:bCs/>
          <w:color w:val="000000" w:themeColor="text1"/>
          <w:sz w:val="28"/>
          <w:highlight w:val="none"/>
          <w14:textFill>
            <w14:solidFill>
              <w14:schemeClr w14:val="tx1"/>
            </w14:solidFill>
          </w14:textFill>
        </w:rPr>
        <w:t>)</w:t>
      </w:r>
    </w:p>
    <w:p w14:paraId="2987AEEE">
      <w:pPr>
        <w:spacing w:line="600" w:lineRule="auto"/>
        <w:ind w:firstLine="1529" w:firstLineChars="544"/>
        <w:jc w:val="both"/>
        <w:rPr>
          <w:rFonts w:ascii="黑体" w:hAnsi="宋体" w:eastAsia="黑体"/>
          <w:b/>
          <w:bCs/>
          <w:color w:val="000000" w:themeColor="text1"/>
          <w:sz w:val="28"/>
          <w:highlight w:val="none"/>
          <w14:textFill>
            <w14:solidFill>
              <w14:schemeClr w14:val="tx1"/>
            </w14:solidFill>
          </w14:textFill>
        </w:rPr>
      </w:pPr>
      <w:r>
        <w:rPr>
          <w:rFonts w:hint="eastAsia" w:ascii="黑体" w:hAnsi="宋体" w:eastAsia="黑体"/>
          <w:b/>
          <w:bCs/>
          <w:color w:val="000000" w:themeColor="text1"/>
          <w:sz w:val="28"/>
          <w:highlight w:val="none"/>
          <w14:textFill>
            <w14:solidFill>
              <w14:schemeClr w14:val="tx1"/>
            </w14:solidFill>
          </w14:textFill>
        </w:rPr>
        <w:t>招标代理机构：</w:t>
      </w:r>
      <w:r>
        <w:rPr>
          <w:rFonts w:hint="eastAsia" w:ascii="黑体" w:hAnsi="宋体" w:eastAsia="黑体"/>
          <w:b/>
          <w:bCs/>
          <w:color w:val="000000" w:themeColor="text1"/>
          <w:sz w:val="28"/>
          <w:highlight w:val="none"/>
          <w:u w:val="single"/>
          <w:lang w:eastAsia="zh-CN"/>
          <w14:textFill>
            <w14:solidFill>
              <w14:schemeClr w14:val="tx1"/>
            </w14:solidFill>
          </w14:textFill>
        </w:rPr>
        <w:t>广州市广州工程建设监理有限公司</w:t>
      </w:r>
      <w:r>
        <w:rPr>
          <w:rFonts w:ascii="黑体" w:hAnsi="宋体" w:eastAsia="黑体"/>
          <w:b/>
          <w:bCs/>
          <w:color w:val="000000" w:themeColor="text1"/>
          <w:sz w:val="28"/>
          <w:highlight w:val="none"/>
          <w:u w:val="single"/>
          <w14:textFill>
            <w14:solidFill>
              <w14:schemeClr w14:val="tx1"/>
            </w14:solidFill>
          </w14:textFill>
        </w:rPr>
        <w:t>(</w:t>
      </w:r>
      <w:r>
        <w:rPr>
          <w:rFonts w:hint="eastAsia" w:ascii="黑体" w:hAnsi="宋体" w:eastAsia="黑体"/>
          <w:b/>
          <w:bCs/>
          <w:color w:val="000000" w:themeColor="text1"/>
          <w:sz w:val="28"/>
          <w:highlight w:val="none"/>
          <w14:textFill>
            <w14:solidFill>
              <w14:schemeClr w14:val="tx1"/>
            </w14:solidFill>
          </w14:textFill>
        </w:rPr>
        <w:t>盖单位章</w:t>
      </w:r>
      <w:r>
        <w:rPr>
          <w:rFonts w:ascii="黑体" w:hAnsi="宋体" w:eastAsia="黑体"/>
          <w:b/>
          <w:bCs/>
          <w:color w:val="000000" w:themeColor="text1"/>
          <w:sz w:val="28"/>
          <w:highlight w:val="none"/>
          <w14:textFill>
            <w14:solidFill>
              <w14:schemeClr w14:val="tx1"/>
            </w14:solidFill>
          </w14:textFill>
        </w:rPr>
        <w:t>)</w:t>
      </w:r>
    </w:p>
    <w:p w14:paraId="5E7A291D">
      <w:pPr>
        <w:spacing w:line="600" w:lineRule="auto"/>
        <w:jc w:val="center"/>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黑体" w:hAnsi="宋体" w:eastAsia="黑体"/>
          <w:b/>
          <w:bCs/>
          <w:color w:val="000000" w:themeColor="text1"/>
          <w:sz w:val="28"/>
          <w:highlight w:val="none"/>
          <w:u w:val="single"/>
          <w:lang w:eastAsia="zh-CN"/>
          <w14:textFill>
            <w14:solidFill>
              <w14:schemeClr w14:val="tx1"/>
            </w14:solidFill>
          </w14:textFill>
        </w:rPr>
        <w:t>202</w:t>
      </w:r>
      <w:r>
        <w:rPr>
          <w:rFonts w:hint="eastAsia" w:ascii="黑体" w:hAnsi="宋体" w:eastAsia="黑体"/>
          <w:b/>
          <w:bCs/>
          <w:color w:val="000000" w:themeColor="text1"/>
          <w:sz w:val="28"/>
          <w:highlight w:val="none"/>
          <w:u w:val="single"/>
          <w:lang w:val="en-US" w:eastAsia="zh-CN"/>
          <w14:textFill>
            <w14:solidFill>
              <w14:schemeClr w14:val="tx1"/>
            </w14:solidFill>
          </w14:textFill>
        </w:rPr>
        <w:t>6</w:t>
      </w:r>
      <w:r>
        <w:rPr>
          <w:rFonts w:hint="eastAsia" w:ascii="黑体" w:hAnsi="宋体" w:eastAsia="黑体"/>
          <w:b/>
          <w:bCs/>
          <w:color w:val="000000" w:themeColor="text1"/>
          <w:sz w:val="28"/>
          <w:highlight w:val="none"/>
          <w:u w:val="single"/>
          <w:lang w:eastAsia="zh-CN"/>
          <w14:textFill>
            <w14:solidFill>
              <w14:schemeClr w14:val="tx1"/>
            </w14:solidFill>
          </w14:textFill>
        </w:rPr>
        <w:t>年</w:t>
      </w:r>
      <w:r>
        <w:rPr>
          <w:rFonts w:hint="eastAsia" w:ascii="黑体" w:hAnsi="宋体" w:eastAsia="黑体"/>
          <w:b/>
          <w:bCs/>
          <w:color w:val="000000" w:themeColor="text1"/>
          <w:sz w:val="28"/>
          <w:highlight w:val="none"/>
          <w:u w:val="single"/>
          <w:lang w:val="en-US" w:eastAsia="zh-CN"/>
          <w14:textFill>
            <w14:solidFill>
              <w14:schemeClr w14:val="tx1"/>
            </w14:solidFill>
          </w14:textFill>
        </w:rPr>
        <w:t>4</w:t>
      </w:r>
      <w:r>
        <w:rPr>
          <w:rFonts w:hint="eastAsia" w:ascii="黑体" w:hAnsi="宋体" w:eastAsia="黑体"/>
          <w:b/>
          <w:bCs/>
          <w:color w:val="000000" w:themeColor="text1"/>
          <w:sz w:val="28"/>
          <w:highlight w:val="none"/>
          <w:u w:val="single"/>
          <w:lang w:eastAsia="zh-CN"/>
          <w14:textFill>
            <w14:solidFill>
              <w14:schemeClr w14:val="tx1"/>
            </w14:solidFill>
          </w14:textFill>
        </w:rPr>
        <w:t>月</w:t>
      </w:r>
    </w:p>
    <w:p w14:paraId="3C4C55D4">
      <w:pPr>
        <w:jc w:val="center"/>
        <w:rPr>
          <w:rFonts w:ascii="黑体" w:hAnsi="黑体" w:eastAsia="黑体" w:cs="宋体"/>
          <w:color w:val="000000" w:themeColor="text1"/>
          <w:sz w:val="32"/>
          <w:highlight w:val="none"/>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1049" w:right="1032" w:bottom="1049" w:left="1032" w:header="851" w:footer="992" w:gutter="0"/>
          <w:pgNumType w:start="0"/>
          <w:cols w:space="720" w:num="1"/>
          <w:titlePg/>
          <w:docGrid w:type="lines" w:linePitch="312" w:charSpace="0"/>
        </w:sectPr>
      </w:pPr>
    </w:p>
    <w:p w14:paraId="0460AD67">
      <w:pPr>
        <w:pStyle w:val="25"/>
        <w:rPr>
          <w:color w:val="000000" w:themeColor="text1"/>
          <w:highlight w:val="none"/>
          <w14:textFill>
            <w14:solidFill>
              <w14:schemeClr w14:val="tx1"/>
            </w14:solidFill>
          </w14:textFill>
        </w:rPr>
        <w:sectPr>
          <w:pgSz w:w="11906" w:h="16838"/>
          <w:pgMar w:top="1276" w:right="1247" w:bottom="1134" w:left="1260" w:header="851" w:footer="992" w:gutter="0"/>
          <w:pgNumType w:start="0"/>
          <w:cols w:space="720" w:num="1"/>
          <w:titlePg/>
          <w:docGrid w:type="lines" w:linePitch="312" w:charSpace="0"/>
        </w:sectPr>
      </w:pPr>
    </w:p>
    <w:p w14:paraId="6BBA0F80">
      <w:pPr>
        <w:jc w:val="center"/>
        <w:rPr>
          <w:rFonts w:ascii="宋体" w:hAnsi="宋体" w:cs="宋体"/>
          <w:color w:val="000000" w:themeColor="text1"/>
          <w:sz w:val="32"/>
          <w:highlight w:val="none"/>
          <w14:textFill>
            <w14:solidFill>
              <w14:schemeClr w14:val="tx1"/>
            </w14:solidFill>
          </w14:textFill>
        </w:rPr>
      </w:pPr>
      <w:r>
        <w:rPr>
          <w:rFonts w:hint="eastAsia" w:ascii="宋体" w:hAnsi="宋体" w:cs="宋体"/>
          <w:color w:val="000000" w:themeColor="text1"/>
          <w:sz w:val="32"/>
          <w:highlight w:val="none"/>
          <w14:textFill>
            <w14:solidFill>
              <w14:schemeClr w14:val="tx1"/>
            </w14:solidFill>
          </w14:textFill>
        </w:rPr>
        <w:t>目    录</w:t>
      </w:r>
    </w:p>
    <w:p w14:paraId="14EB0497">
      <w:pPr>
        <w:pStyle w:val="25"/>
        <w:rPr>
          <w:color w:val="000000" w:themeColor="text1"/>
          <w:highlight w:val="none"/>
          <w14:textFill>
            <w14:solidFill>
              <w14:schemeClr w14:val="tx1"/>
            </w14:solidFill>
          </w14:textFill>
        </w:rPr>
      </w:pPr>
    </w:p>
    <w:p w14:paraId="68FC934E">
      <w:pPr>
        <w:spacing w:line="480" w:lineRule="auto"/>
        <w:jc w:val="center"/>
        <w:rPr>
          <w:rFonts w:hint="eastAsia" w:ascii="宋体" w:hAnsi="宋体" w:cs="宋体"/>
          <w:color w:val="000000" w:themeColor="text1"/>
          <w:sz w:val="32"/>
          <w:highlight w:val="none"/>
          <w14:textFill>
            <w14:solidFill>
              <w14:schemeClr w14:val="tx1"/>
            </w14:solidFill>
          </w14:textFill>
        </w:rPr>
      </w:pPr>
      <w:r>
        <w:rPr>
          <w:rFonts w:hint="eastAsia" w:ascii="宋体" w:hAnsi="宋体" w:cs="宋体"/>
          <w:color w:val="000000" w:themeColor="text1"/>
          <w:sz w:val="32"/>
          <w:highlight w:val="none"/>
          <w14:textFill>
            <w14:solidFill>
              <w14:schemeClr w14:val="tx1"/>
            </w14:solidFill>
          </w14:textFill>
        </w:rPr>
        <w:t>第一卷</w:t>
      </w:r>
    </w:p>
    <w:p w14:paraId="1B7BAF8D">
      <w:pPr>
        <w:pStyle w:val="13"/>
        <w:tabs>
          <w:tab w:val="right" w:leader="dot" w:pos="9513"/>
        </w:tabs>
        <w:ind w:left="0" w:leftChars="0" w:firstLine="0" w:firstLineChars="0"/>
        <w:rPr>
          <w:color w:val="000000" w:themeColor="text1"/>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fldChar w:fldCharType="begin"/>
      </w:r>
      <w:r>
        <w:rPr>
          <w:rFonts w:hint="eastAsia" w:ascii="宋体" w:hAnsi="宋体" w:cs="宋体"/>
          <w:color w:val="000000" w:themeColor="text1"/>
          <w:sz w:val="22"/>
          <w:szCs w:val="22"/>
          <w:highlight w:val="none"/>
          <w14:textFill>
            <w14:solidFill>
              <w14:schemeClr w14:val="tx1"/>
            </w14:solidFill>
          </w14:textFill>
        </w:rPr>
        <w:instrText xml:space="preserve"> TOC \o "1-3" \h \z \u </w:instrText>
      </w:r>
      <w:r>
        <w:rPr>
          <w:rFonts w:hint="eastAsia" w:ascii="宋体" w:hAnsi="宋体" w:cs="宋体"/>
          <w:color w:val="000000" w:themeColor="text1"/>
          <w:sz w:val="22"/>
          <w:szCs w:val="22"/>
          <w:highlight w:val="none"/>
          <w14:textFill>
            <w14:solidFill>
              <w14:schemeClr w14:val="tx1"/>
            </w14:solidFill>
          </w14:textFill>
        </w:rPr>
        <w:fldChar w:fldCharType="separate"/>
      </w:r>
      <w:r>
        <w:rPr>
          <w:rFonts w:hint="eastAsia" w:ascii="宋体" w:hAnsi="宋体" w:cs="宋体"/>
          <w:color w:val="000000" w:themeColor="text1"/>
          <w:szCs w:val="22"/>
          <w:highlight w:val="none"/>
          <w14:textFill>
            <w14:solidFill>
              <w14:schemeClr w14:val="tx1"/>
            </w14:solidFill>
          </w14:textFill>
        </w:rPr>
        <w:fldChar w:fldCharType="begin"/>
      </w:r>
      <w:r>
        <w:rPr>
          <w:rFonts w:hint="eastAsia" w:ascii="宋体" w:hAnsi="宋体" w:cs="宋体"/>
          <w:color w:val="000000" w:themeColor="text1"/>
          <w:szCs w:val="22"/>
          <w:highlight w:val="none"/>
          <w14:textFill>
            <w14:solidFill>
              <w14:schemeClr w14:val="tx1"/>
            </w14:solidFill>
          </w14:textFill>
        </w:rPr>
        <w:instrText xml:space="preserve"> HYPERLINK \l _Toc14343 </w:instrText>
      </w:r>
      <w:r>
        <w:rPr>
          <w:rFonts w:hint="eastAsia" w:ascii="宋体" w:hAnsi="宋体" w:cs="宋体"/>
          <w:color w:val="000000" w:themeColor="text1"/>
          <w:szCs w:val="22"/>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第一章  招 标 公 告</w:t>
      </w:r>
      <w:r>
        <w:rPr>
          <w:color w:val="000000" w:themeColor="text1"/>
          <w:highlight w:val="none"/>
          <w14:textFill>
            <w14:solidFill>
              <w14:schemeClr w14:val="tx1"/>
            </w14:solidFill>
          </w14:textFill>
        </w:rPr>
        <w:tab/>
      </w:r>
      <w:r>
        <w:rPr>
          <w:rFonts w:hint="eastAsia" w:eastAsia="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szCs w:val="22"/>
          <w:highlight w:val="none"/>
          <w14:textFill>
            <w14:solidFill>
              <w14:schemeClr w14:val="tx1"/>
            </w14:solidFill>
          </w14:textFill>
        </w:rPr>
        <w:fldChar w:fldCharType="end"/>
      </w:r>
    </w:p>
    <w:p w14:paraId="0663C925">
      <w:pPr>
        <w:pStyle w:val="13"/>
        <w:tabs>
          <w:tab w:val="right" w:leader="dot" w:pos="9513"/>
        </w:tabs>
        <w:rPr>
          <w:color w:val="000000" w:themeColor="text1"/>
          <w:highlight w:val="none"/>
          <w14:textFill>
            <w14:solidFill>
              <w14:schemeClr w14:val="tx1"/>
            </w14:solidFill>
          </w14:textFill>
        </w:rPr>
      </w:pPr>
    </w:p>
    <w:p w14:paraId="2C800AF2">
      <w:pPr>
        <w:pStyle w:val="12"/>
        <w:tabs>
          <w:tab w:val="right" w:leader="dot" w:pos="9513"/>
        </w:tabs>
        <w:rPr>
          <w:rFonts w:hint="default"/>
          <w:color w:val="000000" w:themeColor="text1"/>
          <w:highlight w:val="none"/>
          <w:lang w:val="en-US"/>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_Toc2292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宋体" w:hAnsi="宋体" w:eastAsia="宋体" w:cs="宋体"/>
          <w:bCs/>
          <w:color w:val="000000" w:themeColor="text1"/>
          <w:szCs w:val="42"/>
          <w:highlight w:val="none"/>
          <w:lang w:eastAsia="zh-CN"/>
          <w14:textFill>
            <w14:solidFill>
              <w14:schemeClr w14:val="tx1"/>
            </w14:solidFill>
          </w14:textFill>
        </w:rPr>
        <w:t>第二章</w:t>
      </w:r>
      <w:r>
        <w:rPr>
          <w:rFonts w:hint="eastAsia" w:ascii="宋体" w:hAnsi="宋体" w:eastAsia="宋体" w:cs="宋体"/>
          <w:color w:val="000000" w:themeColor="text1"/>
          <w:szCs w:val="42"/>
          <w:highlight w:val="none"/>
          <w:lang w:eastAsia="zh-CN"/>
          <w14:textFill>
            <w14:solidFill>
              <w14:schemeClr w14:val="tx1"/>
            </w14:solidFill>
          </w14:textFill>
        </w:rPr>
        <w:t xml:space="preserve">  </w:t>
      </w:r>
      <w:r>
        <w:rPr>
          <w:rFonts w:hint="eastAsia" w:ascii="宋体" w:hAnsi="宋体" w:eastAsia="宋体" w:cs="宋体"/>
          <w:bCs/>
          <w:color w:val="000000" w:themeColor="text1"/>
          <w:szCs w:val="42"/>
          <w:highlight w:val="none"/>
          <w:lang w:eastAsia="zh-CN"/>
          <w14:textFill>
            <w14:solidFill>
              <w14:schemeClr w14:val="tx1"/>
            </w14:solidFill>
          </w14:textFill>
        </w:rPr>
        <w:t>投标人须知</w:t>
      </w:r>
      <w:r>
        <w:rPr>
          <w:color w:val="000000" w:themeColor="text1"/>
          <w:highlight w:val="none"/>
          <w14:textFill>
            <w14:solidFill>
              <w14:schemeClr w14:val="tx1"/>
            </w14:solidFill>
          </w14:textFill>
        </w:rPr>
        <w:tab/>
      </w:r>
      <w:r>
        <w:rPr>
          <w:rFonts w:hint="eastAsia" w:eastAsia="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4</w:t>
      </w:r>
    </w:p>
    <w:p w14:paraId="3D4BB999">
      <w:pPr>
        <w:pStyle w:val="13"/>
        <w:tabs>
          <w:tab w:val="right" w:leader="dot" w:pos="9513"/>
        </w:tabs>
        <w:rPr>
          <w:color w:val="000000" w:themeColor="text1"/>
          <w:highlight w:val="none"/>
          <w14:textFill>
            <w14:solidFill>
              <w14:schemeClr w14:val="tx1"/>
            </w14:solidFill>
          </w14:textFill>
        </w:rPr>
      </w:pPr>
    </w:p>
    <w:p w14:paraId="263F9EA9">
      <w:pPr>
        <w:pStyle w:val="12"/>
        <w:tabs>
          <w:tab w:val="right" w:leader="dot" w:pos="9513"/>
        </w:tabs>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 xml:space="preserve">第三章 </w:t>
      </w:r>
      <w:r>
        <w:rPr>
          <w:rFonts w:hint="eastAsia" w:ascii="宋体" w:hAnsi="宋体" w:eastAsia="宋体" w:cs="宋体"/>
          <w:bCs/>
          <w:color w:val="000000" w:themeColor="text1"/>
          <w:szCs w:val="42"/>
          <w:highlight w:val="none"/>
          <w:lang w:eastAsia="zh-CN"/>
          <w14:textFill>
            <w14:solidFill>
              <w14:schemeClr w14:val="tx1"/>
            </w14:solidFill>
          </w14:textFill>
        </w:rPr>
        <w:t>评标和定标办法</w:t>
      </w:r>
      <w:r>
        <w:rPr>
          <w:color w:val="000000" w:themeColor="text1"/>
          <w:highlight w:val="none"/>
          <w14:textFill>
            <w14:solidFill>
              <w14:schemeClr w14:val="tx1"/>
            </w14:solidFill>
          </w14:textFill>
        </w:rPr>
        <w:tab/>
      </w:r>
      <w:r>
        <w:rPr>
          <w:rFonts w:hint="eastAsia" w:eastAsia="宋体"/>
          <w:color w:val="000000" w:themeColor="text1"/>
          <w:highlight w:val="none"/>
          <w:lang w:val="en-US" w:eastAsia="zh-CN"/>
          <w14:textFill>
            <w14:solidFill>
              <w14:schemeClr w14:val="tx1"/>
            </w14:solidFill>
          </w14:textFill>
        </w:rPr>
        <w:t>53</w:t>
      </w:r>
    </w:p>
    <w:p w14:paraId="11881B2F">
      <w:pPr>
        <w:rPr>
          <w:rFonts w:hint="eastAsia"/>
          <w:color w:val="000000" w:themeColor="text1"/>
          <w:highlight w:val="none"/>
          <w:lang w:val="en-US" w:eastAsia="zh-CN"/>
          <w14:textFill>
            <w14:solidFill>
              <w14:schemeClr w14:val="tx1"/>
            </w14:solidFill>
          </w14:textFill>
        </w:rPr>
      </w:pPr>
    </w:p>
    <w:p w14:paraId="37E26A0B">
      <w:pPr>
        <w:pStyle w:val="12"/>
        <w:tabs>
          <w:tab w:val="right" w:leader="dot" w:pos="9513"/>
        </w:tabs>
        <w:ind w:firstLine="630" w:firstLineChars="300"/>
        <w:rPr>
          <w:color w:val="000000" w:themeColor="text1"/>
          <w:highlight w:val="none"/>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_Toc25379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zCs w:val="43"/>
          <w:highlight w:val="none"/>
          <w:lang w:eastAsia="zh-CN"/>
          <w14:textFill>
            <w14:solidFill>
              <w14:schemeClr w14:val="tx1"/>
            </w14:solidFill>
          </w14:textFill>
        </w:rPr>
        <w:t>（一）评标办法（综合评估法）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_Toc25379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54</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p>
    <w:p w14:paraId="27D53C50">
      <w:pPr>
        <w:pStyle w:val="13"/>
        <w:tabs>
          <w:tab w:val="right" w:leader="dot" w:pos="9513"/>
        </w:tabs>
        <w:rPr>
          <w:color w:val="000000" w:themeColor="text1"/>
          <w:highlight w:val="none"/>
          <w14:textFill>
            <w14:solidFill>
              <w14:schemeClr w14:val="tx1"/>
            </w14:solidFill>
          </w14:textFill>
        </w:rPr>
      </w:pPr>
    </w:p>
    <w:p w14:paraId="05E59D4D">
      <w:pPr>
        <w:pStyle w:val="13"/>
        <w:tabs>
          <w:tab w:val="right" w:leader="dot" w:pos="9513"/>
        </w:tabs>
        <w:ind w:firstLine="210" w:firstLineChars="100"/>
        <w:rPr>
          <w:rFonts w:hint="default" w:ascii="宋体" w:hAnsi="宋体" w:eastAsia="宋体" w:cs="宋体"/>
          <w:color w:val="000000" w:themeColor="text1"/>
          <w:kern w:val="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_Toc15269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Times New Roman" w:eastAsia="宋体"/>
          <w:snapToGrid w:val="0"/>
          <w:color w:val="000000" w:themeColor="text1"/>
          <w:highlight w:val="none"/>
          <w:lang w:eastAsia="zh-CN"/>
          <w14:textFill>
            <w14:solidFill>
              <w14:schemeClr w14:val="tx1"/>
            </w14:solidFill>
          </w14:textFill>
        </w:rPr>
        <w:t>（二）</w:t>
      </w:r>
      <w:r>
        <w:rPr>
          <w:rFonts w:hint="eastAsia" w:ascii="宋体" w:hAnsi="宋体" w:eastAsia="宋体" w:cs="宋体"/>
          <w:color w:val="000000" w:themeColor="text1"/>
          <w:szCs w:val="44"/>
          <w:highlight w:val="none"/>
          <w:lang w:eastAsia="zh-CN"/>
          <w14:textFill>
            <w14:solidFill>
              <w14:schemeClr w14:val="tx1"/>
            </w14:solidFill>
          </w14:textFill>
        </w:rPr>
        <w:t>定标办法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p>
    <w:p w14:paraId="29375824">
      <w:pPr>
        <w:rPr>
          <w:color w:val="000000" w:themeColor="text1"/>
          <w:highlight w:val="none"/>
          <w14:textFill>
            <w14:solidFill>
              <w14:schemeClr w14:val="tx1"/>
            </w14:solidFill>
          </w14:textFill>
        </w:rPr>
      </w:pPr>
    </w:p>
    <w:p w14:paraId="40C528DA">
      <w:pPr>
        <w:pStyle w:val="12"/>
        <w:tabs>
          <w:tab w:val="right" w:leader="dot" w:pos="9513"/>
        </w:tabs>
        <w:rPr>
          <w:color w:val="000000" w:themeColor="text1"/>
          <w:highlight w:val="none"/>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_Toc24275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zCs w:val="55"/>
          <w:highlight w:val="none"/>
          <w:lang w:eastAsia="zh-CN"/>
          <w14:textFill>
            <w14:solidFill>
              <w14:schemeClr w14:val="tx1"/>
            </w14:solidFill>
          </w14:textFill>
        </w:rPr>
        <w:t>第四章  合同条款及格式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_Toc24275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p>
    <w:p w14:paraId="3D67E520">
      <w:pPr>
        <w:pStyle w:val="12"/>
        <w:tabs>
          <w:tab w:val="right" w:leader="dot" w:pos="9513"/>
        </w:tabs>
        <w:rPr>
          <w:rFonts w:hint="eastAsia" w:ascii="宋体" w:hAnsi="宋体" w:eastAsia="宋体" w:cs="宋体"/>
          <w:color w:val="000000" w:themeColor="text1"/>
          <w:kern w:val="2"/>
          <w:szCs w:val="22"/>
          <w:highlight w:val="none"/>
          <w:lang w:val="en-US" w:eastAsia="zh-CN" w:bidi="ar-SA"/>
          <w14:textFill>
            <w14:solidFill>
              <w14:schemeClr w14:val="tx1"/>
            </w14:solidFill>
          </w14:textFill>
        </w:rPr>
      </w:pPr>
    </w:p>
    <w:p w14:paraId="59381CCB">
      <w:pPr>
        <w:pStyle w:val="12"/>
        <w:tabs>
          <w:tab w:val="right" w:leader="dot" w:pos="9513"/>
        </w:tabs>
        <w:jc w:val="center"/>
        <w:rPr>
          <w:rFonts w:hint="eastAsia" w:ascii="宋体" w:hAnsi="宋体" w:eastAsia="宋体" w:cs="宋体"/>
          <w:color w:val="000000" w:themeColor="text1"/>
          <w:kern w:val="2"/>
          <w:szCs w:val="22"/>
          <w:highlight w:val="none"/>
          <w:lang w:val="en-US" w:eastAsia="zh-CN" w:bidi="ar-SA"/>
          <w14:textFill>
            <w14:solidFill>
              <w14:schemeClr w14:val="tx1"/>
            </w14:solidFill>
          </w14:textFill>
        </w:rPr>
      </w:pPr>
      <w:r>
        <w:rPr>
          <w:rFonts w:hint="eastAsia" w:ascii="宋体" w:hAnsi="宋体" w:cs="宋体"/>
          <w:color w:val="000000" w:themeColor="text1"/>
          <w:sz w:val="32"/>
          <w:highlight w:val="none"/>
          <w14:textFill>
            <w14:solidFill>
              <w14:schemeClr w14:val="tx1"/>
            </w14:solidFill>
          </w14:textFill>
        </w:rPr>
        <w:t>第</w:t>
      </w:r>
      <w:r>
        <w:rPr>
          <w:rFonts w:hint="eastAsia" w:ascii="宋体" w:hAnsi="宋体" w:eastAsia="宋体" w:cs="宋体"/>
          <w:color w:val="000000" w:themeColor="text1"/>
          <w:sz w:val="32"/>
          <w:highlight w:val="none"/>
          <w:lang w:eastAsia="zh-CN"/>
          <w14:textFill>
            <w14:solidFill>
              <w14:schemeClr w14:val="tx1"/>
            </w14:solidFill>
          </w14:textFill>
        </w:rPr>
        <w:t>二</w:t>
      </w:r>
      <w:r>
        <w:rPr>
          <w:rFonts w:hint="eastAsia" w:ascii="宋体" w:hAnsi="宋体" w:cs="宋体"/>
          <w:color w:val="000000" w:themeColor="text1"/>
          <w:sz w:val="32"/>
          <w:highlight w:val="none"/>
          <w14:textFill>
            <w14:solidFill>
              <w14:schemeClr w14:val="tx1"/>
            </w14:solidFill>
          </w14:textFill>
        </w:rPr>
        <w:t>卷</w:t>
      </w:r>
    </w:p>
    <w:p w14:paraId="0571DAEC">
      <w:pPr>
        <w:pStyle w:val="12"/>
        <w:tabs>
          <w:tab w:val="right" w:leader="dot" w:pos="9513"/>
        </w:tabs>
        <w:rPr>
          <w:rFonts w:hint="eastAsia" w:ascii="宋体" w:hAnsi="宋体" w:eastAsia="宋体" w:cs="宋体"/>
          <w:color w:val="000000" w:themeColor="text1"/>
          <w:kern w:val="2"/>
          <w:szCs w:val="22"/>
          <w:highlight w:val="none"/>
          <w:lang w:val="en-US" w:eastAsia="zh-CN" w:bidi="ar-SA"/>
          <w14:textFill>
            <w14:solidFill>
              <w14:schemeClr w14:val="tx1"/>
            </w14:solidFill>
          </w14:textFill>
        </w:rPr>
      </w:pPr>
    </w:p>
    <w:p w14:paraId="2441B100">
      <w:pPr>
        <w:pStyle w:val="12"/>
        <w:tabs>
          <w:tab w:val="right" w:leader="dot" w:pos="9513"/>
        </w:tabs>
        <w:rPr>
          <w:rFonts w:hint="eastAsia" w:ascii="宋体" w:hAnsi="宋体" w:eastAsia="宋体" w:cs="宋体"/>
          <w:color w:val="000000" w:themeColor="text1"/>
          <w:kern w:val="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_Toc19038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宋体" w:hAnsi="宋体" w:eastAsia="宋体" w:cs="宋体"/>
          <w:bCs/>
          <w:color w:val="000000" w:themeColor="text1"/>
          <w:szCs w:val="36"/>
          <w:highlight w:val="none"/>
          <w:lang w:eastAsia="zh-CN"/>
          <w14:textFill>
            <w14:solidFill>
              <w14:schemeClr w14:val="tx1"/>
            </w14:solidFill>
          </w14:textFill>
        </w:rPr>
        <w:t>第五章</w:t>
      </w:r>
      <w:r>
        <w:rPr>
          <w:rFonts w:hint="eastAsia" w:ascii="宋体" w:hAnsi="宋体" w:eastAsia="宋体" w:cs="宋体"/>
          <w:color w:val="000000" w:themeColor="text1"/>
          <w:szCs w:val="36"/>
          <w:highlight w:val="none"/>
          <w:lang w:eastAsia="zh-CN"/>
          <w14:textFill>
            <w14:solidFill>
              <w14:schemeClr w14:val="tx1"/>
            </w14:solidFill>
          </w14:textFill>
        </w:rPr>
        <w:t xml:space="preserve">  </w:t>
      </w:r>
      <w:r>
        <w:rPr>
          <w:rFonts w:hint="eastAsia" w:ascii="宋体" w:hAnsi="宋体" w:eastAsia="宋体" w:cs="宋体"/>
          <w:bCs/>
          <w:color w:val="000000" w:themeColor="text1"/>
          <w:szCs w:val="36"/>
          <w:highlight w:val="none"/>
          <w:lang w:eastAsia="zh-CN"/>
          <w14:textFill>
            <w14:solidFill>
              <w14:schemeClr w14:val="tx1"/>
            </w14:solidFill>
          </w14:textFill>
        </w:rPr>
        <w:t>发包人要求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122</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p>
    <w:p w14:paraId="369615C4">
      <w:pPr>
        <w:rPr>
          <w:rFonts w:hint="eastAsia" w:ascii="宋体" w:hAnsi="宋体" w:eastAsia="宋体" w:cs="宋体"/>
          <w:color w:val="000000" w:themeColor="text1"/>
          <w:kern w:val="2"/>
          <w:szCs w:val="22"/>
          <w:highlight w:val="none"/>
          <w:lang w:val="en-US" w:eastAsia="zh-CN" w:bidi="ar-SA"/>
          <w14:textFill>
            <w14:solidFill>
              <w14:schemeClr w14:val="tx1"/>
            </w14:solidFill>
          </w14:textFill>
        </w:rPr>
      </w:pPr>
    </w:p>
    <w:p w14:paraId="08D5F9C9">
      <w:pPr>
        <w:spacing w:line="480" w:lineRule="auto"/>
        <w:jc w:val="center"/>
        <w:rPr>
          <w:rFonts w:hint="eastAsia" w:ascii="宋体" w:hAnsi="宋体" w:eastAsia="宋体" w:cs="宋体"/>
          <w:color w:val="000000" w:themeColor="text1"/>
          <w:kern w:val="2"/>
          <w:szCs w:val="22"/>
          <w:highlight w:val="none"/>
          <w:lang w:val="en-US" w:eastAsia="zh-CN" w:bidi="ar-SA"/>
          <w14:textFill>
            <w14:solidFill>
              <w14:schemeClr w14:val="tx1"/>
            </w14:solidFill>
          </w14:textFill>
        </w:rPr>
      </w:pPr>
      <w:r>
        <w:rPr>
          <w:rFonts w:hint="eastAsia" w:ascii="宋体" w:hAnsi="宋体" w:cs="宋体"/>
          <w:color w:val="000000" w:themeColor="text1"/>
          <w:sz w:val="32"/>
          <w:highlight w:val="none"/>
          <w14:textFill>
            <w14:solidFill>
              <w14:schemeClr w14:val="tx1"/>
            </w14:solidFill>
          </w14:textFill>
        </w:rPr>
        <w:t>第</w:t>
      </w:r>
      <w:r>
        <w:rPr>
          <w:rFonts w:hint="eastAsia" w:ascii="宋体" w:hAnsi="宋体" w:eastAsia="宋体" w:cs="宋体"/>
          <w:color w:val="000000" w:themeColor="text1"/>
          <w:sz w:val="32"/>
          <w:highlight w:val="none"/>
          <w:lang w:eastAsia="zh-CN"/>
          <w14:textFill>
            <w14:solidFill>
              <w14:schemeClr w14:val="tx1"/>
            </w14:solidFill>
          </w14:textFill>
        </w:rPr>
        <w:t>三</w:t>
      </w:r>
      <w:r>
        <w:rPr>
          <w:rFonts w:hint="eastAsia" w:ascii="宋体" w:hAnsi="宋体" w:cs="宋体"/>
          <w:color w:val="000000" w:themeColor="text1"/>
          <w:sz w:val="32"/>
          <w:highlight w:val="none"/>
          <w14:textFill>
            <w14:solidFill>
              <w14:schemeClr w14:val="tx1"/>
            </w14:solidFill>
          </w14:textFill>
        </w:rPr>
        <w:t>卷</w:t>
      </w:r>
    </w:p>
    <w:p w14:paraId="36B88A2F">
      <w:pPr>
        <w:pStyle w:val="12"/>
        <w:tabs>
          <w:tab w:val="right" w:leader="dot" w:pos="9513"/>
        </w:tabs>
        <w:rPr>
          <w:rFonts w:hint="default" w:ascii="宋体" w:hAnsi="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_Toc25702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zCs w:val="55"/>
          <w:highlight w:val="none"/>
          <w:lang w:eastAsia="zh-CN"/>
          <w14:textFill>
            <w14:solidFill>
              <w14:schemeClr w14:val="tx1"/>
            </w14:solidFill>
          </w14:textFill>
        </w:rPr>
        <w:t>第六章  投标文件格式</w:t>
      </w:r>
      <w:r>
        <w:rPr>
          <w:color w:val="000000" w:themeColor="text1"/>
          <w:highlight w:val="none"/>
          <w14:textFill>
            <w14:solidFill>
              <w14:schemeClr w14:val="tx1"/>
            </w14:solidFill>
          </w14:textFill>
        </w:rPr>
        <w:tab/>
      </w:r>
      <w:r>
        <w:rPr>
          <w:rFonts w:hint="eastAsia" w:eastAsia="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kern w:val="2"/>
          <w:sz w:val="22"/>
          <w:szCs w:val="24"/>
          <w:highlight w:val="none"/>
          <w:lang w:val="en-US" w:eastAsia="zh-CN" w:bidi="ar-SA"/>
          <w14:textFill>
            <w14:solidFill>
              <w14:schemeClr w14:val="tx1"/>
            </w14:solidFill>
          </w14:textFill>
        </w:rPr>
        <w:t>28</w:t>
      </w:r>
    </w:p>
    <w:p w14:paraId="6EC8AE2C">
      <w:pPr>
        <w:rPr>
          <w:rFonts w:ascii="宋体" w:hAnsi="宋体" w:cs="宋体"/>
          <w:color w:val="000000" w:themeColor="text1"/>
          <w:highlight w:val="none"/>
          <w14:textFill>
            <w14:solidFill>
              <w14:schemeClr w14:val="tx1"/>
            </w14:solidFill>
          </w14:textFill>
        </w:rPr>
      </w:pPr>
    </w:p>
    <w:p w14:paraId="27D2D695">
      <w:pPr>
        <w:rPr>
          <w:rFonts w:ascii="宋体" w:hAnsi="宋体" w:cs="宋体"/>
          <w:color w:val="000000" w:themeColor="text1"/>
          <w:sz w:val="25"/>
          <w:highlight w:val="none"/>
          <w14:textFill>
            <w14:solidFill>
              <w14:schemeClr w14:val="tx1"/>
            </w14:solidFill>
          </w14:textFill>
        </w:rPr>
      </w:pPr>
    </w:p>
    <w:p w14:paraId="45D96F71">
      <w:pPr>
        <w:rPr>
          <w:rFonts w:ascii="宋体" w:hAnsi="宋体" w:cs="宋体"/>
          <w:color w:val="000000" w:themeColor="text1"/>
          <w:sz w:val="25"/>
          <w:highlight w:val="none"/>
          <w14:textFill>
            <w14:solidFill>
              <w14:schemeClr w14:val="tx1"/>
            </w14:solidFill>
          </w14:textFill>
        </w:rPr>
      </w:pPr>
    </w:p>
    <w:p w14:paraId="6426C70B">
      <w:pPr>
        <w:jc w:val="right"/>
        <w:rPr>
          <w:rFonts w:ascii="宋体" w:hAnsi="宋体" w:cs="宋体"/>
          <w:color w:val="000000" w:themeColor="text1"/>
          <w:sz w:val="25"/>
          <w:highlight w:val="none"/>
          <w14:textFill>
            <w14:solidFill>
              <w14:schemeClr w14:val="tx1"/>
            </w14:solidFill>
          </w14:textFill>
        </w:rPr>
      </w:pPr>
    </w:p>
    <w:p w14:paraId="5643475D">
      <w:pPr>
        <w:rPr>
          <w:rFonts w:ascii="宋体" w:hAnsi="宋体" w:cs="宋体"/>
          <w:color w:val="000000" w:themeColor="text1"/>
          <w:sz w:val="25"/>
          <w:highlight w:val="none"/>
          <w14:textFill>
            <w14:solidFill>
              <w14:schemeClr w14:val="tx1"/>
            </w14:solidFill>
          </w14:textFill>
        </w:rPr>
      </w:pPr>
    </w:p>
    <w:p w14:paraId="50D6F9C6">
      <w:pPr>
        <w:rPr>
          <w:rFonts w:ascii="宋体" w:hAnsi="宋体" w:cs="宋体"/>
          <w:color w:val="000000" w:themeColor="text1"/>
          <w:sz w:val="25"/>
          <w:highlight w:val="none"/>
          <w14:textFill>
            <w14:solidFill>
              <w14:schemeClr w14:val="tx1"/>
            </w14:solidFill>
          </w14:textFill>
        </w:rPr>
        <w:sectPr>
          <w:footerReference r:id="rId9" w:type="default"/>
          <w:pgSz w:w="11906" w:h="16838"/>
          <w:pgMar w:top="1276" w:right="1133" w:bottom="1134" w:left="1260" w:header="851" w:footer="992" w:gutter="0"/>
          <w:cols w:space="720" w:num="1"/>
          <w:docGrid w:type="lines" w:linePitch="312" w:charSpace="0"/>
        </w:sectPr>
      </w:pPr>
    </w:p>
    <w:p w14:paraId="20866A6C">
      <w:pPr>
        <w:rPr>
          <w:rFonts w:ascii="宋体" w:hAnsi="宋体" w:cs="宋体"/>
          <w:color w:val="000000" w:themeColor="text1"/>
          <w:sz w:val="25"/>
          <w:highlight w:val="none"/>
          <w14:textFill>
            <w14:solidFill>
              <w14:schemeClr w14:val="tx1"/>
            </w14:solidFill>
          </w14:textFill>
        </w:rPr>
      </w:pPr>
    </w:p>
    <w:p w14:paraId="499E584A">
      <w:pPr>
        <w:rPr>
          <w:rFonts w:ascii="宋体" w:hAnsi="宋体" w:cs="宋体"/>
          <w:color w:val="000000" w:themeColor="text1"/>
          <w:sz w:val="25"/>
          <w:highlight w:val="none"/>
          <w14:textFill>
            <w14:solidFill>
              <w14:schemeClr w14:val="tx1"/>
            </w14:solidFill>
          </w14:textFill>
        </w:rPr>
      </w:pPr>
    </w:p>
    <w:p w14:paraId="051A3E80">
      <w:pPr>
        <w:rPr>
          <w:rFonts w:ascii="宋体" w:hAnsi="宋体" w:cs="宋体"/>
          <w:color w:val="000000" w:themeColor="text1"/>
          <w:sz w:val="25"/>
          <w:highlight w:val="none"/>
          <w14:textFill>
            <w14:solidFill>
              <w14:schemeClr w14:val="tx1"/>
            </w14:solidFill>
          </w14:textFill>
        </w:rPr>
      </w:pPr>
    </w:p>
    <w:p w14:paraId="0E4B5D56">
      <w:pPr>
        <w:pStyle w:val="23"/>
        <w:jc w:val="both"/>
        <w:rPr>
          <w:rFonts w:ascii="宋体" w:hAnsi="宋体" w:cs="宋体"/>
          <w:color w:val="000000" w:themeColor="text1"/>
          <w:sz w:val="25"/>
          <w:highlight w:val="none"/>
          <w14:textFill>
            <w14:solidFill>
              <w14:schemeClr w14:val="tx1"/>
            </w14:solidFill>
          </w14:textFill>
        </w:rPr>
      </w:pPr>
    </w:p>
    <w:p w14:paraId="62F3FC7E">
      <w:pPr>
        <w:rPr>
          <w:rFonts w:ascii="宋体" w:hAnsi="宋体" w:cs="宋体"/>
          <w:color w:val="000000" w:themeColor="text1"/>
          <w:sz w:val="25"/>
          <w:highlight w:val="none"/>
          <w14:textFill>
            <w14:solidFill>
              <w14:schemeClr w14:val="tx1"/>
            </w14:solidFill>
          </w14:textFill>
        </w:rPr>
      </w:pPr>
    </w:p>
    <w:p w14:paraId="1C6897C0">
      <w:pPr>
        <w:pStyle w:val="23"/>
        <w:rPr>
          <w:rFonts w:ascii="宋体" w:hAnsi="宋体" w:cs="宋体"/>
          <w:color w:val="000000" w:themeColor="text1"/>
          <w:sz w:val="25"/>
          <w:highlight w:val="none"/>
          <w14:textFill>
            <w14:solidFill>
              <w14:schemeClr w14:val="tx1"/>
            </w14:solidFill>
          </w14:textFill>
        </w:rPr>
      </w:pPr>
    </w:p>
    <w:p w14:paraId="4EF047A6">
      <w:pPr>
        <w:rPr>
          <w:rFonts w:ascii="宋体" w:hAnsi="宋体" w:cs="宋体"/>
          <w:color w:val="000000" w:themeColor="text1"/>
          <w:sz w:val="25"/>
          <w:highlight w:val="none"/>
          <w14:textFill>
            <w14:solidFill>
              <w14:schemeClr w14:val="tx1"/>
            </w14:solidFill>
          </w14:textFill>
        </w:rPr>
      </w:pPr>
    </w:p>
    <w:p w14:paraId="2FD26F00">
      <w:pPr>
        <w:pStyle w:val="23"/>
        <w:rPr>
          <w:rFonts w:ascii="宋体" w:hAnsi="宋体" w:cs="宋体"/>
          <w:color w:val="000000" w:themeColor="text1"/>
          <w:sz w:val="25"/>
          <w:highlight w:val="none"/>
          <w14:textFill>
            <w14:solidFill>
              <w14:schemeClr w14:val="tx1"/>
            </w14:solidFill>
          </w14:textFill>
        </w:rPr>
      </w:pPr>
    </w:p>
    <w:p w14:paraId="22BD5EF3">
      <w:pPr>
        <w:rPr>
          <w:rFonts w:ascii="宋体" w:hAnsi="宋体" w:cs="宋体"/>
          <w:color w:val="000000" w:themeColor="text1"/>
          <w:sz w:val="25"/>
          <w:highlight w:val="none"/>
          <w14:textFill>
            <w14:solidFill>
              <w14:schemeClr w14:val="tx1"/>
            </w14:solidFill>
          </w14:textFill>
        </w:rPr>
      </w:pPr>
    </w:p>
    <w:p w14:paraId="15F15D3C">
      <w:pPr>
        <w:pStyle w:val="23"/>
        <w:rPr>
          <w:color w:val="000000" w:themeColor="text1"/>
          <w:highlight w:val="none"/>
          <w14:textFill>
            <w14:solidFill>
              <w14:schemeClr w14:val="tx1"/>
            </w14:solidFill>
          </w14:textFill>
        </w:rPr>
      </w:pPr>
    </w:p>
    <w:p w14:paraId="54DBADAD">
      <w:pPr>
        <w:pStyle w:val="23"/>
        <w:rPr>
          <w:rFonts w:ascii="宋体" w:hAnsi="宋体" w:cs="宋体"/>
          <w:color w:val="000000" w:themeColor="text1"/>
          <w:sz w:val="25"/>
          <w:highlight w:val="none"/>
          <w14:textFill>
            <w14:solidFill>
              <w14:schemeClr w14:val="tx1"/>
            </w14:solidFill>
          </w14:textFill>
        </w:rPr>
      </w:pPr>
    </w:p>
    <w:p w14:paraId="63E977DE">
      <w:pPr>
        <w:rPr>
          <w:rFonts w:ascii="宋体" w:hAnsi="宋体" w:cs="宋体"/>
          <w:color w:val="000000" w:themeColor="text1"/>
          <w:sz w:val="25"/>
          <w:highlight w:val="none"/>
          <w14:textFill>
            <w14:solidFill>
              <w14:schemeClr w14:val="tx1"/>
            </w14:solidFill>
          </w14:textFill>
        </w:rPr>
      </w:pPr>
    </w:p>
    <w:p w14:paraId="41FFAA57">
      <w:pPr>
        <w:pStyle w:val="23"/>
        <w:rPr>
          <w:rFonts w:ascii="宋体" w:hAnsi="宋体" w:cs="宋体"/>
          <w:color w:val="000000" w:themeColor="text1"/>
          <w:sz w:val="25"/>
          <w:highlight w:val="none"/>
          <w14:textFill>
            <w14:solidFill>
              <w14:schemeClr w14:val="tx1"/>
            </w14:solidFill>
          </w14:textFill>
        </w:rPr>
      </w:pPr>
    </w:p>
    <w:p w14:paraId="7D75E8E1">
      <w:pPr>
        <w:rPr>
          <w:color w:val="000000" w:themeColor="text1"/>
          <w:highlight w:val="none"/>
          <w14:textFill>
            <w14:solidFill>
              <w14:schemeClr w14:val="tx1"/>
            </w14:solidFill>
          </w14:textFill>
        </w:rPr>
      </w:pPr>
    </w:p>
    <w:p w14:paraId="06DB7341">
      <w:pPr>
        <w:jc w:val="center"/>
        <w:rPr>
          <w:rFonts w:ascii="宋体" w:hAnsi="宋体" w:cs="宋体"/>
          <w:color w:val="000000" w:themeColor="text1"/>
          <w:sz w:val="25"/>
          <w:highlight w:val="none"/>
          <w14:textFill>
            <w14:solidFill>
              <w14:schemeClr w14:val="tx1"/>
            </w14:solidFill>
          </w14:textFill>
        </w:rPr>
      </w:pPr>
    </w:p>
    <w:p w14:paraId="5CCBA967">
      <w:pPr>
        <w:jc w:val="center"/>
        <w:rPr>
          <w:rFonts w:ascii="宋体" w:hAnsi="宋体" w:cs="宋体"/>
          <w:color w:val="000000" w:themeColor="text1"/>
          <w:sz w:val="25"/>
          <w:highlight w:val="none"/>
          <w14:textFill>
            <w14:solidFill>
              <w14:schemeClr w14:val="tx1"/>
            </w14:solidFill>
          </w14:textFill>
        </w:rPr>
      </w:pPr>
      <w:r>
        <w:rPr>
          <w:b/>
          <w:bCs/>
          <w:color w:val="000000" w:themeColor="text1"/>
          <w:spacing w:val="124"/>
          <w:sz w:val="71"/>
          <w:szCs w:val="71"/>
          <w:highlight w:val="none"/>
          <w14:textFill>
            <w14:solidFill>
              <w14:schemeClr w14:val="tx1"/>
            </w14:solidFill>
          </w14:textFill>
        </w:rPr>
        <w:t>第一卷</w:t>
      </w:r>
    </w:p>
    <w:p w14:paraId="49D8B31E">
      <w:pPr>
        <w:rPr>
          <w:rFonts w:ascii="宋体" w:hAnsi="宋体" w:cs="宋体"/>
          <w:color w:val="000000" w:themeColor="text1"/>
          <w:sz w:val="25"/>
          <w:highlight w:val="none"/>
          <w14:textFill>
            <w14:solidFill>
              <w14:schemeClr w14:val="tx1"/>
            </w14:solidFill>
          </w14:textFill>
        </w:rPr>
      </w:pPr>
    </w:p>
    <w:p w14:paraId="68036F9E">
      <w:pPr>
        <w:rPr>
          <w:rFonts w:ascii="宋体" w:hAnsi="宋体" w:cs="宋体"/>
          <w:color w:val="000000" w:themeColor="text1"/>
          <w:sz w:val="25"/>
          <w:highlight w:val="none"/>
          <w14:textFill>
            <w14:solidFill>
              <w14:schemeClr w14:val="tx1"/>
            </w14:solidFill>
          </w14:textFill>
        </w:rPr>
      </w:pPr>
    </w:p>
    <w:p w14:paraId="621A96E3">
      <w:pPr>
        <w:pStyle w:val="2"/>
        <w:rPr>
          <w:color w:val="000000" w:themeColor="text1"/>
          <w:highlight w:val="none"/>
          <w14:textFill>
            <w14:solidFill>
              <w14:schemeClr w14:val="tx1"/>
            </w14:solidFill>
          </w14:textFill>
        </w:rPr>
      </w:pPr>
    </w:p>
    <w:p w14:paraId="0845C697">
      <w:pPr>
        <w:pStyle w:val="2"/>
        <w:rPr>
          <w:color w:val="000000" w:themeColor="text1"/>
          <w:highlight w:val="none"/>
          <w14:textFill>
            <w14:solidFill>
              <w14:schemeClr w14:val="tx1"/>
            </w14:solidFill>
          </w14:textFill>
        </w:rPr>
      </w:pPr>
    </w:p>
    <w:p w14:paraId="6B7E6CFC">
      <w:pPr>
        <w:rPr>
          <w:color w:val="000000" w:themeColor="text1"/>
          <w:highlight w:val="none"/>
          <w14:textFill>
            <w14:solidFill>
              <w14:schemeClr w14:val="tx1"/>
            </w14:solidFill>
          </w14:textFill>
        </w:rPr>
      </w:pPr>
    </w:p>
    <w:p w14:paraId="5F08082E">
      <w:pPr>
        <w:pStyle w:val="23"/>
        <w:rPr>
          <w:color w:val="000000" w:themeColor="text1"/>
          <w:highlight w:val="none"/>
          <w14:textFill>
            <w14:solidFill>
              <w14:schemeClr w14:val="tx1"/>
            </w14:solidFill>
          </w14:textFill>
        </w:rPr>
      </w:pPr>
    </w:p>
    <w:p w14:paraId="671E5ABD">
      <w:pPr>
        <w:rPr>
          <w:color w:val="000000" w:themeColor="text1"/>
          <w:highlight w:val="none"/>
          <w14:textFill>
            <w14:solidFill>
              <w14:schemeClr w14:val="tx1"/>
            </w14:solidFill>
          </w14:textFill>
        </w:rPr>
      </w:pPr>
    </w:p>
    <w:p w14:paraId="47ABBBE4">
      <w:pPr>
        <w:pStyle w:val="23"/>
        <w:rPr>
          <w:color w:val="000000" w:themeColor="text1"/>
          <w:highlight w:val="none"/>
          <w14:textFill>
            <w14:solidFill>
              <w14:schemeClr w14:val="tx1"/>
            </w14:solidFill>
          </w14:textFill>
        </w:rPr>
      </w:pPr>
    </w:p>
    <w:p w14:paraId="6E8473FF">
      <w:pPr>
        <w:rPr>
          <w:color w:val="000000" w:themeColor="text1"/>
          <w:highlight w:val="none"/>
          <w14:textFill>
            <w14:solidFill>
              <w14:schemeClr w14:val="tx1"/>
            </w14:solidFill>
          </w14:textFill>
        </w:rPr>
      </w:pPr>
    </w:p>
    <w:p w14:paraId="544C1D04">
      <w:pPr>
        <w:pStyle w:val="23"/>
        <w:rPr>
          <w:color w:val="000000" w:themeColor="text1"/>
          <w:highlight w:val="none"/>
          <w14:textFill>
            <w14:solidFill>
              <w14:schemeClr w14:val="tx1"/>
            </w14:solidFill>
          </w14:textFill>
        </w:rPr>
      </w:pPr>
    </w:p>
    <w:p w14:paraId="504FD01F">
      <w:pPr>
        <w:rPr>
          <w:color w:val="000000" w:themeColor="text1"/>
          <w:highlight w:val="none"/>
          <w14:textFill>
            <w14:solidFill>
              <w14:schemeClr w14:val="tx1"/>
            </w14:solidFill>
          </w14:textFill>
        </w:rPr>
      </w:pPr>
    </w:p>
    <w:p w14:paraId="583DA1D6">
      <w:pPr>
        <w:pStyle w:val="23"/>
        <w:rPr>
          <w:color w:val="000000" w:themeColor="text1"/>
          <w:highlight w:val="none"/>
          <w14:textFill>
            <w14:solidFill>
              <w14:schemeClr w14:val="tx1"/>
            </w14:solidFill>
          </w14:textFill>
        </w:rPr>
      </w:pPr>
    </w:p>
    <w:p w14:paraId="00896CFA">
      <w:pPr>
        <w:rPr>
          <w:color w:val="000000" w:themeColor="text1"/>
          <w:highlight w:val="none"/>
          <w14:textFill>
            <w14:solidFill>
              <w14:schemeClr w14:val="tx1"/>
            </w14:solidFill>
          </w14:textFill>
        </w:rPr>
      </w:pPr>
    </w:p>
    <w:p w14:paraId="661ADA3B">
      <w:pPr>
        <w:pStyle w:val="23"/>
        <w:rPr>
          <w:color w:val="000000" w:themeColor="text1"/>
          <w:highlight w:val="none"/>
          <w14:textFill>
            <w14:solidFill>
              <w14:schemeClr w14:val="tx1"/>
            </w14:solidFill>
          </w14:textFill>
        </w:rPr>
      </w:pPr>
    </w:p>
    <w:p w14:paraId="724FD7D4">
      <w:pPr>
        <w:rPr>
          <w:color w:val="000000" w:themeColor="text1"/>
          <w:highlight w:val="none"/>
          <w14:textFill>
            <w14:solidFill>
              <w14:schemeClr w14:val="tx1"/>
            </w14:solidFill>
          </w14:textFill>
        </w:rPr>
      </w:pPr>
    </w:p>
    <w:p w14:paraId="5B73E474">
      <w:pPr>
        <w:pStyle w:val="23"/>
        <w:rPr>
          <w:color w:val="000000" w:themeColor="text1"/>
          <w:highlight w:val="none"/>
          <w14:textFill>
            <w14:solidFill>
              <w14:schemeClr w14:val="tx1"/>
            </w14:solidFill>
          </w14:textFill>
        </w:rPr>
      </w:pPr>
    </w:p>
    <w:p w14:paraId="77D2C28B">
      <w:pPr>
        <w:rPr>
          <w:color w:val="000000" w:themeColor="text1"/>
          <w:highlight w:val="none"/>
          <w14:textFill>
            <w14:solidFill>
              <w14:schemeClr w14:val="tx1"/>
            </w14:solidFill>
          </w14:textFill>
        </w:rPr>
      </w:pPr>
    </w:p>
    <w:p w14:paraId="5AFBB0E0">
      <w:pPr>
        <w:pStyle w:val="23"/>
        <w:rPr>
          <w:color w:val="000000" w:themeColor="text1"/>
          <w:highlight w:val="none"/>
          <w14:textFill>
            <w14:solidFill>
              <w14:schemeClr w14:val="tx1"/>
            </w14:solidFill>
          </w14:textFill>
        </w:rPr>
      </w:pPr>
    </w:p>
    <w:p w14:paraId="4400601E">
      <w:pPr>
        <w:rPr>
          <w:color w:val="000000" w:themeColor="text1"/>
          <w:highlight w:val="none"/>
          <w14:textFill>
            <w14:solidFill>
              <w14:schemeClr w14:val="tx1"/>
            </w14:solidFill>
          </w14:textFill>
        </w:rPr>
      </w:pPr>
    </w:p>
    <w:p w14:paraId="64EFCF86">
      <w:pPr>
        <w:pStyle w:val="23"/>
        <w:rPr>
          <w:color w:val="000000" w:themeColor="text1"/>
          <w:highlight w:val="none"/>
          <w14:textFill>
            <w14:solidFill>
              <w14:schemeClr w14:val="tx1"/>
            </w14:solidFill>
          </w14:textFill>
        </w:rPr>
      </w:pPr>
    </w:p>
    <w:p w14:paraId="43C97368">
      <w:pPr>
        <w:rPr>
          <w:color w:val="000000" w:themeColor="text1"/>
          <w:highlight w:val="none"/>
          <w14:textFill>
            <w14:solidFill>
              <w14:schemeClr w14:val="tx1"/>
            </w14:solidFill>
          </w14:textFill>
        </w:rPr>
      </w:pPr>
    </w:p>
    <w:p w14:paraId="3550513B">
      <w:pPr>
        <w:pStyle w:val="23"/>
        <w:rPr>
          <w:color w:val="000000" w:themeColor="text1"/>
          <w:highlight w:val="none"/>
          <w14:textFill>
            <w14:solidFill>
              <w14:schemeClr w14:val="tx1"/>
            </w14:solidFill>
          </w14:textFill>
        </w:rPr>
      </w:pPr>
    </w:p>
    <w:p w14:paraId="35AF97FB">
      <w:pPr>
        <w:rPr>
          <w:color w:val="000000" w:themeColor="text1"/>
          <w:highlight w:val="none"/>
          <w14:textFill>
            <w14:solidFill>
              <w14:schemeClr w14:val="tx1"/>
            </w14:solidFill>
          </w14:textFill>
        </w:rPr>
      </w:pPr>
    </w:p>
    <w:p w14:paraId="7B1191FE">
      <w:pPr>
        <w:pStyle w:val="23"/>
        <w:rPr>
          <w:color w:val="000000" w:themeColor="text1"/>
          <w:highlight w:val="none"/>
          <w14:textFill>
            <w14:solidFill>
              <w14:schemeClr w14:val="tx1"/>
            </w14:solidFill>
          </w14:textFill>
        </w:rPr>
      </w:pPr>
    </w:p>
    <w:p w14:paraId="0338FB9B">
      <w:pPr>
        <w:rPr>
          <w:color w:val="000000" w:themeColor="text1"/>
          <w:highlight w:val="none"/>
          <w14:textFill>
            <w14:solidFill>
              <w14:schemeClr w14:val="tx1"/>
            </w14:solidFill>
          </w14:textFill>
        </w:rPr>
      </w:pPr>
    </w:p>
    <w:p w14:paraId="47BFAC6A">
      <w:pPr>
        <w:pStyle w:val="23"/>
        <w:rPr>
          <w:color w:val="000000" w:themeColor="text1"/>
          <w:highlight w:val="none"/>
          <w14:textFill>
            <w14:solidFill>
              <w14:schemeClr w14:val="tx1"/>
            </w14:solidFill>
          </w14:textFill>
        </w:rPr>
      </w:pPr>
    </w:p>
    <w:p w14:paraId="3713BED6">
      <w:pPr>
        <w:rPr>
          <w:color w:val="000000" w:themeColor="text1"/>
          <w:highlight w:val="none"/>
          <w14:textFill>
            <w14:solidFill>
              <w14:schemeClr w14:val="tx1"/>
            </w14:solidFill>
          </w14:textFill>
        </w:rPr>
      </w:pPr>
    </w:p>
    <w:p w14:paraId="7AC703B1">
      <w:pPr>
        <w:pStyle w:val="23"/>
        <w:rPr>
          <w:color w:val="000000" w:themeColor="text1"/>
          <w:highlight w:val="none"/>
          <w14:textFill>
            <w14:solidFill>
              <w14:schemeClr w14:val="tx1"/>
            </w14:solidFill>
          </w14:textFill>
        </w:rPr>
      </w:pPr>
    </w:p>
    <w:p w14:paraId="27DFE4E3">
      <w:pPr>
        <w:rPr>
          <w:color w:val="000000" w:themeColor="text1"/>
          <w:highlight w:val="none"/>
          <w14:textFill>
            <w14:solidFill>
              <w14:schemeClr w14:val="tx1"/>
            </w14:solidFill>
          </w14:textFill>
        </w:rPr>
      </w:pPr>
    </w:p>
    <w:p w14:paraId="7C3B35F8">
      <w:pPr>
        <w:pStyle w:val="23"/>
        <w:rPr>
          <w:color w:val="000000" w:themeColor="text1"/>
          <w:highlight w:val="none"/>
          <w14:textFill>
            <w14:solidFill>
              <w14:schemeClr w14:val="tx1"/>
            </w14:solidFill>
          </w14:textFill>
        </w:rPr>
      </w:pPr>
    </w:p>
    <w:p w14:paraId="65AC0F0D">
      <w:pPr>
        <w:rPr>
          <w:color w:val="000000" w:themeColor="text1"/>
          <w:highlight w:val="none"/>
          <w14:textFill>
            <w14:solidFill>
              <w14:schemeClr w14:val="tx1"/>
            </w14:solidFill>
          </w14:textFill>
        </w:rPr>
      </w:pPr>
    </w:p>
    <w:p w14:paraId="392B2B68">
      <w:pPr>
        <w:pStyle w:val="23"/>
        <w:rPr>
          <w:color w:val="000000" w:themeColor="text1"/>
          <w:highlight w:val="none"/>
          <w14:textFill>
            <w14:solidFill>
              <w14:schemeClr w14:val="tx1"/>
            </w14:solidFill>
          </w14:textFill>
        </w:rPr>
      </w:pPr>
    </w:p>
    <w:p w14:paraId="50A8AA24">
      <w:pPr>
        <w:rPr>
          <w:color w:val="000000" w:themeColor="text1"/>
          <w:highlight w:val="none"/>
          <w14:textFill>
            <w14:solidFill>
              <w14:schemeClr w14:val="tx1"/>
            </w14:solidFill>
          </w14:textFill>
        </w:rPr>
      </w:pPr>
    </w:p>
    <w:p w14:paraId="1908BA6E">
      <w:pPr>
        <w:pStyle w:val="23"/>
        <w:rPr>
          <w:color w:val="000000" w:themeColor="text1"/>
          <w:highlight w:val="none"/>
          <w14:textFill>
            <w14:solidFill>
              <w14:schemeClr w14:val="tx1"/>
            </w14:solidFill>
          </w14:textFill>
        </w:rPr>
      </w:pPr>
    </w:p>
    <w:p w14:paraId="3762BA29">
      <w:pPr>
        <w:rPr>
          <w:color w:val="000000" w:themeColor="text1"/>
          <w:highlight w:val="none"/>
          <w14:textFill>
            <w14:solidFill>
              <w14:schemeClr w14:val="tx1"/>
            </w14:solidFill>
          </w14:textFill>
        </w:rPr>
      </w:pPr>
    </w:p>
    <w:p w14:paraId="3C466DE9">
      <w:pPr>
        <w:pStyle w:val="23"/>
        <w:rPr>
          <w:color w:val="000000" w:themeColor="text1"/>
          <w:highlight w:val="none"/>
          <w14:textFill>
            <w14:solidFill>
              <w14:schemeClr w14:val="tx1"/>
            </w14:solidFill>
          </w14:textFill>
        </w:rPr>
      </w:pPr>
    </w:p>
    <w:p w14:paraId="3B3DA2B6">
      <w:pPr>
        <w:rPr>
          <w:color w:val="000000" w:themeColor="text1"/>
          <w:highlight w:val="none"/>
          <w14:textFill>
            <w14:solidFill>
              <w14:schemeClr w14:val="tx1"/>
            </w14:solidFill>
          </w14:textFill>
        </w:rPr>
      </w:pPr>
    </w:p>
    <w:p w14:paraId="76E62E3B">
      <w:pPr>
        <w:pStyle w:val="23"/>
        <w:rPr>
          <w:color w:val="000000" w:themeColor="text1"/>
          <w:highlight w:val="none"/>
          <w14:textFill>
            <w14:solidFill>
              <w14:schemeClr w14:val="tx1"/>
            </w14:solidFill>
          </w14:textFill>
        </w:rPr>
      </w:pPr>
    </w:p>
    <w:p w14:paraId="5465808D">
      <w:pPr>
        <w:rPr>
          <w:color w:val="000000" w:themeColor="text1"/>
          <w:highlight w:val="none"/>
          <w14:textFill>
            <w14:solidFill>
              <w14:schemeClr w14:val="tx1"/>
            </w14:solidFill>
          </w14:textFill>
        </w:rPr>
      </w:pPr>
    </w:p>
    <w:p w14:paraId="0EEB9D36">
      <w:pPr>
        <w:pStyle w:val="23"/>
        <w:rPr>
          <w:color w:val="000000" w:themeColor="text1"/>
          <w:highlight w:val="none"/>
          <w14:textFill>
            <w14:solidFill>
              <w14:schemeClr w14:val="tx1"/>
            </w14:solidFill>
          </w14:textFill>
        </w:rPr>
      </w:pPr>
    </w:p>
    <w:p w14:paraId="63B7244B">
      <w:pPr>
        <w:rPr>
          <w:color w:val="000000" w:themeColor="text1"/>
          <w:highlight w:val="none"/>
          <w14:textFill>
            <w14:solidFill>
              <w14:schemeClr w14:val="tx1"/>
            </w14:solidFill>
          </w14:textFill>
        </w:rPr>
      </w:pPr>
    </w:p>
    <w:p w14:paraId="2D3AFA98">
      <w:pPr>
        <w:pStyle w:val="23"/>
        <w:rPr>
          <w:color w:val="000000" w:themeColor="text1"/>
          <w:highlight w:val="none"/>
          <w14:textFill>
            <w14:solidFill>
              <w14:schemeClr w14:val="tx1"/>
            </w14:solidFill>
          </w14:textFill>
        </w:rPr>
      </w:pPr>
    </w:p>
    <w:p w14:paraId="274378F4">
      <w:pPr>
        <w:rPr>
          <w:color w:val="000000" w:themeColor="text1"/>
          <w:highlight w:val="none"/>
          <w14:textFill>
            <w14:solidFill>
              <w14:schemeClr w14:val="tx1"/>
            </w14:solidFill>
          </w14:textFill>
        </w:rPr>
      </w:pPr>
    </w:p>
    <w:p w14:paraId="6F8826B5">
      <w:pPr>
        <w:pStyle w:val="23"/>
        <w:rPr>
          <w:color w:val="000000" w:themeColor="text1"/>
          <w:highlight w:val="none"/>
          <w14:textFill>
            <w14:solidFill>
              <w14:schemeClr w14:val="tx1"/>
            </w14:solidFill>
          </w14:textFill>
        </w:rPr>
      </w:pPr>
    </w:p>
    <w:p w14:paraId="47EF2BA6">
      <w:pPr>
        <w:rPr>
          <w:color w:val="000000" w:themeColor="text1"/>
          <w:highlight w:val="none"/>
          <w14:textFill>
            <w14:solidFill>
              <w14:schemeClr w14:val="tx1"/>
            </w14:solidFill>
          </w14:textFill>
        </w:rPr>
      </w:pPr>
    </w:p>
    <w:p w14:paraId="4E7D7745">
      <w:pPr>
        <w:pStyle w:val="23"/>
        <w:rPr>
          <w:color w:val="000000" w:themeColor="text1"/>
          <w:highlight w:val="none"/>
          <w14:textFill>
            <w14:solidFill>
              <w14:schemeClr w14:val="tx1"/>
            </w14:solidFill>
          </w14:textFill>
        </w:rPr>
      </w:pPr>
    </w:p>
    <w:p w14:paraId="2E93AA4C">
      <w:pPr>
        <w:rPr>
          <w:color w:val="000000" w:themeColor="text1"/>
          <w:highlight w:val="none"/>
          <w14:textFill>
            <w14:solidFill>
              <w14:schemeClr w14:val="tx1"/>
            </w14:solidFill>
          </w14:textFill>
        </w:rPr>
      </w:pPr>
    </w:p>
    <w:p w14:paraId="20F4F942">
      <w:pPr>
        <w:pStyle w:val="23"/>
        <w:rPr>
          <w:color w:val="000000" w:themeColor="text1"/>
          <w:highlight w:val="none"/>
          <w14:textFill>
            <w14:solidFill>
              <w14:schemeClr w14:val="tx1"/>
            </w14:solidFill>
          </w14:textFill>
        </w:rPr>
      </w:pPr>
    </w:p>
    <w:p w14:paraId="43B70399">
      <w:pPr>
        <w:rPr>
          <w:color w:val="000000" w:themeColor="text1"/>
          <w:highlight w:val="none"/>
          <w14:textFill>
            <w14:solidFill>
              <w14:schemeClr w14:val="tx1"/>
            </w14:solidFill>
          </w14:textFill>
        </w:rPr>
      </w:pPr>
    </w:p>
    <w:p w14:paraId="44269417">
      <w:pPr>
        <w:rPr>
          <w:color w:val="000000" w:themeColor="text1"/>
          <w:highlight w:val="none"/>
          <w14:textFill>
            <w14:solidFill>
              <w14:schemeClr w14:val="tx1"/>
            </w14:solidFill>
          </w14:textFill>
        </w:rPr>
      </w:pPr>
    </w:p>
    <w:p w14:paraId="0E24ACEC">
      <w:pPr>
        <w:pStyle w:val="23"/>
        <w:rPr>
          <w:color w:val="000000" w:themeColor="text1"/>
          <w:highlight w:val="none"/>
          <w14:textFill>
            <w14:solidFill>
              <w14:schemeClr w14:val="tx1"/>
            </w14:solidFill>
          </w14:textFill>
        </w:rPr>
      </w:pPr>
    </w:p>
    <w:p w14:paraId="1C2725E9">
      <w:pPr>
        <w:pStyle w:val="2"/>
        <w:rPr>
          <w:rFonts w:ascii="宋体" w:hAnsi="宋体" w:cs="宋体"/>
          <w:color w:val="000000" w:themeColor="text1"/>
          <w:sz w:val="25"/>
          <w:highlight w:val="none"/>
          <w14:textFill>
            <w14:solidFill>
              <w14:schemeClr w14:val="tx1"/>
            </w14:solidFill>
          </w14:textFill>
        </w:rPr>
      </w:pPr>
      <w:bookmarkStart w:id="0" w:name="_Toc14343"/>
      <w:r>
        <w:rPr>
          <w:rFonts w:hint="eastAsia"/>
          <w:color w:val="000000" w:themeColor="text1"/>
          <w:highlight w:val="none"/>
          <w14:textFill>
            <w14:solidFill>
              <w14:schemeClr w14:val="tx1"/>
            </w14:solidFill>
          </w14:textFill>
        </w:rPr>
        <w:t>第一章  招 标 公 告</w:t>
      </w:r>
      <w:bookmarkEnd w:id="0"/>
    </w:p>
    <w:p w14:paraId="07C22F09">
      <w:pPr>
        <w:rPr>
          <w:rFonts w:ascii="宋体" w:hAnsi="宋体" w:cs="宋体"/>
          <w:color w:val="000000" w:themeColor="text1"/>
          <w:sz w:val="25"/>
          <w:highlight w:val="none"/>
          <w14:textFill>
            <w14:solidFill>
              <w14:schemeClr w14:val="tx1"/>
            </w14:solidFill>
          </w14:textFill>
        </w:rPr>
      </w:pPr>
    </w:p>
    <w:p w14:paraId="0E6A29EC">
      <w:pPr>
        <w:rPr>
          <w:rFonts w:ascii="宋体" w:hAnsi="宋体" w:cs="宋体"/>
          <w:color w:val="000000" w:themeColor="text1"/>
          <w:sz w:val="25"/>
          <w:highlight w:val="none"/>
          <w14:textFill>
            <w14:solidFill>
              <w14:schemeClr w14:val="tx1"/>
            </w14:solidFill>
          </w14:textFill>
        </w:rPr>
      </w:pPr>
    </w:p>
    <w:p w14:paraId="0374554B">
      <w:pPr>
        <w:rPr>
          <w:rFonts w:ascii="宋体" w:hAnsi="宋体" w:cs="宋体"/>
          <w:color w:val="000000" w:themeColor="text1"/>
          <w:sz w:val="25"/>
          <w:highlight w:val="none"/>
          <w14:textFill>
            <w14:solidFill>
              <w14:schemeClr w14:val="tx1"/>
            </w14:solidFill>
          </w14:textFill>
        </w:rPr>
      </w:pPr>
    </w:p>
    <w:p w14:paraId="041ADB5E">
      <w:pPr>
        <w:rPr>
          <w:rFonts w:ascii="宋体" w:hAnsi="宋体" w:cs="宋体"/>
          <w:color w:val="000000" w:themeColor="text1"/>
          <w:sz w:val="25"/>
          <w:highlight w:val="none"/>
          <w14:textFill>
            <w14:solidFill>
              <w14:schemeClr w14:val="tx1"/>
            </w14:solidFill>
          </w14:textFill>
        </w:rPr>
      </w:pPr>
    </w:p>
    <w:p w14:paraId="46D3A863">
      <w:pPr>
        <w:rPr>
          <w:rFonts w:ascii="宋体" w:hAnsi="宋体" w:cs="宋体"/>
          <w:color w:val="000000" w:themeColor="text1"/>
          <w:sz w:val="25"/>
          <w:highlight w:val="none"/>
          <w14:textFill>
            <w14:solidFill>
              <w14:schemeClr w14:val="tx1"/>
            </w14:solidFill>
          </w14:textFill>
        </w:rPr>
      </w:pPr>
    </w:p>
    <w:p w14:paraId="7242845F">
      <w:pPr>
        <w:rPr>
          <w:rFonts w:ascii="宋体" w:hAnsi="宋体" w:cs="宋体"/>
          <w:color w:val="000000" w:themeColor="text1"/>
          <w:sz w:val="25"/>
          <w:highlight w:val="none"/>
          <w14:textFill>
            <w14:solidFill>
              <w14:schemeClr w14:val="tx1"/>
            </w14:solidFill>
          </w14:textFill>
        </w:rPr>
      </w:pPr>
    </w:p>
    <w:p w14:paraId="54A91059">
      <w:pPr>
        <w:rPr>
          <w:rFonts w:ascii="宋体" w:hAnsi="宋体" w:cs="宋体"/>
          <w:color w:val="000000" w:themeColor="text1"/>
          <w:sz w:val="25"/>
          <w:highlight w:val="none"/>
          <w14:textFill>
            <w14:solidFill>
              <w14:schemeClr w14:val="tx1"/>
            </w14:solidFill>
          </w14:textFill>
        </w:rPr>
      </w:pPr>
    </w:p>
    <w:p w14:paraId="6D0A9D30">
      <w:pPr>
        <w:rPr>
          <w:rFonts w:ascii="宋体" w:hAnsi="宋体" w:cs="宋体"/>
          <w:color w:val="000000" w:themeColor="text1"/>
          <w:sz w:val="25"/>
          <w:highlight w:val="none"/>
          <w14:textFill>
            <w14:solidFill>
              <w14:schemeClr w14:val="tx1"/>
            </w14:solidFill>
          </w14:textFill>
        </w:rPr>
      </w:pPr>
    </w:p>
    <w:p w14:paraId="318829BF">
      <w:pPr>
        <w:rPr>
          <w:rFonts w:ascii="宋体" w:hAnsi="宋体" w:cs="宋体"/>
          <w:color w:val="000000" w:themeColor="text1"/>
          <w:sz w:val="25"/>
          <w:highlight w:val="none"/>
          <w14:textFill>
            <w14:solidFill>
              <w14:schemeClr w14:val="tx1"/>
            </w14:solidFill>
          </w14:textFill>
        </w:rPr>
      </w:pPr>
    </w:p>
    <w:p w14:paraId="71A5A313">
      <w:pPr>
        <w:rPr>
          <w:rFonts w:ascii="宋体" w:hAnsi="宋体" w:cs="宋体"/>
          <w:color w:val="000000" w:themeColor="text1"/>
          <w:sz w:val="25"/>
          <w:highlight w:val="none"/>
          <w14:textFill>
            <w14:solidFill>
              <w14:schemeClr w14:val="tx1"/>
            </w14:solidFill>
          </w14:textFill>
        </w:rPr>
      </w:pPr>
    </w:p>
    <w:p w14:paraId="49D38EE5">
      <w:pPr>
        <w:spacing w:line="720" w:lineRule="auto"/>
        <w:jc w:val="center"/>
        <w:rPr>
          <w:rFonts w:ascii="宋体" w:hAnsi="宋体" w:cs="宋体"/>
          <w:color w:val="000000" w:themeColor="text1"/>
          <w:sz w:val="25"/>
          <w:highlight w:val="none"/>
          <w14:textFill>
            <w14:solidFill>
              <w14:schemeClr w14:val="tx1"/>
            </w14:solidFill>
          </w14:textFill>
        </w:rPr>
      </w:pPr>
    </w:p>
    <w:p w14:paraId="19240C15">
      <w:pPr>
        <w:rPr>
          <w:rFonts w:ascii="宋体" w:hAnsi="宋体" w:cs="宋体"/>
          <w:color w:val="000000" w:themeColor="text1"/>
          <w:sz w:val="25"/>
          <w:highlight w:val="none"/>
          <w14:textFill>
            <w14:solidFill>
              <w14:schemeClr w14:val="tx1"/>
            </w14:solidFill>
          </w14:textFill>
        </w:rPr>
      </w:pPr>
    </w:p>
    <w:p w14:paraId="77080027">
      <w:pPr>
        <w:rPr>
          <w:rFonts w:ascii="宋体" w:hAnsi="宋体" w:cs="宋体"/>
          <w:color w:val="000000" w:themeColor="text1"/>
          <w:sz w:val="25"/>
          <w:highlight w:val="none"/>
          <w14:textFill>
            <w14:solidFill>
              <w14:schemeClr w14:val="tx1"/>
            </w14:solidFill>
          </w14:textFill>
        </w:rPr>
      </w:pPr>
    </w:p>
    <w:p w14:paraId="7CE00DD5">
      <w:pPr>
        <w:rPr>
          <w:rFonts w:ascii="宋体" w:hAnsi="宋体" w:cs="宋体"/>
          <w:color w:val="000000" w:themeColor="text1"/>
          <w:sz w:val="25"/>
          <w:highlight w:val="none"/>
          <w14:textFill>
            <w14:solidFill>
              <w14:schemeClr w14:val="tx1"/>
            </w14:solidFill>
          </w14:textFill>
        </w:rPr>
      </w:pPr>
    </w:p>
    <w:p w14:paraId="03EAFEDA">
      <w:pPr>
        <w:rPr>
          <w:rFonts w:ascii="宋体" w:hAnsi="宋体" w:cs="宋体"/>
          <w:color w:val="000000" w:themeColor="text1"/>
          <w:sz w:val="25"/>
          <w:highlight w:val="none"/>
          <w14:textFill>
            <w14:solidFill>
              <w14:schemeClr w14:val="tx1"/>
            </w14:solidFill>
          </w14:textFill>
        </w:rPr>
      </w:pPr>
    </w:p>
    <w:p w14:paraId="6C682D26">
      <w:pPr>
        <w:rPr>
          <w:rFonts w:ascii="宋体" w:hAnsi="宋体" w:cs="宋体"/>
          <w:color w:val="000000" w:themeColor="text1"/>
          <w:sz w:val="25"/>
          <w:highlight w:val="none"/>
          <w14:textFill>
            <w14:solidFill>
              <w14:schemeClr w14:val="tx1"/>
            </w14:solidFill>
          </w14:textFill>
        </w:rPr>
      </w:pPr>
    </w:p>
    <w:p w14:paraId="3F5E3B0A">
      <w:pPr>
        <w:rPr>
          <w:rFonts w:ascii="宋体" w:hAnsi="宋体" w:cs="宋体"/>
          <w:color w:val="000000" w:themeColor="text1"/>
          <w:sz w:val="25"/>
          <w:highlight w:val="none"/>
          <w14:textFill>
            <w14:solidFill>
              <w14:schemeClr w14:val="tx1"/>
            </w14:solidFill>
          </w14:textFill>
        </w:rPr>
      </w:pPr>
    </w:p>
    <w:p w14:paraId="5D691237">
      <w:pPr>
        <w:rPr>
          <w:rFonts w:ascii="宋体" w:hAnsi="宋体" w:cs="宋体"/>
          <w:color w:val="000000" w:themeColor="text1"/>
          <w:sz w:val="25"/>
          <w:highlight w:val="none"/>
          <w14:textFill>
            <w14:solidFill>
              <w14:schemeClr w14:val="tx1"/>
            </w14:solidFill>
          </w14:textFill>
        </w:rPr>
      </w:pPr>
    </w:p>
    <w:p w14:paraId="4FFB493B">
      <w:pPr>
        <w:rPr>
          <w:rFonts w:ascii="宋体" w:hAnsi="宋体" w:cs="宋体"/>
          <w:color w:val="000000" w:themeColor="text1"/>
          <w:sz w:val="25"/>
          <w:highlight w:val="none"/>
          <w14:textFill>
            <w14:solidFill>
              <w14:schemeClr w14:val="tx1"/>
            </w14:solidFill>
          </w14:textFill>
        </w:rPr>
      </w:pPr>
    </w:p>
    <w:p w14:paraId="2E2E98CF">
      <w:pPr>
        <w:rPr>
          <w:rFonts w:ascii="宋体" w:hAnsi="宋体" w:cs="宋体"/>
          <w:color w:val="000000" w:themeColor="text1"/>
          <w:sz w:val="25"/>
          <w:highlight w:val="none"/>
          <w14:textFill>
            <w14:solidFill>
              <w14:schemeClr w14:val="tx1"/>
            </w14:solidFill>
          </w14:textFill>
        </w:rPr>
      </w:pPr>
    </w:p>
    <w:p w14:paraId="58B5AE1C">
      <w:pPr>
        <w:rPr>
          <w:rFonts w:ascii="宋体" w:hAnsi="宋体" w:cs="宋体"/>
          <w:color w:val="000000" w:themeColor="text1"/>
          <w:sz w:val="25"/>
          <w:highlight w:val="none"/>
          <w14:textFill>
            <w14:solidFill>
              <w14:schemeClr w14:val="tx1"/>
            </w14:solidFill>
          </w14:textFill>
        </w:rPr>
      </w:pPr>
    </w:p>
    <w:p w14:paraId="2F461365">
      <w:pPr>
        <w:rPr>
          <w:rFonts w:ascii="宋体" w:hAnsi="宋体" w:cs="宋体"/>
          <w:color w:val="000000" w:themeColor="text1"/>
          <w:sz w:val="25"/>
          <w:highlight w:val="none"/>
          <w14:textFill>
            <w14:solidFill>
              <w14:schemeClr w14:val="tx1"/>
            </w14:solidFill>
          </w14:textFill>
        </w:rPr>
      </w:pPr>
    </w:p>
    <w:p w14:paraId="28E003C7">
      <w:pPr>
        <w:rPr>
          <w:rFonts w:ascii="宋体" w:hAnsi="宋体" w:cs="宋体"/>
          <w:color w:val="000000" w:themeColor="text1"/>
          <w:sz w:val="25"/>
          <w:highlight w:val="none"/>
          <w14:textFill>
            <w14:solidFill>
              <w14:schemeClr w14:val="tx1"/>
            </w14:solidFill>
          </w14:textFill>
        </w:rPr>
      </w:pPr>
    </w:p>
    <w:p w14:paraId="756B75D9">
      <w:pPr>
        <w:pStyle w:val="2"/>
        <w:jc w:val="center"/>
        <w:rPr>
          <w:color w:val="000000" w:themeColor="text1"/>
          <w:highlight w:val="none"/>
          <w14:textFill>
            <w14:solidFill>
              <w14:schemeClr w14:val="tx1"/>
            </w14:solidFill>
          </w14:textFill>
        </w:rPr>
      </w:pPr>
      <w:bookmarkStart w:id="1" w:name="_Toc28995"/>
      <w:bookmarkStart w:id="2" w:name="_Toc16373"/>
      <w:r>
        <w:rPr>
          <w:rFonts w:hint="eastAsia"/>
          <w:color w:val="000000" w:themeColor="text1"/>
          <w:highlight w:val="none"/>
          <w14:textFill>
            <w14:solidFill>
              <w14:schemeClr w14:val="tx1"/>
            </w14:solidFill>
          </w14:textFill>
        </w:rPr>
        <w:t>第一章  招标公告</w:t>
      </w:r>
      <w:bookmarkEnd w:id="1"/>
      <w:bookmarkEnd w:id="2"/>
    </w:p>
    <w:p w14:paraId="1ECFA5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themeColor="text1"/>
          <w:sz w:val="22"/>
          <w:szCs w:val="22"/>
          <w:highlight w:val="none"/>
          <w14:textFill>
            <w14:solidFill>
              <w14:schemeClr w14:val="tx1"/>
            </w14:solidFill>
          </w14:textFill>
        </w:rPr>
      </w:pPr>
      <w:r>
        <w:rPr>
          <w:rFonts w:hint="eastAsia" w:ascii="宋体" w:hAnsi="宋体" w:cs="宋体"/>
          <w:b/>
          <w:color w:val="000000" w:themeColor="text1"/>
          <w:sz w:val="36"/>
          <w:szCs w:val="32"/>
          <w:highlight w:val="none"/>
          <w:lang w:eastAsia="zh-CN"/>
          <w14:textFill>
            <w14:solidFill>
              <w14:schemeClr w14:val="tx1"/>
            </w14:solidFill>
          </w14:textFill>
        </w:rPr>
        <w:t>广东省韶关市始兴县道路交通信息化工程建设项目设计</w:t>
      </w:r>
      <w:r>
        <w:rPr>
          <w:rFonts w:hint="eastAsia" w:ascii="宋体" w:hAnsi="宋体" w:cs="宋体"/>
          <w:b/>
          <w:color w:val="000000" w:themeColor="text1"/>
          <w:sz w:val="36"/>
          <w:szCs w:val="32"/>
          <w:highlight w:val="none"/>
          <w14:textFill>
            <w14:solidFill>
              <w14:schemeClr w14:val="tx1"/>
            </w14:solidFill>
          </w14:textFill>
        </w:rPr>
        <w:t>招标公告</w:t>
      </w:r>
    </w:p>
    <w:tbl>
      <w:tblPr>
        <w:tblStyle w:val="18"/>
        <w:tblpPr w:leftFromText="180" w:rightFromText="180" w:vertAnchor="text" w:horzAnchor="page" w:tblpX="757" w:tblpY="701"/>
        <w:tblOverlap w:val="never"/>
        <w:tblW w:w="105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85"/>
        <w:gridCol w:w="2205"/>
        <w:gridCol w:w="1290"/>
        <w:gridCol w:w="2507"/>
        <w:gridCol w:w="2319"/>
      </w:tblGrid>
      <w:tr w14:paraId="54D95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185" w:type="dxa"/>
            <w:tcBorders>
              <w:top w:val="single" w:color="auto" w:sz="4" w:space="0"/>
              <w:left w:val="single" w:color="auto" w:sz="4" w:space="0"/>
              <w:bottom w:val="single" w:color="auto" w:sz="4" w:space="0"/>
              <w:right w:val="single" w:color="auto" w:sz="4" w:space="0"/>
            </w:tcBorders>
            <w:noWrap w:val="0"/>
            <w:vAlign w:val="center"/>
          </w:tcPr>
          <w:p w14:paraId="2CE8219B">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投资项目代码</w:t>
            </w:r>
          </w:p>
        </w:tc>
        <w:tc>
          <w:tcPr>
            <w:tcW w:w="8321" w:type="dxa"/>
            <w:gridSpan w:val="4"/>
            <w:tcBorders>
              <w:top w:val="single" w:color="auto" w:sz="4" w:space="0"/>
              <w:left w:val="single" w:color="auto" w:sz="4" w:space="0"/>
              <w:bottom w:val="single" w:color="auto" w:sz="4" w:space="0"/>
              <w:right w:val="single" w:color="auto" w:sz="4" w:space="0"/>
            </w:tcBorders>
            <w:noWrap w:val="0"/>
            <w:vAlign w:val="center"/>
          </w:tcPr>
          <w:p w14:paraId="3A1E8B44">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2512-440222-04-04-262126</w:t>
            </w:r>
          </w:p>
        </w:tc>
      </w:tr>
      <w:tr w14:paraId="621F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185" w:type="dxa"/>
            <w:tcBorders>
              <w:top w:val="single" w:color="auto" w:sz="4" w:space="0"/>
              <w:left w:val="single" w:color="auto" w:sz="4" w:space="0"/>
              <w:bottom w:val="single" w:color="auto" w:sz="4" w:space="0"/>
              <w:right w:val="single" w:color="auto" w:sz="4" w:space="0"/>
            </w:tcBorders>
            <w:noWrap w:val="0"/>
            <w:vAlign w:val="center"/>
          </w:tcPr>
          <w:p w14:paraId="0DFDFF21">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投资项目名称</w:t>
            </w:r>
          </w:p>
        </w:tc>
        <w:tc>
          <w:tcPr>
            <w:tcW w:w="8321" w:type="dxa"/>
            <w:gridSpan w:val="4"/>
            <w:tcBorders>
              <w:top w:val="single" w:color="auto" w:sz="4" w:space="0"/>
              <w:left w:val="single" w:color="auto" w:sz="4" w:space="0"/>
              <w:bottom w:val="single" w:color="auto" w:sz="4" w:space="0"/>
              <w:right w:val="single" w:color="auto" w:sz="4" w:space="0"/>
            </w:tcBorders>
            <w:noWrap w:val="0"/>
            <w:vAlign w:val="center"/>
          </w:tcPr>
          <w:p w14:paraId="50DBCD07">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广东省韶关市始兴县道路交通信息化工程建设项目</w:t>
            </w:r>
          </w:p>
        </w:tc>
      </w:tr>
      <w:tr w14:paraId="31C64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2185" w:type="dxa"/>
            <w:tcBorders>
              <w:top w:val="single" w:color="auto" w:sz="4" w:space="0"/>
              <w:left w:val="single" w:color="auto" w:sz="4" w:space="0"/>
              <w:bottom w:val="single" w:color="auto" w:sz="4" w:space="0"/>
              <w:right w:val="single" w:color="auto" w:sz="4" w:space="0"/>
            </w:tcBorders>
            <w:noWrap w:val="0"/>
            <w:vAlign w:val="center"/>
          </w:tcPr>
          <w:p w14:paraId="7A749B5D">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招标项目名称</w:t>
            </w:r>
          </w:p>
        </w:tc>
        <w:tc>
          <w:tcPr>
            <w:tcW w:w="8321" w:type="dxa"/>
            <w:gridSpan w:val="4"/>
            <w:tcBorders>
              <w:top w:val="single" w:color="auto" w:sz="4" w:space="0"/>
              <w:left w:val="single" w:color="auto" w:sz="4" w:space="0"/>
              <w:bottom w:val="single" w:color="auto" w:sz="4" w:space="0"/>
              <w:right w:val="single" w:color="auto" w:sz="4" w:space="0"/>
            </w:tcBorders>
            <w:noWrap w:val="0"/>
            <w:vAlign w:val="center"/>
          </w:tcPr>
          <w:p w14:paraId="68023D55">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广东省韶关市始兴县道路交通信息化工程建设项目设计</w:t>
            </w:r>
          </w:p>
        </w:tc>
      </w:tr>
      <w:tr w14:paraId="7835E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2185" w:type="dxa"/>
            <w:tcBorders>
              <w:top w:val="single" w:color="auto" w:sz="4" w:space="0"/>
              <w:left w:val="single" w:color="000000" w:sz="4" w:space="0"/>
              <w:bottom w:val="single" w:color="000000" w:sz="4" w:space="0"/>
              <w:right w:val="single" w:color="000000" w:sz="4" w:space="0"/>
            </w:tcBorders>
            <w:noWrap w:val="0"/>
            <w:vAlign w:val="center"/>
          </w:tcPr>
          <w:p w14:paraId="6AB550BB">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标段（包）名称</w:t>
            </w:r>
          </w:p>
        </w:tc>
        <w:tc>
          <w:tcPr>
            <w:tcW w:w="2205" w:type="dxa"/>
            <w:tcBorders>
              <w:top w:val="single" w:color="auto" w:sz="4" w:space="0"/>
              <w:left w:val="single" w:color="000000" w:sz="4" w:space="0"/>
              <w:bottom w:val="single" w:color="000000" w:sz="4" w:space="0"/>
              <w:right w:val="single" w:color="000000" w:sz="4" w:space="0"/>
            </w:tcBorders>
            <w:noWrap w:val="0"/>
            <w:vAlign w:val="center"/>
          </w:tcPr>
          <w:p w14:paraId="3C87DABB">
            <w:pPr>
              <w:keepNext w:val="0"/>
              <w:keepLines w:val="0"/>
              <w:widowControl/>
              <w:suppressLineNumbers w:val="0"/>
              <w:jc w:val="left"/>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广东省韶关市始兴县道路交通信息化工程建设项目设计</w:t>
            </w:r>
          </w:p>
        </w:tc>
        <w:tc>
          <w:tcPr>
            <w:tcW w:w="1290" w:type="dxa"/>
            <w:tcBorders>
              <w:top w:val="single" w:color="auto" w:sz="4" w:space="0"/>
              <w:left w:val="single" w:color="000000" w:sz="4" w:space="0"/>
              <w:bottom w:val="single" w:color="000000" w:sz="4" w:space="0"/>
              <w:right w:val="single" w:color="000000" w:sz="4" w:space="0"/>
            </w:tcBorders>
            <w:noWrap w:val="0"/>
            <w:vAlign w:val="center"/>
          </w:tcPr>
          <w:p w14:paraId="1BF2CDCC">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公告性质</w:t>
            </w:r>
          </w:p>
        </w:tc>
        <w:tc>
          <w:tcPr>
            <w:tcW w:w="4826" w:type="dxa"/>
            <w:gridSpan w:val="2"/>
            <w:tcBorders>
              <w:top w:val="single" w:color="auto" w:sz="4" w:space="0"/>
              <w:left w:val="single" w:color="000000" w:sz="4" w:space="0"/>
              <w:bottom w:val="single" w:color="000000" w:sz="4" w:space="0"/>
              <w:right w:val="single" w:color="000000" w:sz="4" w:space="0"/>
            </w:tcBorders>
            <w:noWrap w:val="0"/>
            <w:vAlign w:val="center"/>
          </w:tcPr>
          <w:p w14:paraId="7D7AE58E">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正常</w:t>
            </w:r>
          </w:p>
        </w:tc>
      </w:tr>
      <w:tr w14:paraId="04C9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auto" w:sz="4" w:space="0"/>
              <w:left w:val="single" w:color="000000" w:sz="4" w:space="0"/>
              <w:bottom w:val="single" w:color="000000" w:sz="4" w:space="0"/>
              <w:right w:val="single" w:color="000000" w:sz="4" w:space="0"/>
            </w:tcBorders>
            <w:noWrap w:val="0"/>
            <w:vAlign w:val="center"/>
          </w:tcPr>
          <w:p w14:paraId="51777C5B">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资格审查方式</w:t>
            </w:r>
          </w:p>
        </w:tc>
        <w:tc>
          <w:tcPr>
            <w:tcW w:w="8321" w:type="dxa"/>
            <w:gridSpan w:val="4"/>
            <w:tcBorders>
              <w:top w:val="single" w:color="auto" w:sz="4" w:space="0"/>
              <w:left w:val="single" w:color="000000" w:sz="4" w:space="0"/>
              <w:bottom w:val="single" w:color="000000" w:sz="4" w:space="0"/>
              <w:right w:val="single" w:color="000000" w:sz="4" w:space="0"/>
            </w:tcBorders>
            <w:noWrap w:val="0"/>
            <w:vAlign w:val="center"/>
          </w:tcPr>
          <w:p w14:paraId="048305B0">
            <w:pPr>
              <w:keepNext w:val="0"/>
              <w:keepLines w:val="0"/>
              <w:widowControl/>
              <w:suppressLineNumbers w:val="0"/>
              <w:jc w:val="center"/>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资格后审</w:t>
            </w:r>
          </w:p>
        </w:tc>
      </w:tr>
      <w:tr w14:paraId="26609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4E447EA7">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招标项目实施</w:t>
            </w:r>
          </w:p>
          <w:p w14:paraId="4B715149">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（交货）地点</w:t>
            </w:r>
          </w:p>
        </w:tc>
        <w:tc>
          <w:tcPr>
            <w:tcW w:w="8321" w:type="dxa"/>
            <w:gridSpan w:val="4"/>
            <w:tcBorders>
              <w:top w:val="single" w:color="000000" w:sz="4" w:space="0"/>
              <w:left w:val="single" w:color="000000" w:sz="4" w:space="0"/>
              <w:bottom w:val="single" w:color="000000" w:sz="4" w:space="0"/>
              <w:right w:val="single" w:color="000000" w:sz="4" w:space="0"/>
            </w:tcBorders>
            <w:noWrap w:val="0"/>
            <w:vAlign w:val="center"/>
          </w:tcPr>
          <w:p w14:paraId="7A14A7BA">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韶关市始兴县</w:t>
            </w:r>
          </w:p>
        </w:tc>
      </w:tr>
      <w:tr w14:paraId="306DB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0A533554">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资金来源</w:t>
            </w:r>
          </w:p>
        </w:tc>
        <w:tc>
          <w:tcPr>
            <w:tcW w:w="2205" w:type="dxa"/>
            <w:tcBorders>
              <w:top w:val="single" w:color="000000" w:sz="4" w:space="0"/>
              <w:left w:val="single" w:color="000000" w:sz="4" w:space="0"/>
              <w:bottom w:val="single" w:color="000000" w:sz="4" w:space="0"/>
              <w:right w:val="nil"/>
            </w:tcBorders>
            <w:noWrap w:val="0"/>
            <w:vAlign w:val="center"/>
          </w:tcPr>
          <w:p w14:paraId="391C4F16">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14:textFill>
                  <w14:solidFill>
                    <w14:schemeClr w14:val="tx1"/>
                  </w14:solidFill>
                </w14:textFill>
              </w:rPr>
              <w:t>由上级资金和地方财政资金安排解决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C257ECC">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资金来源构成</w:t>
            </w:r>
          </w:p>
        </w:tc>
        <w:tc>
          <w:tcPr>
            <w:tcW w:w="4826" w:type="dxa"/>
            <w:gridSpan w:val="2"/>
            <w:tcBorders>
              <w:top w:val="single" w:color="000000" w:sz="4" w:space="0"/>
              <w:left w:val="nil"/>
              <w:bottom w:val="single" w:color="000000" w:sz="4" w:space="0"/>
              <w:right w:val="single" w:color="000000" w:sz="4" w:space="0"/>
            </w:tcBorders>
            <w:noWrap w:val="0"/>
            <w:vAlign w:val="center"/>
          </w:tcPr>
          <w:p w14:paraId="3984359E">
            <w:pPr>
              <w:keepNext w:val="0"/>
              <w:keepLines w:val="0"/>
              <w:widowControl/>
              <w:suppressLineNumbers w:val="0"/>
              <w:jc w:val="left"/>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t>由上级资金和地方财政资金安排解决</w:t>
            </w: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,100%</w:t>
            </w:r>
          </w:p>
        </w:tc>
      </w:tr>
      <w:tr w14:paraId="30383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5"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3B6D2014">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招标范围及规模</w:t>
            </w:r>
          </w:p>
        </w:tc>
        <w:tc>
          <w:tcPr>
            <w:tcW w:w="8321" w:type="dxa"/>
            <w:gridSpan w:val="4"/>
            <w:tcBorders>
              <w:top w:val="single" w:color="000000" w:sz="4" w:space="0"/>
              <w:left w:val="single" w:color="000000" w:sz="4" w:space="0"/>
              <w:bottom w:val="single" w:color="000000" w:sz="4" w:space="0"/>
              <w:right w:val="single" w:color="000000" w:sz="4" w:space="0"/>
            </w:tcBorders>
            <w:noWrap w:val="0"/>
            <w:vAlign w:val="center"/>
          </w:tcPr>
          <w:p w14:paraId="3DE9A552">
            <w:pPr>
              <w:keepNext w:val="0"/>
              <w:keepLines w:val="0"/>
              <w:widowControl/>
              <w:suppressLineNumbers w:val="0"/>
              <w:spacing w:line="360" w:lineRule="auto"/>
              <w:jc w:val="both"/>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sz w:val="24"/>
                <w:szCs w:val="24"/>
                <w:highlight w:val="none"/>
                <w:u w:val="none"/>
                <w:lang w:eastAsia="zh-CN"/>
                <w14:textFill>
                  <w14:solidFill>
                    <w14:schemeClr w14:val="tx1"/>
                  </w14:solidFill>
                </w14:textFill>
              </w:rPr>
              <w:t>对始兴县辖区内G323国道7.6公里进行数字化转型升级，道路沿线配置新能源灯杆251个、新能源视频监控16个、新能源智能测速仪3套，治超非现场执法监测点3处、5G基站82个、配套智慧平台、路基工程及</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附</w:t>
            </w:r>
            <w:r>
              <w:rPr>
                <w:rFonts w:hint="eastAsia" w:ascii="宋体" w:hAnsi="宋体" w:cs="宋体"/>
                <w:i w:val="0"/>
                <w:color w:val="000000" w:themeColor="text1"/>
                <w:sz w:val="24"/>
                <w:szCs w:val="24"/>
                <w:highlight w:val="none"/>
                <w:u w:val="none"/>
                <w:lang w:eastAsia="zh-CN"/>
                <w14:textFill>
                  <w14:solidFill>
                    <w14:schemeClr w14:val="tx1"/>
                  </w14:solidFill>
                </w14:textFill>
              </w:rPr>
              <w:t>属工程等。</w:t>
            </w:r>
            <w:r>
              <w:rPr>
                <w:rFonts w:hint="eastAsia" w:ascii="宋体" w:hAnsi="宋体" w:cs="宋体"/>
                <w:i w:val="0"/>
                <w:color w:val="000000" w:themeColor="text1"/>
                <w:sz w:val="24"/>
                <w:szCs w:val="24"/>
                <w:highlight w:val="none"/>
                <w:u w:val="none"/>
                <w:lang w:eastAsia="zh-CN"/>
                <w14:textFill>
                  <w14:solidFill>
                    <w14:schemeClr w14:val="tx1"/>
                  </w14:solidFill>
                </w14:textFill>
              </w:rPr>
              <w:t>（</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最终工程规模及建设内容以招标人确认为准</w:t>
            </w:r>
            <w:r>
              <w:rPr>
                <w:rFonts w:hint="eastAsia" w:ascii="宋体" w:hAnsi="宋体" w:cs="宋体"/>
                <w:i w:val="0"/>
                <w:color w:val="000000" w:themeColor="text1"/>
                <w:sz w:val="24"/>
                <w:szCs w:val="24"/>
                <w:highlight w:val="none"/>
                <w:u w:val="none"/>
                <w:lang w:eastAsia="zh-CN"/>
                <w14:textFill>
                  <w14:solidFill>
                    <w14:schemeClr w14:val="tx1"/>
                  </w14:solidFill>
                </w14:textFill>
              </w:rPr>
              <w:t>）</w:t>
            </w:r>
          </w:p>
        </w:tc>
      </w:tr>
      <w:tr w14:paraId="00C1C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5BB8129D">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招标内容</w:t>
            </w:r>
          </w:p>
        </w:tc>
        <w:tc>
          <w:tcPr>
            <w:tcW w:w="8321" w:type="dxa"/>
            <w:gridSpan w:val="4"/>
            <w:tcBorders>
              <w:top w:val="single" w:color="000000" w:sz="4" w:space="0"/>
              <w:left w:val="single" w:color="000000" w:sz="4" w:space="0"/>
              <w:bottom w:val="single" w:color="000000" w:sz="4" w:space="0"/>
              <w:right w:val="single" w:color="000000" w:sz="4" w:space="0"/>
            </w:tcBorders>
            <w:noWrap w:val="0"/>
            <w:vAlign w:val="center"/>
          </w:tcPr>
          <w:p w14:paraId="2F8BF3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w:t>
            </w:r>
            <w:r>
              <w:rPr>
                <w:rFonts w:hint="eastAsia" w:ascii="宋体" w:hAnsi="宋体" w:eastAsia="宋体" w:cs="宋体"/>
                <w:color w:val="000000" w:themeColor="text1"/>
                <w:sz w:val="24"/>
                <w:szCs w:val="24"/>
                <w:highlight w:val="none"/>
                <w:lang w:eastAsia="zh-CN"/>
                <w14:textFill>
                  <w14:solidFill>
                    <w14:schemeClr w14:val="tx1"/>
                  </w14:solidFill>
                </w14:textFill>
              </w:rPr>
              <w:t>里程范围的交通工程（包括通信、监控、沿线供配电系统、照明系统及通信管道工程等）、隧道通风、消防、照明、紧急救援等附属设施的设计。</w:t>
            </w:r>
          </w:p>
          <w:p w14:paraId="6BFB5C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设计包括初步设计（含概算）、施工图设计、施工过程的配合服务工作（含图纸送审、设计变更、现场配合指导等）、工程竣（交）工验收过程的配合服务工作等和按照国家相关规范要求设计单位完成的工作。</w:t>
            </w:r>
          </w:p>
        </w:tc>
      </w:tr>
      <w:tr w14:paraId="4D03F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529D6B54">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工期（交货期）</w:t>
            </w:r>
          </w:p>
        </w:tc>
        <w:tc>
          <w:tcPr>
            <w:tcW w:w="8321" w:type="dxa"/>
            <w:gridSpan w:val="4"/>
            <w:tcBorders>
              <w:top w:val="single" w:color="000000" w:sz="4" w:space="0"/>
              <w:left w:val="single" w:color="000000" w:sz="4" w:space="0"/>
              <w:bottom w:val="single" w:color="000000" w:sz="4" w:space="0"/>
              <w:right w:val="single" w:color="000000" w:sz="4" w:space="0"/>
            </w:tcBorders>
            <w:noWrap w:val="0"/>
            <w:vAlign w:val="center"/>
          </w:tcPr>
          <w:p w14:paraId="39F71832">
            <w:pPr>
              <w:tabs>
                <w:tab w:val="left" w:pos="1588"/>
              </w:tabs>
              <w:kinsoku/>
              <w:spacing w:before="79" w:line="276" w:lineRule="auto"/>
              <w:ind w:right="89"/>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设计服务期限（具体详见专用合同条款8.1.3款）：</w:t>
            </w:r>
            <w:r>
              <w:rPr>
                <w:rFonts w:hint="eastAsia" w:ascii="宋体" w:hAnsi="宋体" w:cs="宋体"/>
                <w:color w:val="000000" w:themeColor="text1"/>
                <w:sz w:val="24"/>
                <w:szCs w:val="24"/>
                <w:highlight w:val="none"/>
                <w:lang w:val="en-US" w:eastAsia="zh-CN"/>
                <w14:textFill>
                  <w14:solidFill>
                    <w14:schemeClr w14:val="tx1"/>
                  </w14:solidFill>
                </w14:textFill>
              </w:rPr>
              <w:t>50</w:t>
            </w:r>
            <w:r>
              <w:rPr>
                <w:rFonts w:hint="eastAsia" w:ascii="宋体" w:hAnsi="宋体" w:eastAsia="宋体" w:cs="宋体"/>
                <w:color w:val="000000" w:themeColor="text1"/>
                <w:sz w:val="24"/>
                <w:highlight w:val="none"/>
                <w:lang w:eastAsia="zh-CN"/>
                <w14:textFill>
                  <w14:solidFill>
                    <w14:schemeClr w14:val="tx1"/>
                  </w14:solidFill>
                </w14:textFill>
              </w:rPr>
              <w:t>日历天</w:t>
            </w:r>
          </w:p>
          <w:p w14:paraId="114C27A3">
            <w:pPr>
              <w:tabs>
                <w:tab w:val="left" w:pos="1588"/>
              </w:tabs>
              <w:kinsoku/>
              <w:spacing w:before="79" w:line="276" w:lineRule="auto"/>
              <w:ind w:right="89"/>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合同签订后</w:t>
            </w:r>
            <w:r>
              <w:rPr>
                <w:rFonts w:hint="eastAsia" w:ascii="宋体" w:hAnsi="宋体" w:cs="宋体"/>
                <w:color w:val="000000" w:themeColor="text1"/>
                <w:sz w:val="24"/>
                <w:highlight w:val="none"/>
                <w:u w:val="single"/>
                <w:lang w:val="en-US" w:eastAsia="zh-CN"/>
                <w14:textFill>
                  <w14:solidFill>
                    <w14:schemeClr w14:val="tx1"/>
                  </w14:solidFill>
                </w14:textFill>
              </w:rPr>
              <w:t xml:space="preserve"> 20 </w:t>
            </w:r>
            <w:r>
              <w:rPr>
                <w:rFonts w:hint="eastAsia" w:ascii="宋体" w:hAnsi="宋体" w:eastAsia="宋体" w:cs="宋体"/>
                <w:color w:val="000000" w:themeColor="text1"/>
                <w:sz w:val="24"/>
                <w:highlight w:val="none"/>
                <w:lang w:eastAsia="zh-CN"/>
                <w14:textFill>
                  <w14:solidFill>
                    <w14:schemeClr w14:val="tx1"/>
                  </w14:solidFill>
                </w14:textFill>
              </w:rPr>
              <w:t>日历天内，</w:t>
            </w:r>
            <w:r>
              <w:rPr>
                <w:rFonts w:hint="eastAsia" w:ascii="宋体" w:hAnsi="宋体" w:eastAsia="宋体" w:cs="宋体"/>
                <w:color w:val="000000" w:themeColor="text1"/>
                <w:sz w:val="24"/>
                <w:highlight w:val="none"/>
                <w:lang w:eastAsia="zh-CN"/>
                <w14:textFill>
                  <w14:solidFill>
                    <w14:schemeClr w14:val="tx1"/>
                  </w14:solidFill>
                </w14:textFill>
              </w:rPr>
              <w:t>提交初步设计文件送审稿</w:t>
            </w:r>
            <w:r>
              <w:rPr>
                <w:rFonts w:hint="eastAsia" w:ascii="宋体" w:hAnsi="宋体" w:eastAsia="宋体" w:cs="宋体"/>
                <w:color w:val="000000" w:themeColor="text1"/>
                <w:sz w:val="24"/>
                <w:highlight w:val="none"/>
                <w:lang w:eastAsia="zh-CN"/>
                <w14:textFill>
                  <w14:solidFill>
                    <w14:schemeClr w14:val="tx1"/>
                  </w14:solidFill>
                </w14:textFill>
              </w:rPr>
              <w:t>；</w:t>
            </w:r>
          </w:p>
          <w:p w14:paraId="5060800C">
            <w:pPr>
              <w:tabs>
                <w:tab w:val="left" w:pos="1588"/>
              </w:tabs>
              <w:kinsoku/>
              <w:spacing w:before="79" w:line="276" w:lineRule="auto"/>
              <w:ind w:right="8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初步设计批复后</w:t>
            </w:r>
            <w:r>
              <w:rPr>
                <w:rFonts w:hint="eastAsia" w:ascii="宋体" w:hAnsi="宋体" w:cs="宋体"/>
                <w:color w:val="000000" w:themeColor="text1"/>
                <w:sz w:val="24"/>
                <w:highlight w:val="none"/>
                <w:u w:val="single"/>
                <w:lang w:val="en-US" w:eastAsia="zh-CN"/>
                <w14:textFill>
                  <w14:solidFill>
                    <w14:schemeClr w14:val="tx1"/>
                  </w14:solidFill>
                </w14:textFill>
              </w:rPr>
              <w:t xml:space="preserve"> 20 </w:t>
            </w:r>
            <w:r>
              <w:rPr>
                <w:rFonts w:hint="eastAsia" w:ascii="宋体" w:hAnsi="宋体" w:eastAsia="宋体" w:cs="宋体"/>
                <w:color w:val="000000" w:themeColor="text1"/>
                <w:sz w:val="24"/>
                <w:highlight w:val="none"/>
                <w:lang w:eastAsia="zh-CN"/>
                <w14:textFill>
                  <w14:solidFill>
                    <w14:schemeClr w14:val="tx1"/>
                  </w14:solidFill>
                </w14:textFill>
              </w:rPr>
              <w:t>日历天内，提交施工图设计文件送审稿；</w:t>
            </w:r>
          </w:p>
          <w:p w14:paraId="4411EC56">
            <w:pPr>
              <w:tabs>
                <w:tab w:val="left" w:pos="1588"/>
              </w:tabs>
              <w:kinsoku/>
              <w:spacing w:before="79" w:line="276" w:lineRule="auto"/>
              <w:ind w:right="8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.施工图设计文件审查后</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lang w:eastAsia="zh-CN"/>
                <w14:textFill>
                  <w14:solidFill>
                    <w14:schemeClr w14:val="tx1"/>
                  </w14:solidFill>
                </w14:textFill>
              </w:rPr>
              <w:t>日历天，完成施工图设计修编工作并提供施工图设计文件最终稿各8份。</w:t>
            </w:r>
          </w:p>
          <w:p w14:paraId="10C8480F">
            <w:pPr>
              <w:tabs>
                <w:tab w:val="left" w:pos="1588"/>
              </w:tabs>
              <w:kinsoku/>
              <w:spacing w:before="79" w:line="276" w:lineRule="auto"/>
              <w:ind w:right="89"/>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ascii="宋体" w:hAnsi="宋体" w:eastAsia="宋体" w:cs="宋体"/>
                <w:color w:val="000000" w:themeColor="text1"/>
                <w:sz w:val="24"/>
                <w:szCs w:val="24"/>
                <w:highlight w:val="none"/>
                <w:lang w:eastAsia="zh-CN"/>
                <w14:textFill>
                  <w14:solidFill>
                    <w14:schemeClr w14:val="tx1"/>
                  </w14:solidFill>
                </w14:textFill>
              </w:rPr>
              <w:t>项目后期施工现场配合服务：从本项目开工至项目竣工验收，</w:t>
            </w:r>
            <w:r>
              <w:rPr>
                <w:rFonts w:ascii="宋体" w:hAnsi="宋体" w:eastAsia="宋体" w:cs="宋体"/>
                <w:color w:val="000000" w:themeColor="text1"/>
                <w:sz w:val="24"/>
                <w:szCs w:val="24"/>
                <w:highlight w:val="none"/>
                <w:lang w:eastAsia="zh-CN"/>
                <w14:textFill>
                  <w14:solidFill>
                    <w14:schemeClr w14:val="tx1"/>
                  </w14:solidFill>
                </w14:textFill>
              </w:rPr>
              <w:t>施工期暂定</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ascii="宋体" w:hAnsi="宋体" w:eastAsia="宋体" w:cs="宋体"/>
                <w:color w:val="000000" w:themeColor="text1"/>
                <w:sz w:val="24"/>
                <w:szCs w:val="24"/>
                <w:highlight w:val="none"/>
                <w:lang w:eastAsia="zh-CN"/>
                <w14:textFill>
                  <w14:solidFill>
                    <w14:schemeClr w14:val="tx1"/>
                  </w14:solidFill>
                </w14:textFill>
              </w:rPr>
              <w:t>年；缺陷责任期2年。</w:t>
            </w:r>
          </w:p>
        </w:tc>
      </w:tr>
      <w:tr w14:paraId="04D76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49142DE8">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最高投标限价</w:t>
            </w:r>
          </w:p>
        </w:tc>
        <w:tc>
          <w:tcPr>
            <w:tcW w:w="8321" w:type="dxa"/>
            <w:gridSpan w:val="4"/>
            <w:tcBorders>
              <w:top w:val="single" w:color="000000" w:sz="4" w:space="0"/>
              <w:left w:val="single" w:color="000000" w:sz="4" w:space="0"/>
              <w:bottom w:val="single" w:color="000000" w:sz="4" w:space="0"/>
              <w:right w:val="single" w:color="000000" w:sz="4" w:space="0"/>
            </w:tcBorders>
            <w:noWrap w:val="0"/>
            <w:vAlign w:val="center"/>
          </w:tcPr>
          <w:p w14:paraId="1E1280A2">
            <w:pPr>
              <w:keepNext w:val="0"/>
              <w:keepLines w:val="0"/>
              <w:widowControl/>
              <w:suppressLineNumbers w:val="0"/>
              <w:ind w:firstLine="480" w:firstLineChars="20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2700000.00元</w:t>
            </w:r>
          </w:p>
        </w:tc>
      </w:tr>
      <w:tr w14:paraId="2DEF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11F5A4D9">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是否接受联合体投标</w:t>
            </w:r>
          </w:p>
        </w:tc>
        <w:tc>
          <w:tcPr>
            <w:tcW w:w="8321" w:type="dxa"/>
            <w:gridSpan w:val="4"/>
            <w:tcBorders>
              <w:top w:val="single" w:color="000000" w:sz="4" w:space="0"/>
              <w:left w:val="single" w:color="000000" w:sz="4" w:space="0"/>
              <w:bottom w:val="single" w:color="000000" w:sz="4" w:space="0"/>
              <w:right w:val="single" w:color="000000" w:sz="4" w:space="0"/>
            </w:tcBorders>
            <w:noWrap w:val="0"/>
            <w:vAlign w:val="center"/>
          </w:tcPr>
          <w:p w14:paraId="797442EF">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否</w:t>
            </w:r>
          </w:p>
        </w:tc>
      </w:tr>
      <w:tr w14:paraId="3DE82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vMerge w:val="restart"/>
            <w:tcBorders>
              <w:top w:val="single" w:color="auto" w:sz="4" w:space="0"/>
              <w:left w:val="single" w:color="auto" w:sz="4" w:space="0"/>
              <w:bottom w:val="single" w:color="auto" w:sz="4" w:space="0"/>
              <w:right w:val="single" w:color="auto" w:sz="4" w:space="0"/>
            </w:tcBorders>
            <w:noWrap w:val="0"/>
            <w:vAlign w:val="center"/>
          </w:tcPr>
          <w:p w14:paraId="4D1667AC">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投标资格能力要求</w:t>
            </w: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（包括但不限于资质人员、业绩等要求）</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5F746BC2">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投标人资格要求</w:t>
            </w:r>
          </w:p>
        </w:tc>
        <w:tc>
          <w:tcPr>
            <w:tcW w:w="6116" w:type="dxa"/>
            <w:gridSpan w:val="3"/>
            <w:tcBorders>
              <w:top w:val="single" w:color="000000" w:sz="4" w:space="0"/>
              <w:left w:val="single" w:color="auto" w:sz="4" w:space="0"/>
              <w:bottom w:val="single" w:color="000000" w:sz="4" w:space="0"/>
              <w:right w:val="single" w:color="000000" w:sz="4" w:space="0"/>
            </w:tcBorders>
            <w:noWrap w:val="0"/>
            <w:vAlign w:val="center"/>
          </w:tcPr>
          <w:p w14:paraId="12529982">
            <w:pPr>
              <w:pStyle w:val="5"/>
              <w:spacing w:line="360" w:lineRule="auto"/>
              <w:rPr>
                <w:rFonts w:hint="eastAsia" w:ascii="宋体" w:hAnsi="宋体" w:cs="宋体"/>
                <w:color w:val="000000" w:themeColor="text1"/>
                <w:sz w:val="24"/>
                <w:highlight w:val="none"/>
                <w:lang w:val="en-US"/>
                <w14:textFill>
                  <w14:solidFill>
                    <w14:schemeClr w14:val="tx1"/>
                  </w14:solidFill>
                </w14:textFill>
              </w:rPr>
            </w:pP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1.</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本次招标要求投标人须</w:t>
            </w:r>
            <w:r>
              <w:rPr>
                <w:rFonts w:hint="eastAsia" w:ascii="宋体" w:hAnsi="宋体" w:cs="宋体"/>
                <w:color w:val="000000" w:themeColor="text1"/>
                <w:sz w:val="24"/>
                <w:highlight w:val="none"/>
                <w14:textFill>
                  <w14:solidFill>
                    <w14:schemeClr w14:val="tx1"/>
                  </w14:solidFill>
                </w14:textFill>
              </w:rPr>
              <w:t>具备建设主管部门颂发的</w:t>
            </w:r>
            <w:r>
              <w:rPr>
                <w:rFonts w:hint="eastAsia" w:ascii="宋体" w:hAnsi="宋体" w:cs="宋体"/>
                <w:color w:val="000000" w:themeColor="text1"/>
                <w:sz w:val="24"/>
                <w:highlight w:val="none"/>
                <w:lang w:val="en-US"/>
                <w14:textFill>
                  <w14:solidFill>
                    <w14:schemeClr w14:val="tx1"/>
                  </w14:solidFill>
                </w14:textFill>
              </w:rPr>
              <w:t>以下资质</w:t>
            </w:r>
            <w:r>
              <w:rPr>
                <w:rFonts w:hint="eastAsia" w:ascii="宋体" w:hAnsi="宋体" w:cs="宋体"/>
                <w:color w:val="000000" w:themeColor="text1"/>
                <w:sz w:val="24"/>
                <w:highlight w:val="none"/>
                <w14:textFill>
                  <w14:solidFill>
                    <w14:schemeClr w14:val="tx1"/>
                  </w14:solidFill>
                </w14:textFill>
              </w:rPr>
              <w:t>之一</w:t>
            </w:r>
            <w:r>
              <w:rPr>
                <w:rFonts w:hint="eastAsia" w:ascii="宋体" w:hAnsi="宋体" w:cs="宋体"/>
                <w:color w:val="000000" w:themeColor="text1"/>
                <w:sz w:val="24"/>
                <w:highlight w:val="none"/>
                <w:lang w:val="en-US"/>
                <w14:textFill>
                  <w14:solidFill>
                    <w14:schemeClr w14:val="tx1"/>
                  </w14:solidFill>
                </w14:textFill>
              </w:rPr>
              <w:t>：</w:t>
            </w:r>
          </w:p>
          <w:p w14:paraId="2198C55D">
            <w:pPr>
              <w:pStyle w:val="5"/>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①工程设计综合资质甲级；</w:t>
            </w:r>
          </w:p>
          <w:p w14:paraId="6790D205">
            <w:pPr>
              <w:pStyle w:val="5"/>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w:t>
            </w:r>
            <w:r>
              <w:rPr>
                <w:rFonts w:hint="eastAsia" w:ascii="宋体" w:hAnsi="宋体" w:cs="宋体"/>
                <w:color w:val="000000" w:themeColor="text1"/>
                <w:sz w:val="24"/>
                <w:highlight w:val="none"/>
                <w:lang w:eastAsia="zh-CN"/>
                <w14:textFill>
                  <w14:solidFill>
                    <w14:schemeClr w14:val="tx1"/>
                  </w14:solidFill>
                </w14:textFill>
              </w:rPr>
              <w:t>工程设计公路行业甲级资质；</w:t>
            </w:r>
          </w:p>
          <w:p w14:paraId="3DBF0FF4">
            <w:pPr>
              <w:pStyle w:val="5"/>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zh-CN" w:eastAsia="zh-CN"/>
                <w14:textFill>
                  <w14:solidFill>
                    <w14:schemeClr w14:val="tx1"/>
                  </w14:solidFill>
                </w14:textFill>
              </w:rPr>
              <w:t>③</w:t>
            </w:r>
            <w:r>
              <w:rPr>
                <w:rFonts w:hint="eastAsia" w:ascii="宋体" w:hAnsi="宋体" w:cs="宋体"/>
                <w:color w:val="000000" w:themeColor="text1"/>
                <w:sz w:val="24"/>
                <w:highlight w:val="none"/>
                <w:lang w:eastAsia="zh-CN"/>
                <w14:textFill>
                  <w14:solidFill>
                    <w14:schemeClr w14:val="tx1"/>
                  </w14:solidFill>
                </w14:textFill>
              </w:rPr>
              <w:t>工程设计公路行业（公路）专业</w:t>
            </w:r>
            <w:r>
              <w:rPr>
                <w:rFonts w:hint="eastAsia" w:ascii="宋体" w:hAnsi="宋体" w:cs="宋体"/>
                <w:color w:val="000000" w:themeColor="text1"/>
                <w:sz w:val="24"/>
                <w:highlight w:val="none"/>
                <w:lang w:val="en-US" w:eastAsia="zh-CN"/>
                <w14:textFill>
                  <w14:solidFill>
                    <w14:schemeClr w14:val="tx1"/>
                  </w14:solidFill>
                </w14:textFill>
              </w:rPr>
              <w:t>甲</w:t>
            </w:r>
            <w:r>
              <w:rPr>
                <w:rFonts w:hint="eastAsia" w:ascii="宋体" w:hAnsi="宋体" w:cs="宋体"/>
                <w:color w:val="000000" w:themeColor="text1"/>
                <w:sz w:val="24"/>
                <w:highlight w:val="none"/>
                <w:lang w:eastAsia="zh-CN"/>
                <w14:textFill>
                  <w14:solidFill>
                    <w14:schemeClr w14:val="tx1"/>
                  </w14:solidFill>
                </w14:textFill>
              </w:rPr>
              <w:t>级以上（含</w:t>
            </w:r>
            <w:r>
              <w:rPr>
                <w:rFonts w:hint="eastAsia" w:ascii="宋体" w:hAnsi="宋体" w:cs="宋体"/>
                <w:color w:val="000000" w:themeColor="text1"/>
                <w:sz w:val="24"/>
                <w:highlight w:val="none"/>
                <w:lang w:val="en-US" w:eastAsia="zh-CN"/>
                <w14:textFill>
                  <w14:solidFill>
                    <w14:schemeClr w14:val="tx1"/>
                  </w14:solidFill>
                </w14:textFill>
              </w:rPr>
              <w:t>甲</w:t>
            </w:r>
            <w:r>
              <w:rPr>
                <w:rFonts w:hint="eastAsia" w:ascii="宋体" w:hAnsi="宋体" w:cs="宋体"/>
                <w:color w:val="000000" w:themeColor="text1"/>
                <w:sz w:val="24"/>
                <w:highlight w:val="none"/>
                <w:lang w:eastAsia="zh-CN"/>
                <w14:textFill>
                  <w14:solidFill>
                    <w14:schemeClr w14:val="tx1"/>
                  </w14:solidFill>
                </w14:textFill>
              </w:rPr>
              <w:t>级）资质</w:t>
            </w:r>
            <w:r>
              <w:rPr>
                <w:rFonts w:hint="eastAsia" w:ascii="宋体" w:hAnsi="宋体" w:cs="宋体"/>
                <w:color w:val="000000" w:themeColor="text1"/>
                <w:sz w:val="24"/>
                <w:highlight w:val="none"/>
                <w14:textFill>
                  <w14:solidFill>
                    <w14:schemeClr w14:val="tx1"/>
                  </w14:solidFill>
                </w14:textFill>
              </w:rPr>
              <w:t>。</w:t>
            </w:r>
          </w:p>
          <w:p w14:paraId="6A3CA0D5">
            <w:pPr>
              <w:pStyle w:val="6"/>
              <w:spacing w:line="400" w:lineRule="atLeast"/>
              <w:rPr>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r>
              <w:rPr>
                <w:rFonts w:hint="eastAsia" w:ascii="宋体" w:hAnsi="宋体" w:cs="宋体"/>
                <w:color w:val="000000" w:themeColor="text1"/>
                <w:sz w:val="24"/>
                <w:highlight w:val="none"/>
                <w14:textFill>
                  <w14:solidFill>
                    <w14:schemeClr w14:val="tx1"/>
                  </w14:solidFill>
                </w14:textFill>
              </w:rPr>
              <w:t>资格审查条件见招标文件附录1至附录</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w:t>
            </w:r>
          </w:p>
          <w:p w14:paraId="6AED73C5">
            <w:pPr>
              <w:wordWrap w:val="0"/>
              <w:spacing w:line="360" w:lineRule="auto"/>
              <w:ind w:firstLine="480" w:firstLineChars="200"/>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投标人应进入交通运输部“全国公路建设市场监督管理系统（https://hwdms.mot.gov.cn/BMWebSite/）”中的公路工程施工资质企业名录，且投标人名称和资质与该名录中的相应企业名称和资质完全一致。</w:t>
            </w:r>
          </w:p>
          <w:p w14:paraId="41A7C7A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2</w:t>
            </w: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本次招标</w:t>
            </w:r>
            <w:r>
              <w:rPr>
                <w:rFonts w:hint="eastAsia" w:ascii="宋体" w:hAnsi="宋体" w:cs="宋体"/>
                <w:b/>
                <w:color w:val="000000" w:themeColor="text1"/>
                <w:sz w:val="24"/>
                <w:highlight w:val="none"/>
                <w:u w:val="single"/>
                <w14:textFill>
                  <w14:solidFill>
                    <w14:schemeClr w14:val="tx1"/>
                  </w14:solidFill>
                </w14:textFill>
              </w:rPr>
              <w:t>不接受</w:t>
            </w:r>
            <w:r>
              <w:rPr>
                <w:rFonts w:hint="eastAsia" w:ascii="宋体" w:hAnsi="宋体" w:cs="宋体"/>
                <w:color w:val="000000" w:themeColor="text1"/>
                <w:sz w:val="24"/>
                <w:highlight w:val="none"/>
                <w14:textFill>
                  <w14:solidFill>
                    <w14:schemeClr w14:val="tx1"/>
                  </w14:solidFill>
                </w14:textFill>
              </w:rPr>
              <w:t>联合体投标。</w:t>
            </w:r>
          </w:p>
          <w:p w14:paraId="013BFC1B">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每个投标人最多可对</w:t>
            </w:r>
            <w:r>
              <w:rPr>
                <w:rFonts w:hint="eastAsia" w:ascii="宋体" w:hAnsi="宋体" w:cs="宋体"/>
                <w:color w:val="000000" w:themeColor="text1"/>
                <w:sz w:val="24"/>
                <w:highlight w:val="none"/>
                <w:u w:val="single"/>
                <w14:textFill>
                  <w14:solidFill>
                    <w14:schemeClr w14:val="tx1"/>
                  </w14:solidFill>
                </w14:textFill>
              </w:rPr>
              <w:t xml:space="preserve"> 1 </w:t>
            </w:r>
            <w:r>
              <w:rPr>
                <w:rFonts w:hint="eastAsia" w:ascii="宋体" w:hAnsi="宋体" w:cs="宋体"/>
                <w:color w:val="000000" w:themeColor="text1"/>
                <w:sz w:val="24"/>
                <w:highlight w:val="none"/>
                <w14:textFill>
                  <w14:solidFill>
                    <w14:schemeClr w14:val="tx1"/>
                  </w14:solidFill>
                </w14:textFill>
              </w:rPr>
              <w:t>个标段投标</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且</w:t>
            </w:r>
            <w:r>
              <w:rPr>
                <w:rFonts w:hint="eastAsia" w:ascii="宋体" w:hAnsi="宋体" w:cs="宋体"/>
                <w:color w:val="000000" w:themeColor="text1"/>
                <w:sz w:val="24"/>
                <w:highlight w:val="none"/>
                <w:lang w:eastAsia="zh-CN"/>
                <w14:textFill>
                  <w14:solidFill>
                    <w14:schemeClr w14:val="tx1"/>
                  </w14:solidFill>
                </w14:textFill>
              </w:rPr>
              <w:t>只</w:t>
            </w:r>
            <w:r>
              <w:rPr>
                <w:rFonts w:hint="eastAsia" w:ascii="宋体" w:hAnsi="宋体" w:cs="宋体"/>
                <w:color w:val="000000" w:themeColor="text1"/>
                <w:sz w:val="24"/>
                <w:highlight w:val="none"/>
                <w14:textFill>
                  <w14:solidFill>
                    <w14:schemeClr w14:val="tx1"/>
                  </w14:solidFill>
                </w14:textFill>
              </w:rPr>
              <w:t>允许中</w:t>
            </w:r>
            <w:r>
              <w:rPr>
                <w:rFonts w:hint="eastAsia" w:ascii="宋体" w:hAnsi="宋体" w:cs="宋体"/>
                <w:color w:val="000000" w:themeColor="text1"/>
                <w:sz w:val="24"/>
                <w:highlight w:val="none"/>
                <w:u w:val="single"/>
                <w14:textFill>
                  <w14:solidFill>
                    <w14:schemeClr w14:val="tx1"/>
                  </w14:solidFill>
                </w14:textFill>
              </w:rPr>
              <w:t xml:space="preserve"> 1 </w:t>
            </w:r>
            <w:r>
              <w:rPr>
                <w:rFonts w:hint="eastAsia" w:ascii="宋体" w:hAnsi="宋体" w:cs="宋体"/>
                <w:color w:val="000000" w:themeColor="text1"/>
                <w:sz w:val="24"/>
                <w:highlight w:val="none"/>
                <w14:textFill>
                  <w14:solidFill>
                    <w14:schemeClr w14:val="tx1"/>
                  </w14:solidFill>
                </w14:textFill>
              </w:rPr>
              <w:t>个标。</w:t>
            </w:r>
          </w:p>
          <w:p w14:paraId="0CB0436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本项目的</w:t>
            </w:r>
            <w:r>
              <w:rPr>
                <w:rFonts w:hint="eastAsia" w:ascii="宋体" w:hAnsi="宋体" w:cs="宋体"/>
                <w:color w:val="000000" w:themeColor="text1"/>
                <w:sz w:val="24"/>
                <w:highlight w:val="none"/>
                <w:lang w:eastAsia="zh-CN"/>
                <w14:textFill>
                  <w14:solidFill>
                    <w14:schemeClr w14:val="tx1"/>
                  </w14:solidFill>
                </w14:textFill>
              </w:rPr>
              <w:t>设计</w:t>
            </w:r>
            <w:r>
              <w:rPr>
                <w:rFonts w:hint="eastAsia" w:ascii="宋体" w:hAnsi="宋体" w:cs="宋体"/>
                <w:color w:val="000000" w:themeColor="text1"/>
                <w:sz w:val="24"/>
                <w:highlight w:val="none"/>
                <w14:textFill>
                  <w14:solidFill>
                    <w14:schemeClr w14:val="tx1"/>
                  </w14:solidFill>
                </w14:textFill>
              </w:rPr>
              <w:t>咨询中标单位与其存在利害关系的单位均不得参加本项目的</w:t>
            </w:r>
            <w:r>
              <w:rPr>
                <w:rFonts w:hint="eastAsia" w:ascii="宋体" w:hAnsi="宋体" w:cs="宋体"/>
                <w:color w:val="000000" w:themeColor="text1"/>
                <w:sz w:val="24"/>
                <w:highlight w:val="none"/>
                <w:lang w:eastAsia="zh-CN"/>
                <w14:textFill>
                  <w14:solidFill>
                    <w14:schemeClr w14:val="tx1"/>
                  </w14:solidFill>
                </w14:textFill>
              </w:rPr>
              <w:t>设计</w:t>
            </w:r>
            <w:r>
              <w:rPr>
                <w:rFonts w:hint="eastAsia" w:ascii="宋体" w:hAnsi="宋体" w:cs="宋体"/>
                <w:color w:val="000000" w:themeColor="text1"/>
                <w:sz w:val="24"/>
                <w:highlight w:val="none"/>
                <w14:textFill>
                  <w14:solidFill>
                    <w14:schemeClr w14:val="tx1"/>
                  </w14:solidFill>
                </w14:textFill>
              </w:rPr>
              <w:t>投标。</w:t>
            </w:r>
          </w:p>
          <w:p w14:paraId="2D680F01">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与招标人存在利害关系可能影响招标公正性的单位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不得参加投标。单位负责人为同一人、或者存在控股、管理关系的不同单位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不得参加同一标段或者未划分标段的同一招标项目投标</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否则相关投标均无效。</w:t>
            </w:r>
          </w:p>
          <w:p w14:paraId="038C61B4">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注：①单位负责人是指：单位的法定代表人或者法律、行政法规规定代表单位行使职权的主要负责人；</w:t>
            </w:r>
          </w:p>
          <w:p w14:paraId="6057AAD6">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控股是指：控股是指：出资额占有限责任公司资本总额50%以上或者其持有的股份占股份有限公司股本总额50%以上的，以及出资额或者持有股份的比例虽然不足50%，但依其出资额或者持有的股份所享有的表决权已足以对股东会、股东大会的决议产生重大影响的；</w:t>
            </w:r>
          </w:p>
          <w:p w14:paraId="3B41A065">
            <w:pPr>
              <w:spacing w:line="360" w:lineRule="auto"/>
              <w:ind w:firstLine="240" w:firstLineChars="1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③管理关系是指：不具有出资持股关系的其它单位之间存在的管理与被管理关系。</w:t>
            </w:r>
          </w:p>
          <w:p w14:paraId="5AF864EC">
            <w:pPr>
              <w:spacing w:line="360" w:lineRule="auto"/>
              <w:rPr>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在“信用中国”网站（http://www.creditchina.gov.cn/）中被列入失信被执行人名单的投标人，在国家企业信用信息公示系统（www.gsxt.gov.cn）中被列入严重违法失信企业名单的投标人，均不得参加投标。</w:t>
            </w:r>
          </w:p>
        </w:tc>
      </w:tr>
      <w:tr w14:paraId="52821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2185" w:type="dxa"/>
            <w:vMerge w:val="continue"/>
            <w:tcBorders>
              <w:top w:val="single" w:color="auto" w:sz="4" w:space="0"/>
              <w:left w:val="single" w:color="auto" w:sz="4" w:space="0"/>
              <w:bottom w:val="single" w:color="auto" w:sz="4" w:space="0"/>
              <w:right w:val="single" w:color="auto" w:sz="4" w:space="0"/>
            </w:tcBorders>
            <w:noWrap w:val="0"/>
            <w:vAlign w:val="center"/>
          </w:tcPr>
          <w:p w14:paraId="169D69AB">
            <w:pPr>
              <w:keepNext w:val="0"/>
              <w:keepLines w:val="0"/>
              <w:widowControl/>
              <w:suppressLineNumbers w:val="0"/>
              <w:jc w:val="center"/>
              <w:textAlignment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2205" w:type="dxa"/>
            <w:tcBorders>
              <w:top w:val="single" w:color="auto" w:sz="4" w:space="0"/>
              <w:left w:val="single" w:color="auto" w:sz="4" w:space="0"/>
              <w:bottom w:val="single" w:color="auto" w:sz="4" w:space="0"/>
              <w:right w:val="single" w:color="auto" w:sz="4" w:space="0"/>
            </w:tcBorders>
            <w:noWrap w:val="0"/>
            <w:vAlign w:val="center"/>
          </w:tcPr>
          <w:p w14:paraId="4AC9F4F7">
            <w:pPr>
              <w:keepNext w:val="0"/>
              <w:keepLines w:val="0"/>
              <w:widowControl/>
              <w:suppressLineNumbers w:val="0"/>
              <w:jc w:val="center"/>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投标人业绩要求</w:t>
            </w:r>
          </w:p>
        </w:tc>
        <w:tc>
          <w:tcPr>
            <w:tcW w:w="6116" w:type="dxa"/>
            <w:gridSpan w:val="3"/>
            <w:tcBorders>
              <w:top w:val="single" w:color="000000" w:sz="4" w:space="0"/>
              <w:left w:val="single" w:color="auto" w:sz="4" w:space="0"/>
              <w:bottom w:val="single" w:color="auto" w:sz="4" w:space="0"/>
              <w:right w:val="single" w:color="000000" w:sz="4" w:space="0"/>
            </w:tcBorders>
            <w:noWrap w:val="0"/>
            <w:vAlign w:val="center"/>
          </w:tcPr>
          <w:p w14:paraId="469ECD7E">
            <w:pPr>
              <w:keepNext w:val="0"/>
              <w:keepLines w:val="0"/>
              <w:widowControl/>
              <w:suppressLineNumbers w:val="0"/>
              <w:jc w:val="left"/>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具体要求详见招标文件投标人须知前附表“附录2资格审查条件（业绩最低要求）”</w:t>
            </w:r>
          </w:p>
        </w:tc>
      </w:tr>
      <w:tr w14:paraId="55645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vMerge w:val="restart"/>
            <w:tcBorders>
              <w:top w:val="single" w:color="auto" w:sz="4" w:space="0"/>
              <w:left w:val="single" w:color="auto" w:sz="4" w:space="0"/>
              <w:bottom w:val="single" w:color="auto" w:sz="4" w:space="0"/>
              <w:right w:val="single" w:color="auto" w:sz="4" w:space="0"/>
            </w:tcBorders>
            <w:noWrap w:val="0"/>
            <w:vAlign w:val="center"/>
          </w:tcPr>
          <w:p w14:paraId="52487394">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是否采用电子</w:t>
            </w: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招标投标方式</w:t>
            </w:r>
          </w:p>
        </w:tc>
        <w:tc>
          <w:tcPr>
            <w:tcW w:w="2205" w:type="dxa"/>
            <w:vMerge w:val="restart"/>
            <w:tcBorders>
              <w:top w:val="single" w:color="auto" w:sz="4" w:space="0"/>
              <w:left w:val="single" w:color="auto" w:sz="4" w:space="0"/>
              <w:bottom w:val="single" w:color="auto" w:sz="4" w:space="0"/>
              <w:right w:val="single" w:color="auto" w:sz="4" w:space="0"/>
            </w:tcBorders>
            <w:noWrap w:val="0"/>
            <w:vAlign w:val="center"/>
          </w:tcPr>
          <w:p w14:paraId="16152D42">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是</w:t>
            </w:r>
          </w:p>
        </w:tc>
        <w:tc>
          <w:tcPr>
            <w:tcW w:w="1290" w:type="dxa"/>
            <w:vMerge w:val="restart"/>
            <w:tcBorders>
              <w:top w:val="single" w:color="auto" w:sz="4" w:space="0"/>
              <w:left w:val="single" w:color="auto" w:sz="4" w:space="0"/>
              <w:bottom w:val="single" w:color="auto" w:sz="4" w:space="0"/>
              <w:right w:val="single" w:color="auto" w:sz="4" w:space="0"/>
            </w:tcBorders>
            <w:noWrap w:val="0"/>
            <w:vAlign w:val="center"/>
          </w:tcPr>
          <w:p w14:paraId="69791966">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获取资格预审/招标文件的方式</w:t>
            </w:r>
          </w:p>
        </w:tc>
        <w:tc>
          <w:tcPr>
            <w:tcW w:w="2507" w:type="dxa"/>
            <w:tcBorders>
              <w:top w:val="single" w:color="auto" w:sz="4" w:space="0"/>
              <w:left w:val="single" w:color="auto" w:sz="4" w:space="0"/>
              <w:bottom w:val="single" w:color="auto" w:sz="4" w:space="0"/>
              <w:right w:val="single" w:color="auto" w:sz="4" w:space="0"/>
            </w:tcBorders>
            <w:noWrap w:val="0"/>
            <w:vAlign w:val="center"/>
          </w:tcPr>
          <w:p w14:paraId="253A8A71">
            <w:pPr>
              <w:keepNext w:val="0"/>
              <w:keepLines w:val="0"/>
              <w:widowControl/>
              <w:suppressLineNumbers w:val="0"/>
              <w:jc w:val="both"/>
              <w:textAlignment w:val="cente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下载资格预审</w:t>
            </w: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/招标文件的网络地址</w:t>
            </w:r>
          </w:p>
        </w:tc>
        <w:tc>
          <w:tcPr>
            <w:tcW w:w="2319" w:type="dxa"/>
            <w:tcBorders>
              <w:top w:val="single" w:color="auto" w:sz="4" w:space="0"/>
              <w:left w:val="single" w:color="auto" w:sz="4" w:space="0"/>
              <w:bottom w:val="single" w:color="auto" w:sz="4" w:space="0"/>
              <w:right w:val="single" w:color="auto" w:sz="4" w:space="0"/>
            </w:tcBorders>
            <w:noWrap w:val="0"/>
            <w:vAlign w:val="center"/>
          </w:tcPr>
          <w:p w14:paraId="4C71F79B">
            <w:pPr>
              <w:keepNext w:val="0"/>
              <w:keepLines w:val="0"/>
              <w:widowControl/>
              <w:suppressLineNumbers w:val="0"/>
              <w:jc w:val="both"/>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①广东省招标投标监管网（http://zbtb.gd.gov.cn/#/index/#/index）、②全国公共资源交易平台（广东省·韶关市）（https://ygp.gdzwfw.gov.cn/#/440200/index）</w:t>
            </w:r>
          </w:p>
        </w:tc>
      </w:tr>
      <w:tr w14:paraId="20B31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vMerge w:val="continue"/>
            <w:tcBorders>
              <w:top w:val="single" w:color="auto" w:sz="4" w:space="0"/>
              <w:left w:val="single" w:color="auto" w:sz="4" w:space="0"/>
              <w:bottom w:val="single" w:color="auto" w:sz="4" w:space="0"/>
              <w:right w:val="single" w:color="auto" w:sz="4" w:space="0"/>
            </w:tcBorders>
            <w:noWrap w:val="0"/>
            <w:vAlign w:val="center"/>
          </w:tcPr>
          <w:p w14:paraId="21DB20F4">
            <w:pPr>
              <w:keepNext w:val="0"/>
              <w:keepLines w:val="0"/>
              <w:widowControl/>
              <w:suppressLineNumbers w:val="0"/>
              <w:jc w:val="both"/>
              <w:textAlignment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2205" w:type="dxa"/>
            <w:vMerge w:val="continue"/>
            <w:tcBorders>
              <w:top w:val="single" w:color="auto" w:sz="4" w:space="0"/>
              <w:left w:val="single" w:color="auto" w:sz="4" w:space="0"/>
              <w:bottom w:val="single" w:color="auto" w:sz="4" w:space="0"/>
              <w:right w:val="single" w:color="auto" w:sz="4" w:space="0"/>
            </w:tcBorders>
            <w:noWrap w:val="0"/>
            <w:vAlign w:val="center"/>
          </w:tcPr>
          <w:p w14:paraId="4259D24E">
            <w:pPr>
              <w:keepNext w:val="0"/>
              <w:keepLines w:val="0"/>
              <w:widowControl/>
              <w:suppressLineNumbers w:val="0"/>
              <w:jc w:val="both"/>
              <w:textAlignment w:val="center"/>
              <w:rPr>
                <w:rFonts w:hint="eastAsia" w:ascii="宋体" w:hAnsi="宋体" w:eastAsia="宋体" w:cs="宋体"/>
                <w:color w:val="000000" w:themeColor="text1"/>
                <w:sz w:val="24"/>
                <w:szCs w:val="24"/>
                <w:highlight w:val="none"/>
                <w14:textFill>
                  <w14:solidFill>
                    <w14:schemeClr w14:val="tx1"/>
                  </w14:solidFill>
                </w14:textFill>
              </w:rPr>
            </w:pPr>
          </w:p>
        </w:tc>
        <w:tc>
          <w:tcPr>
            <w:tcW w:w="1290" w:type="dxa"/>
            <w:vMerge w:val="continue"/>
            <w:tcBorders>
              <w:top w:val="single" w:color="auto" w:sz="4" w:space="0"/>
              <w:left w:val="single" w:color="auto" w:sz="4" w:space="0"/>
              <w:bottom w:val="single" w:color="auto" w:sz="4" w:space="0"/>
              <w:right w:val="single" w:color="auto" w:sz="4" w:space="0"/>
            </w:tcBorders>
            <w:noWrap w:val="0"/>
            <w:vAlign w:val="center"/>
          </w:tcPr>
          <w:p w14:paraId="593EF558">
            <w:pPr>
              <w:keepNext w:val="0"/>
              <w:keepLines w:val="0"/>
              <w:widowControl/>
              <w:suppressLineNumbers w:val="0"/>
              <w:jc w:val="both"/>
              <w:textAlignment w:val="center"/>
              <w:rPr>
                <w:rFonts w:hint="eastAsia" w:ascii="宋体" w:hAnsi="宋体" w:eastAsia="宋体" w:cs="宋体"/>
                <w:color w:val="000000" w:themeColor="text1"/>
                <w:sz w:val="24"/>
                <w:szCs w:val="24"/>
                <w:highlight w:val="none"/>
                <w14:textFill>
                  <w14:solidFill>
                    <w14:schemeClr w14:val="tx1"/>
                  </w14:solidFill>
                </w14:textFill>
              </w:rPr>
            </w:pPr>
          </w:p>
        </w:tc>
        <w:tc>
          <w:tcPr>
            <w:tcW w:w="2507" w:type="dxa"/>
            <w:tcBorders>
              <w:top w:val="single" w:color="auto" w:sz="4" w:space="0"/>
              <w:left w:val="single" w:color="auto" w:sz="4" w:space="0"/>
              <w:bottom w:val="single" w:color="auto" w:sz="4" w:space="0"/>
              <w:right w:val="single" w:color="auto" w:sz="4" w:space="0"/>
            </w:tcBorders>
            <w:noWrap w:val="0"/>
            <w:vAlign w:val="center"/>
          </w:tcPr>
          <w:p w14:paraId="0BBA231B">
            <w:pPr>
              <w:keepNext w:val="0"/>
              <w:keepLines w:val="0"/>
              <w:widowControl/>
              <w:suppressLineNumbers w:val="0"/>
              <w:jc w:val="both"/>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获取</w:t>
            </w: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招标文件的方式</w:t>
            </w:r>
          </w:p>
        </w:tc>
        <w:tc>
          <w:tcPr>
            <w:tcW w:w="2319" w:type="dxa"/>
            <w:tcBorders>
              <w:top w:val="single" w:color="auto" w:sz="4" w:space="0"/>
              <w:left w:val="single" w:color="auto" w:sz="4" w:space="0"/>
              <w:bottom w:val="single" w:color="auto" w:sz="4" w:space="0"/>
              <w:right w:val="single" w:color="auto" w:sz="4" w:space="0"/>
            </w:tcBorders>
            <w:noWrap w:val="0"/>
            <w:vAlign w:val="center"/>
          </w:tcPr>
          <w:p w14:paraId="5E341A66">
            <w:pPr>
              <w:keepNext w:val="0"/>
              <w:keepLines w:val="0"/>
              <w:widowControl/>
              <w:suppressLineNumbers w:val="0"/>
              <w:jc w:val="both"/>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登录</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①广东省招标投标监管网（http://zbtb.gd.gov.cn/#/index/#/index）、②全国公共资源交易平台（广东省·韶关市）（https://ygp.gdzwfw.gov.cn/#/440200/index）</w:t>
            </w:r>
            <w:r>
              <w:rPr>
                <w:rFonts w:hint="eastAsia" w:ascii="宋体" w:hAnsi="宋体" w:cs="宋体"/>
                <w:color w:val="000000" w:themeColor="text1"/>
                <w:kern w:val="0"/>
                <w:sz w:val="24"/>
                <w:highlight w:val="none"/>
                <w:lang w:eastAsia="zh-CN"/>
                <w14:textFill>
                  <w14:solidFill>
                    <w14:schemeClr w14:val="tx1"/>
                  </w14:solidFill>
                </w14:textFill>
              </w:rPr>
              <w:t>免费下载。投标人在建设工程交易系统报名完毕后，即可在系统内免费下载本工程招标文件等资料。</w:t>
            </w:r>
          </w:p>
        </w:tc>
      </w:tr>
      <w:tr w14:paraId="6C3A4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auto" w:sz="4" w:space="0"/>
              <w:left w:val="single" w:color="000000" w:sz="4" w:space="0"/>
              <w:bottom w:val="single" w:color="000000" w:sz="4" w:space="0"/>
              <w:right w:val="single" w:color="000000" w:sz="4" w:space="0"/>
            </w:tcBorders>
            <w:noWrap w:val="0"/>
            <w:vAlign w:val="center"/>
          </w:tcPr>
          <w:p w14:paraId="69340668">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获取资格预审/招标文件开始时间</w:t>
            </w:r>
          </w:p>
        </w:tc>
        <w:tc>
          <w:tcPr>
            <w:tcW w:w="2205" w:type="dxa"/>
            <w:tcBorders>
              <w:top w:val="single" w:color="auto" w:sz="4" w:space="0"/>
              <w:left w:val="single" w:color="000000" w:sz="4" w:space="0"/>
              <w:bottom w:val="single" w:color="000000" w:sz="4" w:space="0"/>
              <w:right w:val="single" w:color="000000" w:sz="4" w:space="0"/>
            </w:tcBorders>
            <w:noWrap w:val="0"/>
            <w:vAlign w:val="center"/>
          </w:tcPr>
          <w:p w14:paraId="3E899494">
            <w:pPr>
              <w:ind w:left="480" w:leftChars="0" w:hanging="480" w:hangingChars="200"/>
              <w:jc w:val="left"/>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00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1290" w:type="dxa"/>
            <w:tcBorders>
              <w:top w:val="single" w:color="auto" w:sz="4" w:space="0"/>
              <w:left w:val="single" w:color="000000" w:sz="4" w:space="0"/>
              <w:bottom w:val="single" w:color="000000" w:sz="4" w:space="0"/>
              <w:right w:val="single" w:color="000000" w:sz="4" w:space="0"/>
            </w:tcBorders>
            <w:noWrap w:val="0"/>
            <w:vAlign w:val="center"/>
          </w:tcPr>
          <w:p w14:paraId="410D5C82">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获取资格预审/招标文件截止时间</w:t>
            </w:r>
          </w:p>
        </w:tc>
        <w:tc>
          <w:tcPr>
            <w:tcW w:w="4826" w:type="dxa"/>
            <w:gridSpan w:val="2"/>
            <w:tcBorders>
              <w:top w:val="single" w:color="auto" w:sz="4" w:space="0"/>
              <w:left w:val="single" w:color="000000" w:sz="4" w:space="0"/>
              <w:bottom w:val="single" w:color="000000" w:sz="4" w:space="0"/>
              <w:right w:val="single" w:color="000000" w:sz="4" w:space="0"/>
            </w:tcBorders>
            <w:noWrap w:val="0"/>
            <w:vAlign w:val="center"/>
          </w:tcPr>
          <w:p w14:paraId="6DF5E573">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4E48B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5"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58501EB1">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递交资格预审/投标文件截止时间</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180608C0">
            <w:pPr>
              <w:ind w:left="240" w:leftChars="0" w:hanging="240" w:hangingChars="100"/>
              <w:jc w:val="left"/>
              <w:rPr>
                <w:rFonts w:hint="default" w:ascii="宋体" w:hAnsi="宋体" w:eastAsia="宋体" w:cs="宋体"/>
                <w:i w:val="0"/>
                <w:color w:val="000000" w:themeColor="text1"/>
                <w:sz w:val="24"/>
                <w:szCs w:val="24"/>
                <w:highlight w:val="none"/>
                <w:u w:val="none"/>
                <w:lang w:val="en-US"/>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54339BC">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资格预审/投标文件递交方式</w:t>
            </w:r>
          </w:p>
        </w:tc>
        <w:tc>
          <w:tcPr>
            <w:tcW w:w="4826" w:type="dxa"/>
            <w:gridSpan w:val="2"/>
            <w:tcBorders>
              <w:top w:val="single" w:color="000000" w:sz="4" w:space="0"/>
              <w:left w:val="single" w:color="000000" w:sz="4" w:space="0"/>
              <w:bottom w:val="single" w:color="000000" w:sz="4" w:space="0"/>
              <w:right w:val="single" w:color="000000" w:sz="4" w:space="0"/>
            </w:tcBorders>
            <w:noWrap w:val="0"/>
            <w:vAlign w:val="center"/>
          </w:tcPr>
          <w:p w14:paraId="0638A8E0">
            <w:pPr>
              <w:keepNext w:val="0"/>
              <w:keepLines w:val="0"/>
              <w:widowControl/>
              <w:suppressLineNumbers w:val="0"/>
              <w:jc w:val="both"/>
              <w:textAlignment w:val="cente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投标人通过</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 xml:space="preserve">全国公共资源交易平台 </w:t>
            </w: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 xml:space="preserve"> </w:t>
            </w:r>
          </w:p>
          <w:p w14:paraId="55B0A341">
            <w:pPr>
              <w:keepNext w:val="0"/>
              <w:keepLines w:val="0"/>
              <w:widowControl/>
              <w:suppressLineNumbers w:val="0"/>
              <w:jc w:val="both"/>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（广东省·韶关市）（https://ygp.gdzwfw.gov.cn/#/440200/index）</w:t>
            </w: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递交电子投标文件</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w:t>
            </w:r>
          </w:p>
        </w:tc>
      </w:tr>
      <w:tr w14:paraId="1D3D0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652818D4">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开标时间</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19447585">
            <w:pPr>
              <w:keepNext w:val="0"/>
              <w:keepLines w:val="0"/>
              <w:widowControl/>
              <w:suppressLineNumbers w:val="0"/>
              <w:ind w:left="240" w:hanging="240" w:hangingChars="100"/>
              <w:jc w:val="left"/>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C82107E">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开标地点</w:t>
            </w:r>
          </w:p>
        </w:tc>
        <w:tc>
          <w:tcPr>
            <w:tcW w:w="4826" w:type="dxa"/>
            <w:gridSpan w:val="2"/>
            <w:tcBorders>
              <w:top w:val="single" w:color="000000" w:sz="4" w:space="0"/>
              <w:left w:val="single" w:color="000000" w:sz="4" w:space="0"/>
              <w:bottom w:val="single" w:color="000000" w:sz="4" w:space="0"/>
              <w:right w:val="single" w:color="000000" w:sz="4" w:space="0"/>
            </w:tcBorders>
            <w:noWrap w:val="0"/>
            <w:vAlign w:val="center"/>
          </w:tcPr>
          <w:p w14:paraId="3AB9A8C2">
            <w:pPr>
              <w:keepNext w:val="0"/>
              <w:keepLines w:val="0"/>
              <w:widowControl/>
              <w:suppressLineNumbers w:val="0"/>
              <w:jc w:val="both"/>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韶关市公共资源交易中心始兴分中心开标室，地址</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始兴县永安大道中79号行政服务大楼四楼</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w:t>
            </w:r>
          </w:p>
        </w:tc>
      </w:tr>
      <w:tr w14:paraId="03742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4CBFC039">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发布公告媒介</w:t>
            </w:r>
          </w:p>
        </w:tc>
        <w:tc>
          <w:tcPr>
            <w:tcW w:w="8321" w:type="dxa"/>
            <w:gridSpan w:val="4"/>
            <w:tcBorders>
              <w:top w:val="single" w:color="000000" w:sz="4" w:space="0"/>
              <w:left w:val="single" w:color="000000" w:sz="4" w:space="0"/>
              <w:bottom w:val="single" w:color="000000" w:sz="4" w:space="0"/>
              <w:right w:val="single" w:color="000000" w:sz="4" w:space="0"/>
            </w:tcBorders>
            <w:noWrap w:val="0"/>
            <w:vAlign w:val="center"/>
          </w:tcPr>
          <w:p w14:paraId="250F5839">
            <w:pPr>
              <w:keepNext w:val="0"/>
              <w:keepLines w:val="0"/>
              <w:widowControl/>
              <w:suppressLineNumbers w:val="0"/>
              <w:jc w:val="both"/>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①广东省招标投标监管网（http://zbtb.gd.gov.cn/#/index/#/index）、</w:t>
            </w:r>
          </w:p>
          <w:p w14:paraId="72C599F8">
            <w:pPr>
              <w:keepNext w:val="0"/>
              <w:keepLines w:val="0"/>
              <w:widowControl/>
              <w:suppressLineNumbers w:val="0"/>
              <w:jc w:val="both"/>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②全国公共资源交易平台 （广东省·韶关市）（https://ygp.gdzwfw.gov.cn/#/440200/index）</w:t>
            </w:r>
          </w:p>
        </w:tc>
      </w:tr>
      <w:tr w14:paraId="792C7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6F4EA07C">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招标人</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53AFDCCF">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始兴县地方公路事务中心</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0D37D22">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联系地址</w:t>
            </w:r>
          </w:p>
        </w:tc>
        <w:tc>
          <w:tcPr>
            <w:tcW w:w="4826" w:type="dxa"/>
            <w:gridSpan w:val="2"/>
            <w:tcBorders>
              <w:top w:val="single" w:color="000000" w:sz="4" w:space="0"/>
              <w:left w:val="single" w:color="000000" w:sz="4" w:space="0"/>
              <w:bottom w:val="single" w:color="000000" w:sz="4" w:space="0"/>
              <w:right w:val="single" w:color="000000" w:sz="4" w:space="0"/>
            </w:tcBorders>
            <w:noWrap w:val="0"/>
            <w:vAlign w:val="center"/>
          </w:tcPr>
          <w:p w14:paraId="5FD0E3B6">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始兴县太平镇北门路420号</w:t>
            </w:r>
          </w:p>
        </w:tc>
      </w:tr>
      <w:tr w14:paraId="1100D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12D892BF">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招标人联系人</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70DBBB1A">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刘工</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22D4CE2">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联系电话</w:t>
            </w:r>
          </w:p>
        </w:tc>
        <w:tc>
          <w:tcPr>
            <w:tcW w:w="4826" w:type="dxa"/>
            <w:gridSpan w:val="2"/>
            <w:tcBorders>
              <w:top w:val="single" w:color="000000" w:sz="4" w:space="0"/>
              <w:left w:val="single" w:color="000000" w:sz="4" w:space="0"/>
              <w:bottom w:val="single" w:color="000000" w:sz="4" w:space="0"/>
              <w:right w:val="single" w:color="000000" w:sz="4" w:space="0"/>
            </w:tcBorders>
            <w:noWrap w:val="0"/>
            <w:vAlign w:val="center"/>
          </w:tcPr>
          <w:p w14:paraId="52798ABC">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0751-</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6927330</w:t>
            </w:r>
          </w:p>
        </w:tc>
      </w:tr>
      <w:tr w14:paraId="2AB2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22DFB7AD">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招标代理机构</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38A7E1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广州市广州工程建设监理有限公司</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DA808CF">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联系地址</w:t>
            </w:r>
          </w:p>
        </w:tc>
        <w:tc>
          <w:tcPr>
            <w:tcW w:w="4826" w:type="dxa"/>
            <w:gridSpan w:val="2"/>
            <w:tcBorders>
              <w:top w:val="single" w:color="000000" w:sz="4" w:space="0"/>
              <w:left w:val="single" w:color="000000" w:sz="4" w:space="0"/>
              <w:bottom w:val="single" w:color="000000" w:sz="4" w:space="0"/>
              <w:right w:val="single" w:color="000000" w:sz="4" w:space="0"/>
            </w:tcBorders>
            <w:noWrap w:val="0"/>
            <w:vAlign w:val="center"/>
          </w:tcPr>
          <w:p w14:paraId="7F36D7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14:textFill>
                  <w14:solidFill>
                    <w14:schemeClr w14:val="tx1"/>
                  </w14:solidFill>
                </w14:textFill>
              </w:rPr>
              <w:t>韶关市武江区沐溪大道168号韶关市越辉科技创业服务有限公司科研服务楼B603-2</w:t>
            </w:r>
          </w:p>
        </w:tc>
      </w:tr>
      <w:tr w14:paraId="1805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2A596308">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招标代理联系人</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33AE8B39">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sz w:val="24"/>
                <w:szCs w:val="24"/>
                <w:highlight w:val="none"/>
                <w:u w:val="none"/>
                <w:lang w:eastAsia="zh-CN"/>
                <w14:textFill>
                  <w14:solidFill>
                    <w14:schemeClr w14:val="tx1"/>
                  </w14:solidFill>
                </w14:textFill>
              </w:rPr>
              <w:t>何</w:t>
            </w: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工</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D3BF5FA">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联系电话</w:t>
            </w:r>
          </w:p>
        </w:tc>
        <w:tc>
          <w:tcPr>
            <w:tcW w:w="4826" w:type="dxa"/>
            <w:gridSpan w:val="2"/>
            <w:tcBorders>
              <w:top w:val="single" w:color="000000" w:sz="4" w:space="0"/>
              <w:left w:val="single" w:color="000000" w:sz="4" w:space="0"/>
              <w:bottom w:val="single" w:color="000000" w:sz="4" w:space="0"/>
              <w:right w:val="single" w:color="000000" w:sz="4" w:space="0"/>
            </w:tcBorders>
            <w:noWrap w:val="0"/>
            <w:vAlign w:val="center"/>
          </w:tcPr>
          <w:p w14:paraId="3F2E25BC">
            <w:pPr>
              <w:jc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13826383866</w:t>
            </w:r>
          </w:p>
        </w:tc>
      </w:tr>
      <w:tr w14:paraId="7537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692DA4AC">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招标监督机构</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1D7B19A8">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p>
          <w:p w14:paraId="795BC58C">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14:textFill>
                  <w14:solidFill>
                    <w14:schemeClr w14:val="tx1"/>
                  </w14:solidFill>
                </w14:textFill>
              </w:rPr>
              <w:t xml:space="preserve">始兴县交通运输局 </w:t>
            </w:r>
          </w:p>
          <w:p w14:paraId="1C9FDD6D">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4EB3389">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联系电话</w:t>
            </w:r>
          </w:p>
        </w:tc>
        <w:tc>
          <w:tcPr>
            <w:tcW w:w="4826" w:type="dxa"/>
            <w:gridSpan w:val="2"/>
            <w:tcBorders>
              <w:top w:val="single" w:color="000000" w:sz="4" w:space="0"/>
              <w:left w:val="single" w:color="000000" w:sz="4" w:space="0"/>
              <w:bottom w:val="single" w:color="000000" w:sz="4" w:space="0"/>
              <w:right w:val="single" w:color="000000" w:sz="4" w:space="0"/>
            </w:tcBorders>
            <w:noWrap w:val="0"/>
            <w:vAlign w:val="center"/>
          </w:tcPr>
          <w:p w14:paraId="7F69EC6F">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p>
          <w:p w14:paraId="103EDC07">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14:textFill>
                  <w14:solidFill>
                    <w14:schemeClr w14:val="tx1"/>
                  </w14:solidFill>
                </w14:textFill>
              </w:rPr>
              <w:t>0751-3333459</w:t>
            </w:r>
          </w:p>
          <w:p w14:paraId="6EF1EAA1">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p>
        </w:tc>
      </w:tr>
      <w:tr w14:paraId="026F3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7828450C">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其他依法应当载明的内容</w:t>
            </w:r>
          </w:p>
        </w:tc>
        <w:tc>
          <w:tcPr>
            <w:tcW w:w="8321" w:type="dxa"/>
            <w:gridSpan w:val="4"/>
            <w:tcBorders>
              <w:top w:val="single" w:color="000000" w:sz="4" w:space="0"/>
              <w:left w:val="single" w:color="000000" w:sz="4" w:space="0"/>
              <w:bottom w:val="single" w:color="000000" w:sz="4" w:space="0"/>
              <w:right w:val="single" w:color="000000" w:sz="4" w:space="0"/>
            </w:tcBorders>
            <w:noWrap w:val="0"/>
            <w:vAlign w:val="center"/>
          </w:tcPr>
          <w:p w14:paraId="22FE3EF8">
            <w:pPr>
              <w:jc w:val="cente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pPr>
            <w:r>
              <w:rPr>
                <w:rFonts w:hint="eastAsia" w:ascii="宋体" w:hAnsi="宋体" w:cs="宋体"/>
                <w:i w:val="0"/>
                <w:color w:val="000000" w:themeColor="text1"/>
                <w:sz w:val="24"/>
                <w:szCs w:val="24"/>
                <w:highlight w:val="none"/>
                <w:u w:val="none"/>
                <w:lang w:eastAsia="zh-CN"/>
                <w14:textFill>
                  <w14:solidFill>
                    <w14:schemeClr w14:val="tx1"/>
                  </w14:solidFill>
                </w14:textFill>
              </w:rPr>
              <w:t>无</w:t>
            </w:r>
          </w:p>
        </w:tc>
      </w:tr>
    </w:tbl>
    <w:p w14:paraId="5F17D7B8">
      <w:pPr>
        <w:spacing w:afterLines="100" w:line="400" w:lineRule="exact"/>
        <w:jc w:val="center"/>
        <w:rPr>
          <w:color w:val="000000" w:themeColor="text1"/>
          <w:highlight w:val="none"/>
          <w14:textFill>
            <w14:solidFill>
              <w14:schemeClr w14:val="tx1"/>
            </w14:solidFill>
          </w14:textFill>
        </w:rPr>
      </w:pPr>
    </w:p>
    <w:p w14:paraId="6FC6099D">
      <w:pPr>
        <w:spacing w:line="360" w:lineRule="auto"/>
        <w:outlineLvl w:val="0"/>
        <w:rPr>
          <w:rFonts w:ascii="宋体" w:hAnsi="宋体" w:cs="宋体"/>
          <w:b/>
          <w:color w:val="000000" w:themeColor="text1"/>
          <w:sz w:val="28"/>
          <w:szCs w:val="28"/>
          <w:highlight w:val="none"/>
          <w14:textFill>
            <w14:solidFill>
              <w14:schemeClr w14:val="tx1"/>
            </w14:solidFill>
          </w14:textFill>
        </w:rPr>
      </w:pPr>
      <w:bookmarkStart w:id="3" w:name="_Toc9559"/>
      <w:bookmarkStart w:id="4" w:name="_Toc3615"/>
      <w:bookmarkStart w:id="5" w:name="_Toc16917"/>
      <w:r>
        <w:rPr>
          <w:rFonts w:hint="eastAsia" w:ascii="宋体" w:hAnsi="宋体" w:cs="宋体"/>
          <w:b/>
          <w:color w:val="000000" w:themeColor="text1"/>
          <w:sz w:val="28"/>
          <w:szCs w:val="28"/>
          <w:highlight w:val="none"/>
          <w14:textFill>
            <w14:solidFill>
              <w14:schemeClr w14:val="tx1"/>
            </w14:solidFill>
          </w14:textFill>
        </w:rPr>
        <w:t>1.招标条件</w:t>
      </w:r>
      <w:bookmarkEnd w:id="3"/>
      <w:bookmarkEnd w:id="4"/>
      <w:bookmarkEnd w:id="5"/>
    </w:p>
    <w:p w14:paraId="28A5D611">
      <w:pPr>
        <w:spacing w:line="360" w:lineRule="auto"/>
        <w:ind w:firstLine="480" w:firstLineChars="200"/>
        <w:rPr>
          <w:rFonts w:ascii="宋体" w:hAnsi="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本招标项目</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广东省韶关市始兴县道路交通信息化工程建设项目</w:t>
      </w:r>
      <w:r>
        <w:rPr>
          <w:rFonts w:hint="eastAsia" w:ascii="宋体" w:hAnsi="宋体" w:eastAsia="宋体" w:cs="宋体"/>
          <w:color w:val="000000" w:themeColor="text1"/>
          <w:sz w:val="24"/>
          <w:szCs w:val="24"/>
          <w:highlight w:val="none"/>
          <w:lang w:eastAsia="zh-CN"/>
          <w14:textFill>
            <w14:solidFill>
              <w14:schemeClr w14:val="tx1"/>
            </w14:solidFill>
          </w14:textFill>
        </w:rPr>
        <w:t>已由始兴县发展和改革局以《始兴县发展和改革局关于广东省韶关市始兴县道路交通信息化工程建设项目可行性研究报告的批复》（始发改投审〔2025〕99号）批准建设，投资项目统一代码为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2512-440222-04-04-262126 </w:t>
      </w:r>
      <w:r>
        <w:rPr>
          <w:rFonts w:hint="eastAsia" w:ascii="宋体" w:hAnsi="宋体" w:eastAsia="宋体" w:cs="宋体"/>
          <w:color w:val="000000" w:themeColor="text1"/>
          <w:sz w:val="24"/>
          <w:szCs w:val="24"/>
          <w:highlight w:val="none"/>
          <w:lang w:eastAsia="zh-CN"/>
          <w14:textFill>
            <w14:solidFill>
              <w14:schemeClr w14:val="tx1"/>
            </w14:solidFill>
          </w14:textFill>
        </w:rPr>
        <w:t>，项目业主为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始兴县地方公路事务中心</w:t>
      </w:r>
      <w:r>
        <w:rPr>
          <w:rFonts w:hint="eastAsia" w:ascii="宋体" w:hAnsi="宋体" w:eastAsia="宋体" w:cs="宋体"/>
          <w:color w:val="000000" w:themeColor="text1"/>
          <w:sz w:val="24"/>
          <w:szCs w:val="24"/>
          <w:highlight w:val="none"/>
          <w:lang w:eastAsia="zh-CN"/>
          <w14:textFill>
            <w14:solidFill>
              <w14:schemeClr w14:val="tx1"/>
            </w14:solidFill>
          </w14:textFill>
        </w:rPr>
        <w:t>，建设资金来自</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由上级资金和地方财政资金安排解决</w:t>
      </w:r>
      <w:r>
        <w:rPr>
          <w:rFonts w:hint="eastAsia" w:ascii="宋体" w:hAnsi="宋体" w:eastAsia="宋体" w:cs="宋体"/>
          <w:color w:val="000000" w:themeColor="text1"/>
          <w:sz w:val="24"/>
          <w:szCs w:val="24"/>
          <w:highlight w:val="none"/>
          <w:lang w:eastAsia="zh-CN"/>
          <w14:textFill>
            <w14:solidFill>
              <w14:schemeClr w14:val="tx1"/>
            </w14:solidFill>
          </w14:textFill>
        </w:rPr>
        <w:t>，出资比例为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100%</w:t>
      </w:r>
      <w:r>
        <w:rPr>
          <w:rFonts w:hint="eastAsia" w:ascii="宋体" w:hAnsi="宋体" w:eastAsia="宋体" w:cs="宋体"/>
          <w:color w:val="000000" w:themeColor="text1"/>
          <w:sz w:val="24"/>
          <w:szCs w:val="24"/>
          <w:highlight w:val="none"/>
          <w:lang w:eastAsia="zh-CN"/>
          <w14:textFill>
            <w14:solidFill>
              <w14:schemeClr w14:val="tx1"/>
            </w14:solidFill>
          </w14:textFill>
        </w:rPr>
        <w:t>，招标人为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始兴县地方公路事务中心</w:t>
      </w:r>
      <w:r>
        <w:rPr>
          <w:rFonts w:hint="eastAsia" w:ascii="宋体" w:hAnsi="宋体" w:eastAsia="宋体" w:cs="宋体"/>
          <w:color w:val="000000" w:themeColor="text1"/>
          <w:sz w:val="24"/>
          <w:szCs w:val="24"/>
          <w:highlight w:val="none"/>
          <w:lang w:eastAsia="zh-CN"/>
          <w14:textFill>
            <w14:solidFill>
              <w14:schemeClr w14:val="tx1"/>
            </w14:solidFill>
          </w14:textFill>
        </w:rPr>
        <w:t>。项目已具备招标条件，现对该项目的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设计</w:t>
      </w:r>
      <w:r>
        <w:rPr>
          <w:rFonts w:hint="eastAsia" w:ascii="宋体" w:hAnsi="宋体" w:eastAsia="宋体" w:cs="宋体"/>
          <w:color w:val="000000" w:themeColor="text1"/>
          <w:sz w:val="24"/>
          <w:szCs w:val="24"/>
          <w:highlight w:val="none"/>
          <w:lang w:eastAsia="zh-CN"/>
          <w14:textFill>
            <w14:solidFill>
              <w14:schemeClr w14:val="tx1"/>
            </w14:solidFill>
          </w14:textFill>
        </w:rPr>
        <w:t>采用资格后审方式进行公开招标</w:t>
      </w:r>
      <w:r>
        <w:rPr>
          <w:rFonts w:hint="eastAsia" w:ascii="宋体" w:hAnsi="宋体" w:cs="宋体"/>
          <w:color w:val="000000" w:themeColor="text1"/>
          <w:sz w:val="24"/>
          <w:highlight w:val="none"/>
          <w14:textFill>
            <w14:solidFill>
              <w14:schemeClr w14:val="tx1"/>
            </w14:solidFill>
          </w14:textFill>
        </w:rPr>
        <w:t>。</w:t>
      </w:r>
    </w:p>
    <w:p w14:paraId="4C6ED458">
      <w:pPr>
        <w:spacing w:line="360" w:lineRule="auto"/>
        <w:outlineLvl w:val="0"/>
        <w:rPr>
          <w:rFonts w:ascii="宋体" w:hAnsi="宋体" w:cs="宋体"/>
          <w:b/>
          <w:color w:val="000000" w:themeColor="text1"/>
          <w:sz w:val="28"/>
          <w:szCs w:val="28"/>
          <w:highlight w:val="none"/>
          <w14:textFill>
            <w14:solidFill>
              <w14:schemeClr w14:val="tx1"/>
            </w14:solidFill>
          </w14:textFill>
        </w:rPr>
      </w:pPr>
      <w:bookmarkStart w:id="6" w:name="_Toc391720037"/>
      <w:bookmarkStart w:id="7" w:name="_Toc19548"/>
      <w:bookmarkStart w:id="8" w:name="_Toc17495"/>
      <w:bookmarkStart w:id="9" w:name="_Toc15216"/>
      <w:r>
        <w:rPr>
          <w:rFonts w:hint="eastAsia" w:ascii="宋体" w:hAnsi="宋体" w:cs="宋体"/>
          <w:b/>
          <w:color w:val="000000" w:themeColor="text1"/>
          <w:sz w:val="28"/>
          <w:szCs w:val="28"/>
          <w:highlight w:val="none"/>
          <w14:textFill>
            <w14:solidFill>
              <w14:schemeClr w14:val="tx1"/>
            </w14:solidFill>
          </w14:textFill>
        </w:rPr>
        <w:t>2.项目概况与招标范</w:t>
      </w:r>
      <w:bookmarkEnd w:id="6"/>
      <w:r>
        <w:rPr>
          <w:rFonts w:hint="eastAsia" w:ascii="宋体" w:hAnsi="宋体" w:cs="宋体"/>
          <w:b/>
          <w:color w:val="000000" w:themeColor="text1"/>
          <w:sz w:val="28"/>
          <w:szCs w:val="28"/>
          <w:highlight w:val="none"/>
          <w14:textFill>
            <w14:solidFill>
              <w14:schemeClr w14:val="tx1"/>
            </w14:solidFill>
          </w14:textFill>
        </w:rPr>
        <w:t>围</w:t>
      </w:r>
      <w:bookmarkEnd w:id="7"/>
      <w:bookmarkEnd w:id="8"/>
      <w:bookmarkEnd w:id="9"/>
    </w:p>
    <w:p w14:paraId="36A41E1C">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2.1建设地点、规模：</w:t>
      </w:r>
      <w:r>
        <w:rPr>
          <w:rFonts w:hint="eastAsia" w:ascii="宋体" w:hAnsi="宋体" w:cs="宋体"/>
          <w:i w:val="0"/>
          <w:color w:val="000000" w:themeColor="text1"/>
          <w:sz w:val="24"/>
          <w:szCs w:val="24"/>
          <w:highlight w:val="none"/>
          <w:u w:val="none"/>
          <w:lang w:eastAsia="zh-CN"/>
          <w14:textFill>
            <w14:solidFill>
              <w14:schemeClr w14:val="tx1"/>
            </w14:solidFill>
          </w14:textFill>
        </w:rPr>
        <w:t>对始兴县辖区内G323国道7.6公里进行数字化转型升级，道路沿线配置新能源灯杆251个、新能源视频监控16个、新能源智能测速仪3套，治超非现场执法监测点3处、5G基站82个、配套智慧平台、路基工程及</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附</w:t>
      </w:r>
      <w:r>
        <w:rPr>
          <w:rFonts w:hint="eastAsia" w:ascii="宋体" w:hAnsi="宋体" w:cs="宋体"/>
          <w:i w:val="0"/>
          <w:color w:val="000000" w:themeColor="text1"/>
          <w:sz w:val="24"/>
          <w:szCs w:val="24"/>
          <w:highlight w:val="none"/>
          <w:u w:val="none"/>
          <w:lang w:eastAsia="zh-CN"/>
          <w14:textFill>
            <w14:solidFill>
              <w14:schemeClr w14:val="tx1"/>
            </w14:solidFill>
          </w14:textFill>
        </w:rPr>
        <w:t>属工程等。</w:t>
      </w:r>
      <w:r>
        <w:rPr>
          <w:rFonts w:hint="eastAsia" w:ascii="宋体" w:hAnsi="宋体" w:cs="宋体"/>
          <w:i w:val="0"/>
          <w:color w:val="000000" w:themeColor="text1"/>
          <w:sz w:val="24"/>
          <w:szCs w:val="24"/>
          <w:highlight w:val="none"/>
          <w:u w:val="none"/>
          <w:lang w:eastAsia="zh-CN"/>
          <w14:textFill>
            <w14:solidFill>
              <w14:schemeClr w14:val="tx1"/>
            </w14:solidFill>
          </w14:textFill>
        </w:rPr>
        <w:t>（</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最终工程规模及建设内容以招标人确认为准</w:t>
      </w:r>
      <w:r>
        <w:rPr>
          <w:rFonts w:hint="eastAsia" w:ascii="宋体" w:hAnsi="宋体" w:cs="宋体"/>
          <w:i w:val="0"/>
          <w:color w:val="000000" w:themeColor="text1"/>
          <w:sz w:val="24"/>
          <w:szCs w:val="24"/>
          <w:highlight w:val="none"/>
          <w:u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本项目估算总</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投资</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为</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19988.28</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万元，其中：建安工程费约</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13230.91</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万元、</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设计费约</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270.00</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万元。</w:t>
      </w:r>
    </w:p>
    <w:p w14:paraId="5A2EE40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2.2设计服务期限（具体详见专用合同条款8.1.3款）</w:t>
      </w:r>
      <w:r>
        <w:rPr>
          <w:rFonts w:hint="eastAsia" w:ascii="宋体" w:hAnsi="宋体" w:cs="宋体"/>
          <w:color w:val="000000" w:themeColor="text1"/>
          <w:sz w:val="24"/>
          <w:highlight w:val="none"/>
          <w:lang w:val="en-US" w:eastAsia="zh-CN"/>
          <w14:textFill>
            <w14:solidFill>
              <w14:schemeClr w14:val="tx1"/>
            </w14:solidFill>
          </w14:textFill>
        </w:rPr>
        <w:t>共50日历天</w:t>
      </w:r>
      <w:r>
        <w:rPr>
          <w:rFonts w:hint="eastAsia" w:ascii="宋体" w:hAnsi="宋体" w:cs="宋体"/>
          <w:color w:val="000000" w:themeColor="text1"/>
          <w:sz w:val="24"/>
          <w:highlight w:val="none"/>
          <w14:textFill>
            <w14:solidFill>
              <w14:schemeClr w14:val="tx1"/>
            </w14:solidFill>
          </w14:textFill>
        </w:rPr>
        <w:t>：</w:t>
      </w:r>
    </w:p>
    <w:p w14:paraId="072CA42A">
      <w:pPr>
        <w:tabs>
          <w:tab w:val="left" w:pos="1588"/>
        </w:tabs>
        <w:kinsoku/>
        <w:spacing w:before="79" w:line="276" w:lineRule="auto"/>
        <w:ind w:left="59" w:leftChars="28" w:right="89" w:firstLine="427" w:firstLineChars="178"/>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2.2.1 合同签订后</w:t>
      </w:r>
      <w:r>
        <w:rPr>
          <w:rFonts w:hint="eastAsia" w:ascii="宋体" w:hAnsi="宋体" w:cs="宋体"/>
          <w:color w:val="000000" w:themeColor="text1"/>
          <w:sz w:val="24"/>
          <w:highlight w:val="none"/>
          <w:u w:val="single"/>
          <w:lang w:val="en-US" w:eastAsia="zh-CN"/>
          <w14:textFill>
            <w14:solidFill>
              <w14:schemeClr w14:val="tx1"/>
            </w14:solidFill>
          </w14:textFill>
        </w:rPr>
        <w:t xml:space="preserve"> 20 </w:t>
      </w:r>
      <w:r>
        <w:rPr>
          <w:rFonts w:hint="eastAsia" w:ascii="宋体" w:hAnsi="宋体" w:eastAsia="宋体" w:cs="宋体"/>
          <w:color w:val="000000" w:themeColor="text1"/>
          <w:sz w:val="24"/>
          <w:highlight w:val="none"/>
          <w:lang w:eastAsia="zh-CN"/>
          <w14:textFill>
            <w14:solidFill>
              <w14:schemeClr w14:val="tx1"/>
            </w14:solidFill>
          </w14:textFill>
        </w:rPr>
        <w:t>日历天内，提交</w:t>
      </w:r>
      <w:r>
        <w:rPr>
          <w:rFonts w:hint="eastAsia" w:ascii="宋体" w:hAnsi="宋体" w:eastAsia="宋体" w:cs="宋体"/>
          <w:color w:val="000000" w:themeColor="text1"/>
          <w:sz w:val="24"/>
          <w:highlight w:val="none"/>
          <w:lang w:val="en-US" w:eastAsia="zh-CN"/>
          <w14:textFill>
            <w14:solidFill>
              <w14:schemeClr w14:val="tx1"/>
            </w14:solidFill>
          </w14:textFill>
        </w:rPr>
        <w:t>初步</w:t>
      </w:r>
      <w:r>
        <w:rPr>
          <w:rFonts w:hint="eastAsia" w:ascii="宋体" w:hAnsi="宋体" w:eastAsia="宋体" w:cs="宋体"/>
          <w:color w:val="000000" w:themeColor="text1"/>
          <w:sz w:val="24"/>
          <w:highlight w:val="none"/>
          <w:lang w:eastAsia="zh-CN"/>
          <w14:textFill>
            <w14:solidFill>
              <w14:schemeClr w14:val="tx1"/>
            </w14:solidFill>
          </w14:textFill>
        </w:rPr>
        <w:t>设计文件送审稿；</w:t>
      </w:r>
    </w:p>
    <w:p w14:paraId="649E071C">
      <w:pPr>
        <w:tabs>
          <w:tab w:val="left" w:pos="1588"/>
        </w:tabs>
        <w:kinsoku/>
        <w:spacing w:before="79" w:line="276" w:lineRule="auto"/>
        <w:ind w:right="89"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2.2.2 </w:t>
      </w:r>
      <w:r>
        <w:rPr>
          <w:rFonts w:hint="eastAsia" w:ascii="宋体" w:hAnsi="宋体" w:eastAsia="宋体" w:cs="宋体"/>
          <w:color w:val="000000" w:themeColor="text1"/>
          <w:sz w:val="24"/>
          <w:highlight w:val="none"/>
          <w:lang w:eastAsia="zh-CN"/>
          <w14:textFill>
            <w14:solidFill>
              <w14:schemeClr w14:val="tx1"/>
            </w14:solidFill>
          </w14:textFill>
        </w:rPr>
        <w:t>初步设计批复后</w:t>
      </w:r>
      <w:r>
        <w:rPr>
          <w:rFonts w:hint="eastAsia" w:ascii="宋体" w:hAnsi="宋体" w:cs="宋体"/>
          <w:color w:val="000000" w:themeColor="text1"/>
          <w:sz w:val="24"/>
          <w:highlight w:val="none"/>
          <w:u w:val="single"/>
          <w:lang w:val="en-US" w:eastAsia="zh-CN"/>
          <w14:textFill>
            <w14:solidFill>
              <w14:schemeClr w14:val="tx1"/>
            </w14:solidFill>
          </w14:textFill>
        </w:rPr>
        <w:t xml:space="preserve"> 20 </w:t>
      </w:r>
      <w:r>
        <w:rPr>
          <w:rFonts w:hint="eastAsia" w:ascii="宋体" w:hAnsi="宋体" w:eastAsia="宋体" w:cs="宋体"/>
          <w:color w:val="000000" w:themeColor="text1"/>
          <w:sz w:val="24"/>
          <w:highlight w:val="none"/>
          <w:lang w:eastAsia="zh-CN"/>
          <w14:textFill>
            <w14:solidFill>
              <w14:schemeClr w14:val="tx1"/>
            </w14:solidFill>
          </w14:textFill>
        </w:rPr>
        <w:t>日历天内，提交施工图设计文件送审稿；</w:t>
      </w:r>
    </w:p>
    <w:p w14:paraId="4398BEF9">
      <w:pPr>
        <w:tabs>
          <w:tab w:val="left" w:pos="1588"/>
        </w:tabs>
        <w:kinsoku/>
        <w:spacing w:before="79" w:line="276" w:lineRule="auto"/>
        <w:ind w:left="59" w:leftChars="28" w:right="89" w:firstLine="427" w:firstLineChars="1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施工图设计文件审查后</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lang w:eastAsia="zh-CN"/>
          <w14:textFill>
            <w14:solidFill>
              <w14:schemeClr w14:val="tx1"/>
            </w14:solidFill>
          </w14:textFill>
        </w:rPr>
        <w:t>日历天，完成施工图设计修编工作并提供施工图设计文件最终稿各8份。</w:t>
      </w:r>
    </w:p>
    <w:p w14:paraId="7A475247">
      <w:pPr>
        <w:spacing w:line="360" w:lineRule="auto"/>
        <w:ind w:firstLine="480" w:firstLineChars="200"/>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ascii="宋体" w:hAnsi="宋体" w:eastAsia="宋体" w:cs="宋体"/>
          <w:color w:val="000000" w:themeColor="text1"/>
          <w:sz w:val="24"/>
          <w:szCs w:val="24"/>
          <w:highlight w:val="none"/>
          <w:lang w:eastAsia="zh-CN"/>
          <w14:textFill>
            <w14:solidFill>
              <w14:schemeClr w14:val="tx1"/>
            </w14:solidFill>
          </w14:textFill>
        </w:rPr>
        <w:t xml:space="preserve"> 项目后期施工现场配合服务：从本项目开工至项目竣工验收，施工期暂定</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1 </w:t>
      </w:r>
      <w:r>
        <w:rPr>
          <w:rFonts w:ascii="宋体" w:hAnsi="宋体" w:eastAsia="宋体" w:cs="宋体"/>
          <w:color w:val="000000" w:themeColor="text1"/>
          <w:sz w:val="24"/>
          <w:szCs w:val="24"/>
          <w:highlight w:val="none"/>
          <w:lang w:eastAsia="zh-CN"/>
          <w14:textFill>
            <w14:solidFill>
              <w14:schemeClr w14:val="tx1"/>
            </w14:solidFill>
          </w14:textFill>
        </w:rPr>
        <w:t>年；缺陷责任期</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2 </w:t>
      </w:r>
      <w:r>
        <w:rPr>
          <w:rFonts w:ascii="宋体" w:hAnsi="宋体" w:eastAsia="宋体" w:cs="宋体"/>
          <w:color w:val="000000" w:themeColor="text1"/>
          <w:sz w:val="24"/>
          <w:szCs w:val="24"/>
          <w:highlight w:val="none"/>
          <w:lang w:eastAsia="zh-CN"/>
          <w14:textFill>
            <w14:solidFill>
              <w14:schemeClr w14:val="tx1"/>
            </w14:solidFill>
          </w14:textFill>
        </w:rPr>
        <w:t>年。</w:t>
      </w:r>
    </w:p>
    <w:p w14:paraId="42C6FCC6">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招标范围及标段划分</w:t>
      </w:r>
    </w:p>
    <w:p w14:paraId="01EF69FA">
      <w:pPr>
        <w:spacing w:line="360" w:lineRule="auto"/>
        <w:ind w:firstLine="480" w:firstLineChars="200"/>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本次招标共分</w:t>
      </w:r>
      <w:r>
        <w:rPr>
          <w:rFonts w:hint="eastAsia" w:ascii="宋体" w:hAnsi="宋体" w:cs="宋体"/>
          <w:color w:val="000000" w:themeColor="text1"/>
          <w:sz w:val="24"/>
          <w:highlight w:val="none"/>
          <w:u w:val="singl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个标段类别</w:t>
      </w:r>
      <w:r>
        <w:rPr>
          <w:rFonts w:hint="eastAsia" w:ascii="宋体" w:hAnsi="宋体" w:cs="宋体"/>
          <w:color w:val="000000" w:themeColor="text1"/>
          <w:sz w:val="24"/>
          <w:highlight w:val="none"/>
          <w:u w:val="singl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个标段</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具体详见下表：</w:t>
      </w:r>
    </w:p>
    <w:tbl>
      <w:tblPr>
        <w:tblStyle w:val="1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1216"/>
        <w:gridCol w:w="783"/>
        <w:gridCol w:w="1920"/>
        <w:gridCol w:w="1290"/>
        <w:gridCol w:w="4491"/>
      </w:tblGrid>
      <w:tr w14:paraId="5F3746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06" w:hRule="atLeast"/>
          <w:jc w:val="center"/>
        </w:trPr>
        <w:tc>
          <w:tcPr>
            <w:tcW w:w="1216" w:type="dxa"/>
            <w:tcBorders>
              <w:top w:val="single" w:color="auto" w:sz="4" w:space="0"/>
              <w:left w:val="single" w:color="auto" w:sz="4" w:space="0"/>
              <w:bottom w:val="single" w:color="auto" w:sz="4" w:space="0"/>
              <w:right w:val="single" w:color="auto" w:sz="4" w:space="0"/>
            </w:tcBorders>
            <w:vAlign w:val="center"/>
          </w:tcPr>
          <w:p w14:paraId="2C156FB8">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标段类别</w:t>
            </w:r>
          </w:p>
        </w:tc>
        <w:tc>
          <w:tcPr>
            <w:tcW w:w="783" w:type="dxa"/>
            <w:tcBorders>
              <w:top w:val="single" w:color="auto" w:sz="4" w:space="0"/>
              <w:left w:val="single" w:color="auto" w:sz="4" w:space="0"/>
              <w:bottom w:val="single" w:color="auto" w:sz="4" w:space="0"/>
              <w:right w:val="single" w:color="auto" w:sz="4" w:space="0"/>
            </w:tcBorders>
            <w:vAlign w:val="center"/>
          </w:tcPr>
          <w:p w14:paraId="0C680E94">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标段</w:t>
            </w:r>
          </w:p>
        </w:tc>
        <w:tc>
          <w:tcPr>
            <w:tcW w:w="1920" w:type="dxa"/>
            <w:tcBorders>
              <w:top w:val="single" w:color="auto" w:sz="4" w:space="0"/>
              <w:left w:val="single" w:color="auto" w:sz="4" w:space="0"/>
              <w:bottom w:val="single" w:color="auto" w:sz="4" w:space="0"/>
              <w:right w:val="single" w:color="auto" w:sz="4" w:space="0"/>
            </w:tcBorders>
            <w:vAlign w:val="center"/>
          </w:tcPr>
          <w:p w14:paraId="441BEA5E">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里程范围</w:t>
            </w:r>
          </w:p>
        </w:tc>
        <w:tc>
          <w:tcPr>
            <w:tcW w:w="1290" w:type="dxa"/>
            <w:tcBorders>
              <w:top w:val="single" w:color="auto" w:sz="4" w:space="0"/>
              <w:left w:val="single" w:color="auto" w:sz="4" w:space="0"/>
              <w:bottom w:val="single" w:color="auto" w:sz="4" w:space="0"/>
              <w:right w:val="single" w:color="auto" w:sz="4" w:space="0"/>
            </w:tcBorders>
            <w:vAlign w:val="center"/>
          </w:tcPr>
          <w:p w14:paraId="7E77A8EF">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长度</w:t>
            </w:r>
          </w:p>
        </w:tc>
        <w:tc>
          <w:tcPr>
            <w:tcW w:w="4491" w:type="dxa"/>
            <w:tcBorders>
              <w:top w:val="single" w:color="auto" w:sz="4" w:space="0"/>
              <w:left w:val="single" w:color="auto" w:sz="4" w:space="0"/>
              <w:bottom w:val="single" w:color="auto" w:sz="4" w:space="0"/>
              <w:right w:val="single" w:color="auto" w:sz="4" w:space="0"/>
            </w:tcBorders>
            <w:vAlign w:val="center"/>
          </w:tcPr>
          <w:p w14:paraId="02E3AB53">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工作内容</w:t>
            </w:r>
          </w:p>
        </w:tc>
      </w:tr>
      <w:tr w14:paraId="77D9A7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05" w:hRule="atLeast"/>
          <w:jc w:val="center"/>
        </w:trPr>
        <w:tc>
          <w:tcPr>
            <w:tcW w:w="1216" w:type="dxa"/>
            <w:tcBorders>
              <w:top w:val="single" w:color="auto" w:sz="4" w:space="0"/>
              <w:left w:val="single" w:color="auto" w:sz="4" w:space="0"/>
              <w:right w:val="single" w:color="auto" w:sz="4" w:space="0"/>
            </w:tcBorders>
            <w:vAlign w:val="center"/>
          </w:tcPr>
          <w:p w14:paraId="206EECDC">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asciiTheme="majorEastAsia" w:hAnsiTheme="majorEastAsia" w:eastAsiaTheme="majorEastAsia" w:cstheme="majorEastAsia"/>
                <w:color w:val="000000" w:themeColor="text1"/>
                <w:sz w:val="24"/>
                <w:highlight w:val="none"/>
                <w14:textFill>
                  <w14:solidFill>
                    <w14:schemeClr w14:val="tx1"/>
                  </w14:solidFill>
                </w14:textFill>
              </w:rPr>
              <w:t>B 类</w:t>
            </w:r>
          </w:p>
          <w:p w14:paraId="12CFB8E8">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asciiTheme="majorEastAsia" w:hAnsiTheme="majorEastAsia" w:eastAsiaTheme="majorEastAsia" w:cstheme="majorEastAsia"/>
                <w:color w:val="000000" w:themeColor="text1"/>
                <w:sz w:val="24"/>
                <w:highlight w:val="none"/>
                <w14:textFill>
                  <w14:solidFill>
                    <w14:schemeClr w14:val="tx1"/>
                  </w14:solidFill>
                </w14:textFill>
              </w:rPr>
              <w:t>（交通工程）</w:t>
            </w:r>
          </w:p>
        </w:tc>
        <w:tc>
          <w:tcPr>
            <w:tcW w:w="3993" w:type="dxa"/>
            <w:gridSpan w:val="3"/>
            <w:tcBorders>
              <w:top w:val="single" w:color="auto" w:sz="4" w:space="0"/>
              <w:left w:val="single" w:color="auto" w:sz="4" w:space="0"/>
              <w:right w:val="single" w:color="auto" w:sz="4" w:space="0"/>
            </w:tcBorders>
            <w:vAlign w:val="center"/>
          </w:tcPr>
          <w:p w14:paraId="2E0BFA3B">
            <w:pPr>
              <w:spacing w:after="131" w:line="314" w:lineRule="atLeast"/>
              <w:jc w:val="center"/>
              <w:rPr>
                <w:rFonts w:hint="default" w:eastAsia="宋体" w:asciiTheme="majorEastAsia" w:hAnsiTheme="majorEastAsia" w:cstheme="majorEastAsia"/>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标段的划分及主要工程项目情况详见本招标公告2.1及2.2条</w:t>
            </w:r>
            <w:r>
              <w:rPr>
                <w:rFonts w:hint="eastAsia" w:ascii="宋体" w:hAnsi="宋体" w:cs="宋体"/>
                <w:color w:val="000000" w:themeColor="text1"/>
                <w:sz w:val="24"/>
                <w:szCs w:val="24"/>
                <w:highlight w:val="none"/>
                <w:lang w:val="en-US" w:eastAsia="zh-CN"/>
                <w14:textFill>
                  <w14:solidFill>
                    <w14:schemeClr w14:val="tx1"/>
                  </w14:solidFill>
                </w14:textFill>
              </w:rPr>
              <w:t>及2.3条</w:t>
            </w:r>
          </w:p>
        </w:tc>
        <w:tc>
          <w:tcPr>
            <w:tcW w:w="4491" w:type="dxa"/>
            <w:tcBorders>
              <w:top w:val="single" w:color="auto" w:sz="4" w:space="0"/>
              <w:left w:val="single" w:color="auto" w:sz="4" w:space="0"/>
              <w:right w:val="single" w:color="auto" w:sz="4" w:space="0"/>
            </w:tcBorders>
            <w:vAlign w:val="center"/>
          </w:tcPr>
          <w:p w14:paraId="2A060D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w:t>
            </w:r>
            <w:r>
              <w:rPr>
                <w:rFonts w:hint="eastAsia" w:ascii="宋体" w:hAnsi="宋体" w:eastAsia="宋体" w:cs="宋体"/>
                <w:color w:val="000000" w:themeColor="text1"/>
                <w:sz w:val="24"/>
                <w:szCs w:val="24"/>
                <w:highlight w:val="none"/>
                <w:lang w:eastAsia="zh-CN"/>
                <w14:textFill>
                  <w14:solidFill>
                    <w14:schemeClr w14:val="tx1"/>
                  </w14:solidFill>
                </w14:textFill>
              </w:rPr>
              <w:t>里程范围的交通工程（包括通信、监控、沿线供配电系统、照明系统及通信管道工程等）、隧道通风、消防、照明、紧急救援等附属设施的设计。</w:t>
            </w:r>
          </w:p>
          <w:p w14:paraId="18B4711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设计包括初步设计（含概算）、施工图设计、施工过程的配合服务工作（含图纸送审、设计变更、现场配合指导等）、工程竣（交）工验收过程的配合服务工作等和按照国家相关规范要求设计单位完成的工作。</w:t>
            </w:r>
          </w:p>
        </w:tc>
      </w:tr>
    </w:tbl>
    <w:p w14:paraId="33D9726A">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14:paraId="22778289">
      <w:pPr>
        <w:numPr>
          <w:ilvl w:val="0"/>
          <w:numId w:val="1"/>
        </w:numPr>
        <w:spacing w:line="360" w:lineRule="auto"/>
        <w:outlineLvl w:val="0"/>
        <w:rPr>
          <w:rFonts w:hint="eastAsia" w:ascii="宋体" w:hAnsi="宋体" w:cs="宋体"/>
          <w:b/>
          <w:color w:val="000000" w:themeColor="text1"/>
          <w:sz w:val="28"/>
          <w:szCs w:val="28"/>
          <w:highlight w:val="none"/>
          <w14:textFill>
            <w14:solidFill>
              <w14:schemeClr w14:val="tx1"/>
            </w14:solidFill>
          </w14:textFill>
        </w:rPr>
      </w:pPr>
      <w:bookmarkStart w:id="10" w:name="_Toc11539"/>
      <w:bookmarkStart w:id="11" w:name="_Toc11165"/>
      <w:bookmarkStart w:id="12" w:name="_Toc16388"/>
      <w:r>
        <w:rPr>
          <w:rFonts w:hint="eastAsia" w:ascii="宋体" w:hAnsi="宋体" w:cs="宋体"/>
          <w:b/>
          <w:color w:val="000000" w:themeColor="text1"/>
          <w:sz w:val="28"/>
          <w:szCs w:val="28"/>
          <w:highlight w:val="none"/>
          <w14:textFill>
            <w14:solidFill>
              <w14:schemeClr w14:val="tx1"/>
            </w14:solidFill>
          </w14:textFill>
        </w:rPr>
        <w:t>投标人资格要求</w:t>
      </w:r>
      <w:bookmarkEnd w:id="10"/>
      <w:bookmarkEnd w:id="11"/>
      <w:bookmarkEnd w:id="12"/>
    </w:p>
    <w:p w14:paraId="6E267005">
      <w:pPr>
        <w:numPr>
          <w:ilvl w:val="0"/>
          <w:numId w:val="0"/>
        </w:numPr>
        <w:spacing w:line="360" w:lineRule="auto"/>
        <w:ind w:firstLine="480" w:firstLineChars="200"/>
        <w:outlineLvl w:val="0"/>
        <w:rPr>
          <w:rFonts w:hint="eastAsia" w:ascii="宋体" w:hAnsi="宋体" w:cs="宋体"/>
          <w:color w:val="000000" w:themeColor="text1"/>
          <w:sz w:val="24"/>
          <w:highlight w:val="none"/>
          <w14:textFill>
            <w14:solidFill>
              <w14:schemeClr w14:val="tx1"/>
            </w14:solidFill>
          </w14:textFill>
        </w:rPr>
      </w:pPr>
      <w:bookmarkStart w:id="13" w:name="_Toc7057"/>
      <w:r>
        <w:rPr>
          <w:rFonts w:hint="eastAsia" w:ascii="宋体" w:hAnsi="宋体" w:cs="宋体"/>
          <w:color w:val="000000" w:themeColor="text1"/>
          <w:sz w:val="24"/>
          <w:highlight w:val="none"/>
          <w14:textFill>
            <w14:solidFill>
              <w14:schemeClr w14:val="tx1"/>
            </w14:solidFill>
          </w14:textFill>
        </w:rPr>
        <w:t>3.1</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具有在中华人民共和国境内工商管理部门注册的有效的独立企业法人营业执照。</w:t>
      </w:r>
      <w:bookmarkEnd w:id="13"/>
    </w:p>
    <w:p w14:paraId="5D9AD2EE">
      <w:pPr>
        <w:pStyle w:val="5"/>
        <w:spacing w:line="360" w:lineRule="auto"/>
        <w:rPr>
          <w:rFonts w:hint="eastAsia"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具备建设主管部门颂发的</w:t>
      </w:r>
      <w:r>
        <w:rPr>
          <w:rFonts w:hint="eastAsia" w:ascii="宋体" w:hAnsi="宋体" w:cs="宋体"/>
          <w:color w:val="000000" w:themeColor="text1"/>
          <w:sz w:val="24"/>
          <w:highlight w:val="none"/>
          <w:lang w:val="en-US"/>
          <w14:textFill>
            <w14:solidFill>
              <w14:schemeClr w14:val="tx1"/>
            </w14:solidFill>
          </w14:textFill>
        </w:rPr>
        <w:t>以下资质</w:t>
      </w:r>
      <w:r>
        <w:rPr>
          <w:rFonts w:hint="eastAsia" w:ascii="宋体" w:hAnsi="宋体" w:cs="宋体"/>
          <w:color w:val="000000" w:themeColor="text1"/>
          <w:sz w:val="24"/>
          <w:highlight w:val="none"/>
          <w14:textFill>
            <w14:solidFill>
              <w14:schemeClr w14:val="tx1"/>
            </w14:solidFill>
          </w14:textFill>
        </w:rPr>
        <w:t>之一</w:t>
      </w:r>
      <w:r>
        <w:rPr>
          <w:rFonts w:hint="eastAsia" w:ascii="宋体" w:hAnsi="宋体" w:cs="宋体"/>
          <w:color w:val="000000" w:themeColor="text1"/>
          <w:sz w:val="24"/>
          <w:highlight w:val="none"/>
          <w:lang w:val="en-US"/>
          <w14:textFill>
            <w14:solidFill>
              <w14:schemeClr w14:val="tx1"/>
            </w14:solidFill>
          </w14:textFill>
        </w:rPr>
        <w:t>：</w:t>
      </w:r>
    </w:p>
    <w:p w14:paraId="13F7173D">
      <w:pPr>
        <w:pStyle w:val="5"/>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①工程设计综合资质甲级；</w:t>
      </w:r>
    </w:p>
    <w:p w14:paraId="761D95A6">
      <w:pPr>
        <w:pStyle w:val="5"/>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w:t>
      </w:r>
      <w:r>
        <w:rPr>
          <w:rFonts w:hint="eastAsia" w:ascii="宋体" w:hAnsi="宋体" w:cs="宋体"/>
          <w:color w:val="000000" w:themeColor="text1"/>
          <w:sz w:val="24"/>
          <w:highlight w:val="none"/>
          <w:lang w:eastAsia="zh-CN"/>
          <w14:textFill>
            <w14:solidFill>
              <w14:schemeClr w14:val="tx1"/>
            </w14:solidFill>
          </w14:textFill>
        </w:rPr>
        <w:t>工程设计公路行业甲级资质；</w:t>
      </w:r>
    </w:p>
    <w:p w14:paraId="28C84DBF">
      <w:pPr>
        <w:pStyle w:val="5"/>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eastAsia="zh-CN"/>
          <w14:textFill>
            <w14:solidFill>
              <w14:schemeClr w14:val="tx1"/>
            </w14:solidFill>
          </w14:textFill>
        </w:rPr>
        <w:t>③</w:t>
      </w:r>
      <w:r>
        <w:rPr>
          <w:rFonts w:hint="eastAsia" w:ascii="宋体" w:hAnsi="宋体" w:cs="宋体"/>
          <w:color w:val="000000" w:themeColor="text1"/>
          <w:sz w:val="24"/>
          <w:highlight w:val="none"/>
          <w:lang w:eastAsia="zh-CN"/>
          <w14:textFill>
            <w14:solidFill>
              <w14:schemeClr w14:val="tx1"/>
            </w14:solidFill>
          </w14:textFill>
        </w:rPr>
        <w:t>工程设计公路行业（公路）专业</w:t>
      </w:r>
      <w:r>
        <w:rPr>
          <w:rFonts w:hint="eastAsia" w:ascii="宋体" w:hAnsi="宋体" w:cs="宋体"/>
          <w:color w:val="000000" w:themeColor="text1"/>
          <w:sz w:val="24"/>
          <w:highlight w:val="none"/>
          <w:lang w:val="en-US" w:eastAsia="zh-CN"/>
          <w14:textFill>
            <w14:solidFill>
              <w14:schemeClr w14:val="tx1"/>
            </w14:solidFill>
          </w14:textFill>
        </w:rPr>
        <w:t>甲</w:t>
      </w:r>
      <w:r>
        <w:rPr>
          <w:rFonts w:hint="eastAsia" w:ascii="宋体" w:hAnsi="宋体" w:cs="宋体"/>
          <w:color w:val="000000" w:themeColor="text1"/>
          <w:sz w:val="24"/>
          <w:highlight w:val="none"/>
          <w:lang w:eastAsia="zh-CN"/>
          <w14:textFill>
            <w14:solidFill>
              <w14:schemeClr w14:val="tx1"/>
            </w14:solidFill>
          </w14:textFill>
        </w:rPr>
        <w:t>级以上（含</w:t>
      </w:r>
      <w:r>
        <w:rPr>
          <w:rFonts w:hint="eastAsia" w:ascii="宋体" w:hAnsi="宋体" w:cs="宋体"/>
          <w:color w:val="000000" w:themeColor="text1"/>
          <w:sz w:val="24"/>
          <w:highlight w:val="none"/>
          <w:lang w:val="en-US" w:eastAsia="zh-CN"/>
          <w14:textFill>
            <w14:solidFill>
              <w14:schemeClr w14:val="tx1"/>
            </w14:solidFill>
          </w14:textFill>
        </w:rPr>
        <w:t>甲</w:t>
      </w:r>
      <w:r>
        <w:rPr>
          <w:rFonts w:hint="eastAsia" w:ascii="宋体" w:hAnsi="宋体" w:cs="宋体"/>
          <w:color w:val="000000" w:themeColor="text1"/>
          <w:sz w:val="24"/>
          <w:highlight w:val="none"/>
          <w:lang w:eastAsia="zh-CN"/>
          <w14:textFill>
            <w14:solidFill>
              <w14:schemeClr w14:val="tx1"/>
            </w14:solidFill>
          </w14:textFill>
        </w:rPr>
        <w:t>级）资质</w:t>
      </w:r>
      <w:r>
        <w:rPr>
          <w:rFonts w:hint="eastAsia" w:ascii="宋体" w:hAnsi="宋体" w:cs="宋体"/>
          <w:color w:val="000000" w:themeColor="text1"/>
          <w:sz w:val="24"/>
          <w:highlight w:val="none"/>
          <w14:textFill>
            <w14:solidFill>
              <w14:schemeClr w14:val="tx1"/>
            </w14:solidFill>
          </w14:textFill>
        </w:rPr>
        <w:t>。</w:t>
      </w:r>
    </w:p>
    <w:p w14:paraId="016DB38A">
      <w:pPr>
        <w:kinsoku/>
        <w:wordWrap w:val="0"/>
        <w:spacing w:before="78" w:line="360" w:lineRule="auto"/>
        <w:ind w:left="40" w:right="74" w:firstLine="47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投标人应进入交通运输部“全国公路建设市场监督管理系统（https://hwdms.mot.gov.cn/BMWebSite/）”中的公路工程设计资质企业名录，且投标人名称和资质与该名录中的相应企业名称和资质完全一致。</w:t>
      </w:r>
    </w:p>
    <w:p w14:paraId="15FCBEEC">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3.2  本次招标</w:t>
      </w:r>
      <w:r>
        <w:rPr>
          <w:rFonts w:hint="eastAsia" w:ascii="宋体" w:hAnsi="宋体" w:cs="宋体"/>
          <w:b/>
          <w:color w:val="000000" w:themeColor="text1"/>
          <w:sz w:val="24"/>
          <w:highlight w:val="none"/>
          <w:u w:val="single"/>
          <w14:textFill>
            <w14:solidFill>
              <w14:schemeClr w14:val="tx1"/>
            </w14:solidFill>
          </w14:textFill>
        </w:rPr>
        <w:t>不接受</w:t>
      </w:r>
      <w:r>
        <w:rPr>
          <w:rFonts w:hint="eastAsia" w:ascii="宋体" w:hAnsi="宋体" w:cs="宋体"/>
          <w:color w:val="000000" w:themeColor="text1"/>
          <w:sz w:val="24"/>
          <w:highlight w:val="none"/>
          <w14:textFill>
            <w14:solidFill>
              <w14:schemeClr w14:val="tx1"/>
            </w14:solidFill>
          </w14:textFill>
        </w:rPr>
        <w:t>联合体投标。</w:t>
      </w:r>
    </w:p>
    <w:p w14:paraId="12BA8BAF">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3.3  每个投标人最多可对</w:t>
      </w:r>
      <w:r>
        <w:rPr>
          <w:rFonts w:hint="eastAsia" w:ascii="宋体" w:hAnsi="宋体" w:cs="宋体"/>
          <w:color w:val="000000" w:themeColor="text1"/>
          <w:sz w:val="24"/>
          <w:highlight w:val="none"/>
          <w:u w:val="single"/>
          <w14:textFill>
            <w14:solidFill>
              <w14:schemeClr w14:val="tx1"/>
            </w14:solidFill>
          </w14:textFill>
        </w:rPr>
        <w:t xml:space="preserve"> 1 </w:t>
      </w:r>
      <w:r>
        <w:rPr>
          <w:rFonts w:hint="eastAsia" w:ascii="宋体" w:hAnsi="宋体" w:cs="宋体"/>
          <w:color w:val="000000" w:themeColor="text1"/>
          <w:sz w:val="24"/>
          <w:highlight w:val="none"/>
          <w14:textFill>
            <w14:solidFill>
              <w14:schemeClr w14:val="tx1"/>
            </w14:solidFill>
          </w14:textFill>
        </w:rPr>
        <w:t>个标段投标</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且</w:t>
      </w:r>
      <w:r>
        <w:rPr>
          <w:rFonts w:hint="eastAsia" w:ascii="宋体" w:hAnsi="宋体" w:cs="宋体"/>
          <w:color w:val="000000" w:themeColor="text1"/>
          <w:sz w:val="24"/>
          <w:highlight w:val="none"/>
          <w:lang w:eastAsia="zh-CN"/>
          <w14:textFill>
            <w14:solidFill>
              <w14:schemeClr w14:val="tx1"/>
            </w14:solidFill>
          </w14:textFill>
        </w:rPr>
        <w:t>只</w:t>
      </w:r>
      <w:r>
        <w:rPr>
          <w:rFonts w:hint="eastAsia" w:ascii="宋体" w:hAnsi="宋体" w:cs="宋体"/>
          <w:color w:val="000000" w:themeColor="text1"/>
          <w:sz w:val="24"/>
          <w:highlight w:val="none"/>
          <w14:textFill>
            <w14:solidFill>
              <w14:schemeClr w14:val="tx1"/>
            </w14:solidFill>
          </w14:textFill>
        </w:rPr>
        <w:t>允许中</w:t>
      </w:r>
      <w:r>
        <w:rPr>
          <w:rFonts w:hint="eastAsia" w:ascii="宋体" w:hAnsi="宋体" w:cs="宋体"/>
          <w:color w:val="000000" w:themeColor="text1"/>
          <w:sz w:val="24"/>
          <w:highlight w:val="none"/>
          <w:u w:val="single"/>
          <w14:textFill>
            <w14:solidFill>
              <w14:schemeClr w14:val="tx1"/>
            </w14:solidFill>
          </w14:textFill>
        </w:rPr>
        <w:t xml:space="preserve"> 1 </w:t>
      </w:r>
      <w:r>
        <w:rPr>
          <w:rFonts w:hint="eastAsia" w:ascii="宋体" w:hAnsi="宋体" w:cs="宋体"/>
          <w:color w:val="000000" w:themeColor="text1"/>
          <w:sz w:val="24"/>
          <w:highlight w:val="none"/>
          <w14:textFill>
            <w14:solidFill>
              <w14:schemeClr w14:val="tx1"/>
            </w14:solidFill>
          </w14:textFill>
        </w:rPr>
        <w:t>个标。</w:t>
      </w:r>
    </w:p>
    <w:p w14:paraId="0965C60D">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3.4  本项目的</w:t>
      </w:r>
      <w:r>
        <w:rPr>
          <w:rFonts w:hint="eastAsia" w:ascii="宋体" w:hAnsi="宋体" w:cs="宋体"/>
          <w:color w:val="000000" w:themeColor="text1"/>
          <w:sz w:val="24"/>
          <w:highlight w:val="none"/>
          <w:lang w:eastAsia="zh-CN"/>
          <w14:textFill>
            <w14:solidFill>
              <w14:schemeClr w14:val="tx1"/>
            </w14:solidFill>
          </w14:textFill>
        </w:rPr>
        <w:t>设计</w:t>
      </w:r>
      <w:r>
        <w:rPr>
          <w:rFonts w:hint="eastAsia" w:ascii="宋体" w:hAnsi="宋体" w:cs="宋体"/>
          <w:color w:val="000000" w:themeColor="text1"/>
          <w:sz w:val="24"/>
          <w:highlight w:val="none"/>
          <w14:textFill>
            <w14:solidFill>
              <w14:schemeClr w14:val="tx1"/>
            </w14:solidFill>
          </w14:textFill>
        </w:rPr>
        <w:t>咨询中标单位与其存在利害关系的单位均不得参加本项目的</w:t>
      </w:r>
      <w:r>
        <w:rPr>
          <w:rFonts w:hint="eastAsia" w:ascii="宋体" w:hAnsi="宋体" w:cs="宋体"/>
          <w:color w:val="000000" w:themeColor="text1"/>
          <w:sz w:val="24"/>
          <w:highlight w:val="none"/>
          <w:lang w:eastAsia="zh-CN"/>
          <w14:textFill>
            <w14:solidFill>
              <w14:schemeClr w14:val="tx1"/>
            </w14:solidFill>
          </w14:textFill>
        </w:rPr>
        <w:t>设计</w:t>
      </w:r>
      <w:r>
        <w:rPr>
          <w:rFonts w:hint="eastAsia" w:ascii="宋体" w:hAnsi="宋体" w:cs="宋体"/>
          <w:color w:val="000000" w:themeColor="text1"/>
          <w:sz w:val="24"/>
          <w:highlight w:val="none"/>
          <w14:textFill>
            <w14:solidFill>
              <w14:schemeClr w14:val="tx1"/>
            </w14:solidFill>
          </w14:textFill>
        </w:rPr>
        <w:t>投标。</w:t>
      </w:r>
    </w:p>
    <w:p w14:paraId="5E3B426F">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  与招标人存在利害关系可能影响招标公正性的单位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不得参加投标。单位负责人为同一人、或者存在控股、管理关系的不同单位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不得参加同一标段或者未划分标段的同一招标项目投标</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否则相关投标均无效。</w:t>
      </w:r>
    </w:p>
    <w:p w14:paraId="33DE59BD">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注：①单位负责人是指：单位的法定代表人或者法律、行政法规规定代表单位行使职权的主要负责人；</w:t>
      </w:r>
    </w:p>
    <w:p w14:paraId="5505BE5B">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②控股是指：控股是指：出资额占有限责任公司资本总额50%以上或者其持有的股份占股份有限公司股本总额50%以上的，以及出资额或者持有股份的比例虽然不足50%，但依其出资额或者持有的股份所享有的表决权已足以对股东会、股东大会的决议产生重大影响的；</w:t>
      </w:r>
    </w:p>
    <w:p w14:paraId="68C66538">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③管理关系是指：不具有出资持股关系的其它单位之间存在的管理与被管理关系。</w:t>
      </w:r>
    </w:p>
    <w:p w14:paraId="56FDB5A9">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3.6  在“信用中国”网站（http://www.creditchina.gov.cn/）中被列入失信被执行人名单的投标人，在国家企业信用信息公示系统（www.gsxt.gov.cn）中被列入严重违法失信企业名单的投标人，均不得参加投标。</w:t>
      </w:r>
    </w:p>
    <w:p w14:paraId="28DFB497">
      <w:pPr>
        <w:spacing w:line="360" w:lineRule="auto"/>
        <w:outlineLvl w:val="0"/>
        <w:rPr>
          <w:rFonts w:ascii="宋体" w:hAnsi="宋体" w:cs="宋体"/>
          <w:b/>
          <w:color w:val="000000" w:themeColor="text1"/>
          <w:sz w:val="28"/>
          <w:szCs w:val="28"/>
          <w:highlight w:val="none"/>
          <w14:textFill>
            <w14:solidFill>
              <w14:schemeClr w14:val="tx1"/>
            </w14:solidFill>
          </w14:textFill>
        </w:rPr>
      </w:pPr>
      <w:bookmarkStart w:id="14" w:name="_Toc27504"/>
      <w:bookmarkStart w:id="15" w:name="_Toc20991"/>
      <w:bookmarkStart w:id="16" w:name="_Toc8260"/>
      <w:r>
        <w:rPr>
          <w:rFonts w:hint="eastAsia" w:ascii="宋体" w:hAnsi="宋体" w:cs="宋体"/>
          <w:b/>
          <w:color w:val="000000" w:themeColor="text1"/>
          <w:sz w:val="28"/>
          <w:szCs w:val="28"/>
          <w:highlight w:val="none"/>
          <w14:textFill>
            <w14:solidFill>
              <w14:schemeClr w14:val="tx1"/>
            </w14:solidFill>
          </w14:textFill>
        </w:rPr>
        <w:t>4. 技术成果经济补偿</w:t>
      </w:r>
      <w:bookmarkEnd w:id="14"/>
      <w:bookmarkEnd w:id="15"/>
      <w:bookmarkEnd w:id="16"/>
    </w:p>
    <w:p w14:paraId="0556979B">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本次招标对未中标人投标文件中的技术成果不给予经济补偿。</w:t>
      </w:r>
    </w:p>
    <w:p w14:paraId="094EB4F6">
      <w:pPr>
        <w:spacing w:line="360" w:lineRule="auto"/>
        <w:outlineLvl w:val="0"/>
        <w:rPr>
          <w:rFonts w:ascii="宋体" w:hAnsi="宋体" w:cs="宋体"/>
          <w:b/>
          <w:color w:val="000000" w:themeColor="text1"/>
          <w:sz w:val="28"/>
          <w:szCs w:val="28"/>
          <w:highlight w:val="none"/>
          <w14:textFill>
            <w14:solidFill>
              <w14:schemeClr w14:val="tx1"/>
            </w14:solidFill>
          </w14:textFill>
        </w:rPr>
      </w:pPr>
      <w:bookmarkStart w:id="17" w:name="_Toc13770"/>
      <w:bookmarkStart w:id="18" w:name="_Toc20660"/>
      <w:bookmarkStart w:id="19" w:name="_Toc6931"/>
      <w:r>
        <w:rPr>
          <w:rFonts w:hint="eastAsia" w:ascii="宋体" w:hAnsi="宋体" w:cs="宋体"/>
          <w:b/>
          <w:color w:val="000000" w:themeColor="text1"/>
          <w:sz w:val="28"/>
          <w:szCs w:val="28"/>
          <w:highlight w:val="none"/>
          <w14:textFill>
            <w14:solidFill>
              <w14:schemeClr w14:val="tx1"/>
            </w14:solidFill>
          </w14:textFill>
        </w:rPr>
        <w:t>5.</w:t>
      </w:r>
      <w:bookmarkEnd w:id="17"/>
      <w:bookmarkEnd w:id="18"/>
      <w:r>
        <w:rPr>
          <w:rFonts w:hint="eastAsia" w:ascii="宋体" w:hAnsi="宋体" w:cs="宋体"/>
          <w:b/>
          <w:color w:val="000000" w:themeColor="text1"/>
          <w:sz w:val="28"/>
          <w:szCs w:val="28"/>
          <w:highlight w:val="none"/>
          <w14:textFill>
            <w14:solidFill>
              <w14:schemeClr w14:val="tx1"/>
            </w14:solidFill>
          </w14:textFill>
        </w:rPr>
        <w:t>招标文件的获取</w:t>
      </w:r>
      <w:bookmarkEnd w:id="19"/>
    </w:p>
    <w:p w14:paraId="0C0BCA09">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5.1本次招标实行电子投标。本项目招标文件随招标公告一并在全国公共资源交易平台（广东省·韶关市）（</w:t>
      </w:r>
      <w:r>
        <w:rPr>
          <w:rFonts w:hint="eastAsia" w:ascii="宋体" w:hAnsi="宋体" w:eastAsia="宋体"/>
          <w:color w:val="000000" w:themeColor="text1"/>
          <w:sz w:val="24"/>
          <w:highlight w:val="none"/>
          <w:lang w:eastAsia="zh-CN"/>
          <w14:textFill>
            <w14:solidFill>
              <w14:schemeClr w14:val="tx1"/>
            </w14:solidFill>
          </w14:textFill>
        </w:rPr>
        <w:t>https://ygp.gdzwfw.gov.cn/#/440200/index</w:t>
      </w:r>
      <w:r>
        <w:rPr>
          <w:rFonts w:hint="eastAsia" w:ascii="宋体" w:hAnsi="宋体"/>
          <w:color w:val="000000" w:themeColor="text1"/>
          <w:sz w:val="24"/>
          <w:highlight w:val="none"/>
          <w14:textFill>
            <w14:solidFill>
              <w14:schemeClr w14:val="tx1"/>
            </w14:solidFill>
          </w14:textFill>
        </w:rPr>
        <w:t>）网站发布。招标文件一经在交易平台发布，视为发送投标人，招标文件及相关附件由投标人自行在交易平台网站下载。招标文件获取期间（</w:t>
      </w:r>
      <w:r>
        <w:rPr>
          <w:rFonts w:hint="eastAsia" w:ascii="宋体" w:hAnsi="宋体"/>
          <w:color w:val="000000" w:themeColor="text1"/>
          <w:sz w:val="24"/>
          <w:highlight w:val="none"/>
          <w:lang w:eastAsia="zh-CN"/>
          <w14:textFill>
            <w14:solidFill>
              <w14:schemeClr w14:val="tx1"/>
            </w14:solidFill>
          </w14:textFill>
        </w:rPr>
        <w:t>见“重要事项时间地点一览表”</w:t>
      </w:r>
      <w:r>
        <w:rPr>
          <w:rFonts w:hint="eastAsia" w:ascii="宋体" w:hAnsi="宋体"/>
          <w:color w:val="000000" w:themeColor="text1"/>
          <w:sz w:val="24"/>
          <w:highlight w:val="none"/>
          <w14:textFill>
            <w14:solidFill>
              <w14:schemeClr w14:val="tx1"/>
            </w14:solidFill>
          </w14:textFill>
        </w:rPr>
        <w:t>，招标文件获取期间与招标公告发布时间一致），投标人须登录全国公共资源交易平台（广东省·韶关市）（</w:t>
      </w:r>
      <w:r>
        <w:rPr>
          <w:rFonts w:hint="eastAsia" w:ascii="宋体" w:hAnsi="宋体" w:eastAsia="宋体"/>
          <w:color w:val="000000" w:themeColor="text1"/>
          <w:sz w:val="24"/>
          <w:highlight w:val="none"/>
          <w:lang w:eastAsia="zh-CN"/>
          <w14:textFill>
            <w14:solidFill>
              <w14:schemeClr w14:val="tx1"/>
            </w14:solidFill>
          </w14:textFill>
        </w:rPr>
        <w:t>https://ygp.gdzwfw.gov.cn/#/440200/index</w:t>
      </w:r>
      <w:r>
        <w:rPr>
          <w:rFonts w:hint="eastAsia" w:ascii="宋体" w:hAnsi="宋体"/>
          <w:color w:val="000000" w:themeColor="text1"/>
          <w:sz w:val="24"/>
          <w:highlight w:val="none"/>
          <w14:textFill>
            <w14:solidFill>
              <w14:schemeClr w14:val="tx1"/>
            </w14:solidFill>
          </w14:textFill>
        </w:rPr>
        <w:t>）下载招标文件及相关附件，并于电子投标截止时间（</w:t>
      </w:r>
      <w:r>
        <w:rPr>
          <w:rFonts w:hint="eastAsia" w:ascii="宋体" w:hAnsi="宋体"/>
          <w:color w:val="000000" w:themeColor="text1"/>
          <w:sz w:val="24"/>
          <w:highlight w:val="none"/>
          <w:lang w:eastAsia="zh-CN"/>
          <w14:textFill>
            <w14:solidFill>
              <w14:schemeClr w14:val="tx1"/>
            </w14:solidFill>
          </w14:textFill>
        </w:rPr>
        <w:t>见“重要事项时间地点一览表”</w:t>
      </w:r>
      <w:r>
        <w:rPr>
          <w:rFonts w:hint="eastAsia" w:ascii="宋体" w:hAnsi="宋体"/>
          <w:color w:val="000000" w:themeColor="text1"/>
          <w:sz w:val="24"/>
          <w:highlight w:val="none"/>
          <w14:textFill>
            <w14:solidFill>
              <w14:schemeClr w14:val="tx1"/>
            </w14:solidFill>
          </w14:textFill>
        </w:rPr>
        <w:t>）前完成电子投标。投标人可登录全国公共资源交易平台（广东省·韶关市）（</w:t>
      </w:r>
      <w:r>
        <w:rPr>
          <w:rFonts w:hint="eastAsia" w:ascii="宋体" w:hAnsi="宋体" w:eastAsia="宋体"/>
          <w:color w:val="000000" w:themeColor="text1"/>
          <w:sz w:val="24"/>
          <w:highlight w:val="none"/>
          <w:lang w:eastAsia="zh-CN"/>
          <w14:textFill>
            <w14:solidFill>
              <w14:schemeClr w14:val="tx1"/>
            </w14:solidFill>
          </w14:textFill>
        </w:rPr>
        <w:t>https://ygp.gdzwfw.gov.cn/#/440200/index</w:t>
      </w:r>
      <w:r>
        <w:rPr>
          <w:rFonts w:hint="eastAsia" w:ascii="宋体" w:hAnsi="宋体"/>
          <w:color w:val="000000" w:themeColor="text1"/>
          <w:sz w:val="24"/>
          <w:highlight w:val="none"/>
          <w14:textFill>
            <w14:solidFill>
              <w14:schemeClr w14:val="tx1"/>
            </w14:solidFill>
          </w14:textFill>
        </w:rPr>
        <w:t>），在【服务指南】栏目中下载《韶关市公共资源建设工程交易系统-投标人操作指南（电子评标）》，了解网上获取招标文件操作流程。技术咨询电话：0751-8379671 伍先生，业务咨询电话：0751-8633211、8633071。</w:t>
      </w:r>
    </w:p>
    <w:p w14:paraId="6A252C96">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lang w:val="en-US" w:eastAsia="zh-CN"/>
          <w14:textFill>
            <w14:solidFill>
              <w14:schemeClr w14:val="tx1"/>
            </w14:solidFill>
          </w14:textFill>
        </w:rPr>
        <w:t>2 只有申领了数字证书（CA）、“粤企签”或GDCA/SZCA/NETCA等符合法律法规规定的电子印章，并在交易平台中完成企业信息数据入库的投标人，方可在交易平台获取招标文件和电子投标。</w:t>
      </w:r>
    </w:p>
    <w:p w14:paraId="030D8717">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首次在韶关市参与建设工程招标投标活动的投标人，必须在交易平台上传企业相关资料办理企业入库事宜。投标人可登录全国公共资源交易平台（广东省·韶关市）（https://ygp.gdzwfw.gov.cn/#/440200/index）办理企业入库、数字证书及电子印章事宜，具体请在交易平台查阅相应的交易指引。</w:t>
      </w:r>
    </w:p>
    <w:p w14:paraId="1F06EC0D">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已入库企业有关信息（如单位名称、基本账号、资质、人员等）发生变化的，须及时在交易平台进行相应变更。投标人未及时变更信息而造成的损失和后果，由投标人自行承担。</w:t>
      </w:r>
    </w:p>
    <w:p w14:paraId="154A9A05">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284C796">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lang w:val="en-US" w:eastAsia="zh-CN"/>
          <w14:textFill>
            <w14:solidFill>
              <w14:schemeClr w14:val="tx1"/>
            </w14:solidFill>
          </w14:textFill>
        </w:rPr>
        <w:t>3 投标保证：</w:t>
      </w:r>
      <w:r>
        <w:rPr>
          <w:rFonts w:hint="eastAsia" w:ascii="宋体" w:hAnsi="宋体"/>
          <w:color w:val="000000" w:themeColor="text1"/>
          <w:sz w:val="24"/>
          <w:highlight w:val="none"/>
          <w:lang w:val="en-US" w:eastAsia="zh-CN"/>
          <w14:textFill>
            <w14:solidFill>
              <w14:schemeClr w14:val="tx1"/>
            </w14:solidFill>
          </w14:textFill>
        </w:rPr>
        <w:t>投标人须缴纳金额为人民币</w:t>
      </w:r>
      <w:r>
        <w:rPr>
          <w:rFonts w:hint="eastAsia" w:ascii="宋体" w:hAnsi="宋体"/>
          <w:b/>
          <w:bCs/>
          <w:color w:val="000000" w:themeColor="text1"/>
          <w:sz w:val="24"/>
          <w:highlight w:val="none"/>
          <w:lang w:val="en-US" w:eastAsia="zh-CN"/>
          <w14:textFill>
            <w14:solidFill>
              <w14:schemeClr w14:val="tx1"/>
            </w14:solidFill>
          </w14:textFill>
        </w:rPr>
        <w:t>5万元整</w:t>
      </w:r>
      <w:r>
        <w:rPr>
          <w:rFonts w:hint="eastAsia" w:ascii="宋体" w:hAnsi="宋体"/>
          <w:color w:val="000000" w:themeColor="text1"/>
          <w:sz w:val="24"/>
          <w:highlight w:val="none"/>
          <w:lang w:val="en-US" w:eastAsia="zh-CN"/>
          <w14:textFill>
            <w14:solidFill>
              <w14:schemeClr w14:val="tx1"/>
            </w14:solidFill>
          </w14:textFill>
        </w:rPr>
        <w:t>的投标保证</w:t>
      </w:r>
      <w:r>
        <w:rPr>
          <w:rFonts w:hint="eastAsia" w:ascii="宋体" w:hAnsi="宋体"/>
          <w:color w:val="000000" w:themeColor="text1"/>
          <w:sz w:val="24"/>
          <w:highlight w:val="none"/>
          <w:lang w:val="en-US" w:eastAsia="zh-CN"/>
          <w14:textFill>
            <w14:solidFill>
              <w14:schemeClr w14:val="tx1"/>
            </w14:solidFill>
          </w14:textFill>
        </w:rPr>
        <w:t>。</w:t>
      </w:r>
    </w:p>
    <w:p w14:paraId="62DAE1E2">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lang w:val="en-US" w:eastAsia="zh-CN"/>
          <w14:textFill>
            <w14:solidFill>
              <w14:schemeClr w14:val="tx1"/>
            </w14:solidFill>
          </w14:textFill>
        </w:rPr>
        <w:t>3.1 投标保证的形式包括投标保证金、投标保证担保、投标保证保险三种，由投标人自主选择。</w:t>
      </w:r>
    </w:p>
    <w:p w14:paraId="2B2FB392">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09D0E4E9">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采用投标保证担保的，投标人应提交有效的电子保函，电子保函的有效期不得短于投标有效期。投标人必须在投标保证担保截止时间（详见本章第二节“重要事项时间地点一览表”）前，使用工程建设交易系统完成网上办理电子保函。</w:t>
      </w:r>
    </w:p>
    <w:p w14:paraId="33B06704">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(3)采用投标保证保险的，投标人须在投标保证保险投保截止时间（详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440200/index)在【服务指南】栏目中下载《韶关市公共资源建设工程交易系统-投标人操作指南》，了解网上投保具体操作流程。逾期投保的，其投标无效。</w:t>
      </w:r>
    </w:p>
    <w:p w14:paraId="1E61047B">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061FDD28">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5.4 若投标人因自身原因未能正确完成网上获取招标文件、电子投标、缴纳投标保证的，其投标无效。</w:t>
      </w:r>
    </w:p>
    <w:p w14:paraId="2690B8CF">
      <w:pPr>
        <w:spacing w:line="360" w:lineRule="auto"/>
        <w:outlineLvl w:val="0"/>
        <w:rPr>
          <w:rFonts w:hint="eastAsia" w:ascii="宋体" w:hAnsi="宋体" w:cs="宋体"/>
          <w:b/>
          <w:color w:val="000000" w:themeColor="text1"/>
          <w:sz w:val="28"/>
          <w:szCs w:val="28"/>
          <w:highlight w:val="none"/>
          <w14:textFill>
            <w14:solidFill>
              <w14:schemeClr w14:val="tx1"/>
            </w14:solidFill>
          </w14:textFill>
        </w:rPr>
      </w:pPr>
      <w:bookmarkStart w:id="20" w:name="_Toc23194"/>
      <w:bookmarkStart w:id="21" w:name="_Toc24988"/>
      <w:bookmarkStart w:id="22" w:name="_Toc3025"/>
      <w:r>
        <w:rPr>
          <w:rFonts w:hint="eastAsia" w:ascii="宋体" w:hAnsi="宋体" w:cs="宋体"/>
          <w:b/>
          <w:color w:val="000000" w:themeColor="text1"/>
          <w:sz w:val="28"/>
          <w:szCs w:val="28"/>
          <w:highlight w:val="none"/>
          <w14:textFill>
            <w14:solidFill>
              <w14:schemeClr w14:val="tx1"/>
            </w14:solidFill>
          </w14:textFill>
        </w:rPr>
        <w:t>6.</w:t>
      </w:r>
      <w:bookmarkEnd w:id="20"/>
      <w:bookmarkEnd w:id="21"/>
      <w:r>
        <w:rPr>
          <w:rFonts w:hint="eastAsia" w:ascii="宋体" w:hAnsi="宋体" w:cs="宋体"/>
          <w:b/>
          <w:color w:val="000000" w:themeColor="text1"/>
          <w:sz w:val="28"/>
          <w:szCs w:val="28"/>
          <w:highlight w:val="none"/>
          <w14:textFill>
            <w14:solidFill>
              <w14:schemeClr w14:val="tx1"/>
            </w14:solidFill>
          </w14:textFill>
        </w:rPr>
        <w:t>电子投标及相关事宜</w:t>
      </w:r>
      <w:bookmarkEnd w:id="22"/>
    </w:p>
    <w:p w14:paraId="2576F269">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6</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.1 投标人若对招标文件等资料有疑问，应在提问截止时间（</w:t>
      </w:r>
      <w:r>
        <w:rPr>
          <w:rFonts w:hint="eastAsia" w:ascii="宋体" w:hAnsi="宋体" w:cs="Calibri"/>
          <w:color w:val="000000" w:themeColor="text1"/>
          <w:kern w:val="2"/>
          <w:sz w:val="24"/>
          <w:szCs w:val="28"/>
          <w:highlight w:val="none"/>
          <w:lang w:val="en-US" w:eastAsia="zh-CN" w:bidi="ar-SA"/>
          <w14:textFill>
            <w14:solidFill>
              <w14:schemeClr w14:val="tx1"/>
            </w14:solidFill>
          </w14:textFill>
        </w:rPr>
        <w:t>见“重要事项时间地点一览表”</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）前在交易平台提出问题。未在指定时间前、未采用指定方式提出的，招标人不予受理。</w:t>
      </w:r>
    </w:p>
    <w:p w14:paraId="1708184E">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6</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.2 招标人在提问截止时间（</w:t>
      </w:r>
      <w:r>
        <w:rPr>
          <w:rFonts w:hint="eastAsia" w:ascii="宋体" w:hAnsi="宋体" w:cs="Calibri"/>
          <w:color w:val="000000" w:themeColor="text1"/>
          <w:kern w:val="2"/>
          <w:sz w:val="24"/>
          <w:szCs w:val="28"/>
          <w:highlight w:val="none"/>
          <w:lang w:val="en-US" w:eastAsia="zh-CN" w:bidi="ar-SA"/>
          <w14:textFill>
            <w14:solidFill>
              <w14:schemeClr w14:val="tx1"/>
            </w14:solidFill>
          </w14:textFill>
        </w:rPr>
        <w:t>见“重要事项时间地点一览表”</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C60B559">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6</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.3 招标人对招标文件所作的答疑（或修改）公告，构成招标文件的组成部分。</w:t>
      </w:r>
    </w:p>
    <w:p w14:paraId="57E3259E">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 xml:space="preserve">6.4 </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投标人必须在规定的截止时间前（</w:t>
      </w:r>
      <w:r>
        <w:rPr>
          <w:rFonts w:hint="eastAsia" w:ascii="宋体" w:hAnsi="宋体" w:cs="Calibri"/>
          <w:color w:val="000000" w:themeColor="text1"/>
          <w:kern w:val="2"/>
          <w:sz w:val="24"/>
          <w:szCs w:val="28"/>
          <w:highlight w:val="none"/>
          <w:lang w:val="en-US" w:eastAsia="zh-CN" w:bidi="ar-SA"/>
          <w14:textFill>
            <w14:solidFill>
              <w14:schemeClr w14:val="tx1"/>
            </w14:solidFill>
          </w14:textFill>
        </w:rPr>
        <w:t>见“重要事项时间地点一览表”</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）在交易平台完成网上获取招标文件、缴纳投标保证和全流程电子投标。只有满足以上所有条件，方为有效投标。</w:t>
      </w:r>
    </w:p>
    <w:p w14:paraId="34D6B1C9">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 xml:space="preserve">6.5 </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根据《关于全面启用全流程电子化招标投标的通知》（韶交易发〔2022〕24 号）文件，进入交易平台以招标方式进行交易的项目将全面启用全流程电子化招标投标。投标人可通过交易平台在线办理电子保函、保证保险和投标、下载中标通知书等业务。全流程电子化招标投标项目不再接收纸质投标文件，也不接收纸质保函等单证资料。</w:t>
      </w:r>
    </w:p>
    <w:p w14:paraId="6DDFF67F">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 xml:space="preserve">6.6 </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75C9D7">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6.7 开标时间和地点：见“重要事项时间地点一览表”。投标人无须进行现场签到（需要提交评审原件时，投标人可在规定的地点、时间内递交至开标现场，无原件的不作要求），可登录交易平台及时观看开标实况、提出异议或进行澄清、确认等操作，具体详见招标文件和系统操作手册为准</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w:t>
      </w:r>
    </w:p>
    <w:p w14:paraId="712C8E66">
      <w:pPr>
        <w:spacing w:line="360" w:lineRule="auto"/>
        <w:outlineLvl w:val="0"/>
        <w:rPr>
          <w:rFonts w:hint="eastAsia" w:ascii="宋体" w:hAnsi="宋体" w:cs="宋体"/>
          <w:b/>
          <w:color w:val="000000" w:themeColor="text1"/>
          <w:sz w:val="28"/>
          <w:szCs w:val="28"/>
          <w:highlight w:val="none"/>
          <w14:textFill>
            <w14:solidFill>
              <w14:schemeClr w14:val="tx1"/>
            </w14:solidFill>
          </w14:textFill>
        </w:rPr>
      </w:pPr>
      <w:bookmarkStart w:id="23" w:name="_Toc15127"/>
      <w:bookmarkStart w:id="24" w:name="_Toc14347"/>
      <w:r>
        <w:rPr>
          <w:rFonts w:hint="eastAsia" w:ascii="宋体" w:hAnsi="宋体" w:cs="宋体"/>
          <w:b/>
          <w:color w:val="000000" w:themeColor="text1"/>
          <w:sz w:val="28"/>
          <w:szCs w:val="28"/>
          <w:highlight w:val="none"/>
          <w:lang w:val="en-US" w:eastAsia="zh-CN"/>
          <w14:textFill>
            <w14:solidFill>
              <w14:schemeClr w14:val="tx1"/>
            </w14:solidFill>
          </w14:textFill>
        </w:rPr>
        <w:t>7</w:t>
      </w:r>
      <w:r>
        <w:rPr>
          <w:rFonts w:hint="eastAsia" w:ascii="宋体" w:hAnsi="宋体" w:cs="宋体"/>
          <w:b/>
          <w:color w:val="000000" w:themeColor="text1"/>
          <w:sz w:val="28"/>
          <w:szCs w:val="28"/>
          <w:highlight w:val="none"/>
          <w14:textFill>
            <w14:solidFill>
              <w14:schemeClr w14:val="tx1"/>
            </w14:solidFill>
          </w14:textFill>
        </w:rPr>
        <w:t>.发布公告的媒介</w:t>
      </w:r>
      <w:bookmarkEnd w:id="23"/>
    </w:p>
    <w:p w14:paraId="07BC0837">
      <w:pPr>
        <w:spacing w:after="136" w:line="360" w:lineRule="auto"/>
        <w:ind w:firstLine="600" w:firstLineChars="25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本次招标公告同时在广东省招标投标监管网（</w:t>
      </w:r>
      <w:r>
        <w:rPr>
          <w:rFonts w:hint="eastAsia" w:ascii="宋体" w:hAnsi="宋体" w:eastAsia="宋体" w:cs="宋体"/>
          <w:color w:val="000000" w:themeColor="text1"/>
          <w:kern w:val="0"/>
          <w:sz w:val="24"/>
          <w:highlight w:val="none"/>
          <w:lang w:eastAsia="zh-CN"/>
          <w14:textFill>
            <w14:solidFill>
              <w14:schemeClr w14:val="tx1"/>
            </w14:solidFill>
          </w14:textFill>
        </w:rPr>
        <w:t>http://zbtb.gd.gov.cn/#/index</w:t>
      </w:r>
      <w:r>
        <w:rPr>
          <w:rFonts w:hint="eastAsia" w:ascii="宋体" w:hAnsi="宋体" w:cs="宋体"/>
          <w:color w:val="000000" w:themeColor="text1"/>
          <w:kern w:val="0"/>
          <w:sz w:val="24"/>
          <w:highlight w:val="none"/>
          <w14:textFill>
            <w14:solidFill>
              <w14:schemeClr w14:val="tx1"/>
            </w14:solidFill>
          </w14:textFill>
        </w:rPr>
        <w:t>）及</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全国公共资源交易平台（广东省·韶关市）（https://ygp.gdzwfw.gov.cn/#/440200/index）</w:t>
      </w:r>
      <w:r>
        <w:rPr>
          <w:rFonts w:hint="eastAsia" w:ascii="宋体" w:hAnsi="宋体" w:cs="宋体"/>
          <w:color w:val="000000" w:themeColor="text1"/>
          <w:kern w:val="0"/>
          <w:sz w:val="24"/>
          <w:highlight w:val="none"/>
          <w14:textFill>
            <w14:solidFill>
              <w14:schemeClr w14:val="tx1"/>
            </w14:solidFill>
          </w14:textFill>
        </w:rPr>
        <w:t>公布</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如公告详细内容不一致者</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以</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全国公共资源交易平台（广东省·韶关市）（https://ygp.gdzwfw.gov.cn/#/440200/index）</w:t>
      </w:r>
      <w:r>
        <w:rPr>
          <w:rFonts w:hint="eastAsia" w:ascii="宋体" w:hAnsi="宋体" w:cs="宋体"/>
          <w:color w:val="000000" w:themeColor="text1"/>
          <w:kern w:val="0"/>
          <w:sz w:val="24"/>
          <w:highlight w:val="none"/>
          <w14:textFill>
            <w14:solidFill>
              <w14:schemeClr w14:val="tx1"/>
            </w14:solidFill>
          </w14:textFill>
        </w:rPr>
        <w:t>公告为准。</w:t>
      </w:r>
    </w:p>
    <w:p w14:paraId="22809C7D">
      <w:pPr>
        <w:spacing w:after="136" w:line="360" w:lineRule="auto"/>
        <w:rPr>
          <w:rFonts w:hint="eastAsia"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 xml:space="preserve">    在规定的获取招标文件期间，如本标段获取招标文件的投标人不足 3 家时，招标人依法有权选择以下任一方式：（1）在全国公共资源交易平台（广东省·韶关市）发布公告延长获取招标文件时间，在延期获取招标文件时间内，已获取招标文件投标人的资料仍有效并可自行补充资料，未获取招标文件的投标人可根据公告的约定进行获取招标文件；（2）依法重新组织招标。</w:t>
      </w:r>
    </w:p>
    <w:p w14:paraId="7A7E55B2">
      <w:pPr>
        <w:spacing w:after="136" w:line="360" w:lineRule="auto"/>
        <w:rPr>
          <w:rFonts w:hint="eastAsia"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 xml:space="preserve">     投标保证金缴纳截止时间到期后，若</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全国公共资源交易平台（广东省·韶关市）</w:t>
      </w:r>
      <w:r>
        <w:rPr>
          <w:rFonts w:hint="eastAsia" w:ascii="宋体" w:hAnsi="宋体" w:cs="宋体"/>
          <w:color w:val="000000" w:themeColor="text1"/>
          <w:kern w:val="0"/>
          <w:sz w:val="24"/>
          <w:highlight w:val="none"/>
          <w:lang w:val="en-US" w:eastAsia="zh-CN"/>
          <w14:textFill>
            <w14:solidFill>
              <w14:schemeClr w14:val="tx1"/>
            </w14:solidFill>
          </w14:textFill>
        </w:rPr>
        <w:t>交易系统显示成功缴纳投标保证金的投标人数量少于3家时，招标人将取消于次日召开的项目开标会，重新组织招标。投标人可在投标保证金缴纳截止时间起至电子投标截止时间前自行登录</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全国公共资源交易平台（广东省·韶关市）</w:t>
      </w:r>
      <w:r>
        <w:rPr>
          <w:rFonts w:hint="eastAsia" w:ascii="宋体" w:hAnsi="宋体" w:cs="宋体"/>
          <w:color w:val="000000" w:themeColor="text1"/>
          <w:kern w:val="0"/>
          <w:sz w:val="24"/>
          <w:highlight w:val="none"/>
          <w:lang w:val="en-US" w:eastAsia="zh-CN"/>
          <w14:textFill>
            <w14:solidFill>
              <w14:schemeClr w14:val="tx1"/>
            </w14:solidFill>
          </w14:textFill>
        </w:rPr>
        <w:t>查询是否发布了取消项目开标会的相关信息。</w:t>
      </w:r>
    </w:p>
    <w:p w14:paraId="5B2AA3B5">
      <w:pPr>
        <w:spacing w:line="360" w:lineRule="auto"/>
        <w:outlineLvl w:val="0"/>
        <w:rPr>
          <w:rFonts w:hint="eastAsia" w:ascii="宋体" w:hAnsi="宋体" w:cs="宋体"/>
          <w:b/>
          <w:color w:val="000000" w:themeColor="text1"/>
          <w:sz w:val="28"/>
          <w:szCs w:val="28"/>
          <w:highlight w:val="none"/>
          <w:lang w:val="en-US" w:eastAsia="zh-CN"/>
          <w14:textFill>
            <w14:solidFill>
              <w14:schemeClr w14:val="tx1"/>
            </w14:solidFill>
          </w14:textFill>
        </w:rPr>
      </w:pPr>
      <w:bookmarkStart w:id="25" w:name="_Toc14453"/>
      <w:r>
        <w:rPr>
          <w:rFonts w:hint="eastAsia" w:ascii="宋体" w:hAnsi="宋体" w:cs="宋体"/>
          <w:b/>
          <w:color w:val="000000" w:themeColor="text1"/>
          <w:sz w:val="28"/>
          <w:szCs w:val="28"/>
          <w:highlight w:val="none"/>
          <w:lang w:val="en-US" w:eastAsia="zh-CN"/>
          <w14:textFill>
            <w14:solidFill>
              <w14:schemeClr w14:val="tx1"/>
            </w14:solidFill>
          </w14:textFill>
        </w:rPr>
        <w:t>8.联系方式</w:t>
      </w:r>
      <w:bookmarkEnd w:id="24"/>
      <w:bookmarkEnd w:id="25"/>
    </w:p>
    <w:tbl>
      <w:tblPr>
        <w:tblStyle w:val="19"/>
        <w:tblW w:w="100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6"/>
        <w:gridCol w:w="5148"/>
      </w:tblGrid>
      <w:tr w14:paraId="750AC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4926" w:type="dxa"/>
            <w:tcBorders>
              <w:tl2br w:val="nil"/>
              <w:tr2bl w:val="nil"/>
            </w:tcBorders>
          </w:tcPr>
          <w:p w14:paraId="09E50C7E">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招 标 人：</w:t>
            </w:r>
            <w:r>
              <w:rPr>
                <w:rFonts w:hint="eastAsia" w:ascii="宋体" w:hAnsi="宋体" w:eastAsia="宋体" w:cs="宋体"/>
                <w:color w:val="000000" w:themeColor="text1"/>
                <w:sz w:val="24"/>
                <w:highlight w:val="none"/>
                <w:lang w:eastAsia="zh-CN"/>
                <w14:textFill>
                  <w14:solidFill>
                    <w14:schemeClr w14:val="tx1"/>
                  </w14:solidFill>
                </w14:textFill>
              </w:rPr>
              <w:t>始兴县地方公路事务中心</w:t>
            </w:r>
          </w:p>
          <w:p w14:paraId="425D7637">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lang w:eastAsia="zh-CN"/>
                <w14:textFill>
                  <w14:solidFill>
                    <w14:schemeClr w14:val="tx1"/>
                  </w14:solidFill>
                </w14:textFill>
              </w:rPr>
              <w:t>始兴县太平镇北门路420号</w:t>
            </w:r>
          </w:p>
          <w:p w14:paraId="7E6F9F20">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邮政编码：512199</w:t>
            </w:r>
          </w:p>
          <w:p w14:paraId="166566B3">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 系 人：</w:t>
            </w: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刘工</w:t>
            </w:r>
          </w:p>
          <w:p w14:paraId="039DE24B">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    话：</w:t>
            </w:r>
            <w:r>
              <w:rPr>
                <w:rFonts w:hint="eastAsia" w:ascii="宋体" w:hAnsi="宋体" w:eastAsia="宋体" w:cs="宋体"/>
                <w:color w:val="000000" w:themeColor="text1"/>
                <w:sz w:val="24"/>
                <w:highlight w:val="none"/>
                <w:lang w:eastAsia="zh-CN"/>
                <w14:textFill>
                  <w14:solidFill>
                    <w14:schemeClr w14:val="tx1"/>
                  </w14:solidFill>
                </w14:textFill>
              </w:rPr>
              <w:t>0751-</w:t>
            </w:r>
            <w:r>
              <w:rPr>
                <w:rFonts w:hint="eastAsia" w:ascii="宋体" w:hAnsi="宋体" w:eastAsia="宋体" w:cs="宋体"/>
                <w:color w:val="000000" w:themeColor="text1"/>
                <w:sz w:val="24"/>
                <w:highlight w:val="none"/>
                <w:lang w:val="en-US" w:eastAsia="zh-CN"/>
                <w14:textFill>
                  <w14:solidFill>
                    <w14:schemeClr w14:val="tx1"/>
                  </w14:solidFill>
                </w14:textFill>
              </w:rPr>
              <w:t>6927330</w:t>
            </w:r>
          </w:p>
        </w:tc>
        <w:tc>
          <w:tcPr>
            <w:tcW w:w="5148" w:type="dxa"/>
            <w:tcBorders>
              <w:tl2br w:val="nil"/>
              <w:tr2bl w:val="nil"/>
            </w:tcBorders>
          </w:tcPr>
          <w:p w14:paraId="038B686E">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代理机构：</w:t>
            </w:r>
            <w:r>
              <w:rPr>
                <w:rFonts w:hint="eastAsia" w:ascii="宋体" w:hAnsi="宋体" w:eastAsia="宋体" w:cs="宋体"/>
                <w:color w:val="000000" w:themeColor="text1"/>
                <w:sz w:val="24"/>
                <w:highlight w:val="none"/>
                <w:lang w:eastAsia="zh-CN"/>
                <w14:textFill>
                  <w14:solidFill>
                    <w14:schemeClr w14:val="tx1"/>
                  </w14:solidFill>
                </w14:textFill>
              </w:rPr>
              <w:t>广州市广州工程建设监理有限公司</w:t>
            </w:r>
          </w:p>
          <w:p w14:paraId="2FB0E247">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址：韶关市武江区沐溪大道168号韶关市越辉科技创业服务有限公司科研服务楼B603-2</w:t>
            </w:r>
          </w:p>
          <w:p w14:paraId="69297CCE">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 系 人：</w:t>
            </w: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何工</w:t>
            </w:r>
          </w:p>
          <w:p w14:paraId="0DBB1F8E">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    话：13826383866</w:t>
            </w:r>
          </w:p>
        </w:tc>
      </w:tr>
      <w:tr w14:paraId="2271B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074" w:type="dxa"/>
            <w:gridSpan w:val="2"/>
            <w:tcBorders>
              <w:tl2br w:val="nil"/>
              <w:tr2bl w:val="nil"/>
            </w:tcBorders>
          </w:tcPr>
          <w:p w14:paraId="02CF423D">
            <w:pPr>
              <w:pStyle w:val="15"/>
              <w:widowControl/>
              <w:spacing w:beforeLines="100"/>
              <w:jc w:val="righ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30</w:t>
            </w:r>
            <w:r>
              <w:rPr>
                <w:rFonts w:hint="eastAsia" w:ascii="宋体" w:hAnsi="宋体" w:cs="宋体"/>
                <w:color w:val="000000" w:themeColor="text1"/>
                <w:highlight w:val="none"/>
                <w:lang w:eastAsia="zh-CN"/>
                <w14:textFill>
                  <w14:solidFill>
                    <w14:schemeClr w14:val="tx1"/>
                  </w14:solidFill>
                </w14:textFill>
              </w:rPr>
              <w:t>日</w:t>
            </w:r>
          </w:p>
        </w:tc>
      </w:tr>
    </w:tbl>
    <w:p w14:paraId="14588619">
      <w:pPr>
        <w:rPr>
          <w:rFonts w:ascii="宋体" w:hAnsi="宋体" w:cs="宋体"/>
          <w:b/>
          <w:color w:val="000000" w:themeColor="text1"/>
          <w:sz w:val="28"/>
          <w:szCs w:val="28"/>
          <w:highlight w:val="none"/>
          <w:lang w:eastAsia="zh-CN"/>
          <w14:textFill>
            <w14:solidFill>
              <w14:schemeClr w14:val="tx1"/>
            </w14:solidFill>
          </w14:textFill>
        </w:rPr>
      </w:pPr>
      <w:r>
        <w:rPr>
          <w:rFonts w:hint="eastAsia" w:ascii="宋体" w:hAnsi="宋体" w:cs="宋体"/>
          <w:b/>
          <w:color w:val="000000" w:themeColor="text1"/>
          <w:sz w:val="28"/>
          <w:szCs w:val="28"/>
          <w:highlight w:val="none"/>
          <w:lang w:eastAsia="zh-CN"/>
          <w14:textFill>
            <w14:solidFill>
              <w14:schemeClr w14:val="tx1"/>
            </w14:solidFill>
          </w14:textFill>
        </w:rPr>
        <w:br w:type="page"/>
      </w:r>
    </w:p>
    <w:p w14:paraId="069620AE">
      <w:pPr>
        <w:kinsoku/>
        <w:spacing w:before="274" w:line="232" w:lineRule="auto"/>
        <w:ind w:left="38"/>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26" w:name="_Toc7292"/>
      <w:bookmarkStart w:id="27" w:name="_Toc12219"/>
      <w:r>
        <w:rPr>
          <w:rFonts w:hint="eastAsia" w:ascii="宋体" w:hAnsi="宋体" w:eastAsia="宋体" w:cs="宋体"/>
          <w:b/>
          <w:bCs/>
          <w:color w:val="000000" w:themeColor="text1"/>
          <w:sz w:val="28"/>
          <w:szCs w:val="28"/>
          <w:highlight w:val="none"/>
          <w:lang w:eastAsia="zh-CN"/>
          <w14:textFill>
            <w14:solidFill>
              <w14:schemeClr w14:val="tx1"/>
            </w14:solidFill>
          </w14:textFill>
        </w:rPr>
        <w:t>9.重要事项时间地点一览表</w:t>
      </w:r>
      <w:bookmarkEnd w:id="26"/>
      <w:bookmarkEnd w:id="27"/>
    </w:p>
    <w:tbl>
      <w:tblPr>
        <w:tblStyle w:val="18"/>
        <w:tblW w:w="1009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62"/>
        <w:gridCol w:w="1425"/>
        <w:gridCol w:w="8212"/>
      </w:tblGrid>
      <w:tr w14:paraId="1C30D6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7"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01E3D91C">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1425" w:type="dxa"/>
            <w:tcBorders>
              <w:top w:val="single" w:color="080000" w:sz="4" w:space="0"/>
              <w:left w:val="single" w:color="080000" w:sz="4" w:space="0"/>
              <w:bottom w:val="single" w:color="080000" w:sz="4" w:space="0"/>
              <w:right w:val="single" w:color="080000" w:sz="4" w:space="0"/>
            </w:tcBorders>
            <w:vAlign w:val="center"/>
          </w:tcPr>
          <w:p w14:paraId="75673566">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招标公告发布时间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7FED3BE7">
            <w:pPr>
              <w:pStyle w:val="31"/>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分至</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520850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27"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09534763">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1425" w:type="dxa"/>
            <w:tcBorders>
              <w:top w:val="single" w:color="080000" w:sz="4" w:space="0"/>
              <w:left w:val="single" w:color="080000" w:sz="4" w:space="0"/>
              <w:bottom w:val="single" w:color="080000" w:sz="4" w:space="0"/>
              <w:right w:val="single" w:color="080000" w:sz="4" w:space="0"/>
            </w:tcBorders>
            <w:vAlign w:val="center"/>
          </w:tcPr>
          <w:p w14:paraId="2BD7D944">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获取招标文件截止时间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5BE4987B">
            <w:pPr>
              <w:pStyle w:val="31"/>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44E4D3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4"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7B83DFB8">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1425" w:type="dxa"/>
            <w:tcBorders>
              <w:top w:val="single" w:color="080000" w:sz="4" w:space="0"/>
              <w:left w:val="single" w:color="080000" w:sz="4" w:space="0"/>
              <w:bottom w:val="single" w:color="080000" w:sz="4" w:space="0"/>
              <w:right w:val="single" w:color="080000" w:sz="4" w:space="0"/>
            </w:tcBorders>
            <w:vAlign w:val="center"/>
          </w:tcPr>
          <w:p w14:paraId="3830DA39">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网上提问截止时间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73C6C2E7">
            <w:pPr>
              <w:pStyle w:val="31"/>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16</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00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235EAD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4"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471C4FB9">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1425" w:type="dxa"/>
            <w:tcBorders>
              <w:top w:val="single" w:color="080000" w:sz="4" w:space="0"/>
              <w:left w:val="single" w:color="080000" w:sz="4" w:space="0"/>
              <w:bottom w:val="single" w:color="080000" w:sz="4" w:space="0"/>
              <w:right w:val="single" w:color="080000" w:sz="4" w:space="0"/>
            </w:tcBorders>
            <w:vAlign w:val="center"/>
          </w:tcPr>
          <w:p w14:paraId="1FA4F41E">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网上答疑时间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39EAA91F">
            <w:pPr>
              <w:pStyle w:val="31"/>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16</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分至</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14</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16</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00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5AC928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68"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6DB4B3C3">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bookmarkStart w:id="28" w:name="OLE_LINK5" w:colFirst="1" w:colLast="2"/>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1425" w:type="dxa"/>
            <w:tcBorders>
              <w:top w:val="single" w:color="080000" w:sz="4" w:space="0"/>
              <w:left w:val="single" w:color="080000" w:sz="4" w:space="0"/>
              <w:bottom w:val="single" w:color="080000" w:sz="4" w:space="0"/>
              <w:right w:val="single" w:color="080000" w:sz="4" w:space="0"/>
            </w:tcBorders>
            <w:vAlign w:val="center"/>
          </w:tcPr>
          <w:p w14:paraId="7FEEE57E">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投标保证缴</w:t>
            </w:r>
          </w:p>
          <w:p w14:paraId="6FD089E4">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纳截止时间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1B3A63CB">
            <w:pPr>
              <w:pStyle w:val="31"/>
              <w:wordWrap w:val="0"/>
              <w:adjustRightInd w:val="0"/>
              <w:snapToGrid w:val="0"/>
              <w:spacing w:line="400" w:lineRule="exact"/>
              <w:ind w:firstLine="240" w:firstLineChars="1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投标保证金到账截止时间：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18A3EBF7">
            <w:pPr>
              <w:pStyle w:val="31"/>
              <w:wordWrap w:val="0"/>
              <w:adjustRightInd w:val="0"/>
              <w:snapToGrid w:val="0"/>
              <w:spacing w:line="400" w:lineRule="exact"/>
              <w:ind w:firstLine="240" w:firstLineChars="1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投标保证担保提交截止时间：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7258F95F">
            <w:pPr>
              <w:pStyle w:val="14"/>
              <w:wordWrap w:val="0"/>
              <w:adjustRightInd w:val="0"/>
              <w:snapToGrid w:val="0"/>
              <w:spacing w:line="400" w:lineRule="exact"/>
              <w:ind w:firstLine="240" w:firstLineChars="1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投标保证保险投保截止时间：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bookmarkEnd w:id="28"/>
      <w:tr w14:paraId="674958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26"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1BB2FC62">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1425" w:type="dxa"/>
            <w:tcBorders>
              <w:top w:val="single" w:color="080000" w:sz="4" w:space="0"/>
              <w:left w:val="single" w:color="080000" w:sz="4" w:space="0"/>
              <w:bottom w:val="single" w:color="080000" w:sz="4" w:space="0"/>
              <w:right w:val="single" w:color="080000" w:sz="4" w:space="0"/>
            </w:tcBorders>
            <w:vAlign w:val="center"/>
          </w:tcPr>
          <w:p w14:paraId="2D08F6C9">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电子投标截止时间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7524888A">
            <w:pPr>
              <w:pStyle w:val="14"/>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5A976D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2"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1DE32DE7">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w:t>
            </w:r>
          </w:p>
        </w:tc>
        <w:tc>
          <w:tcPr>
            <w:tcW w:w="1425" w:type="dxa"/>
            <w:tcBorders>
              <w:top w:val="single" w:color="080000" w:sz="4" w:space="0"/>
              <w:left w:val="single" w:color="080000" w:sz="4" w:space="0"/>
              <w:bottom w:val="single" w:color="080000" w:sz="4" w:space="0"/>
              <w:right w:val="single" w:color="080000" w:sz="4" w:space="0"/>
            </w:tcBorders>
            <w:vAlign w:val="center"/>
          </w:tcPr>
          <w:p w14:paraId="2FC58838">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评审原件（如有）递交时间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7457F93A">
            <w:pPr>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分至</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36E9F0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2"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7E1127A7">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w:t>
            </w:r>
          </w:p>
        </w:tc>
        <w:tc>
          <w:tcPr>
            <w:tcW w:w="1425" w:type="dxa"/>
            <w:tcBorders>
              <w:top w:val="single" w:color="080000" w:sz="4" w:space="0"/>
              <w:left w:val="single" w:color="080000" w:sz="4" w:space="0"/>
              <w:bottom w:val="single" w:color="080000" w:sz="4" w:space="0"/>
              <w:right w:val="single" w:color="080000" w:sz="4" w:space="0"/>
            </w:tcBorders>
            <w:vAlign w:val="center"/>
          </w:tcPr>
          <w:p w14:paraId="060C944D">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评审原件（如有）递交地点</w:t>
            </w:r>
          </w:p>
        </w:tc>
        <w:tc>
          <w:tcPr>
            <w:tcW w:w="8212" w:type="dxa"/>
            <w:tcBorders>
              <w:top w:val="single" w:color="080000" w:sz="4" w:space="0"/>
              <w:left w:val="single" w:color="080000" w:sz="4" w:space="0"/>
              <w:bottom w:val="single" w:color="080000" w:sz="4" w:space="0"/>
              <w:right w:val="single" w:color="080000" w:sz="4" w:space="0"/>
            </w:tcBorders>
            <w:vAlign w:val="center"/>
          </w:tcPr>
          <w:p w14:paraId="4CF4B72D">
            <w:pPr>
              <w:wordWrap w:val="0"/>
              <w:adjustRightInd w:val="0"/>
              <w:snapToGrid w:val="0"/>
              <w:spacing w:line="400" w:lineRule="exact"/>
              <w:ind w:left="105" w:leftChars="50" w:firstLine="240" w:firstLineChars="100"/>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递交场所：韶关市公共资源交易中心</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始兴分中心</w:t>
            </w:r>
          </w:p>
          <w:p w14:paraId="415EBDBF">
            <w:pPr>
              <w:wordWrap w:val="0"/>
              <w:adjustRightInd w:val="0"/>
              <w:snapToGrid w:val="0"/>
              <w:spacing w:line="400" w:lineRule="exact"/>
              <w:ind w:left="105" w:leftChars="5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地址：</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始兴县太平镇永安大道中79号行政服务大楼四楼开标室，具体房间号以当日现场通知为准</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tc>
      </w:tr>
      <w:tr w14:paraId="503C88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2"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551B32D0">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p>
        </w:tc>
        <w:tc>
          <w:tcPr>
            <w:tcW w:w="1425" w:type="dxa"/>
            <w:tcBorders>
              <w:top w:val="single" w:color="080000" w:sz="4" w:space="0"/>
              <w:left w:val="single" w:color="080000" w:sz="4" w:space="0"/>
              <w:bottom w:val="single" w:color="080000" w:sz="4" w:space="0"/>
              <w:right w:val="single" w:color="080000" w:sz="4" w:space="0"/>
            </w:tcBorders>
            <w:vAlign w:val="center"/>
          </w:tcPr>
          <w:p w14:paraId="24FE431A">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开标时间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721A59A7">
            <w:pPr>
              <w:pStyle w:val="14"/>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0E8BB7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8"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203208E3">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1425" w:type="dxa"/>
            <w:tcBorders>
              <w:top w:val="single" w:color="080000" w:sz="4" w:space="0"/>
              <w:left w:val="single" w:color="080000" w:sz="4" w:space="0"/>
              <w:bottom w:val="single" w:color="080000" w:sz="4" w:space="0"/>
              <w:right w:val="single" w:color="080000" w:sz="4" w:space="0"/>
            </w:tcBorders>
            <w:vAlign w:val="center"/>
          </w:tcPr>
          <w:p w14:paraId="1B71765A">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开标地点</w:t>
            </w:r>
          </w:p>
        </w:tc>
        <w:tc>
          <w:tcPr>
            <w:tcW w:w="8212" w:type="dxa"/>
            <w:tcBorders>
              <w:top w:val="single" w:color="080000" w:sz="4" w:space="0"/>
              <w:left w:val="single" w:color="080000" w:sz="4" w:space="0"/>
              <w:bottom w:val="single" w:color="080000" w:sz="4" w:space="0"/>
              <w:right w:val="single" w:color="080000" w:sz="4" w:space="0"/>
            </w:tcBorders>
            <w:vAlign w:val="center"/>
          </w:tcPr>
          <w:p w14:paraId="756699A3">
            <w:pPr>
              <w:pStyle w:val="14"/>
              <w:wordWrap w:val="0"/>
              <w:adjustRightInd w:val="0"/>
              <w:snapToGrid w:val="0"/>
              <w:spacing w:line="400" w:lineRule="exact"/>
              <w:ind w:firstLine="240" w:firstLineChars="100"/>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开标场所：韶关市公共资源交易中心</w:t>
            </w:r>
            <w:r>
              <w:rPr>
                <w:rFonts w:hint="eastAsia" w:ascii="宋体" w:hAnsi="宋体" w:eastAsia="宋体" w:cs="宋体"/>
                <w:color w:val="000000" w:themeColor="text1"/>
                <w:sz w:val="24"/>
                <w:szCs w:val="24"/>
                <w:highlight w:val="none"/>
                <w:lang w:eastAsia="zh-CN"/>
                <w14:textFill>
                  <w14:solidFill>
                    <w14:schemeClr w14:val="tx1"/>
                  </w14:solidFill>
                </w14:textFill>
              </w:rPr>
              <w:t>始兴分中心</w:t>
            </w:r>
          </w:p>
          <w:p w14:paraId="239F717F">
            <w:pPr>
              <w:pStyle w:val="14"/>
              <w:wordWrap w:val="0"/>
              <w:adjustRightInd w:val="0"/>
              <w:snapToGrid w:val="0"/>
              <w:spacing w:line="40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地址：</w:t>
            </w:r>
            <w:r>
              <w:rPr>
                <w:rFonts w:hint="eastAsia" w:ascii="宋体" w:hAnsi="宋体" w:eastAsia="宋体" w:cs="宋体"/>
                <w:color w:val="000000" w:themeColor="text1"/>
                <w:sz w:val="24"/>
                <w:szCs w:val="24"/>
                <w:highlight w:val="none"/>
                <w:lang w:eastAsia="zh-CN"/>
                <w14:textFill>
                  <w14:solidFill>
                    <w14:schemeClr w14:val="tx1"/>
                  </w14:solidFill>
                </w14:textFill>
              </w:rPr>
              <w:t>始兴县太平镇永安大道中79号行政服务大楼四楼开标室，具体房间号以当日现场通知为准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tc>
      </w:tr>
      <w:tr w14:paraId="16E290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2" w:hRule="exact"/>
        </w:trPr>
        <w:tc>
          <w:tcPr>
            <w:tcW w:w="10099" w:type="dxa"/>
            <w:gridSpan w:val="3"/>
            <w:tcBorders>
              <w:top w:val="single" w:color="080000" w:sz="4" w:space="0"/>
              <w:left w:val="single" w:color="080000" w:sz="4" w:space="0"/>
              <w:bottom w:val="single" w:color="080000" w:sz="4" w:space="0"/>
              <w:right w:val="single" w:color="080000" w:sz="4" w:space="0"/>
            </w:tcBorders>
            <w:vAlign w:val="center"/>
          </w:tcPr>
          <w:p w14:paraId="34F7EE55">
            <w:pPr>
              <w:pStyle w:val="14"/>
              <w:wordWrap w:val="0"/>
              <w:adjustRightInd w:val="0"/>
              <w:snapToGrid w:val="0"/>
              <w:spacing w:line="400" w:lineRule="exact"/>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备注：</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19F9A668">
      <w:pPr>
        <w:kinsoku/>
        <w:spacing w:line="430" w:lineRule="auto"/>
        <w:rPr>
          <w:rFonts w:ascii="宋体" w:hAnsi="宋体" w:eastAsia="宋体" w:cs="宋体"/>
          <w:color w:val="000000" w:themeColor="text1"/>
          <w:highlight w:val="none"/>
          <w:lang w:eastAsia="zh-CN"/>
          <w14:textFill>
            <w14:solidFill>
              <w14:schemeClr w14:val="tx1"/>
            </w14:solidFill>
          </w14:textFill>
        </w:rPr>
      </w:pPr>
    </w:p>
    <w:p w14:paraId="724BC5ED">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2950883C">
      <w:pPr>
        <w:kinsoku/>
        <w:spacing w:line="242" w:lineRule="auto"/>
        <w:rPr>
          <w:rFonts w:ascii="宋体" w:hAnsi="宋体" w:eastAsia="宋体" w:cs="宋体"/>
          <w:color w:val="000000" w:themeColor="text1"/>
          <w:highlight w:val="none"/>
          <w:lang w:eastAsia="zh-CN"/>
          <w14:textFill>
            <w14:solidFill>
              <w14:schemeClr w14:val="tx1"/>
            </w14:solidFill>
          </w14:textFill>
        </w:rPr>
      </w:pPr>
      <w:bookmarkStart w:id="29" w:name="bookmark21"/>
      <w:bookmarkEnd w:id="29"/>
      <w:bookmarkStart w:id="30" w:name="bookmark22"/>
      <w:bookmarkEnd w:id="30"/>
    </w:p>
    <w:p w14:paraId="34EA5D9F">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6E179E9">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3046EA7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1C5CEF0">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8451E71">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6B1BA4B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5BA559CA">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433CE18">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BBC7E4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74317FF">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51BC02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913300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02C9DC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1005B1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9615C0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7AB2EE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D16D9F9">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2441A4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3FF5FD6">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400C24D">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9B1DA43">
      <w:pPr>
        <w:kinsoku/>
        <w:spacing w:before="178" w:line="221" w:lineRule="auto"/>
        <w:ind w:left="1910"/>
        <w:rPr>
          <w:rFonts w:ascii="宋体" w:hAnsi="宋体" w:eastAsia="宋体" w:cs="宋体"/>
          <w:color w:val="000000" w:themeColor="text1"/>
          <w:sz w:val="55"/>
          <w:szCs w:val="55"/>
          <w:highlight w:val="none"/>
          <w:lang w:eastAsia="zh-CN"/>
          <w14:textFill>
            <w14:solidFill>
              <w14:schemeClr w14:val="tx1"/>
            </w14:solidFill>
          </w14:textFill>
        </w:rPr>
      </w:pPr>
      <w:r>
        <w:rPr>
          <w:rFonts w:hint="eastAsia" w:ascii="宋体" w:hAnsi="宋体" w:eastAsia="宋体" w:cs="宋体"/>
          <w:color w:val="000000" w:themeColor="text1"/>
          <w:sz w:val="55"/>
          <w:szCs w:val="55"/>
          <w:highlight w:val="none"/>
          <w:lang w:eastAsia="zh-CN"/>
          <w14:textFill>
            <w14:solidFill>
              <w14:schemeClr w14:val="tx1"/>
            </w14:solidFill>
          </w14:textFill>
        </w:rPr>
        <w:t>第二章  投标人须知</w:t>
      </w:r>
    </w:p>
    <w:p w14:paraId="23216828">
      <w:pPr>
        <w:kinsoku/>
        <w:spacing w:line="221" w:lineRule="auto"/>
        <w:rPr>
          <w:rFonts w:ascii="宋体" w:hAnsi="宋体" w:eastAsia="宋体" w:cs="宋体"/>
          <w:color w:val="000000" w:themeColor="text1"/>
          <w:sz w:val="55"/>
          <w:szCs w:val="55"/>
          <w:highlight w:val="none"/>
          <w:lang w:eastAsia="zh-CN"/>
          <w14:textFill>
            <w14:solidFill>
              <w14:schemeClr w14:val="tx1"/>
            </w14:solidFill>
          </w14:textFill>
        </w:rPr>
        <w:sectPr>
          <w:headerReference r:id="rId10" w:type="default"/>
          <w:footerReference r:id="rId11" w:type="default"/>
          <w:pgSz w:w="11907" w:h="16841"/>
          <w:pgMar w:top="1173" w:right="1498" w:bottom="1254" w:left="1560" w:header="862" w:footer="1093" w:gutter="0"/>
          <w:cols w:space="720" w:num="1"/>
        </w:sectPr>
      </w:pPr>
    </w:p>
    <w:p w14:paraId="3389F199">
      <w:pPr>
        <w:kinsoku/>
        <w:spacing w:before="137" w:line="218" w:lineRule="auto"/>
        <w:ind w:left="2625"/>
        <w:outlineLvl w:val="0"/>
        <w:rPr>
          <w:rFonts w:ascii="宋体" w:hAnsi="宋体" w:eastAsia="宋体" w:cs="宋体"/>
          <w:color w:val="000000" w:themeColor="text1"/>
          <w:sz w:val="42"/>
          <w:szCs w:val="42"/>
          <w:highlight w:val="none"/>
          <w:lang w:eastAsia="zh-CN"/>
          <w14:textFill>
            <w14:solidFill>
              <w14:schemeClr w14:val="tx1"/>
            </w14:solidFill>
          </w14:textFill>
        </w:rPr>
      </w:pPr>
      <w:bookmarkStart w:id="31" w:name="bookmark40"/>
      <w:bookmarkEnd w:id="31"/>
      <w:bookmarkStart w:id="32" w:name="bookmark41"/>
      <w:bookmarkEnd w:id="32"/>
      <w:bookmarkStart w:id="33" w:name="bookmark43"/>
      <w:bookmarkEnd w:id="33"/>
      <w:bookmarkStart w:id="34" w:name="_Toc1276"/>
      <w:bookmarkStart w:id="35" w:name="_Toc2292"/>
      <w:r>
        <w:rPr>
          <w:rFonts w:hint="eastAsia" w:ascii="宋体" w:hAnsi="宋体" w:eastAsia="宋体" w:cs="宋体"/>
          <w:b/>
          <w:bCs/>
          <w:color w:val="000000" w:themeColor="text1"/>
          <w:sz w:val="42"/>
          <w:szCs w:val="42"/>
          <w:highlight w:val="none"/>
          <w:lang w:eastAsia="zh-CN"/>
          <w14:textFill>
            <w14:solidFill>
              <w14:schemeClr w14:val="tx1"/>
            </w14:solidFill>
          </w14:textFill>
        </w:rPr>
        <w:t>第二章</w:t>
      </w:r>
      <w:r>
        <w:rPr>
          <w:rFonts w:hint="eastAsia" w:ascii="宋体" w:hAnsi="宋体" w:eastAsia="宋体" w:cs="宋体"/>
          <w:color w:val="000000" w:themeColor="text1"/>
          <w:sz w:val="42"/>
          <w:szCs w:val="42"/>
          <w:highlight w:val="none"/>
          <w:lang w:eastAsia="zh-CN"/>
          <w14:textFill>
            <w14:solidFill>
              <w14:schemeClr w14:val="tx1"/>
            </w14:solidFill>
          </w14:textFill>
        </w:rPr>
        <w:t xml:space="preserve">  </w:t>
      </w:r>
      <w:r>
        <w:rPr>
          <w:rFonts w:hint="eastAsia" w:ascii="宋体" w:hAnsi="宋体" w:eastAsia="宋体" w:cs="宋体"/>
          <w:b/>
          <w:bCs/>
          <w:color w:val="000000" w:themeColor="text1"/>
          <w:sz w:val="42"/>
          <w:szCs w:val="42"/>
          <w:highlight w:val="none"/>
          <w:lang w:eastAsia="zh-CN"/>
          <w14:textFill>
            <w14:solidFill>
              <w14:schemeClr w14:val="tx1"/>
            </w14:solidFill>
          </w14:textFill>
        </w:rPr>
        <w:t>投标人须知</w:t>
      </w:r>
      <w:bookmarkEnd w:id="34"/>
      <w:bookmarkEnd w:id="35"/>
    </w:p>
    <w:p w14:paraId="74C87473">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7F2F6DA7">
      <w:pPr>
        <w:kinsoku/>
        <w:spacing w:line="284" w:lineRule="auto"/>
        <w:rPr>
          <w:rFonts w:ascii="宋体" w:hAnsi="宋体" w:eastAsia="宋体" w:cs="宋体"/>
          <w:color w:val="000000" w:themeColor="text1"/>
          <w:highlight w:val="none"/>
          <w:lang w:eastAsia="zh-CN"/>
          <w14:textFill>
            <w14:solidFill>
              <w14:schemeClr w14:val="tx1"/>
            </w14:solidFill>
          </w14:textFill>
        </w:rPr>
      </w:pPr>
    </w:p>
    <w:p w14:paraId="74F041CB">
      <w:pPr>
        <w:kinsoku/>
        <w:spacing w:before="91" w:line="224" w:lineRule="auto"/>
        <w:ind w:left="121"/>
        <w:outlineLvl w:val="1"/>
        <w:rPr>
          <w:rFonts w:ascii="宋体" w:hAnsi="宋体" w:eastAsia="宋体" w:cs="宋体"/>
          <w:color w:val="000000" w:themeColor="text1"/>
          <w:highlight w:val="none"/>
          <w14:textFill>
            <w14:solidFill>
              <w14:schemeClr w14:val="tx1"/>
            </w14:solidFill>
          </w14:textFill>
        </w:rPr>
      </w:pPr>
      <w:bookmarkStart w:id="36" w:name="bookmark42"/>
      <w:bookmarkEnd w:id="36"/>
      <w:bookmarkStart w:id="37" w:name="_Toc22680"/>
      <w:bookmarkStart w:id="38" w:name="_Toc31189"/>
      <w:r>
        <w:rPr>
          <w:rFonts w:hint="eastAsia" w:ascii="宋体" w:hAnsi="宋体" w:eastAsia="宋体" w:cs="宋体"/>
          <w:b/>
          <w:bCs/>
          <w:color w:val="000000" w:themeColor="text1"/>
          <w:sz w:val="28"/>
          <w:szCs w:val="28"/>
          <w:highlight w:val="none"/>
          <w14:textFill>
            <w14:solidFill>
              <w14:schemeClr w14:val="tx1"/>
            </w14:solidFill>
          </w14:textFill>
        </w:rPr>
        <w:t>投标人须知前附表</w:t>
      </w:r>
      <w:bookmarkEnd w:id="37"/>
      <w:bookmarkEnd w:id="38"/>
    </w:p>
    <w:tbl>
      <w:tblPr>
        <w:tblStyle w:val="26"/>
        <w:tblW w:w="87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2"/>
        <w:gridCol w:w="2879"/>
        <w:gridCol w:w="4891"/>
      </w:tblGrid>
      <w:tr w14:paraId="3A9B2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FCAC33D">
            <w:pPr>
              <w:kinsoku/>
              <w:spacing w:before="123"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条款号</w:t>
            </w:r>
          </w:p>
        </w:tc>
        <w:tc>
          <w:tcPr>
            <w:tcW w:w="2879" w:type="dxa"/>
            <w:vAlign w:val="center"/>
          </w:tcPr>
          <w:p w14:paraId="7A75F95F">
            <w:pPr>
              <w:kinsoku/>
              <w:spacing w:before="123"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条款名称</w:t>
            </w:r>
          </w:p>
        </w:tc>
        <w:tc>
          <w:tcPr>
            <w:tcW w:w="4891" w:type="dxa"/>
            <w:vAlign w:val="center"/>
          </w:tcPr>
          <w:p w14:paraId="618E66FD">
            <w:pPr>
              <w:kinsoku/>
              <w:spacing w:before="123"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编列内容</w:t>
            </w:r>
          </w:p>
        </w:tc>
      </w:tr>
      <w:tr w14:paraId="46622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F8C2AEB">
            <w:pPr>
              <w:kinsoku/>
              <w:spacing w:before="60"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1.1.2</w:t>
            </w:r>
          </w:p>
        </w:tc>
        <w:tc>
          <w:tcPr>
            <w:tcW w:w="2879" w:type="dxa"/>
            <w:vAlign w:val="center"/>
          </w:tcPr>
          <w:p w14:paraId="70580306">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招标人</w:t>
            </w:r>
          </w:p>
        </w:tc>
        <w:tc>
          <w:tcPr>
            <w:tcW w:w="4891" w:type="dxa"/>
          </w:tcPr>
          <w:p w14:paraId="2BC8F767">
            <w:pPr>
              <w:kinsoku/>
              <w:spacing w:before="117"/>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名称：始兴县地方公路事务中心</w:t>
            </w:r>
          </w:p>
          <w:p w14:paraId="7996B37E">
            <w:pPr>
              <w:kinsoku/>
              <w:spacing w:before="117"/>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地址：始兴县太平镇北门路420号</w:t>
            </w:r>
          </w:p>
          <w:p w14:paraId="2201BF07">
            <w:pPr>
              <w:tabs>
                <w:tab w:val="left" w:pos="3360"/>
                <w:tab w:val="left" w:pos="3780"/>
              </w:tabs>
              <w:kinsoku/>
              <w:spacing w:before="98"/>
              <w:ind w:left="137" w:right="47" w:hanging="2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r>
              <w:rPr>
                <w:rFonts w:hint="eastAsia" w:ascii="宋体" w:hAnsi="宋体" w:eastAsia="宋体" w:cs="宋体"/>
                <w:color w:val="000000" w:themeColor="text1"/>
                <w:highlight w:val="none"/>
                <w:lang w:eastAsia="zh-CN"/>
                <w14:textFill>
                  <w14:solidFill>
                    <w14:schemeClr w14:val="tx1"/>
                  </w14:solidFill>
                </w14:textFill>
              </w:rPr>
              <w:t>：刘工</w:t>
            </w:r>
          </w:p>
          <w:p w14:paraId="3A570C99">
            <w:pPr>
              <w:tabs>
                <w:tab w:val="left" w:pos="840"/>
              </w:tabs>
              <w:kinsoku/>
              <w:spacing w:before="98"/>
              <w:ind w:left="137" w:right="47" w:hanging="2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r>
              <w:rPr>
                <w:rFonts w:hint="eastAsia" w:ascii="宋体" w:hAnsi="宋体" w:eastAsia="宋体" w:cs="宋体"/>
                <w:color w:val="000000" w:themeColor="text1"/>
                <w:highlight w:val="none"/>
                <w:lang w:eastAsia="zh-CN"/>
                <w14:textFill>
                  <w14:solidFill>
                    <w14:schemeClr w14:val="tx1"/>
                  </w14:solidFill>
                </w14:textFill>
              </w:rPr>
              <w:t>0751-6927330</w:t>
            </w:r>
          </w:p>
        </w:tc>
      </w:tr>
      <w:tr w14:paraId="05F2F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2A5F16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1.1.3</w:t>
            </w:r>
          </w:p>
        </w:tc>
        <w:tc>
          <w:tcPr>
            <w:tcW w:w="2879" w:type="dxa"/>
            <w:vAlign w:val="center"/>
          </w:tcPr>
          <w:p w14:paraId="4250B989">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招标代理机构</w:t>
            </w:r>
          </w:p>
        </w:tc>
        <w:tc>
          <w:tcPr>
            <w:tcW w:w="4891" w:type="dxa"/>
          </w:tcPr>
          <w:p w14:paraId="72A0243D">
            <w:pPr>
              <w:kinsoku/>
              <w:spacing w:before="116"/>
              <w:ind w:left="99" w:leftChars="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名称：广州市广州工程建设监理有限公司</w:t>
            </w:r>
          </w:p>
          <w:p w14:paraId="55D3F227">
            <w:pPr>
              <w:kinsoku/>
              <w:spacing w:before="106"/>
              <w:ind w:left="99" w:leftChars="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地址：韶关市武江区沐溪大道168号韶关市越辉科技创业服务有限公司科研服务楼B603-2</w:t>
            </w:r>
          </w:p>
          <w:p w14:paraId="08BE39B0">
            <w:pPr>
              <w:kinsoku/>
              <w:spacing w:before="98"/>
              <w:ind w:left="99" w:leftChars="47" w:right="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联系人：何工</w:t>
            </w:r>
          </w:p>
          <w:p w14:paraId="20CE29F2">
            <w:pPr>
              <w:kinsoku/>
              <w:spacing w:before="98"/>
              <w:ind w:left="99" w:leftChars="47" w:right="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电话：13826383866</w:t>
            </w:r>
          </w:p>
        </w:tc>
      </w:tr>
      <w:tr w14:paraId="1D84C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6BD2F62">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1.1.4</w:t>
            </w:r>
          </w:p>
        </w:tc>
        <w:tc>
          <w:tcPr>
            <w:tcW w:w="2879" w:type="dxa"/>
            <w:vAlign w:val="center"/>
          </w:tcPr>
          <w:p w14:paraId="21A83CB4">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招标项目名称</w:t>
            </w:r>
          </w:p>
        </w:tc>
        <w:tc>
          <w:tcPr>
            <w:tcW w:w="4891" w:type="dxa"/>
            <w:vAlign w:val="center"/>
          </w:tcPr>
          <w:p w14:paraId="13C7A83B">
            <w:pPr>
              <w:kinsoku/>
              <w:spacing w:line="276" w:lineRule="auto"/>
              <w:ind w:left="80" w:leftChars="3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广东省韶关市始兴县道路交通信息化工程建设项目设计</w:t>
            </w:r>
          </w:p>
        </w:tc>
      </w:tr>
      <w:tr w14:paraId="3C0D8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2E11592">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1.1.5</w:t>
            </w:r>
          </w:p>
        </w:tc>
        <w:tc>
          <w:tcPr>
            <w:tcW w:w="2879" w:type="dxa"/>
            <w:vAlign w:val="center"/>
          </w:tcPr>
          <w:p w14:paraId="59BE79E0">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标段建设地点</w:t>
            </w:r>
          </w:p>
        </w:tc>
        <w:tc>
          <w:tcPr>
            <w:tcW w:w="4891" w:type="dxa"/>
            <w:vAlign w:val="center"/>
          </w:tcPr>
          <w:p w14:paraId="74C3BD06">
            <w:pPr>
              <w:tabs>
                <w:tab w:val="left" w:pos="4830"/>
              </w:tabs>
              <w:kinsoku/>
              <w:spacing w:line="276" w:lineRule="auto"/>
              <w:ind w:left="80" w:leftChars="38" w:right="65" w:rightChars="31"/>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韶关市始兴县</w:t>
            </w:r>
          </w:p>
        </w:tc>
      </w:tr>
      <w:tr w14:paraId="1869D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1E985D93">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1.1.6</w:t>
            </w:r>
          </w:p>
        </w:tc>
        <w:tc>
          <w:tcPr>
            <w:tcW w:w="2879" w:type="dxa"/>
            <w:vAlign w:val="center"/>
          </w:tcPr>
          <w:p w14:paraId="0B6729CB">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标段建设规模</w:t>
            </w:r>
          </w:p>
        </w:tc>
        <w:tc>
          <w:tcPr>
            <w:tcW w:w="4891" w:type="dxa"/>
            <w:vAlign w:val="center"/>
          </w:tcPr>
          <w:p w14:paraId="63173994">
            <w:pPr>
              <w:tabs>
                <w:tab w:val="left" w:pos="4830"/>
              </w:tabs>
              <w:kinsoku/>
              <w:spacing w:line="276" w:lineRule="auto"/>
              <w:ind w:right="65" w:rightChars="31"/>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对始兴县辖区内G323国道7.6公里进行数字化转型升级，道路沿线配置新能源灯杆251个、新能源视频监控16个、新能源智能测速仪3套，治超非现场执法监测点3处、5G基站82个、配套智慧平台、路基工程及</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附</w:t>
            </w:r>
            <w:r>
              <w:rPr>
                <w:rFonts w:hint="eastAsia" w:ascii="宋体" w:hAnsi="宋体" w:cs="宋体"/>
                <w:i w:val="0"/>
                <w:color w:val="000000" w:themeColor="text1"/>
                <w:sz w:val="24"/>
                <w:szCs w:val="24"/>
                <w:highlight w:val="none"/>
                <w:u w:val="none"/>
                <w:lang w:eastAsia="zh-CN"/>
                <w14:textFill>
                  <w14:solidFill>
                    <w14:schemeClr w14:val="tx1"/>
                  </w14:solidFill>
                </w14:textFill>
              </w:rPr>
              <w:t>属</w:t>
            </w:r>
            <w:r>
              <w:rPr>
                <w:rFonts w:hint="eastAsia" w:ascii="宋体" w:hAnsi="宋体" w:eastAsia="宋体" w:cs="宋体"/>
                <w:color w:val="000000" w:themeColor="text1"/>
                <w:highlight w:val="none"/>
                <w:lang w:eastAsia="zh-CN"/>
                <w14:textFill>
                  <w14:solidFill>
                    <w14:schemeClr w14:val="tx1"/>
                  </w14:solidFill>
                </w14:textFill>
              </w:rPr>
              <w:t>工程等。（</w:t>
            </w:r>
            <w:r>
              <w:rPr>
                <w:rFonts w:hint="eastAsia" w:ascii="宋体" w:hAnsi="宋体" w:eastAsia="宋体" w:cs="宋体"/>
                <w:color w:val="000000" w:themeColor="text1"/>
                <w:highlight w:val="none"/>
                <w:lang w:val="en-US" w:eastAsia="zh-CN"/>
                <w14:textFill>
                  <w14:solidFill>
                    <w14:schemeClr w14:val="tx1"/>
                  </w14:solidFill>
                </w14:textFill>
              </w:rPr>
              <w:t>最终工程规模及建设内容以招标人确认为准</w:t>
            </w:r>
            <w:r>
              <w:rPr>
                <w:rFonts w:hint="eastAsia" w:ascii="宋体" w:hAnsi="宋体" w:eastAsia="宋体" w:cs="宋体"/>
                <w:color w:val="000000" w:themeColor="text1"/>
                <w:highlight w:val="none"/>
                <w:lang w:eastAsia="zh-CN"/>
                <w14:textFill>
                  <w14:solidFill>
                    <w14:schemeClr w14:val="tx1"/>
                  </w14:solidFill>
                </w14:textFill>
              </w:rPr>
              <w:t>）</w:t>
            </w:r>
          </w:p>
        </w:tc>
      </w:tr>
      <w:tr w14:paraId="0E369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1B93F54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1.1.7</w:t>
            </w:r>
          </w:p>
        </w:tc>
        <w:tc>
          <w:tcPr>
            <w:tcW w:w="2879" w:type="dxa"/>
            <w:vAlign w:val="center"/>
          </w:tcPr>
          <w:p w14:paraId="75A0C5A7">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标段投资估算</w:t>
            </w:r>
          </w:p>
        </w:tc>
        <w:tc>
          <w:tcPr>
            <w:tcW w:w="4891" w:type="dxa"/>
            <w:vAlign w:val="center"/>
          </w:tcPr>
          <w:p w14:paraId="4D7B21FE">
            <w:pPr>
              <w:tabs>
                <w:tab w:val="left" w:pos="4830"/>
              </w:tabs>
              <w:kinsoku/>
              <w:spacing w:line="276" w:lineRule="auto"/>
              <w:ind w:left="80" w:leftChars="38" w:right="65" w:rightChars="31"/>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本项目估算总</w:t>
            </w:r>
            <w:r>
              <w:rPr>
                <w:rFonts w:hint="eastAsia" w:ascii="宋体" w:hAnsi="宋体" w:eastAsia="宋体" w:cs="宋体"/>
                <w:color w:val="000000" w:themeColor="text1"/>
                <w:highlight w:val="none"/>
                <w:lang w:val="en-US" w:eastAsia="zh-CN"/>
                <w14:textFill>
                  <w14:solidFill>
                    <w14:schemeClr w14:val="tx1"/>
                  </w14:solidFill>
                </w14:textFill>
              </w:rPr>
              <w:t>投资</w:t>
            </w:r>
            <w:r>
              <w:rPr>
                <w:rFonts w:hint="eastAsia" w:ascii="宋体" w:hAnsi="宋体" w:eastAsia="宋体" w:cs="宋体"/>
                <w:color w:val="000000" w:themeColor="text1"/>
                <w:highlight w:val="none"/>
                <w:lang w:eastAsia="zh-CN"/>
                <w14:textFill>
                  <w14:solidFill>
                    <w14:schemeClr w14:val="tx1"/>
                  </w14:solidFill>
                </w14:textFill>
              </w:rPr>
              <w:t>为</w:t>
            </w:r>
            <w:r>
              <w:rPr>
                <w:rFonts w:hint="eastAsia" w:ascii="宋体" w:hAnsi="宋体" w:eastAsia="宋体" w:cs="宋体"/>
                <w:color w:val="000000" w:themeColor="text1"/>
                <w:highlight w:val="none"/>
                <w:lang w:val="en-US" w:eastAsia="zh-CN"/>
                <w14:textFill>
                  <w14:solidFill>
                    <w14:schemeClr w14:val="tx1"/>
                  </w14:solidFill>
                </w14:textFill>
              </w:rPr>
              <w:t>19988.28</w:t>
            </w:r>
            <w:r>
              <w:rPr>
                <w:rFonts w:hint="eastAsia" w:ascii="宋体" w:hAnsi="宋体" w:eastAsia="宋体" w:cs="宋体"/>
                <w:color w:val="000000" w:themeColor="text1"/>
                <w:highlight w:val="none"/>
                <w:lang w:eastAsia="zh-CN"/>
                <w14:textFill>
                  <w14:solidFill>
                    <w14:schemeClr w14:val="tx1"/>
                  </w14:solidFill>
                </w14:textFill>
              </w:rPr>
              <w:t>万元，其中：建安工程费约</w:t>
            </w:r>
            <w:r>
              <w:rPr>
                <w:rFonts w:hint="eastAsia" w:ascii="宋体" w:hAnsi="宋体" w:eastAsia="宋体" w:cs="宋体"/>
                <w:color w:val="000000" w:themeColor="text1"/>
                <w:highlight w:val="none"/>
                <w:lang w:val="en-US" w:eastAsia="zh-CN"/>
                <w14:textFill>
                  <w14:solidFill>
                    <w14:schemeClr w14:val="tx1"/>
                  </w14:solidFill>
                </w14:textFill>
              </w:rPr>
              <w:t>13230.91</w:t>
            </w:r>
            <w:r>
              <w:rPr>
                <w:rFonts w:hint="eastAsia" w:ascii="宋体" w:hAnsi="宋体" w:eastAsia="宋体" w:cs="宋体"/>
                <w:color w:val="000000" w:themeColor="text1"/>
                <w:highlight w:val="none"/>
                <w:lang w:eastAsia="zh-CN"/>
                <w14:textFill>
                  <w14:solidFill>
                    <w14:schemeClr w14:val="tx1"/>
                  </w14:solidFill>
                </w14:textFill>
              </w:rPr>
              <w:t>万元、设计费约</w:t>
            </w:r>
            <w:r>
              <w:rPr>
                <w:rFonts w:hint="eastAsia" w:ascii="宋体" w:hAnsi="宋体" w:eastAsia="宋体" w:cs="宋体"/>
                <w:color w:val="000000" w:themeColor="text1"/>
                <w:highlight w:val="none"/>
                <w:lang w:val="en-US" w:eastAsia="zh-CN"/>
                <w14:textFill>
                  <w14:solidFill>
                    <w14:schemeClr w14:val="tx1"/>
                  </w14:solidFill>
                </w14:textFill>
              </w:rPr>
              <w:t>270.00</w:t>
            </w:r>
            <w:r>
              <w:rPr>
                <w:rFonts w:hint="eastAsia" w:ascii="宋体" w:hAnsi="宋体" w:eastAsia="宋体" w:cs="宋体"/>
                <w:color w:val="000000" w:themeColor="text1"/>
                <w:highlight w:val="none"/>
                <w:lang w:eastAsia="zh-CN"/>
                <w14:textFill>
                  <w14:solidFill>
                    <w14:schemeClr w14:val="tx1"/>
                  </w14:solidFill>
                </w14:textFill>
              </w:rPr>
              <w:t>万元。</w:t>
            </w:r>
          </w:p>
        </w:tc>
      </w:tr>
      <w:tr w14:paraId="0A3B4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8F5822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1.2.1</w:t>
            </w:r>
          </w:p>
        </w:tc>
        <w:tc>
          <w:tcPr>
            <w:tcW w:w="2879" w:type="dxa"/>
            <w:vAlign w:val="center"/>
          </w:tcPr>
          <w:p w14:paraId="0115BD81">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资金来源及比例</w:t>
            </w:r>
          </w:p>
        </w:tc>
        <w:tc>
          <w:tcPr>
            <w:tcW w:w="4891" w:type="dxa"/>
            <w:vAlign w:val="center"/>
          </w:tcPr>
          <w:p w14:paraId="0BAAFBE4">
            <w:pPr>
              <w:tabs>
                <w:tab w:val="left" w:pos="4830"/>
              </w:tabs>
              <w:kinsoku/>
              <w:spacing w:line="276" w:lineRule="auto"/>
              <w:ind w:left="80" w:leftChars="38" w:right="65" w:rightChars="31"/>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由上级资金和地方财政资金安排解决,</w:t>
            </w:r>
            <w:r>
              <w:rPr>
                <w:rFonts w:hint="eastAsia" w:ascii="宋体" w:hAnsi="宋体" w:eastAsia="宋体" w:cs="宋体"/>
                <w:color w:val="000000" w:themeColor="text1"/>
                <w:highlight w:val="none"/>
                <w:lang w:eastAsia="zh-CN"/>
                <w14:textFill>
                  <w14:solidFill>
                    <w14:schemeClr w14:val="tx1"/>
                  </w14:solidFill>
                </w14:textFill>
              </w:rPr>
              <w:t>出资比例为100%。</w:t>
            </w:r>
          </w:p>
        </w:tc>
      </w:tr>
      <w:tr w14:paraId="7FF23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46DCA9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1.2.2</w:t>
            </w:r>
          </w:p>
        </w:tc>
        <w:tc>
          <w:tcPr>
            <w:tcW w:w="2879" w:type="dxa"/>
            <w:vAlign w:val="center"/>
          </w:tcPr>
          <w:p w14:paraId="41DF5134">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资金落实情况</w:t>
            </w:r>
          </w:p>
        </w:tc>
        <w:tc>
          <w:tcPr>
            <w:tcW w:w="4891" w:type="dxa"/>
            <w:vAlign w:val="center"/>
          </w:tcPr>
          <w:p w14:paraId="5D76C0C8">
            <w:pPr>
              <w:tabs>
                <w:tab w:val="left" w:pos="4830"/>
              </w:tabs>
              <w:kinsoku/>
              <w:spacing w:line="276" w:lineRule="auto"/>
              <w:ind w:left="80" w:leftChars="38" w:right="65" w:rightChars="3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已落实</w:t>
            </w:r>
          </w:p>
        </w:tc>
      </w:tr>
      <w:tr w14:paraId="2D5EC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E07E250">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1.3.1</w:t>
            </w:r>
          </w:p>
        </w:tc>
        <w:tc>
          <w:tcPr>
            <w:tcW w:w="2879" w:type="dxa"/>
            <w:vAlign w:val="center"/>
          </w:tcPr>
          <w:p w14:paraId="4C47A61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招标范围</w:t>
            </w:r>
          </w:p>
        </w:tc>
        <w:tc>
          <w:tcPr>
            <w:tcW w:w="4891" w:type="dxa"/>
          </w:tcPr>
          <w:p w14:paraId="40C3A38E">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□初勘、初测</w:t>
            </w:r>
          </w:p>
          <w:p w14:paraId="7D85B471">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□详勘、定测</w:t>
            </w:r>
          </w:p>
          <w:p w14:paraId="092AA31C">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☑初步设计</w:t>
            </w:r>
          </w:p>
          <w:p w14:paraId="6480BB2E">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□技术设计</w:t>
            </w:r>
          </w:p>
          <w:p w14:paraId="073BD45D">
            <w:pPr>
              <w:kinsoku/>
              <w:spacing w:before="116" w:line="276" w:lineRule="auto"/>
              <w:ind w:left="136" w:right="45"/>
              <w:rPr>
                <w:rFonts w:eastAsia="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□专题研究报告</w:t>
            </w:r>
          </w:p>
          <w:p w14:paraId="3E0AAEDB">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☑施工图设计</w:t>
            </w:r>
          </w:p>
          <w:p w14:paraId="43830A21">
            <w:pPr>
              <w:kinsoku/>
              <w:spacing w:before="116" w:line="276" w:lineRule="auto"/>
              <w:ind w:left="136" w:right="45"/>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☑其他：</w:t>
            </w:r>
            <w:r>
              <w:rPr>
                <w:rFonts w:hint="eastAsia" w:ascii="宋体" w:hAnsi="宋体" w:eastAsia="宋体" w:cs="宋体"/>
                <w:color w:val="000000" w:themeColor="text1"/>
                <w:highlight w:val="none"/>
                <w:lang w:val="en-US" w:eastAsia="zh-CN"/>
                <w14:textFill>
                  <w14:solidFill>
                    <w14:schemeClr w14:val="tx1"/>
                  </w14:solidFill>
                </w14:textFill>
              </w:rPr>
              <w:t>概算、施工图设计、施工过程的配合服务工作(含图纸送审、设计变更、现场配合指导等)、工程竣（交）工验收过程的配合服务工作等和按照国家相关规范要求设计单位完成的工作。</w:t>
            </w:r>
          </w:p>
        </w:tc>
      </w:tr>
      <w:tr w14:paraId="36227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9C5965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1.3.2</w:t>
            </w:r>
          </w:p>
        </w:tc>
        <w:tc>
          <w:tcPr>
            <w:tcW w:w="2879" w:type="dxa"/>
            <w:vAlign w:val="center"/>
          </w:tcPr>
          <w:p w14:paraId="6929D2B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设计服务期限</w:t>
            </w:r>
          </w:p>
        </w:tc>
        <w:tc>
          <w:tcPr>
            <w:tcW w:w="4891" w:type="dxa"/>
            <w:vAlign w:val="center"/>
          </w:tcPr>
          <w:p w14:paraId="10CD5B48">
            <w:pPr>
              <w:tabs>
                <w:tab w:val="left" w:pos="4800"/>
              </w:tabs>
              <w:kinsoku/>
              <w:spacing w:line="276" w:lineRule="auto"/>
              <w:ind w:left="19" w:leftChars="9"/>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详见专用合同条款第8.1.3款的规定</w:t>
            </w:r>
          </w:p>
        </w:tc>
      </w:tr>
      <w:tr w14:paraId="44BBC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84859BE">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1.3.3</w:t>
            </w:r>
          </w:p>
        </w:tc>
        <w:tc>
          <w:tcPr>
            <w:tcW w:w="2879" w:type="dxa"/>
            <w:vAlign w:val="center"/>
          </w:tcPr>
          <w:p w14:paraId="1D814D8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质量要求</w:t>
            </w:r>
          </w:p>
        </w:tc>
        <w:tc>
          <w:tcPr>
            <w:tcW w:w="4891" w:type="dxa"/>
            <w:vAlign w:val="center"/>
          </w:tcPr>
          <w:p w14:paraId="0FCA3061">
            <w:pPr>
              <w:tabs>
                <w:tab w:val="left" w:pos="4800"/>
              </w:tabs>
              <w:kinsoku/>
              <w:spacing w:line="276" w:lineRule="auto"/>
              <w:ind w:left="19" w:leftChars="9"/>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工程设计达到现行交通运输部颁及国家相关的技术规范和标准要求。</w:t>
            </w:r>
          </w:p>
        </w:tc>
      </w:tr>
      <w:tr w14:paraId="5D66C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FAFCBA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1.3.4</w:t>
            </w:r>
          </w:p>
        </w:tc>
        <w:tc>
          <w:tcPr>
            <w:tcW w:w="2879" w:type="dxa"/>
            <w:vAlign w:val="center"/>
          </w:tcPr>
          <w:p w14:paraId="172D047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安全目标</w:t>
            </w:r>
          </w:p>
        </w:tc>
        <w:tc>
          <w:tcPr>
            <w:tcW w:w="4891" w:type="dxa"/>
            <w:vAlign w:val="center"/>
          </w:tcPr>
          <w:p w14:paraId="2F9661EF">
            <w:pPr>
              <w:tabs>
                <w:tab w:val="left" w:pos="4800"/>
              </w:tabs>
              <w:kinsoku/>
              <w:spacing w:line="276" w:lineRule="auto"/>
              <w:ind w:left="19" w:leftChars="9"/>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无安全责任事故</w:t>
            </w:r>
          </w:p>
        </w:tc>
      </w:tr>
      <w:tr w14:paraId="5DC09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7A615F5">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1.4.1</w:t>
            </w:r>
          </w:p>
        </w:tc>
        <w:tc>
          <w:tcPr>
            <w:tcW w:w="2879" w:type="dxa"/>
            <w:vAlign w:val="center"/>
          </w:tcPr>
          <w:p w14:paraId="66413B1C">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投标人资质条件、能力和信誉</w:t>
            </w:r>
          </w:p>
        </w:tc>
        <w:tc>
          <w:tcPr>
            <w:tcW w:w="4891" w:type="dxa"/>
          </w:tcPr>
          <w:p w14:paraId="0BCFE402">
            <w:pPr>
              <w:pStyle w:val="27"/>
              <w:kinsoku/>
              <w:spacing w:before="124"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资质要求：见附录1</w:t>
            </w:r>
          </w:p>
          <w:p w14:paraId="4F376877">
            <w:pPr>
              <w:pStyle w:val="27"/>
              <w:kinsoku/>
              <w:spacing w:before="110"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业绩要求：见附录2</w:t>
            </w:r>
          </w:p>
          <w:p w14:paraId="2E8A3523">
            <w:pPr>
              <w:pStyle w:val="27"/>
              <w:kinsoku/>
              <w:spacing w:before="117"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信誉要求：见附录3</w:t>
            </w:r>
          </w:p>
          <w:p w14:paraId="1A777ABB">
            <w:pPr>
              <w:pStyle w:val="27"/>
              <w:kinsoku/>
              <w:spacing w:before="109"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项目负责人资格：见附录4</w:t>
            </w:r>
          </w:p>
          <w:p w14:paraId="649E2E1F">
            <w:pPr>
              <w:pStyle w:val="27"/>
              <w:kinsoku/>
              <w:spacing w:before="110"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061B6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011111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1.4.2</w:t>
            </w:r>
          </w:p>
        </w:tc>
        <w:tc>
          <w:tcPr>
            <w:tcW w:w="2879" w:type="dxa"/>
            <w:vAlign w:val="center"/>
          </w:tcPr>
          <w:p w14:paraId="1661255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是否接受联合体投标</w:t>
            </w:r>
          </w:p>
        </w:tc>
        <w:tc>
          <w:tcPr>
            <w:tcW w:w="4891" w:type="dxa"/>
          </w:tcPr>
          <w:p w14:paraId="607F4D6E">
            <w:pPr>
              <w:kinsoku/>
              <w:spacing w:before="65" w:line="276" w:lineRule="auto"/>
              <w:ind w:left="120" w:leftChars="5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☑不接受</w:t>
            </w:r>
          </w:p>
          <w:p w14:paraId="7A739A34">
            <w:pPr>
              <w:kinsoku/>
              <w:spacing w:before="6" w:line="276" w:lineRule="auto"/>
              <w:ind w:left="120" w:leftChars="5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□接受，应满足下列要求：</w:t>
            </w:r>
          </w:p>
          <w:p w14:paraId="294EA5A2">
            <w:pPr>
              <w:ind w:left="720" w:firstLine="105" w:firstLineChars="50"/>
              <w:rPr>
                <w:rFonts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联合体所有成员数量不得超过</w:t>
            </w:r>
            <w:r>
              <w:rPr>
                <w:rFonts w:hint="eastAsia" w:ascii="宋体" w:hAnsi="宋体" w:eastAsia="宋体" w:cs="宋体"/>
                <w:color w:val="000000" w:themeColor="text1"/>
                <w:highlight w:val="none"/>
                <w:u w:val="single"/>
                <w:lang w:eastAsia="zh-CN"/>
                <w14:textFill>
                  <w14:solidFill>
                    <w14:schemeClr w14:val="tx1"/>
                  </w14:solidFill>
                </w14:textFill>
              </w:rPr>
              <w:t xml:space="preserve"> / </w:t>
            </w:r>
            <w:r>
              <w:rPr>
                <w:rFonts w:hint="eastAsia" w:ascii="宋体" w:hAnsi="宋体" w:cs="宋体"/>
                <w:color w:val="000000" w:themeColor="text1"/>
                <w:highlight w:val="none"/>
                <w:lang w:eastAsia="zh-CN"/>
                <w14:textFill>
                  <w14:solidFill>
                    <w14:schemeClr w14:val="tx1"/>
                  </w14:solidFill>
                </w14:textFill>
              </w:rPr>
              <w:t>家；</w:t>
            </w:r>
          </w:p>
          <w:p w14:paraId="5863AE28">
            <w:pPr>
              <w:ind w:left="720" w:firstLine="105" w:firstLineChars="50"/>
              <w:rPr>
                <w:rFonts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联合体牵头人应具</w:t>
            </w:r>
            <w:r>
              <w:rPr>
                <w:rFonts w:hint="eastAsia" w:ascii="宋体" w:hAnsi="宋体" w:eastAsia="宋体" w:cs="宋体"/>
                <w:color w:val="000000" w:themeColor="text1"/>
                <w:highlight w:val="none"/>
                <w:u w:val="single"/>
                <w:lang w:eastAsia="zh-CN"/>
                <w14:textFill>
                  <w14:solidFill>
                    <w14:schemeClr w14:val="tx1"/>
                  </w14:solidFill>
                </w14:textFill>
              </w:rPr>
              <w:t xml:space="preserve"> / </w:t>
            </w:r>
            <w:r>
              <w:rPr>
                <w:rFonts w:hint="eastAsia" w:ascii="宋体" w:hAnsi="宋体" w:cs="宋体"/>
                <w:color w:val="000000" w:themeColor="text1"/>
                <w:highlight w:val="none"/>
                <w:lang w:eastAsia="zh-CN"/>
                <w14:textFill>
                  <w14:solidFill>
                    <w14:schemeClr w14:val="tx1"/>
                  </w14:solidFill>
                </w14:textFill>
              </w:rPr>
              <w:t>有资质；</w:t>
            </w:r>
          </w:p>
          <w:p w14:paraId="5FF14EC7">
            <w:pPr>
              <w:kinsoku/>
              <w:spacing w:before="31" w:line="276" w:lineRule="auto"/>
              <w:ind w:left="120" w:leftChars="57"/>
              <w:rPr>
                <w:rFonts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r>
      <w:tr w14:paraId="06D72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15BBD1B">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1.4.3</w:t>
            </w:r>
          </w:p>
        </w:tc>
        <w:tc>
          <w:tcPr>
            <w:tcW w:w="2879" w:type="dxa"/>
            <w:vAlign w:val="center"/>
          </w:tcPr>
          <w:p w14:paraId="09004525">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投标人不得存在的其他关联情形</w:t>
            </w:r>
          </w:p>
        </w:tc>
        <w:tc>
          <w:tcPr>
            <w:tcW w:w="4891" w:type="dxa"/>
            <w:vAlign w:val="center"/>
          </w:tcPr>
          <w:p w14:paraId="159318F8">
            <w:pPr>
              <w:kinsoku/>
              <w:spacing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p>
        </w:tc>
      </w:tr>
      <w:tr w14:paraId="41F58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E10E19A">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1.4.4</w:t>
            </w:r>
          </w:p>
        </w:tc>
        <w:tc>
          <w:tcPr>
            <w:tcW w:w="2879" w:type="dxa"/>
            <w:vAlign w:val="center"/>
          </w:tcPr>
          <w:p w14:paraId="0937312E">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投标人不得存在的其他不良状况或不良信用记录</w:t>
            </w:r>
          </w:p>
        </w:tc>
        <w:tc>
          <w:tcPr>
            <w:tcW w:w="4891" w:type="dxa"/>
            <w:vAlign w:val="center"/>
          </w:tcPr>
          <w:p w14:paraId="3BD929E5">
            <w:pPr>
              <w:kinsoku/>
              <w:spacing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p>
        </w:tc>
      </w:tr>
      <w:tr w14:paraId="5BB0B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restart"/>
            <w:tcBorders>
              <w:bottom w:val="nil"/>
            </w:tcBorders>
            <w:vAlign w:val="center"/>
          </w:tcPr>
          <w:p w14:paraId="0BA935CD">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1.10.2</w:t>
            </w:r>
          </w:p>
        </w:tc>
        <w:tc>
          <w:tcPr>
            <w:tcW w:w="2879" w:type="dxa"/>
            <w:vMerge w:val="restart"/>
            <w:tcBorders>
              <w:bottom w:val="nil"/>
            </w:tcBorders>
            <w:vAlign w:val="center"/>
          </w:tcPr>
          <w:p w14:paraId="28F215AC">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投标人在投标预备会前提出问题</w:t>
            </w:r>
          </w:p>
        </w:tc>
        <w:tc>
          <w:tcPr>
            <w:tcW w:w="4891" w:type="dxa"/>
          </w:tcPr>
          <w:p w14:paraId="6DA03981">
            <w:pPr>
              <w:kinsoku/>
              <w:spacing w:before="120" w:line="276" w:lineRule="auto"/>
              <w:ind w:left="12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时间：本次招标不召开投标预备会。</w:t>
            </w:r>
          </w:p>
        </w:tc>
      </w:tr>
      <w:tr w14:paraId="7C963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continue"/>
            <w:tcBorders>
              <w:top w:val="nil"/>
            </w:tcBorders>
            <w:vAlign w:val="center"/>
          </w:tcPr>
          <w:p w14:paraId="160B6369">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p>
        </w:tc>
        <w:tc>
          <w:tcPr>
            <w:tcW w:w="2879" w:type="dxa"/>
            <w:vMerge w:val="continue"/>
            <w:tcBorders>
              <w:top w:val="nil"/>
            </w:tcBorders>
            <w:vAlign w:val="center"/>
          </w:tcPr>
          <w:p w14:paraId="6EAB2733">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p>
        </w:tc>
        <w:tc>
          <w:tcPr>
            <w:tcW w:w="4891" w:type="dxa"/>
          </w:tcPr>
          <w:p w14:paraId="10952606">
            <w:pPr>
              <w:kinsoku/>
              <w:spacing w:before="137" w:line="276" w:lineRule="auto"/>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形式：</w:t>
            </w:r>
            <w:r>
              <w:rPr>
                <w:rFonts w:hint="eastAsia" w:ascii="宋体" w:hAnsi="宋体" w:eastAsia="宋体" w:cs="宋体"/>
                <w:color w:val="000000" w:themeColor="text1"/>
                <w:highlight w:val="none"/>
                <w:lang w:eastAsia="zh-CN"/>
                <w14:textFill>
                  <w14:solidFill>
                    <w14:schemeClr w14:val="tx1"/>
                  </w14:solidFill>
                </w14:textFill>
              </w:rPr>
              <w:t>/</w:t>
            </w:r>
          </w:p>
        </w:tc>
      </w:tr>
      <w:tr w14:paraId="7A437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602B9C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1.11.1</w:t>
            </w:r>
          </w:p>
        </w:tc>
        <w:tc>
          <w:tcPr>
            <w:tcW w:w="2879" w:type="dxa"/>
            <w:vAlign w:val="center"/>
          </w:tcPr>
          <w:p w14:paraId="448DCBE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分  包</w:t>
            </w:r>
          </w:p>
        </w:tc>
        <w:tc>
          <w:tcPr>
            <w:tcW w:w="4891" w:type="dxa"/>
          </w:tcPr>
          <w:p w14:paraId="1A6F1077">
            <w:pPr>
              <w:kinsoku/>
              <w:spacing w:before="57"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☑不允许</w:t>
            </w:r>
          </w:p>
          <w:p w14:paraId="72FB943B">
            <w:pPr>
              <w:kinsoku/>
              <w:spacing w:before="7" w:line="276" w:lineRule="auto"/>
              <w:ind w:left="217" w:right="106" w:hanging="9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□允许，允许分包的工程（或不允许分包的工程）：</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对分包人的资格要求：</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p>
        </w:tc>
      </w:tr>
      <w:tr w14:paraId="533EC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545DE80">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w:t>
            </w:r>
          </w:p>
        </w:tc>
        <w:tc>
          <w:tcPr>
            <w:tcW w:w="2879" w:type="dxa"/>
            <w:vAlign w:val="center"/>
          </w:tcPr>
          <w:p w14:paraId="684E5EA9">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构成招标文件的其他资料</w:t>
            </w:r>
          </w:p>
        </w:tc>
        <w:tc>
          <w:tcPr>
            <w:tcW w:w="4891" w:type="dxa"/>
            <w:vAlign w:val="center"/>
          </w:tcPr>
          <w:p w14:paraId="75CE737C">
            <w:pPr>
              <w:kinsoku/>
              <w:spacing w:line="276" w:lineRule="auto"/>
              <w:ind w:left="80" w:leftChars="3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补遗书、答疑文件等。</w:t>
            </w:r>
          </w:p>
        </w:tc>
      </w:tr>
      <w:tr w14:paraId="203D7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2" w:type="dxa"/>
            <w:vMerge w:val="restart"/>
            <w:tcBorders>
              <w:bottom w:val="nil"/>
            </w:tcBorders>
            <w:vAlign w:val="center"/>
          </w:tcPr>
          <w:p w14:paraId="42D2A7B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2.2.1</w:t>
            </w:r>
          </w:p>
        </w:tc>
        <w:tc>
          <w:tcPr>
            <w:tcW w:w="2879" w:type="dxa"/>
            <w:vMerge w:val="restart"/>
            <w:tcBorders>
              <w:bottom w:val="nil"/>
            </w:tcBorders>
            <w:vAlign w:val="center"/>
          </w:tcPr>
          <w:p w14:paraId="15F4B1E0">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投标人要求澄清招标文件</w:t>
            </w:r>
          </w:p>
        </w:tc>
        <w:tc>
          <w:tcPr>
            <w:tcW w:w="4891" w:type="dxa"/>
            <w:vAlign w:val="center"/>
          </w:tcPr>
          <w:p w14:paraId="3DB78D7F">
            <w:pPr>
              <w:kinsoku/>
              <w:spacing w:before="100" w:line="276" w:lineRule="auto"/>
              <w:ind w:left="123"/>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时间：</w:t>
            </w:r>
            <w:r>
              <w:rPr>
                <w:rFonts w:hint="eastAsia" w:ascii="宋体" w:hAnsi="宋体" w:eastAsia="宋体" w:cs="宋体"/>
                <w:color w:val="000000" w:themeColor="text1"/>
                <w:highlight w:val="none"/>
                <w:u w:val="single"/>
                <w:lang w:eastAsia="zh-CN"/>
                <w14:textFill>
                  <w14:solidFill>
                    <w14:schemeClr w14:val="tx1"/>
                  </w14:solidFill>
                </w14:textFill>
              </w:rPr>
              <w:t>开标时间截止之日</w:t>
            </w:r>
            <w:r>
              <w:rPr>
                <w:rFonts w:hint="eastAsia" w:ascii="宋体" w:hAnsi="宋体" w:eastAsia="宋体" w:cs="宋体"/>
                <w:color w:val="000000" w:themeColor="text1"/>
                <w:highlight w:val="none"/>
                <w:u w:val="single"/>
                <w:lang w:val="en-US" w:eastAsia="zh-CN"/>
                <w14:textFill>
                  <w14:solidFill>
                    <w14:schemeClr w14:val="tx1"/>
                  </w14:solidFill>
                </w14:textFill>
              </w:rPr>
              <w:t>10</w:t>
            </w:r>
            <w:r>
              <w:rPr>
                <w:rFonts w:hint="eastAsia" w:ascii="宋体" w:hAnsi="宋体" w:eastAsia="宋体" w:cs="宋体"/>
                <w:color w:val="000000" w:themeColor="text1"/>
                <w:highlight w:val="none"/>
                <w:u w:val="single"/>
                <w:lang w:eastAsia="zh-CN"/>
                <w14:textFill>
                  <w14:solidFill>
                    <w14:schemeClr w14:val="tx1"/>
                  </w14:solidFill>
                </w14:textFill>
              </w:rPr>
              <w:t>天前</w:t>
            </w:r>
          </w:p>
        </w:tc>
      </w:tr>
      <w:tr w14:paraId="60BDC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continue"/>
            <w:tcBorders>
              <w:top w:val="nil"/>
            </w:tcBorders>
            <w:vAlign w:val="center"/>
          </w:tcPr>
          <w:p w14:paraId="6F19600A">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p>
        </w:tc>
        <w:tc>
          <w:tcPr>
            <w:tcW w:w="2879" w:type="dxa"/>
            <w:vMerge w:val="continue"/>
            <w:tcBorders>
              <w:top w:val="nil"/>
            </w:tcBorders>
            <w:vAlign w:val="center"/>
          </w:tcPr>
          <w:p w14:paraId="00492E90">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p>
        </w:tc>
        <w:tc>
          <w:tcPr>
            <w:tcW w:w="4891" w:type="dxa"/>
            <w:vAlign w:val="center"/>
          </w:tcPr>
          <w:p w14:paraId="2AC55093">
            <w:pPr>
              <w:kinsoku/>
              <w:wordWrap w:val="0"/>
              <w:spacing w:before="136" w:line="276" w:lineRule="auto"/>
              <w:ind w:left="113"/>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形式：投标人在全国公共资源交易平台（广东省·韶关市）（</w:t>
            </w:r>
            <w:r>
              <w:rPr>
                <w:rFonts w:hint="eastAsia" w:ascii="宋体" w:hAnsi="宋体" w:eastAsia="宋体" w:cs="宋体"/>
                <w:color w:val="000000" w:themeColor="text1"/>
                <w:highlight w:val="none"/>
                <w:lang w:eastAsia="zh-CN"/>
                <w14:textFill>
                  <w14:solidFill>
                    <w14:schemeClr w14:val="tx1"/>
                  </w14:solidFill>
                </w14:textFill>
              </w:rPr>
              <w:t>https://ygp.gdzwfw.gov.cn/#/440200/index</w:t>
            </w:r>
            <w:r>
              <w:rPr>
                <w:rFonts w:hint="eastAsia" w:ascii="宋体" w:hAnsi="宋体" w:eastAsia="宋体" w:cs="宋体"/>
                <w:color w:val="000000" w:themeColor="text1"/>
                <w:highlight w:val="none"/>
                <w14:textFill>
                  <w14:solidFill>
                    <w14:schemeClr w14:val="tx1"/>
                  </w14:solidFill>
                </w14:textFill>
              </w:rPr>
              <w:t>）招标答疑栏以不记名方式提出。</w:t>
            </w:r>
          </w:p>
        </w:tc>
      </w:tr>
      <w:tr w14:paraId="7750A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C7E25F3">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2.2.2</w:t>
            </w:r>
          </w:p>
        </w:tc>
        <w:tc>
          <w:tcPr>
            <w:tcW w:w="2879" w:type="dxa"/>
            <w:vAlign w:val="center"/>
          </w:tcPr>
          <w:p w14:paraId="48574A07">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招标文件澄清发出的形式</w:t>
            </w:r>
          </w:p>
        </w:tc>
        <w:tc>
          <w:tcPr>
            <w:tcW w:w="4891" w:type="dxa"/>
          </w:tcPr>
          <w:p w14:paraId="0B535D2B">
            <w:pPr>
              <w:kinsoku/>
              <w:spacing w:line="276" w:lineRule="auto"/>
              <w:ind w:left="80" w:leftChars="3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网站公告：全国公共资源交易平台（广东省·韶关市）（</w:t>
            </w:r>
            <w:r>
              <w:rPr>
                <w:rFonts w:hint="eastAsia" w:ascii="宋体" w:hAnsi="宋体" w:eastAsia="宋体" w:cs="宋体"/>
                <w:color w:val="000000" w:themeColor="text1"/>
                <w:highlight w:val="none"/>
                <w:lang w:eastAsia="zh-CN"/>
                <w14:textFill>
                  <w14:solidFill>
                    <w14:schemeClr w14:val="tx1"/>
                  </w14:solidFill>
                </w14:textFill>
              </w:rPr>
              <w:t>https://ygp.gdzwfw.gov.cn/#/440200/index</w:t>
            </w:r>
            <w:r>
              <w:rPr>
                <w:rFonts w:hint="eastAsia" w:ascii="宋体" w:hAnsi="宋体" w:eastAsia="宋体" w:cs="宋体"/>
                <w:color w:val="000000" w:themeColor="text1"/>
                <w:highlight w:val="none"/>
                <w14:textFill>
                  <w14:solidFill>
                    <w14:schemeClr w14:val="tx1"/>
                  </w14:solidFill>
                </w14:textFill>
              </w:rPr>
              <w:t>）发布。</w:t>
            </w:r>
          </w:p>
        </w:tc>
      </w:tr>
      <w:tr w14:paraId="51B3F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restart"/>
            <w:tcBorders>
              <w:bottom w:val="nil"/>
            </w:tcBorders>
            <w:vAlign w:val="center"/>
          </w:tcPr>
          <w:p w14:paraId="76F45DA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2.2.3</w:t>
            </w:r>
          </w:p>
        </w:tc>
        <w:tc>
          <w:tcPr>
            <w:tcW w:w="2879" w:type="dxa"/>
            <w:vMerge w:val="restart"/>
            <w:tcBorders>
              <w:bottom w:val="nil"/>
            </w:tcBorders>
            <w:vAlign w:val="center"/>
          </w:tcPr>
          <w:p w14:paraId="73748754">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投标人确认收到招标文件澄清</w:t>
            </w:r>
          </w:p>
        </w:tc>
        <w:tc>
          <w:tcPr>
            <w:tcW w:w="4891" w:type="dxa"/>
            <w:vAlign w:val="center"/>
          </w:tcPr>
          <w:p w14:paraId="7B294A08">
            <w:pPr>
              <w:kinsoku/>
              <w:wordWrap w:val="0"/>
              <w:spacing w:before="109" w:line="276" w:lineRule="auto"/>
              <w:ind w:left="125" w:right="86" w:rightChars="4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时间：以</w:t>
            </w:r>
            <w:r>
              <w:rPr>
                <w:rFonts w:hint="eastAsia" w:ascii="宋体" w:hAnsi="宋体" w:eastAsia="宋体" w:cs="宋体"/>
                <w:color w:val="000000" w:themeColor="text1"/>
                <w:highlight w:val="none"/>
                <w:lang w:eastAsia="zh-CN"/>
                <w14:textFill>
                  <w14:solidFill>
                    <w14:schemeClr w14:val="tx1"/>
                  </w14:solidFill>
                </w14:textFill>
              </w:rPr>
              <w:t>全国公共资源交易平台（广东省·韶关市）（https://ygp.gdzwfw.gov.cn/#/440200/index）</w:t>
            </w:r>
            <w:r>
              <w:rPr>
                <w:rFonts w:hint="eastAsia" w:ascii="宋体" w:hAnsi="宋体" w:eastAsia="宋体" w:cs="宋体"/>
                <w:color w:val="000000" w:themeColor="text1"/>
                <w:highlight w:val="none"/>
                <w14:textFill>
                  <w14:solidFill>
                    <w14:schemeClr w14:val="tx1"/>
                  </w14:solidFill>
                </w14:textFill>
              </w:rPr>
              <w:t>发布时间为准。</w:t>
            </w:r>
          </w:p>
        </w:tc>
      </w:tr>
      <w:tr w14:paraId="58DAA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continue"/>
            <w:tcBorders>
              <w:top w:val="nil"/>
            </w:tcBorders>
            <w:vAlign w:val="center"/>
          </w:tcPr>
          <w:p w14:paraId="180090B6">
            <w:pPr>
              <w:kinsoku/>
              <w:spacing w:before="61" w:line="276" w:lineRule="auto"/>
              <w:jc w:val="center"/>
              <w:rPr>
                <w:rFonts w:ascii="宋体" w:hAnsi="宋体" w:eastAsia="宋体" w:cs="宋体"/>
                <w:color w:val="000000" w:themeColor="text1"/>
                <w:highlight w:val="none"/>
                <w14:textFill>
                  <w14:solidFill>
                    <w14:schemeClr w14:val="tx1"/>
                  </w14:solidFill>
                </w14:textFill>
              </w:rPr>
            </w:pPr>
          </w:p>
        </w:tc>
        <w:tc>
          <w:tcPr>
            <w:tcW w:w="2879" w:type="dxa"/>
            <w:vMerge w:val="continue"/>
            <w:tcBorders>
              <w:top w:val="nil"/>
            </w:tcBorders>
            <w:vAlign w:val="center"/>
          </w:tcPr>
          <w:p w14:paraId="64DC3D24">
            <w:pPr>
              <w:kinsoku/>
              <w:spacing w:before="61" w:line="276" w:lineRule="auto"/>
              <w:jc w:val="center"/>
              <w:rPr>
                <w:rFonts w:ascii="宋体" w:hAnsi="宋体" w:eastAsia="宋体" w:cs="宋体"/>
                <w:color w:val="000000" w:themeColor="text1"/>
                <w:highlight w:val="none"/>
                <w14:textFill>
                  <w14:solidFill>
                    <w14:schemeClr w14:val="tx1"/>
                  </w14:solidFill>
                </w14:textFill>
              </w:rPr>
            </w:pPr>
          </w:p>
        </w:tc>
        <w:tc>
          <w:tcPr>
            <w:tcW w:w="4891" w:type="dxa"/>
            <w:vAlign w:val="center"/>
          </w:tcPr>
          <w:p w14:paraId="7BFCE603">
            <w:pPr>
              <w:kinsoku/>
              <w:spacing w:before="145" w:line="276" w:lineRule="auto"/>
              <w:ind w:left="116" w:right="86" w:rightChars="41"/>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形式：投标人应及时留意浏览网上发出的澄清公告，因投标人自身原因未及时获知澄清内容而导致的任何后果将由投标人自行承担。</w:t>
            </w:r>
          </w:p>
        </w:tc>
      </w:tr>
      <w:tr w14:paraId="4AA04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B075F6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2.3.1</w:t>
            </w:r>
          </w:p>
        </w:tc>
        <w:tc>
          <w:tcPr>
            <w:tcW w:w="2879" w:type="dxa"/>
            <w:vAlign w:val="center"/>
          </w:tcPr>
          <w:p w14:paraId="500FF8AC">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招标文件修改发出的形式</w:t>
            </w:r>
          </w:p>
        </w:tc>
        <w:tc>
          <w:tcPr>
            <w:tcW w:w="4891" w:type="dxa"/>
            <w:vAlign w:val="center"/>
          </w:tcPr>
          <w:p w14:paraId="31383747">
            <w:pPr>
              <w:kinsoku/>
              <w:wordWrap w:val="0"/>
              <w:spacing w:line="276" w:lineRule="auto"/>
              <w:ind w:left="99" w:leftChars="47" w:right="126" w:rightChars="6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网站公告（</w:t>
            </w:r>
            <w:r>
              <w:rPr>
                <w:rFonts w:hint="eastAsia" w:ascii="宋体" w:hAnsi="宋体" w:eastAsia="宋体" w:cs="宋体"/>
                <w:color w:val="000000" w:themeColor="text1"/>
                <w:highlight w:val="none"/>
                <w:lang w:eastAsia="zh-CN"/>
                <w14:textFill>
                  <w14:solidFill>
                    <w14:schemeClr w14:val="tx1"/>
                  </w14:solidFill>
                </w14:textFill>
              </w:rPr>
              <w:t>全国公共资源交易平台（广东省·韶关市）（https://ygp.gdzwfw.gov.cn/#/440200/index）。</w:t>
            </w:r>
          </w:p>
        </w:tc>
      </w:tr>
      <w:tr w14:paraId="6A328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restart"/>
            <w:tcBorders>
              <w:bottom w:val="nil"/>
            </w:tcBorders>
            <w:vAlign w:val="center"/>
          </w:tcPr>
          <w:p w14:paraId="0E02A4B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2.3.2</w:t>
            </w:r>
          </w:p>
        </w:tc>
        <w:tc>
          <w:tcPr>
            <w:tcW w:w="2879" w:type="dxa"/>
            <w:vMerge w:val="restart"/>
            <w:tcBorders>
              <w:bottom w:val="nil"/>
            </w:tcBorders>
            <w:vAlign w:val="center"/>
          </w:tcPr>
          <w:p w14:paraId="44230824">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投标人确认收到招标文件修改</w:t>
            </w:r>
          </w:p>
        </w:tc>
        <w:tc>
          <w:tcPr>
            <w:tcW w:w="4891" w:type="dxa"/>
            <w:vAlign w:val="center"/>
          </w:tcPr>
          <w:p w14:paraId="38BE4ABB">
            <w:pPr>
              <w:kinsoku/>
              <w:wordWrap w:val="0"/>
              <w:spacing w:line="276" w:lineRule="auto"/>
              <w:ind w:left="59" w:leftChars="2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时间：以</w:t>
            </w:r>
            <w:r>
              <w:rPr>
                <w:rFonts w:hint="eastAsia" w:ascii="宋体" w:hAnsi="宋体" w:eastAsia="宋体" w:cs="宋体"/>
                <w:color w:val="000000" w:themeColor="text1"/>
                <w:highlight w:val="none"/>
                <w:lang w:eastAsia="zh-CN"/>
                <w14:textFill>
                  <w14:solidFill>
                    <w14:schemeClr w14:val="tx1"/>
                  </w14:solidFill>
                </w14:textFill>
              </w:rPr>
              <w:t>全国公共资源交易平台（广东省·韶关市）（https://ygp.gdzwfw.gov.cn/#/440200/index）</w:t>
            </w:r>
            <w:r>
              <w:rPr>
                <w:rFonts w:hint="eastAsia" w:ascii="宋体" w:hAnsi="宋体" w:eastAsia="宋体" w:cs="宋体"/>
                <w:color w:val="000000" w:themeColor="text1"/>
                <w:highlight w:val="none"/>
                <w14:textFill>
                  <w14:solidFill>
                    <w14:schemeClr w14:val="tx1"/>
                  </w14:solidFill>
                </w14:textFill>
              </w:rPr>
              <w:t>发布时间为准</w:t>
            </w:r>
            <w:r>
              <w:rPr>
                <w:rFonts w:hint="eastAsia" w:ascii="宋体" w:hAnsi="宋体" w:eastAsia="宋体" w:cs="宋体"/>
                <w:color w:val="000000" w:themeColor="text1"/>
                <w:highlight w:val="none"/>
                <w:lang w:eastAsia="zh-CN"/>
                <w14:textFill>
                  <w14:solidFill>
                    <w14:schemeClr w14:val="tx1"/>
                  </w14:solidFill>
                </w14:textFill>
              </w:rPr>
              <w:t>。</w:t>
            </w:r>
          </w:p>
        </w:tc>
      </w:tr>
      <w:tr w14:paraId="3A986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continue"/>
            <w:tcBorders>
              <w:top w:val="nil"/>
            </w:tcBorders>
            <w:vAlign w:val="center"/>
          </w:tcPr>
          <w:p w14:paraId="3716615F">
            <w:pPr>
              <w:kinsoku/>
              <w:spacing w:before="61" w:line="276" w:lineRule="auto"/>
              <w:jc w:val="center"/>
              <w:rPr>
                <w:rFonts w:ascii="宋体" w:hAnsi="宋体" w:eastAsia="宋体" w:cs="宋体"/>
                <w:color w:val="000000" w:themeColor="text1"/>
                <w:highlight w:val="none"/>
                <w14:textFill>
                  <w14:solidFill>
                    <w14:schemeClr w14:val="tx1"/>
                  </w14:solidFill>
                </w14:textFill>
              </w:rPr>
            </w:pPr>
          </w:p>
        </w:tc>
        <w:tc>
          <w:tcPr>
            <w:tcW w:w="2879" w:type="dxa"/>
            <w:vMerge w:val="continue"/>
            <w:tcBorders>
              <w:top w:val="nil"/>
            </w:tcBorders>
            <w:vAlign w:val="center"/>
          </w:tcPr>
          <w:p w14:paraId="7F11B92F">
            <w:pPr>
              <w:kinsoku/>
              <w:spacing w:before="61" w:line="276" w:lineRule="auto"/>
              <w:jc w:val="center"/>
              <w:rPr>
                <w:rFonts w:ascii="宋体" w:hAnsi="宋体" w:eastAsia="宋体" w:cs="宋体"/>
                <w:color w:val="000000" w:themeColor="text1"/>
                <w:highlight w:val="none"/>
                <w14:textFill>
                  <w14:solidFill>
                    <w14:schemeClr w14:val="tx1"/>
                  </w14:solidFill>
                </w14:textFill>
              </w:rPr>
            </w:pPr>
          </w:p>
        </w:tc>
        <w:tc>
          <w:tcPr>
            <w:tcW w:w="4891" w:type="dxa"/>
            <w:vAlign w:val="center"/>
          </w:tcPr>
          <w:p w14:paraId="335B0076">
            <w:pPr>
              <w:kinsoku/>
              <w:wordWrap w:val="0"/>
              <w:spacing w:line="276" w:lineRule="auto"/>
              <w:ind w:left="59" w:leftChars="2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形式：投标人应及时留意浏览网上发出的修改公告，因投标人自身原因未及时获知修改内容而导致的任何后果将由投标人自行承担。</w:t>
            </w:r>
          </w:p>
        </w:tc>
      </w:tr>
      <w:tr w14:paraId="47399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BD056FB">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3.1.1</w:t>
            </w:r>
          </w:p>
        </w:tc>
        <w:tc>
          <w:tcPr>
            <w:tcW w:w="2879" w:type="dxa"/>
            <w:vAlign w:val="center"/>
          </w:tcPr>
          <w:p w14:paraId="0E5A85D1">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构成投标文件的其他资料</w:t>
            </w:r>
          </w:p>
        </w:tc>
        <w:tc>
          <w:tcPr>
            <w:tcW w:w="4891" w:type="dxa"/>
            <w:vAlign w:val="center"/>
          </w:tcPr>
          <w:p w14:paraId="7F6AE02D">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投标人须上传（递交）投标文件：</w:t>
            </w:r>
          </w:p>
          <w:p w14:paraId="6E7C31C6">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1、电子投标文件一套：</w:t>
            </w:r>
          </w:p>
          <w:p w14:paraId="6CAB137D">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（1）第一个信封（商务及技术文件）1份；</w:t>
            </w:r>
          </w:p>
          <w:p w14:paraId="4B4147B3">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（2）第二个信封（报价文件）1份；</w:t>
            </w:r>
          </w:p>
          <w:p w14:paraId="0F5588FC">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（3）定标文件1份；</w:t>
            </w:r>
          </w:p>
          <w:p w14:paraId="787F44F6">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2、对应评审要求的分项响应文件（如有）。</w:t>
            </w:r>
          </w:p>
          <w:p w14:paraId="32690F71">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440200/index）交易指引。</w:t>
            </w:r>
          </w:p>
          <w:p w14:paraId="17E1FC2D">
            <w:pPr>
              <w:kinsoku/>
              <w:spacing w:line="276" w:lineRule="auto"/>
              <w:ind w:left="120" w:leftChars="57" w:right="86" w:rightChars="41"/>
              <w:jc w:val="left"/>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58F2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1E8603E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3.2.1</w:t>
            </w:r>
          </w:p>
        </w:tc>
        <w:tc>
          <w:tcPr>
            <w:tcW w:w="2879" w:type="dxa"/>
            <w:vAlign w:val="center"/>
          </w:tcPr>
          <w:p w14:paraId="0A6EAB45">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增值税税金的计算方法</w:t>
            </w:r>
          </w:p>
        </w:tc>
        <w:tc>
          <w:tcPr>
            <w:tcW w:w="4891" w:type="dxa"/>
            <w:vAlign w:val="center"/>
          </w:tcPr>
          <w:p w14:paraId="33FF2035">
            <w:pPr>
              <w:kinsoku/>
              <w:spacing w:line="276" w:lineRule="auto"/>
              <w:ind w:left="120" w:leftChars="57" w:right="86" w:rightChars="4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按一般计税方法计算</w:t>
            </w:r>
          </w:p>
        </w:tc>
      </w:tr>
      <w:tr w14:paraId="12EB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386F3FB">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3.2.3</w:t>
            </w:r>
          </w:p>
        </w:tc>
        <w:tc>
          <w:tcPr>
            <w:tcW w:w="2879" w:type="dxa"/>
            <w:vAlign w:val="center"/>
          </w:tcPr>
          <w:p w14:paraId="293FFBF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报价方式</w:t>
            </w:r>
          </w:p>
        </w:tc>
        <w:tc>
          <w:tcPr>
            <w:tcW w:w="4891" w:type="dxa"/>
          </w:tcPr>
          <w:p w14:paraId="0A341459">
            <w:pPr>
              <w:kinsoku/>
              <w:spacing w:before="127" w:line="276" w:lineRule="auto"/>
              <w:ind w:left="120"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总价</w:t>
            </w:r>
          </w:p>
          <w:p w14:paraId="27145D45">
            <w:pPr>
              <w:kinsoku/>
              <w:spacing w:before="127" w:line="276" w:lineRule="auto"/>
              <w:ind w:left="120"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单价</w:t>
            </w:r>
          </w:p>
        </w:tc>
      </w:tr>
      <w:tr w14:paraId="358CA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890A66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3.2.4</w:t>
            </w:r>
          </w:p>
        </w:tc>
        <w:tc>
          <w:tcPr>
            <w:tcW w:w="2879" w:type="dxa"/>
            <w:vAlign w:val="center"/>
          </w:tcPr>
          <w:p w14:paraId="1901E06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最高投标限价</w:t>
            </w:r>
          </w:p>
        </w:tc>
        <w:tc>
          <w:tcPr>
            <w:tcW w:w="4891" w:type="dxa"/>
          </w:tcPr>
          <w:p w14:paraId="7825799E">
            <w:pPr>
              <w:kinsoku/>
              <w:spacing w:before="124" w:line="276" w:lineRule="auto"/>
              <w:ind w:left="1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□无</w:t>
            </w:r>
          </w:p>
          <w:p w14:paraId="43483EE9">
            <w:pPr>
              <w:kinsoku/>
              <w:spacing w:before="124" w:line="276" w:lineRule="auto"/>
              <w:ind w:left="1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☑有，</w:t>
            </w:r>
            <w:r>
              <w:rPr>
                <w:rFonts w:hint="eastAsia" w:ascii="宋体" w:hAnsi="宋体" w:eastAsia="宋体" w:cs="宋体"/>
                <w:color w:val="000000" w:themeColor="text1"/>
                <w:highlight w:val="none"/>
                <w:lang w:eastAsia="zh-CN"/>
                <w14:textFill>
                  <w14:solidFill>
                    <w14:schemeClr w14:val="tx1"/>
                  </w14:solidFill>
                </w14:textFill>
              </w:rPr>
              <w:t>最高投标限价为</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2700000.00 </w:t>
            </w:r>
            <w:r>
              <w:rPr>
                <w:rFonts w:hint="eastAsia" w:ascii="宋体" w:hAnsi="宋体" w:eastAsia="宋体" w:cs="宋体"/>
                <w:color w:val="000000" w:themeColor="text1"/>
                <w:highlight w:val="none"/>
                <w:lang w:eastAsia="zh-CN"/>
                <w14:textFill>
                  <w14:solidFill>
                    <w14:schemeClr w14:val="tx1"/>
                  </w14:solidFill>
                </w14:textFill>
              </w:rPr>
              <w:t>元。</w:t>
            </w:r>
          </w:p>
        </w:tc>
      </w:tr>
      <w:tr w14:paraId="73C3D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07DECD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3.2.5</w:t>
            </w:r>
          </w:p>
        </w:tc>
        <w:tc>
          <w:tcPr>
            <w:tcW w:w="2879" w:type="dxa"/>
            <w:vAlign w:val="center"/>
          </w:tcPr>
          <w:p w14:paraId="026B051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投标报价的其他要求</w:t>
            </w:r>
          </w:p>
        </w:tc>
        <w:tc>
          <w:tcPr>
            <w:tcW w:w="4891" w:type="dxa"/>
            <w:vAlign w:val="center"/>
          </w:tcPr>
          <w:p w14:paraId="18AE7706">
            <w:pPr>
              <w:kinsoku/>
              <w:spacing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p>
        </w:tc>
      </w:tr>
      <w:tr w14:paraId="4A747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21E8BE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3.3.1</w:t>
            </w:r>
          </w:p>
        </w:tc>
        <w:tc>
          <w:tcPr>
            <w:tcW w:w="2879" w:type="dxa"/>
            <w:vAlign w:val="center"/>
          </w:tcPr>
          <w:p w14:paraId="168EAFAE">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投标有效期</w:t>
            </w:r>
          </w:p>
        </w:tc>
        <w:tc>
          <w:tcPr>
            <w:tcW w:w="4891" w:type="dxa"/>
            <w:vAlign w:val="center"/>
          </w:tcPr>
          <w:p w14:paraId="1D73D4F3">
            <w:pPr>
              <w:kinsoku/>
              <w:spacing w:before="117" w:line="276" w:lineRule="auto"/>
              <w:ind w:left="14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自投标人提交投标文件截止之日起计算</w:t>
            </w:r>
            <w:r>
              <w:rPr>
                <w:rFonts w:hint="eastAsia" w:ascii="宋体" w:hAnsi="宋体" w:eastAsia="宋体" w:cs="宋体"/>
                <w:color w:val="000000" w:themeColor="text1"/>
                <w:highlight w:val="none"/>
                <w:u w:val="single"/>
                <w:lang w:eastAsia="zh-CN"/>
                <w14:textFill>
                  <w14:solidFill>
                    <w14:schemeClr w14:val="tx1"/>
                  </w14:solidFill>
                </w14:textFill>
              </w:rPr>
              <w:t xml:space="preserve"> 120 </w:t>
            </w:r>
            <w:r>
              <w:rPr>
                <w:rFonts w:hint="eastAsia" w:ascii="宋体" w:hAnsi="宋体" w:eastAsia="宋体" w:cs="宋体"/>
                <w:color w:val="000000" w:themeColor="text1"/>
                <w:highlight w:val="none"/>
                <w:lang w:eastAsia="zh-CN"/>
                <w14:textFill>
                  <w14:solidFill>
                    <w14:schemeClr w14:val="tx1"/>
                  </w14:solidFill>
                </w14:textFill>
              </w:rPr>
              <w:t>日</w:t>
            </w:r>
          </w:p>
        </w:tc>
      </w:tr>
      <w:tr w14:paraId="7E92B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D62F86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3.4.1</w:t>
            </w:r>
          </w:p>
        </w:tc>
        <w:tc>
          <w:tcPr>
            <w:tcW w:w="2879" w:type="dxa"/>
            <w:vAlign w:val="center"/>
          </w:tcPr>
          <w:p w14:paraId="6D63B7A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投标保证金</w:t>
            </w:r>
          </w:p>
        </w:tc>
        <w:tc>
          <w:tcPr>
            <w:tcW w:w="4891" w:type="dxa"/>
          </w:tcPr>
          <w:p w14:paraId="061C0B60">
            <w:pPr>
              <w:kinsoku/>
              <w:spacing w:before="129" w:line="276" w:lineRule="auto"/>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是否要求投标人递交投标保证金：</w:t>
            </w:r>
          </w:p>
          <w:p w14:paraId="4AE9DBE5">
            <w:pPr>
              <w:kinsoku/>
              <w:spacing w:before="56" w:line="276" w:lineRule="auto"/>
              <w:ind w:left="127"/>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☑要求，投标保证金的金额：</w:t>
            </w:r>
            <w:r>
              <w:rPr>
                <w:rFonts w:hint="eastAsia" w:ascii="宋体" w:hAnsi="宋体" w:eastAsia="宋体" w:cs="宋体"/>
                <w:color w:val="000000" w:themeColor="text1"/>
                <w:highlight w:val="none"/>
                <w:lang w:eastAsia="zh-CN"/>
                <w14:textFill>
                  <w14:solidFill>
                    <w14:schemeClr w14:val="tx1"/>
                  </w14:solidFill>
                </w14:textFill>
              </w:rPr>
              <w:t>人民币</w:t>
            </w:r>
            <w:r>
              <w:rPr>
                <w:rFonts w:hint="eastAsia" w:ascii="宋体" w:hAnsi="宋体" w:eastAsia="宋体" w:cs="宋体"/>
                <w:b/>
                <w:bCs/>
                <w:color w:val="000000" w:themeColor="text1"/>
                <w:highlight w:val="none"/>
                <w:u w:val="single"/>
                <w:lang w:val="en-US" w:eastAsia="zh-CN"/>
                <w14:textFill>
                  <w14:solidFill>
                    <w14:schemeClr w14:val="tx1"/>
                  </w14:solidFill>
                </w14:textFill>
              </w:rPr>
              <w:t>5</w:t>
            </w:r>
            <w:r>
              <w:rPr>
                <w:rFonts w:hint="eastAsia" w:ascii="宋体" w:hAnsi="宋体" w:eastAsia="宋体" w:cs="宋体"/>
                <w:b/>
                <w:bCs/>
                <w:color w:val="000000" w:themeColor="text1"/>
                <w:highlight w:val="none"/>
                <w:u w:val="single"/>
                <w:lang w:eastAsia="zh-CN"/>
                <w14:textFill>
                  <w14:solidFill>
                    <w14:schemeClr w14:val="tx1"/>
                  </w14:solidFill>
                </w14:textFill>
              </w:rPr>
              <w:t>万元整</w:t>
            </w:r>
          </w:p>
          <w:p w14:paraId="47B3BA89">
            <w:pPr>
              <w:spacing w:line="276" w:lineRule="auto"/>
              <w:ind w:left="80" w:leftChars="3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投标保证的形式包括投标保证金、投标保证担保、投标保证保险三种，由投标人自主选择。</w:t>
            </w:r>
          </w:p>
          <w:p w14:paraId="1B2132BA">
            <w:pPr>
              <w:spacing w:line="276" w:lineRule="auto"/>
              <w:ind w:left="80" w:leftChars="38"/>
              <w:rPr>
                <w:rFonts w:hint="eastAsia" w:ascii="宋体" w:hAnsi="宋体" w:eastAsia="宋体" w:cs="宋体"/>
                <w:bCs/>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0F72E830">
            <w:pPr>
              <w:spacing w:line="276" w:lineRule="auto"/>
              <w:ind w:left="80" w:leftChars="38"/>
              <w:rPr>
                <w:rFonts w:hint="eastAsia" w:ascii="宋体" w:hAnsi="宋体" w:eastAsia="宋体" w:cs="宋体"/>
                <w:bCs/>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(2)采用投标保证担保的，投标人应提交有效的电子保函，电子保函的有效期不得短于投标有效期。投标人必须在投标保证担保截止时间（详见本章第二节“重要事项时间地点一览表”）前，使用工程建设交易系统完成网上办理电子保函。</w:t>
            </w:r>
          </w:p>
          <w:p w14:paraId="4C099601">
            <w:pPr>
              <w:spacing w:line="276" w:lineRule="auto"/>
              <w:ind w:left="80" w:leftChars="38"/>
              <w:rPr>
                <w:rFonts w:hint="eastAsia" w:ascii="宋体" w:hAnsi="宋体" w:eastAsia="宋体" w:cs="宋体"/>
                <w:bCs/>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(3)采用投标保证保险的，投标人须在投标保证保险投保截止时间（详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440200/index)在【服务指南】栏目中下载《韶关市公共资源建设工程交易系统-投标人操作指南》，了解网上投保具体操作流程。逾期投保的，其投标无效。</w:t>
            </w:r>
          </w:p>
          <w:p w14:paraId="43BE8D58">
            <w:pPr>
              <w:spacing w:line="276" w:lineRule="auto"/>
              <w:ind w:left="80" w:leftChars="38"/>
              <w:rPr>
                <w:rFonts w:ascii="宋体" w:hAnsi="宋体" w:eastAsia="宋体" w:cs="宋体"/>
                <w:bCs/>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2E5A4A6C">
            <w:pPr>
              <w:spacing w:line="276" w:lineRule="auto"/>
              <w:ind w:left="80" w:leftChars="3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不要求</w:t>
            </w:r>
          </w:p>
        </w:tc>
      </w:tr>
      <w:tr w14:paraId="5155F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F262AAD">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3.4.3</w:t>
            </w:r>
          </w:p>
        </w:tc>
        <w:tc>
          <w:tcPr>
            <w:tcW w:w="2879" w:type="dxa"/>
            <w:vAlign w:val="center"/>
          </w:tcPr>
          <w:p w14:paraId="1541B387">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投标保证金的利息计算原则</w:t>
            </w:r>
          </w:p>
        </w:tc>
        <w:tc>
          <w:tcPr>
            <w:tcW w:w="4891" w:type="dxa"/>
            <w:vAlign w:val="center"/>
          </w:tcPr>
          <w:p w14:paraId="1FA7819E">
            <w:pPr>
              <w:kinsoku/>
              <w:spacing w:before="108" w:line="276" w:lineRule="auto"/>
              <w:ind w:left="80" w:leftChars="3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按韶关市公共资源交易中心相关规定进行计算</w:t>
            </w:r>
          </w:p>
        </w:tc>
      </w:tr>
      <w:tr w14:paraId="79B74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616981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3.4.4</w:t>
            </w:r>
          </w:p>
        </w:tc>
        <w:tc>
          <w:tcPr>
            <w:tcW w:w="2879" w:type="dxa"/>
            <w:vAlign w:val="center"/>
          </w:tcPr>
          <w:p w14:paraId="035CF330">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其他可以不予退还投标保证金的情形</w:t>
            </w:r>
          </w:p>
        </w:tc>
        <w:tc>
          <w:tcPr>
            <w:tcW w:w="4891" w:type="dxa"/>
          </w:tcPr>
          <w:p w14:paraId="0C8C2E28">
            <w:pPr>
              <w:spacing w:line="276" w:lineRule="auto"/>
              <w:ind w:left="80" w:leftChars="38" w:right="46" w:rightChars="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（4）串通投标；或</w:t>
            </w:r>
          </w:p>
          <w:p w14:paraId="6A9B7335">
            <w:pPr>
              <w:spacing w:line="276" w:lineRule="auto"/>
              <w:ind w:left="80" w:leftChars="38" w:right="46" w:rightChars="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（5）评标、中标候选人公示、签订合同前等环节因作假而被取消中标资格；或</w:t>
            </w:r>
          </w:p>
          <w:p w14:paraId="045C4E29">
            <w:pPr>
              <w:spacing w:line="276" w:lineRule="auto"/>
              <w:ind w:left="80" w:leftChars="38" w:right="46" w:rightChars="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（6）因投诉属实取消投标资格的；或</w:t>
            </w:r>
          </w:p>
          <w:p w14:paraId="0CCCA971">
            <w:pPr>
              <w:spacing w:line="276" w:lineRule="auto"/>
              <w:ind w:left="80" w:leftChars="38" w:right="46" w:rightChars="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（7）其他违反规定、妨碍公平竞争准则的行为；或</w:t>
            </w:r>
          </w:p>
          <w:p w14:paraId="16D46343">
            <w:pPr>
              <w:kinsoku/>
              <w:spacing w:line="276" w:lineRule="auto"/>
              <w:ind w:left="80" w:leftChars="38" w:right="46" w:rightChars="2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r>
      <w:tr w14:paraId="0F4B6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75613C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3.5</w:t>
            </w:r>
          </w:p>
        </w:tc>
        <w:tc>
          <w:tcPr>
            <w:tcW w:w="2879" w:type="dxa"/>
            <w:vAlign w:val="center"/>
          </w:tcPr>
          <w:p w14:paraId="6A23F72F">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资格审查资料的特殊要求</w:t>
            </w:r>
          </w:p>
        </w:tc>
        <w:tc>
          <w:tcPr>
            <w:tcW w:w="4891" w:type="dxa"/>
          </w:tcPr>
          <w:p w14:paraId="423FA86C">
            <w:pPr>
              <w:kinsoku/>
              <w:spacing w:before="76"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□无</w:t>
            </w:r>
          </w:p>
          <w:p w14:paraId="2EE1C225">
            <w:pPr>
              <w:kinsoku/>
              <w:spacing w:before="10"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☑有，具体要求：投标人提供的各类证照扫描件均指彩色扫描件。</w:t>
            </w:r>
          </w:p>
        </w:tc>
      </w:tr>
      <w:tr w14:paraId="6881E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 w:hRule="atLeast"/>
        </w:trPr>
        <w:tc>
          <w:tcPr>
            <w:tcW w:w="1012" w:type="dxa"/>
            <w:vAlign w:val="center"/>
          </w:tcPr>
          <w:p w14:paraId="496E4FA2">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3.5.2</w:t>
            </w:r>
          </w:p>
        </w:tc>
        <w:tc>
          <w:tcPr>
            <w:tcW w:w="2879" w:type="dxa"/>
            <w:vAlign w:val="center"/>
          </w:tcPr>
          <w:p w14:paraId="12B23617">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近年完成的类似项目情况的时间要求</w:t>
            </w:r>
          </w:p>
        </w:tc>
        <w:tc>
          <w:tcPr>
            <w:tcW w:w="4891" w:type="dxa"/>
            <w:vAlign w:val="center"/>
          </w:tcPr>
          <w:p w14:paraId="0A729B36">
            <w:pPr>
              <w:tabs>
                <w:tab w:val="left" w:pos="527"/>
              </w:tabs>
              <w:kinsoku/>
              <w:spacing w:line="276" w:lineRule="auto"/>
              <w:ind w:left="10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近5年内（自202</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年</w:t>
            </w: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eastAsia="zh-CN"/>
                <w14:textFill>
                  <w14:solidFill>
                    <w14:schemeClr w14:val="tx1"/>
                  </w14:solidFill>
                </w14:textFill>
              </w:rPr>
              <w:t>月1日</w:t>
            </w:r>
            <w:r>
              <w:rPr>
                <w:rFonts w:hint="eastAsia" w:ascii="宋体" w:hAnsi="宋体" w:eastAsia="宋体" w:cs="宋体"/>
                <w:color w:val="000000" w:themeColor="text1"/>
                <w:highlight w:val="none"/>
                <w:lang w:eastAsia="zh-CN"/>
                <w14:textFill>
                  <w14:solidFill>
                    <w14:schemeClr w14:val="tx1"/>
                  </w14:solidFill>
                </w14:textFill>
              </w:rPr>
              <w:t>至投标文件递交截止之日止）</w:t>
            </w:r>
          </w:p>
        </w:tc>
      </w:tr>
      <w:tr w14:paraId="61407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F5C9E3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3.6.1</w:t>
            </w:r>
          </w:p>
        </w:tc>
        <w:tc>
          <w:tcPr>
            <w:tcW w:w="2879" w:type="dxa"/>
            <w:vAlign w:val="center"/>
          </w:tcPr>
          <w:p w14:paraId="7FE7EFD7">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是否允许递交备选投标方案</w:t>
            </w:r>
          </w:p>
        </w:tc>
        <w:tc>
          <w:tcPr>
            <w:tcW w:w="4891" w:type="dxa"/>
          </w:tcPr>
          <w:p w14:paraId="78FF704F">
            <w:pPr>
              <w:kinsoku/>
              <w:spacing w:before="77" w:line="276" w:lineRule="auto"/>
              <w:ind w:left="127"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不允许</w:t>
            </w:r>
          </w:p>
          <w:p w14:paraId="44B3ED48">
            <w:pPr>
              <w:kinsoku/>
              <w:spacing w:before="77" w:line="276" w:lineRule="auto"/>
              <w:ind w:left="127"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允许</w:t>
            </w:r>
          </w:p>
        </w:tc>
      </w:tr>
      <w:tr w14:paraId="641D5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2BF6F10">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3.7.4</w:t>
            </w:r>
          </w:p>
        </w:tc>
        <w:tc>
          <w:tcPr>
            <w:tcW w:w="2879" w:type="dxa"/>
            <w:vAlign w:val="center"/>
          </w:tcPr>
          <w:p w14:paraId="11FAC346">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投标文件副本份数及其他要求</w:t>
            </w:r>
          </w:p>
        </w:tc>
        <w:tc>
          <w:tcPr>
            <w:tcW w:w="4891" w:type="dxa"/>
          </w:tcPr>
          <w:p w14:paraId="7B42EA24">
            <w:pPr>
              <w:kinsoku/>
              <w:wordWrap w:val="0"/>
              <w:spacing w:before="110" w:line="276" w:lineRule="auto"/>
              <w:ind w:left="113"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投标文件副本份数：0份。</w:t>
            </w:r>
          </w:p>
          <w:p w14:paraId="146211DB">
            <w:pPr>
              <w:kinsoku/>
              <w:wordWrap w:val="0"/>
              <w:spacing w:before="110" w:line="276" w:lineRule="auto"/>
              <w:ind w:left="113"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他要求：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440200/index）交易指引。</w:t>
            </w:r>
          </w:p>
        </w:tc>
      </w:tr>
      <w:tr w14:paraId="38E3B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156BFFF">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3.7.5</w:t>
            </w:r>
          </w:p>
        </w:tc>
        <w:tc>
          <w:tcPr>
            <w:tcW w:w="2879" w:type="dxa"/>
            <w:vAlign w:val="center"/>
          </w:tcPr>
          <w:p w14:paraId="490B24B2">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装订的其他要求</w:t>
            </w:r>
          </w:p>
        </w:tc>
        <w:tc>
          <w:tcPr>
            <w:tcW w:w="4891" w:type="dxa"/>
            <w:vAlign w:val="center"/>
          </w:tcPr>
          <w:p w14:paraId="751EF769">
            <w:pPr>
              <w:kinsoku/>
              <w:spacing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p>
        </w:tc>
      </w:tr>
      <w:tr w14:paraId="1A15E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522D2D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4.1.2</w:t>
            </w:r>
          </w:p>
        </w:tc>
        <w:tc>
          <w:tcPr>
            <w:tcW w:w="2879" w:type="dxa"/>
            <w:vAlign w:val="center"/>
          </w:tcPr>
          <w:p w14:paraId="10FFF59F">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封套上应载明的信息</w:t>
            </w:r>
          </w:p>
        </w:tc>
        <w:tc>
          <w:tcPr>
            <w:tcW w:w="4891" w:type="dxa"/>
          </w:tcPr>
          <w:p w14:paraId="429EAA65">
            <w:pPr>
              <w:kinsoku/>
              <w:spacing w:before="30" w:line="276" w:lineRule="auto"/>
              <w:ind w:left="115" w:right="47" w:hanging="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本项目采用全流程电子投标，不需要提交纸质版的投标文件。</w:t>
            </w:r>
          </w:p>
        </w:tc>
      </w:tr>
      <w:tr w14:paraId="5DC7C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F86AEC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4.2.3</w:t>
            </w:r>
          </w:p>
        </w:tc>
        <w:tc>
          <w:tcPr>
            <w:tcW w:w="2879" w:type="dxa"/>
            <w:vAlign w:val="center"/>
          </w:tcPr>
          <w:p w14:paraId="605FF19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是否退还投标文件</w:t>
            </w:r>
          </w:p>
        </w:tc>
        <w:tc>
          <w:tcPr>
            <w:tcW w:w="4891" w:type="dxa"/>
          </w:tcPr>
          <w:p w14:paraId="2F953DFC">
            <w:pPr>
              <w:kinsoku/>
              <w:spacing w:before="126" w:line="276" w:lineRule="auto"/>
              <w:ind w:left="135"/>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否</w:t>
            </w:r>
          </w:p>
          <w:p w14:paraId="571E343F">
            <w:pPr>
              <w:kinsoku/>
              <w:spacing w:before="108" w:line="276" w:lineRule="auto"/>
              <w:ind w:left="135"/>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□是，退还时间：</w:t>
            </w:r>
          </w:p>
        </w:tc>
      </w:tr>
      <w:tr w14:paraId="6F1C7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AF40DE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w:t>
            </w:r>
          </w:p>
        </w:tc>
        <w:tc>
          <w:tcPr>
            <w:tcW w:w="2879" w:type="dxa"/>
            <w:vAlign w:val="center"/>
          </w:tcPr>
          <w:p w14:paraId="6308CCB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开标时间和地点</w:t>
            </w:r>
          </w:p>
        </w:tc>
        <w:tc>
          <w:tcPr>
            <w:tcW w:w="4891" w:type="dxa"/>
          </w:tcPr>
          <w:p w14:paraId="6525544A">
            <w:pPr>
              <w:spacing w:line="276" w:lineRule="auto"/>
              <w:ind w:left="139" w:leftChars="6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投标文件第一信封（商务及技术文件）</w:t>
            </w:r>
            <w:r>
              <w:rPr>
                <w:rFonts w:hint="eastAsia" w:ascii="宋体" w:hAnsi="宋体" w:eastAsia="宋体" w:cs="宋体"/>
                <w:color w:val="000000" w:themeColor="text1"/>
                <w:highlight w:val="none"/>
                <w:lang w:eastAsia="zh-CN"/>
                <w14:textFill>
                  <w14:solidFill>
                    <w14:schemeClr w14:val="tx1"/>
                  </w14:solidFill>
                </w14:textFill>
              </w:rPr>
              <w:t>开标时间：</w:t>
            </w:r>
            <w:r>
              <w:rPr>
                <w:rFonts w:hint="eastAsia" w:ascii="宋体" w:hAnsi="宋体" w:eastAsia="宋体" w:cs="宋体"/>
                <w:color w:val="000000" w:themeColor="text1"/>
                <w:highlight w:val="none"/>
                <w:u w:val="single"/>
                <w:lang w:eastAsia="zh-CN"/>
                <w14:textFill>
                  <w14:solidFill>
                    <w14:schemeClr w14:val="tx1"/>
                  </w14:solidFill>
                </w14:textFill>
              </w:rPr>
              <w:t>见“重要事项时间地点一览表”</w:t>
            </w:r>
            <w:r>
              <w:rPr>
                <w:rFonts w:hint="eastAsia" w:ascii="宋体" w:hAnsi="宋体" w:eastAsia="宋体" w:cs="宋体"/>
                <w:color w:val="000000" w:themeColor="text1"/>
                <w:highlight w:val="none"/>
                <w:lang w:eastAsia="zh-CN"/>
                <w14:textFill>
                  <w14:solidFill>
                    <w14:schemeClr w14:val="tx1"/>
                  </w14:solidFill>
                </w14:textFill>
              </w:rPr>
              <w:t>。</w:t>
            </w:r>
          </w:p>
          <w:p w14:paraId="39F2A5B1">
            <w:pPr>
              <w:spacing w:line="276" w:lineRule="auto"/>
              <w:ind w:left="139" w:leftChars="6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开标地点：</w:t>
            </w:r>
            <w:r>
              <w:rPr>
                <w:rFonts w:hint="eastAsia" w:ascii="宋体" w:hAnsi="宋体" w:eastAsia="宋体" w:cs="宋体"/>
                <w:color w:val="000000" w:themeColor="text1"/>
                <w:highlight w:val="none"/>
                <w:u w:val="single"/>
                <w:lang w:eastAsia="zh-CN"/>
                <w14:textFill>
                  <w14:solidFill>
                    <w14:schemeClr w14:val="tx1"/>
                  </w14:solidFill>
                </w14:textFill>
              </w:rPr>
              <w:t>见“重要事项时间地点一览表”</w:t>
            </w:r>
            <w:r>
              <w:rPr>
                <w:rFonts w:hint="eastAsia" w:ascii="宋体" w:hAnsi="宋体" w:eastAsia="宋体" w:cs="宋体"/>
                <w:color w:val="000000" w:themeColor="text1"/>
                <w:highlight w:val="none"/>
                <w:lang w:eastAsia="zh-CN"/>
                <w14:textFill>
                  <w14:solidFill>
                    <w14:schemeClr w14:val="tx1"/>
                  </w14:solidFill>
                </w14:textFill>
              </w:rPr>
              <w:t>，具体开标室以当日现场通知为准。</w:t>
            </w:r>
          </w:p>
          <w:p w14:paraId="7957D3D7">
            <w:pPr>
              <w:spacing w:line="276" w:lineRule="auto"/>
              <w:ind w:left="139" w:leftChars="6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投标文件第二信封（报价文件）开标时间</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u w:val="single"/>
                <w:lang w:eastAsia="zh-CN"/>
                <w14:textFill>
                  <w14:solidFill>
                    <w14:schemeClr w14:val="tx1"/>
                  </w14:solidFill>
                </w14:textFill>
              </w:rPr>
              <w:t>见“重要事项时间地点一览表”</w:t>
            </w:r>
            <w:r>
              <w:rPr>
                <w:rFonts w:hint="eastAsia" w:ascii="宋体" w:hAnsi="宋体" w:eastAsia="宋体" w:cs="宋体"/>
                <w:color w:val="000000" w:themeColor="text1"/>
                <w:highlight w:val="none"/>
                <w:lang w:eastAsia="zh-CN"/>
                <w14:textFill>
                  <w14:solidFill>
                    <w14:schemeClr w14:val="tx1"/>
                  </w14:solidFill>
                </w14:textFill>
              </w:rPr>
              <w:t>，且在宣布通过商务文件和技术文件的投标人名单后。</w:t>
            </w:r>
          </w:p>
          <w:p w14:paraId="09D74450">
            <w:pPr>
              <w:kinsoku/>
              <w:spacing w:before="31" w:line="276" w:lineRule="auto"/>
              <w:ind w:left="139" w:leftChars="66" w:right="10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开标地点：</w:t>
            </w:r>
            <w:r>
              <w:rPr>
                <w:rFonts w:hint="eastAsia" w:ascii="宋体" w:hAnsi="宋体" w:eastAsia="宋体" w:cs="宋体"/>
                <w:color w:val="000000" w:themeColor="text1"/>
                <w:highlight w:val="none"/>
                <w:u w:val="single"/>
                <w:lang w:eastAsia="zh-CN"/>
                <w14:textFill>
                  <w14:solidFill>
                    <w14:schemeClr w14:val="tx1"/>
                  </w14:solidFill>
                </w14:textFill>
              </w:rPr>
              <w:t>见“重要事项时间地点一览表”</w:t>
            </w:r>
            <w:r>
              <w:rPr>
                <w:rFonts w:hint="eastAsia" w:ascii="宋体" w:hAnsi="宋体" w:eastAsia="宋体" w:cs="宋体"/>
                <w:color w:val="000000" w:themeColor="text1"/>
                <w:highlight w:val="none"/>
                <w:lang w:eastAsia="zh-CN"/>
                <w14:textFill>
                  <w14:solidFill>
                    <w14:schemeClr w14:val="tx1"/>
                  </w14:solidFill>
                </w14:textFill>
              </w:rPr>
              <w:t>，具体开标室以当日现场通知为准。</w:t>
            </w:r>
          </w:p>
        </w:tc>
      </w:tr>
      <w:tr w14:paraId="3A64F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C8D6C2F">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5.2.1</w:t>
            </w:r>
          </w:p>
        </w:tc>
        <w:tc>
          <w:tcPr>
            <w:tcW w:w="2879" w:type="dxa"/>
            <w:vAlign w:val="center"/>
          </w:tcPr>
          <w:p w14:paraId="6C4D6ED2">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第一个信封（商务及技术文件）开标程序</w:t>
            </w:r>
          </w:p>
        </w:tc>
        <w:tc>
          <w:tcPr>
            <w:tcW w:w="4891" w:type="dxa"/>
          </w:tcPr>
          <w:p w14:paraId="753272ED">
            <w:pPr>
              <w:kinsoku/>
              <w:spacing w:before="117" w:line="276" w:lineRule="auto"/>
              <w:ind w:left="11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（4）密封情况检查：</w:t>
            </w:r>
            <w:r>
              <w:rPr>
                <w:rFonts w:hint="eastAsia" w:ascii="宋体" w:hAnsi="宋体" w:eastAsia="宋体" w:cs="宋体"/>
                <w:color w:val="000000" w:themeColor="text1"/>
                <w:highlight w:val="none"/>
                <w:u w:val="single"/>
                <w:lang w:eastAsia="zh-CN"/>
                <w14:textFill>
                  <w14:solidFill>
                    <w14:schemeClr w14:val="tx1"/>
                  </w14:solidFill>
                </w14:textFill>
              </w:rPr>
              <w:t>本项目采用全流程电子投标，不需检查密封情况。</w:t>
            </w:r>
          </w:p>
          <w:p w14:paraId="52323805">
            <w:pPr>
              <w:kinsoku/>
              <w:spacing w:before="124" w:line="276" w:lineRule="auto"/>
              <w:ind w:left="119"/>
              <w:rPr>
                <w:rFonts w:ascii="宋体" w:hAnsi="宋体" w:eastAsia="宋体" w:cs="宋体"/>
                <w:color w:val="000000" w:themeColor="text1"/>
                <w:highlight w:val="none"/>
                <w:u w:val="singl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（5）开标顺序：</w:t>
            </w:r>
            <w:r>
              <w:rPr>
                <w:rFonts w:hint="eastAsia" w:ascii="宋体" w:hAnsi="宋体" w:eastAsia="宋体" w:cs="宋体"/>
                <w:color w:val="000000" w:themeColor="text1"/>
                <w:highlight w:val="none"/>
                <w:u w:val="single"/>
                <w:lang w:eastAsia="zh-CN"/>
                <w14:textFill>
                  <w14:solidFill>
                    <w14:schemeClr w14:val="tx1"/>
                  </w14:solidFill>
                </w14:textFill>
              </w:rPr>
              <w:t>对投标截止时间前上传的电子投标文件随机开标，先对投标文件第一信封（商务及技术文件）进行开标。</w:t>
            </w:r>
          </w:p>
        </w:tc>
      </w:tr>
      <w:tr w14:paraId="27F77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88C3C2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5.2.3</w:t>
            </w:r>
          </w:p>
        </w:tc>
        <w:tc>
          <w:tcPr>
            <w:tcW w:w="2879" w:type="dxa"/>
            <w:vAlign w:val="center"/>
          </w:tcPr>
          <w:p w14:paraId="5C8C5E16">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第二个信封（报价文件）开标 程序</w:t>
            </w:r>
          </w:p>
        </w:tc>
        <w:tc>
          <w:tcPr>
            <w:tcW w:w="4891" w:type="dxa"/>
          </w:tcPr>
          <w:p w14:paraId="76B416D4">
            <w:pPr>
              <w:spacing w:line="276" w:lineRule="auto"/>
              <w:ind w:left="59" w:leftChars="28"/>
              <w:rPr>
                <w:rFonts w:ascii="宋体" w:hAnsi="宋体" w:eastAsia="宋体" w:cs="宋体"/>
                <w:color w:val="000000" w:themeColor="text1"/>
                <w:highlight w:val="none"/>
                <w:u w:val="singl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（4）密封情况检查：</w:t>
            </w:r>
            <w:r>
              <w:rPr>
                <w:rFonts w:hint="eastAsia" w:ascii="宋体" w:hAnsi="宋体" w:eastAsia="宋体" w:cs="宋体"/>
                <w:color w:val="000000" w:themeColor="text1"/>
                <w:highlight w:val="none"/>
                <w:u w:val="single"/>
                <w:lang w:eastAsia="zh-CN"/>
                <w14:textFill>
                  <w14:solidFill>
                    <w14:schemeClr w14:val="tx1"/>
                  </w14:solidFill>
                </w14:textFill>
              </w:rPr>
              <w:t>本项目采用全流程电子投标，不需检查密封情况。</w:t>
            </w:r>
          </w:p>
          <w:p w14:paraId="626A7E11">
            <w:pPr>
              <w:kinsoku/>
              <w:spacing w:before="108" w:line="276" w:lineRule="auto"/>
              <w:ind w:left="59" w:leftChars="2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（5）开标顺序：</w:t>
            </w:r>
            <w:r>
              <w:rPr>
                <w:rFonts w:hint="eastAsia" w:ascii="宋体" w:hAnsi="宋体" w:eastAsia="宋体" w:cs="宋体"/>
                <w:color w:val="000000" w:themeColor="text1"/>
                <w:highlight w:val="none"/>
                <w:u w:val="single"/>
                <w:lang w:eastAsia="zh-CN"/>
                <w14:textFill>
                  <w14:solidFill>
                    <w14:schemeClr w14:val="tx1"/>
                  </w14:solidFill>
                </w14:textFill>
              </w:rPr>
              <w:t>对通过了投标文件第一信封（商务及技术文件）评审（是指第一信封（商务及技术文件）通过了评标办法规定的资格审查和初步评审，未出现废标情况）的投标人的电子投标文件第二信封（报价文件）进行随机开标。</w:t>
            </w:r>
          </w:p>
        </w:tc>
      </w:tr>
      <w:tr w14:paraId="0F9A8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012" w:type="dxa"/>
            <w:vAlign w:val="center"/>
          </w:tcPr>
          <w:p w14:paraId="6BF03123">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6.1.1</w:t>
            </w:r>
          </w:p>
        </w:tc>
        <w:tc>
          <w:tcPr>
            <w:tcW w:w="2879" w:type="dxa"/>
            <w:vAlign w:val="center"/>
          </w:tcPr>
          <w:p w14:paraId="0C66CBC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评标委员会的组建</w:t>
            </w:r>
          </w:p>
        </w:tc>
        <w:tc>
          <w:tcPr>
            <w:tcW w:w="4891" w:type="dxa"/>
          </w:tcPr>
          <w:p w14:paraId="035182B3">
            <w:pPr>
              <w:spacing w:line="276" w:lineRule="auto"/>
              <w:ind w:left="120" w:leftChars="5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评标委员会构成：</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7</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人，其中招标人代表</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2</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人，专家</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5</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人。</w:t>
            </w:r>
          </w:p>
          <w:p w14:paraId="17D33506">
            <w:pPr>
              <w:kinsoku/>
              <w:spacing w:before="29" w:line="276" w:lineRule="auto"/>
              <w:ind w:left="120" w:leftChars="57" w:right="10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评标专家确定方式：依法从广东省综合评标评审专家库中随机抽取。</w:t>
            </w:r>
          </w:p>
        </w:tc>
      </w:tr>
      <w:tr w14:paraId="2DB05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08916A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7.1</w:t>
            </w:r>
          </w:p>
        </w:tc>
        <w:tc>
          <w:tcPr>
            <w:tcW w:w="2879" w:type="dxa"/>
            <w:vAlign w:val="center"/>
          </w:tcPr>
          <w:p w14:paraId="322508E2">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中标候选人公示媒介及期限</w:t>
            </w:r>
          </w:p>
        </w:tc>
        <w:tc>
          <w:tcPr>
            <w:tcW w:w="4891" w:type="dxa"/>
          </w:tcPr>
          <w:p w14:paraId="5EA80C66">
            <w:pPr>
              <w:kinsoku/>
              <w:spacing w:before="128" w:line="276" w:lineRule="auto"/>
              <w:ind w:left="1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公示媒介：</w:t>
            </w:r>
            <w:r>
              <w:rPr>
                <w:rFonts w:hint="eastAsia" w:ascii="宋体" w:hAnsi="宋体" w:eastAsia="宋体" w:cs="宋体"/>
                <w:color w:val="000000" w:themeColor="text1"/>
                <w:highlight w:val="none"/>
                <w:u w:val="single"/>
                <w:lang w:eastAsia="zh-CN"/>
                <w14:textFill>
                  <w14:solidFill>
                    <w14:schemeClr w14:val="tx1"/>
                  </w14:solidFill>
                </w14:textFill>
              </w:rPr>
              <w:t>广东省招标投标监管网、全国公共资源交易平台（广东省·韶关市）</w:t>
            </w:r>
          </w:p>
          <w:p w14:paraId="7BCA45D1">
            <w:pPr>
              <w:kinsoku/>
              <w:spacing w:before="110" w:line="276" w:lineRule="auto"/>
              <w:ind w:left="120" w:right="257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公示期限：3个工作日</w:t>
            </w:r>
          </w:p>
          <w:p w14:paraId="00A529B4">
            <w:pPr>
              <w:kinsoku/>
              <w:spacing w:before="110" w:line="276" w:lineRule="auto"/>
              <w:ind w:left="120" w:right="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公示的其他内容：</w:t>
            </w:r>
            <w:r>
              <w:rPr>
                <w:rFonts w:hint="eastAsia" w:ascii="宋体" w:hAnsi="宋体" w:eastAsia="宋体" w:cs="宋体"/>
                <w:color w:val="000000" w:themeColor="text1"/>
                <w:highlight w:val="none"/>
                <w:u w:val="single"/>
                <w:lang w:eastAsia="zh-CN"/>
                <w14:textFill>
                  <w14:solidFill>
                    <w14:schemeClr w14:val="tx1"/>
                  </w14:solidFill>
                </w14:textFill>
              </w:rPr>
              <w:t>最新年度AA、A级投标人的信用等级使用情况及所有承诺使用最新年度AA、A级投标人的年度信用等级使用情况。</w:t>
            </w:r>
          </w:p>
        </w:tc>
      </w:tr>
      <w:tr w14:paraId="061AA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58DF53E">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7.4</w:t>
            </w:r>
          </w:p>
        </w:tc>
        <w:tc>
          <w:tcPr>
            <w:tcW w:w="2879" w:type="dxa"/>
            <w:vAlign w:val="center"/>
          </w:tcPr>
          <w:p w14:paraId="67F487BA">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是否授权评标委员会确定中标人</w:t>
            </w:r>
          </w:p>
        </w:tc>
        <w:tc>
          <w:tcPr>
            <w:tcW w:w="4891" w:type="dxa"/>
          </w:tcPr>
          <w:p w14:paraId="54917199">
            <w:pPr>
              <w:kinsoku/>
              <w:spacing w:before="83" w:line="276" w:lineRule="auto"/>
              <w:ind w:left="127"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是</w:t>
            </w:r>
          </w:p>
          <w:p w14:paraId="32445E4E">
            <w:pPr>
              <w:kinsoku/>
              <w:spacing w:before="83" w:line="276" w:lineRule="auto"/>
              <w:ind w:left="127"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否</w:t>
            </w:r>
          </w:p>
        </w:tc>
      </w:tr>
      <w:tr w14:paraId="1FA0C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F508A0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7.5</w:t>
            </w:r>
          </w:p>
        </w:tc>
        <w:tc>
          <w:tcPr>
            <w:tcW w:w="2879" w:type="dxa"/>
            <w:vAlign w:val="center"/>
          </w:tcPr>
          <w:p w14:paraId="4A0AAF70">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中标通知书和中标结果通知发出的形式</w:t>
            </w:r>
          </w:p>
        </w:tc>
        <w:tc>
          <w:tcPr>
            <w:tcW w:w="4891" w:type="dxa"/>
            <w:vAlign w:val="center"/>
          </w:tcPr>
          <w:p w14:paraId="0E9F2571">
            <w:pPr>
              <w:kinsoku/>
              <w:spacing w:line="276" w:lineRule="auto"/>
              <w:ind w:left="59" w:leftChars="28"/>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书面形式</w:t>
            </w:r>
          </w:p>
        </w:tc>
      </w:tr>
      <w:tr w14:paraId="03283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9CBE78B">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7.6</w:t>
            </w:r>
          </w:p>
        </w:tc>
        <w:tc>
          <w:tcPr>
            <w:tcW w:w="2879" w:type="dxa"/>
            <w:vAlign w:val="center"/>
          </w:tcPr>
          <w:p w14:paraId="74D8C39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中标结果公告媒介</w:t>
            </w:r>
          </w:p>
        </w:tc>
        <w:tc>
          <w:tcPr>
            <w:tcW w:w="4891" w:type="dxa"/>
          </w:tcPr>
          <w:p w14:paraId="35EDE155">
            <w:pPr>
              <w:kinsoku/>
              <w:wordWrap w:val="0"/>
              <w:spacing w:line="276" w:lineRule="auto"/>
              <w:ind w:left="80" w:leftChars="3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公示媒介：</w:t>
            </w:r>
            <w:r>
              <w:rPr>
                <w:rFonts w:hint="eastAsia" w:ascii="宋体" w:hAnsi="宋体" w:eastAsia="宋体" w:cs="宋体"/>
                <w:color w:val="000000" w:themeColor="text1"/>
                <w:highlight w:val="none"/>
                <w:u w:val="single"/>
                <w:lang w:eastAsia="zh-CN"/>
                <w14:textFill>
                  <w14:solidFill>
                    <w14:schemeClr w14:val="tx1"/>
                  </w14:solidFill>
                </w14:textFill>
              </w:rPr>
              <w:t>广东省招标投标监管网、全国公共资源交易平台（广东省·韶关市）</w:t>
            </w:r>
          </w:p>
        </w:tc>
      </w:tr>
      <w:tr w14:paraId="7CCC4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B2B0323">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7.7</w:t>
            </w:r>
          </w:p>
        </w:tc>
        <w:tc>
          <w:tcPr>
            <w:tcW w:w="2879" w:type="dxa"/>
            <w:vAlign w:val="center"/>
          </w:tcPr>
          <w:p w14:paraId="7B36860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技术成果经济补偿</w:t>
            </w:r>
          </w:p>
        </w:tc>
        <w:tc>
          <w:tcPr>
            <w:tcW w:w="4891" w:type="dxa"/>
          </w:tcPr>
          <w:p w14:paraId="06347115">
            <w:pPr>
              <w:kinsoku/>
              <w:spacing w:before="88"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☑不补偿</w:t>
            </w:r>
          </w:p>
          <w:p w14:paraId="666B04AD">
            <w:pPr>
              <w:kinsoku/>
              <w:spacing w:before="7"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□补偿，补偿标准：</w:t>
            </w:r>
          </w:p>
        </w:tc>
      </w:tr>
      <w:tr w14:paraId="29BAF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0A17E50">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7.8.1</w:t>
            </w:r>
          </w:p>
        </w:tc>
        <w:tc>
          <w:tcPr>
            <w:tcW w:w="2879" w:type="dxa"/>
            <w:vAlign w:val="center"/>
          </w:tcPr>
          <w:p w14:paraId="0A03242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履约保证金</w:t>
            </w:r>
          </w:p>
        </w:tc>
        <w:tc>
          <w:tcPr>
            <w:tcW w:w="4891" w:type="dxa"/>
            <w:vAlign w:val="center"/>
          </w:tcPr>
          <w:p w14:paraId="5CB6E53B">
            <w:pPr>
              <w:kinsoku/>
              <w:spacing w:line="276" w:lineRule="auto"/>
              <w:ind w:left="116"/>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是否要求中标人提交履约保证金：</w:t>
            </w:r>
          </w:p>
          <w:p w14:paraId="4A22EE3B">
            <w:pPr>
              <w:kinsoku/>
              <w:spacing w:line="276" w:lineRule="auto"/>
              <w:ind w:left="115" w:right="116" w:firstLine="12"/>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☑要求，履约保证金形式：由投标人自主选择采用现金（或支票）、或银行保函，根据《关于统一在市公共资源交易一体化服务平台缴退工程建设项目履约保证金的通知》办理相关手续。</w:t>
            </w:r>
          </w:p>
          <w:p w14:paraId="4F3F8FC1">
            <w:pPr>
              <w:kinsoku/>
              <w:spacing w:line="276" w:lineRule="auto"/>
              <w:ind w:left="115" w:right="116" w:firstLine="12"/>
              <w:jc w:val="both"/>
              <w:rPr>
                <w:rFonts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highlight w:val="none"/>
                <w:lang w:eastAsia="zh-CN"/>
                <w14:textFill>
                  <w14:solidFill>
                    <w14:schemeClr w14:val="tx1"/>
                  </w14:solidFill>
                </w14:textFill>
              </w:rPr>
              <w:t>履约担保的金额：</w:t>
            </w:r>
            <w:r>
              <w:rPr>
                <w:rFonts w:hint="eastAsia" w:ascii="宋体" w:hAnsi="宋体" w:eastAsia="宋体" w:cs="宋体"/>
                <w:b w:val="0"/>
                <w:bCs w:val="0"/>
                <w:color w:val="000000" w:themeColor="text1"/>
                <w:highlight w:val="none"/>
                <w:lang w:val="en-US" w:eastAsia="zh-CN"/>
                <w14:textFill>
                  <w14:solidFill>
                    <w14:schemeClr w14:val="tx1"/>
                  </w14:solidFill>
                </w14:textFill>
              </w:rPr>
              <w:t>5</w:t>
            </w:r>
            <w:r>
              <w:rPr>
                <w:rFonts w:hint="eastAsia" w:ascii="宋体" w:hAnsi="宋体" w:eastAsia="宋体" w:cs="宋体"/>
                <w:b w:val="0"/>
                <w:bCs w:val="0"/>
                <w:color w:val="000000" w:themeColor="text1"/>
                <w:highlight w:val="none"/>
                <w:lang w:eastAsia="zh-CN"/>
                <w14:textFill>
                  <w14:solidFill>
                    <w14:schemeClr w14:val="tx1"/>
                  </w14:solidFill>
                </w14:textFill>
              </w:rPr>
              <w:t>％</w:t>
            </w:r>
            <w:r>
              <w:rPr>
                <w:rFonts w:hint="eastAsia" w:ascii="宋体" w:hAnsi="宋体" w:eastAsia="宋体" w:cs="宋体"/>
                <w:b w:val="0"/>
                <w:bCs w:val="0"/>
                <w:color w:val="000000" w:themeColor="text1"/>
                <w:highlight w:val="none"/>
                <w:lang w:eastAsia="zh-CN"/>
                <w14:textFill>
                  <w14:solidFill>
                    <w14:schemeClr w14:val="tx1"/>
                  </w14:solidFill>
                </w14:textFill>
              </w:rPr>
              <w:t>签约合同价</w:t>
            </w:r>
          </w:p>
          <w:p w14:paraId="6EE83925">
            <w:pPr>
              <w:kinsoku/>
              <w:spacing w:line="276" w:lineRule="auto"/>
              <w:ind w:left="115" w:right="116" w:firstLine="12"/>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采用银行保函时，出具保函的银行级别:投标人公司注册所在地的全国性国有商业银行或股份制商业银行的分支机构。</w:t>
            </w:r>
          </w:p>
          <w:p w14:paraId="3694187E">
            <w:pPr>
              <w:kinsoku/>
              <w:spacing w:line="276" w:lineRule="auto"/>
              <w:ind w:left="115" w:right="116" w:firstLine="12"/>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不要求</w:t>
            </w:r>
          </w:p>
        </w:tc>
      </w:tr>
      <w:tr w14:paraId="12C8D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45FD38F">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8.5.1</w:t>
            </w:r>
          </w:p>
        </w:tc>
        <w:tc>
          <w:tcPr>
            <w:tcW w:w="2879" w:type="dxa"/>
            <w:vAlign w:val="center"/>
          </w:tcPr>
          <w:p w14:paraId="07D75DFA">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监督部门</w:t>
            </w:r>
          </w:p>
        </w:tc>
        <w:tc>
          <w:tcPr>
            <w:tcW w:w="4891" w:type="dxa"/>
          </w:tcPr>
          <w:p w14:paraId="7A64068C">
            <w:pPr>
              <w:spacing w:line="276" w:lineRule="auto"/>
              <w:ind w:firstLine="105" w:firstLineChars="5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 xml:space="preserve">监督部门：始兴县交通运输局 </w:t>
            </w:r>
          </w:p>
          <w:p w14:paraId="3642D09B">
            <w:pPr>
              <w:spacing w:line="276" w:lineRule="auto"/>
              <w:ind w:firstLine="105" w:firstLineChars="5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地    址：始兴县太平镇北门路420号</w:t>
            </w:r>
          </w:p>
          <w:p w14:paraId="596953C9">
            <w:pPr>
              <w:spacing w:line="276" w:lineRule="auto"/>
              <w:ind w:firstLine="105" w:firstLineChars="5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电    话：0751-3333459</w:t>
            </w:r>
          </w:p>
          <w:p w14:paraId="1B434280">
            <w:pPr>
              <w:spacing w:line="276" w:lineRule="auto"/>
              <w:ind w:firstLine="105" w:firstLineChars="50"/>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邮政编码：512500</w:t>
            </w:r>
          </w:p>
        </w:tc>
      </w:tr>
      <w:tr w14:paraId="3AEF7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1B2AEA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p>
        </w:tc>
        <w:tc>
          <w:tcPr>
            <w:tcW w:w="2879" w:type="dxa"/>
            <w:vAlign w:val="center"/>
          </w:tcPr>
          <w:p w14:paraId="71AC7886">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是否采用电子招标投标</w:t>
            </w:r>
          </w:p>
        </w:tc>
        <w:tc>
          <w:tcPr>
            <w:tcW w:w="4891" w:type="dxa"/>
          </w:tcPr>
          <w:p w14:paraId="3A124123">
            <w:pPr>
              <w:kinsoku/>
              <w:spacing w:before="71"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□否</w:t>
            </w:r>
          </w:p>
          <w:p w14:paraId="57E9A2A8">
            <w:pPr>
              <w:kinsoku/>
              <w:spacing w:before="7"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☑是，具体要求：</w:t>
            </w:r>
          </w:p>
          <w:p w14:paraId="19989062">
            <w:pPr>
              <w:kinsoku/>
              <w:spacing w:before="7" w:line="276" w:lineRule="auto"/>
              <w:ind w:left="127" w:firstLine="422"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u w:val="single"/>
                <w:lang w:eastAsia="zh-CN"/>
                <w14:textFill>
                  <w14:solidFill>
                    <w14:schemeClr w14:val="tx1"/>
                  </w14:solidFill>
                </w14:textFill>
              </w:rPr>
              <w:t>投标人必须在规定的截止时间前使用建设工程交易平台完成电子投标(包括缴纳投标保证金)。</w:t>
            </w:r>
          </w:p>
        </w:tc>
      </w:tr>
      <w:tr w14:paraId="14F89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782" w:type="dxa"/>
            <w:gridSpan w:val="3"/>
          </w:tcPr>
          <w:p w14:paraId="28BFFBE1">
            <w:pPr>
              <w:kinsoku/>
              <w:spacing w:before="121" w:line="276" w:lineRule="auto"/>
              <w:ind w:left="12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需要补充的其他内容</w:t>
            </w:r>
          </w:p>
        </w:tc>
      </w:tr>
      <w:tr w14:paraId="226D2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676267B">
            <w:pPr>
              <w:spacing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1.4.4</w:t>
            </w:r>
          </w:p>
        </w:tc>
        <w:tc>
          <w:tcPr>
            <w:tcW w:w="7770" w:type="dxa"/>
            <w:gridSpan w:val="2"/>
            <w:vAlign w:val="center"/>
          </w:tcPr>
          <w:p w14:paraId="2137EC28">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投标人须知正文</w:t>
            </w:r>
          </w:p>
          <w:p w14:paraId="6CA1F586">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第1.4.4项中（1）目中的“招标项目所在地”指“广东省”。</w:t>
            </w:r>
          </w:p>
          <w:p w14:paraId="532F68CF">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第1.4.4项中（5）目内容修改如下：</w:t>
            </w:r>
          </w:p>
          <w:p w14:paraId="7E3F4832">
            <w:pPr>
              <w:wordWrap w:val="0"/>
              <w:topLinePunct/>
              <w:spacing w:line="276" w:lineRule="auto"/>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（5）修改为：在“信用中国”网站（https://www.creditchina.gov.cn/）中被列入失信被执行人名单的投标人；</w:t>
            </w:r>
          </w:p>
          <w:p w14:paraId="3A51BA76">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第1.4.4项中（6）目内容修改如下：</w:t>
            </w:r>
          </w:p>
          <w:p w14:paraId="096E2D3C">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根据韶关市发展和改革局《关于在我市公共资源交易活动中暂停使用行贿犯罪档案的通知》(韶发改公资[2018]8号)的规定，本次招标无需提供行贿犯罪档查询结果证明。</w:t>
            </w:r>
          </w:p>
        </w:tc>
      </w:tr>
      <w:tr w14:paraId="410DF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B980446">
            <w:pPr>
              <w:spacing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1.5</w:t>
            </w:r>
          </w:p>
        </w:tc>
        <w:tc>
          <w:tcPr>
            <w:tcW w:w="7770" w:type="dxa"/>
            <w:gridSpan w:val="2"/>
            <w:vAlign w:val="center"/>
          </w:tcPr>
          <w:p w14:paraId="6D3CFE59">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投标人须知正文第1.5条款修改如下：</w:t>
            </w:r>
          </w:p>
          <w:p w14:paraId="21388D4E">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1.5.1投标人准备和参加投标活动发生的费用自理。</w:t>
            </w:r>
          </w:p>
          <w:p w14:paraId="5BEA988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1.5.2招标人对未中标人的设计成果不给予任何补偿。</w:t>
            </w:r>
          </w:p>
          <w:p w14:paraId="0AEB2D97">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1.5.3</w:t>
            </w:r>
            <w:r>
              <w:rPr>
                <w:rFonts w:hint="eastAsia" w:ascii="宋体" w:hAnsi="宋体" w:cs="宋体"/>
                <w:color w:val="000000" w:themeColor="text1"/>
                <w:highlight w:val="none"/>
                <w:lang w:eastAsia="zh-CN"/>
                <w14:textFill>
                  <w14:solidFill>
                    <w14:schemeClr w14:val="tx1"/>
                  </w14:solidFill>
                </w14:textFill>
              </w:rPr>
              <w:t>本项目的招标代理服务费由中标人支付，该费用不再另行报价，由投标人在投标报价时综合考虑在内。招标代理服务费以中标金额作为计价基数下浮20%，依据《招标代理服务收费管理暂行办法》（计价格〔2002〕1980号）文相关规定计算招标代理服务费；中标人须在中标公告公示期结束后，领取《中标通知书》前，向招标代理机构缴纳招标代理服务费</w:t>
            </w:r>
            <w:r>
              <w:rPr>
                <w:rFonts w:hint="eastAsia" w:ascii="宋体" w:hAnsi="宋体" w:eastAsia="宋体" w:cs="宋体"/>
                <w:color w:val="000000" w:themeColor="text1"/>
                <w:highlight w:val="none"/>
                <w:lang w:eastAsia="zh-CN"/>
                <w14:textFill>
                  <w14:solidFill>
                    <w14:schemeClr w14:val="tx1"/>
                  </w14:solidFill>
                </w14:textFill>
              </w:rPr>
              <w:t>。</w:t>
            </w:r>
          </w:p>
        </w:tc>
      </w:tr>
      <w:tr w14:paraId="17198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0C1E2BA">
            <w:pPr>
              <w:spacing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2.3</w:t>
            </w:r>
          </w:p>
        </w:tc>
        <w:tc>
          <w:tcPr>
            <w:tcW w:w="7770" w:type="dxa"/>
            <w:gridSpan w:val="2"/>
            <w:vAlign w:val="center"/>
          </w:tcPr>
          <w:p w14:paraId="3060F726">
            <w:pPr>
              <w:spacing w:before="51" w:line="276" w:lineRule="auto"/>
              <w:ind w:right="176"/>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投标人须知正文第2.3款内容修改如下：</w:t>
            </w:r>
          </w:p>
          <w:p w14:paraId="307EEDD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2.3.1 在投标人须知前附表规定的截止投标时间15天前，招标人可以书面修改招标文件，并在</w:t>
            </w:r>
            <w:r>
              <w:rPr>
                <w:rFonts w:hint="eastAsia" w:ascii="宋体" w:hAnsi="宋体" w:eastAsia="宋体" w:cs="宋体"/>
                <w:color w:val="000000" w:themeColor="text1"/>
                <w:highlight w:val="none"/>
                <w:u w:val="single"/>
                <w:lang w:eastAsia="zh-CN"/>
                <w14:textFill>
                  <w14:solidFill>
                    <w14:schemeClr w14:val="tx1"/>
                  </w14:solidFill>
                </w14:textFill>
              </w:rPr>
              <w:t>全国公共资源交易平台（广东省·韶关市）</w:t>
            </w:r>
            <w:r>
              <w:rPr>
                <w:rFonts w:hint="eastAsia" w:ascii="宋体" w:hAnsi="宋体" w:eastAsia="宋体" w:cs="宋体"/>
                <w:color w:val="000000" w:themeColor="text1"/>
                <w:highlight w:val="none"/>
                <w:lang w:eastAsia="zh-CN"/>
                <w14:textFill>
                  <w14:solidFill>
                    <w14:schemeClr w14:val="tx1"/>
                  </w14:solidFill>
                </w14:textFill>
              </w:rPr>
              <w:t>网站上发布。如果修改招标文件的时间超出规定的截止时间，相应延长投标截止时间。</w:t>
            </w:r>
          </w:p>
          <w:p w14:paraId="52CD310D">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2.3.2 </w:t>
            </w:r>
            <w:r>
              <w:rPr>
                <w:rFonts w:hint="eastAsia" w:ascii="宋体" w:hAnsi="宋体" w:eastAsia="宋体" w:cs="宋体"/>
                <w:b/>
                <w:bCs/>
                <w:color w:val="000000" w:themeColor="text1"/>
                <w:highlight w:val="none"/>
                <w:lang w:eastAsia="zh-CN"/>
                <w14:textFill>
                  <w14:solidFill>
                    <w14:schemeClr w14:val="tx1"/>
                  </w14:solidFill>
                </w14:textFill>
              </w:rPr>
              <w:t>招标文件的修改及有关补充通知一经在全国公共资源交易平台（广东省·韶关市）网站上发布，视作已发放给所有投标人。</w:t>
            </w:r>
          </w:p>
        </w:tc>
      </w:tr>
      <w:tr w14:paraId="407D4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60AEE52">
            <w:pPr>
              <w:spacing w:line="480" w:lineRule="auto"/>
              <w:jc w:val="center"/>
              <w:rPr>
                <w:rFonts w:ascii="宋体" w:hAnsi="宋体" w:eastAsia="宋体" w:cs="宋体"/>
                <w:b/>
                <w:color w:val="000000" w:themeColor="text1"/>
                <w:highlight w:val="none"/>
                <w14:textFill>
                  <w14:solidFill>
                    <w14:schemeClr w14:val="tx1"/>
                  </w14:solidFill>
                </w14:textFill>
              </w:rPr>
            </w:pPr>
            <w:r>
              <w:rPr>
                <w:rFonts w:ascii="宋体" w:hAnsi="宋体" w:cs="宋体"/>
                <w:b/>
                <w:color w:val="000000" w:themeColor="text1"/>
                <w:highlight w:val="none"/>
                <w14:textFill>
                  <w14:solidFill>
                    <w14:schemeClr w14:val="tx1"/>
                  </w14:solidFill>
                </w14:textFill>
              </w:rPr>
              <w:t>3.1</w:t>
            </w:r>
          </w:p>
        </w:tc>
        <w:tc>
          <w:tcPr>
            <w:tcW w:w="7770" w:type="dxa"/>
            <w:gridSpan w:val="2"/>
            <w:vAlign w:val="center"/>
          </w:tcPr>
          <w:p w14:paraId="6E7A10FA">
            <w:pPr>
              <w:spacing w:line="276" w:lineRule="auto"/>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投标人须知正文第3.1款内容修改如下：</w:t>
            </w:r>
          </w:p>
          <w:p w14:paraId="0A891C4B">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3.1.1投标文件应采用双信封形式，包括下列内容：</w:t>
            </w:r>
          </w:p>
          <w:p w14:paraId="40FD9F1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第一个信封（商务及技术文件）</w:t>
            </w:r>
          </w:p>
          <w:p w14:paraId="0AF38FEE">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商务文件：</w:t>
            </w:r>
          </w:p>
          <w:p w14:paraId="76CB18BB">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一、投标函</w:t>
            </w:r>
          </w:p>
          <w:p w14:paraId="49AB2889">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二、授权委托书或法定代表人身份证明</w:t>
            </w:r>
          </w:p>
          <w:p w14:paraId="2B06687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三、联合体协议书（如有）</w:t>
            </w:r>
          </w:p>
          <w:p w14:paraId="56F50DEC">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四、投标保证金</w:t>
            </w:r>
          </w:p>
          <w:p w14:paraId="610597A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五、拟分包项目情况表</w:t>
            </w:r>
          </w:p>
          <w:p w14:paraId="56EF5C65">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六、资格审查资料</w:t>
            </w:r>
          </w:p>
          <w:p w14:paraId="5B76C25F">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七、其他材料</w:t>
            </w:r>
          </w:p>
          <w:p w14:paraId="45A97A19">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技术文件：</w:t>
            </w:r>
          </w:p>
          <w:p w14:paraId="2BCAD3D8">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技术建议书</w:t>
            </w:r>
          </w:p>
          <w:p w14:paraId="532DEBF5">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第二个信封（报价文件）</w:t>
            </w:r>
          </w:p>
          <w:p w14:paraId="7B73E8D2">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（1）投标函；</w:t>
            </w:r>
          </w:p>
          <w:p w14:paraId="250FD06B">
            <w:pPr>
              <w:spacing w:line="276"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（2）设计费用清单。</w:t>
            </w:r>
          </w:p>
          <w:p w14:paraId="5619B452">
            <w:pPr>
              <w:spacing w:line="276" w:lineRule="auto"/>
              <w:ind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定标文件</w:t>
            </w:r>
          </w:p>
          <w:p w14:paraId="653E250A">
            <w:pPr>
              <w:spacing w:line="276" w:lineRule="auto"/>
              <w:ind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（1）定标因素评审资料</w:t>
            </w:r>
          </w:p>
        </w:tc>
      </w:tr>
      <w:tr w14:paraId="6C2D0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2055C45">
            <w:pPr>
              <w:spacing w:line="276"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3.4.3</w:t>
            </w:r>
          </w:p>
        </w:tc>
        <w:tc>
          <w:tcPr>
            <w:tcW w:w="7770" w:type="dxa"/>
            <w:gridSpan w:val="2"/>
            <w:vAlign w:val="center"/>
          </w:tcPr>
          <w:p w14:paraId="6992BA7F">
            <w:pPr>
              <w:spacing w:before="51" w:line="276" w:lineRule="auto"/>
              <w:ind w:right="176"/>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投标人须知正文第3.4.3款内容修改如下：</w:t>
            </w:r>
          </w:p>
          <w:p w14:paraId="4EF0960D">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3.4.3（1）中标人采用银行转账方式提交的投标保证金，系统在收到招标人与中标人所签合同后五日内退还原转出银行帐号；未中标投标人的投标保证金退还，按法定的评标结果、中标结果公示结束日或异议处理结束日后五日内分批退还至原转出银行帐号。</w:t>
            </w:r>
          </w:p>
        </w:tc>
      </w:tr>
      <w:tr w14:paraId="67E53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3C9EF80">
            <w:pPr>
              <w:spacing w:line="276"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3.5.1</w:t>
            </w:r>
          </w:p>
        </w:tc>
        <w:tc>
          <w:tcPr>
            <w:tcW w:w="7770" w:type="dxa"/>
            <w:gridSpan w:val="2"/>
            <w:vAlign w:val="center"/>
          </w:tcPr>
          <w:p w14:paraId="71DC6F06">
            <w:pPr>
              <w:spacing w:before="51" w:line="276" w:lineRule="auto"/>
              <w:ind w:right="17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根据《中国人民银行关于取消企业银行账户许可的通知》（银发[2019]41号），投标人须知正文第3.5.1项内容中关于提供基本账户开户许可证复印件的要求修改如下</w:t>
            </w:r>
            <w:r>
              <w:rPr>
                <w:rFonts w:hint="eastAsia" w:ascii="宋体" w:hAnsi="宋体" w:eastAsia="宋体" w:cs="宋体"/>
                <w:color w:val="000000" w:themeColor="text1"/>
                <w:highlight w:val="none"/>
                <w:lang w:eastAsia="zh-CN"/>
                <w14:textFill>
                  <w14:solidFill>
                    <w14:schemeClr w14:val="tx1"/>
                  </w14:solidFill>
                </w14:textFill>
              </w:rPr>
              <w:t>：</w:t>
            </w:r>
          </w:p>
          <w:p w14:paraId="683CA96B">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提供基本账户开户许可证彩色扫描件（如企业所在地已取消企业银行账户许可而无法提供开户许可证的，则需附上开户银行出具的“基本存款账户信息”彩色扫描件或“人民银行账户管理系统查询的基本账户信息截图”）</w:t>
            </w:r>
          </w:p>
        </w:tc>
      </w:tr>
      <w:tr w14:paraId="358B0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19962800">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3.5.3</w:t>
            </w:r>
          </w:p>
        </w:tc>
        <w:tc>
          <w:tcPr>
            <w:tcW w:w="7770" w:type="dxa"/>
            <w:gridSpan w:val="2"/>
            <w:vAlign w:val="center"/>
          </w:tcPr>
          <w:p w14:paraId="4CD519BE">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投标人须知正文第3.5.3项内容修改如下：</w:t>
            </w:r>
          </w:p>
          <w:p w14:paraId="1B31926F">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“投标人的信誉情况表”应附投标人在国家企业信用信息公示系统中未被列入严重违法失信企业名单、在“信用中国”网站中未被列入严重失信主体名单的网页截图。</w:t>
            </w:r>
          </w:p>
        </w:tc>
      </w:tr>
      <w:tr w14:paraId="4D260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CB209CA">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3.5.4</w:t>
            </w:r>
          </w:p>
        </w:tc>
        <w:tc>
          <w:tcPr>
            <w:tcW w:w="7770" w:type="dxa"/>
            <w:gridSpan w:val="2"/>
            <w:vAlign w:val="center"/>
          </w:tcPr>
          <w:p w14:paraId="4388032D">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投标人须知正文第3.5.4项内容修改如下：</w:t>
            </w:r>
          </w:p>
          <w:p w14:paraId="0608189A">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拟委任的项目负责人资历表”应同时附：①交通运输部“全国公路建设市场监督管理系统”中查询到的企业“人员信息”相关网页截图，即包括人员的“基本信息”、“职称信息”、“执业资格”、“个人业绩”等栏目在内）的网页截图。</w:t>
            </w:r>
          </w:p>
          <w:p w14:paraId="7DE8411D">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如投标人未提供相关网页截图或相关网页截图中的信息无法证实投标人满足招标文件规定的资格审查条件（项目负责人最低要求）或评标办法评分标准（如有），则该人员相应信息不予认定。</w:t>
            </w:r>
          </w:p>
          <w:p w14:paraId="7096CCCA">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②投标人所属社保机构出具的拟委任的项目负责人的社保缴费证明或其他能够证明拟委任的项目负责人参加社保的有效证明材料复印件（社保时段为开标时间截止日前半年时间内连续不少于三个月）。</w:t>
            </w:r>
          </w:p>
          <w:p w14:paraId="15EB5163">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除上述资料扫描件外，投标人无需再提供任何证明材料。</w:t>
            </w:r>
          </w:p>
        </w:tc>
      </w:tr>
      <w:tr w14:paraId="457CB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175F091">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3.5.5</w:t>
            </w:r>
          </w:p>
        </w:tc>
        <w:tc>
          <w:tcPr>
            <w:tcW w:w="7770" w:type="dxa"/>
            <w:gridSpan w:val="2"/>
            <w:vAlign w:val="center"/>
          </w:tcPr>
          <w:p w14:paraId="33B7A6C0">
            <w:pPr>
              <w:spacing w:line="380" w:lineRule="exact"/>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投标人须知正文第3.5.5项内容修改如下：</w:t>
            </w:r>
          </w:p>
          <w:p w14:paraId="6073E4B2">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拟委任的分项负责人汇总表”（如有）应填报满足投标人须知前附表附录5规定的各专业分项负责人的相关信息。“拟委任的分项负责人资历表”（如有）中分项负责人应附身份证、职称资格证书和资格审查条件所要求的的其他相关证书的彩色扫描件，以及投标人所述社保机构出具的社保缴费证明或其他能够证明其参加社保的有效证明材料彩色扫描件。</w:t>
            </w:r>
          </w:p>
        </w:tc>
      </w:tr>
      <w:tr w14:paraId="17384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AA5D2FC">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3.7</w:t>
            </w:r>
          </w:p>
        </w:tc>
        <w:tc>
          <w:tcPr>
            <w:tcW w:w="7770" w:type="dxa"/>
            <w:gridSpan w:val="2"/>
            <w:vAlign w:val="center"/>
          </w:tcPr>
          <w:p w14:paraId="065D22EC">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投标人须知正文第3.7项内容修改如下：</w:t>
            </w:r>
          </w:p>
          <w:p w14:paraId="01D2CD00">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3.7 投标文件的编制</w:t>
            </w:r>
          </w:p>
          <w:p w14:paraId="3A2DF7C9">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3.7.1 投标文件应按第六章“投标文件格式”进行编写，如有必要，可以增加附页，作为投标文件的组成部分。</w:t>
            </w:r>
          </w:p>
          <w:p w14:paraId="77DFA53A">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3.7.2投标文件应当对招标文件有关设计服务期限、投标有效期、质量要求、安全目标、发包人要求、招标范围等实质性内容作出响应。</w:t>
            </w:r>
          </w:p>
          <w:p w14:paraId="460A0522">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3.7.3 投标文件格式中明确要求投标人法定代表人或其委托代理人签章处，必须有相关人员签章；明确要求投标人加盖单位章之处，必须加盖单位章。其中，投标函及对投标文件的澄清和说明应加盖投标人单位章。</w:t>
            </w:r>
          </w:p>
          <w:p w14:paraId="244C1C11">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如果投标文件由委托代理人签署，则投标人须提交授权委托书，授权委托书应按第六章“投标文件格式”的要求出具，并由法定代表人和委托代理人加盖签章。</w:t>
            </w:r>
          </w:p>
          <w:p w14:paraId="3F2A4593">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如果由投标人的法定代表人亲自签署投标文件，则投标人须提交法定代表人身份证明，身份证明应符合第六章“投标文件格式”的要求。</w:t>
            </w:r>
          </w:p>
          <w:p w14:paraId="48B3EAC3">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投标文件应尽量避免涂改、行间插字或删除。如果出现上述情况，改动之处应由投标人加盖单位章。</w:t>
            </w:r>
          </w:p>
        </w:tc>
      </w:tr>
      <w:tr w14:paraId="437FF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A9BA560">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4.1</w:t>
            </w:r>
          </w:p>
        </w:tc>
        <w:tc>
          <w:tcPr>
            <w:tcW w:w="7770" w:type="dxa"/>
            <w:gridSpan w:val="2"/>
            <w:vAlign w:val="center"/>
          </w:tcPr>
          <w:p w14:paraId="5FD10525">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投标人须知正文4.1项内容修改如下：</w:t>
            </w:r>
          </w:p>
          <w:p w14:paraId="2590E63A">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 xml:space="preserve">    投标文件的密封和标识</w:t>
            </w:r>
          </w:p>
          <w:p w14:paraId="06C40575">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本项目采用全流程电子投标，不需要提交纸质版的投标文件。</w:t>
            </w:r>
          </w:p>
        </w:tc>
      </w:tr>
      <w:tr w14:paraId="0F12D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2AE6A9C">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4.2</w:t>
            </w:r>
          </w:p>
        </w:tc>
        <w:tc>
          <w:tcPr>
            <w:tcW w:w="7770" w:type="dxa"/>
            <w:gridSpan w:val="2"/>
            <w:vAlign w:val="center"/>
          </w:tcPr>
          <w:p w14:paraId="509766CC">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投标人须知正文第4.2项内容修改如下：</w:t>
            </w:r>
          </w:p>
          <w:p w14:paraId="58F8A0E0">
            <w:pPr>
              <w:spacing w:line="276" w:lineRule="auto"/>
              <w:ind w:firstLine="422" w:firstLineChars="200"/>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 xml:space="preserve">4.2 </w:t>
            </w:r>
            <w:r>
              <w:rPr>
                <w:rFonts w:hint="eastAsia" w:ascii="宋体" w:hAnsi="宋体" w:eastAsia="宋体" w:cs="宋体"/>
                <w:b/>
                <w:bCs/>
                <w:color w:val="000000" w:themeColor="text1"/>
                <w:highlight w:val="none"/>
                <w:lang w:eastAsia="zh-CN"/>
                <w14:textFill>
                  <w14:solidFill>
                    <w14:schemeClr w14:val="tx1"/>
                  </w14:solidFill>
                </w14:textFill>
              </w:rPr>
              <w:t>投标文件的上传</w:t>
            </w:r>
          </w:p>
          <w:p w14:paraId="6EFA2453">
            <w:pPr>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4.2.1 投标人应在第一章“招标公告”规定的投标截止时间前上传投标文件。</w:t>
            </w:r>
          </w:p>
          <w:p w14:paraId="100BBD88">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4.2.2 投标人递交投标相关资料原件（如有）的地点：见第一章“招标公告”。</w:t>
            </w:r>
          </w:p>
          <w:p w14:paraId="2C137E6E">
            <w:pPr>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4.2.3 除投标人须知前附表另有规定外，投标人所递交的投标文件不予退还。</w:t>
            </w:r>
          </w:p>
          <w:p w14:paraId="7145A6CE">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4.2.4 投标人在递交投标相关资料原件（如有）时，应在递交投标原件登记表上签字，同时招标人负责接收投标原件的工作人员也应在递交投标相关资料原件（如有）登记表上签字确认收到该投标人的投标相关资料原件（如有）。</w:t>
            </w:r>
          </w:p>
          <w:p w14:paraId="44B009E4">
            <w:pPr>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4.2.5 投标人应在规定的截止时间前登录建设工程交易系统完成电子投标（包括缴纳投标保证金），方为有效投标。</w:t>
            </w:r>
          </w:p>
        </w:tc>
      </w:tr>
      <w:tr w14:paraId="1CA77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473E0D4">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4.</w:t>
            </w:r>
            <w:r>
              <w:rPr>
                <w:rFonts w:hint="eastAsia" w:ascii="宋体" w:hAnsi="宋体" w:eastAsia="宋体" w:cs="宋体"/>
                <w:b/>
                <w:color w:val="000000" w:themeColor="text1"/>
                <w:highlight w:val="none"/>
                <w:lang w:eastAsia="zh-CN"/>
                <w14:textFill>
                  <w14:solidFill>
                    <w14:schemeClr w14:val="tx1"/>
                  </w14:solidFill>
                </w14:textFill>
              </w:rPr>
              <w:t>3</w:t>
            </w:r>
          </w:p>
        </w:tc>
        <w:tc>
          <w:tcPr>
            <w:tcW w:w="7770" w:type="dxa"/>
            <w:gridSpan w:val="2"/>
            <w:vAlign w:val="center"/>
          </w:tcPr>
          <w:p w14:paraId="1A0DBA6B">
            <w:pPr>
              <w:spacing w:line="276" w:lineRule="auto"/>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投标人须知正文第4.3项内容修改如下：</w:t>
            </w:r>
          </w:p>
          <w:p w14:paraId="2A095582">
            <w:pPr>
              <w:spacing w:line="276" w:lineRule="auto"/>
              <w:ind w:firstLine="422" w:firstLineChars="200"/>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4.3 投标文件的修改与撤回</w:t>
            </w:r>
          </w:p>
          <w:p w14:paraId="39F32A9D">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本项目采用全流程电子投标，不需要提交纸质版的投标文件；在投标截止时间到达后，投标文件不可修改与撤回。</w:t>
            </w:r>
          </w:p>
        </w:tc>
      </w:tr>
      <w:tr w14:paraId="11997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56C875D">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5.2.1</w:t>
            </w:r>
          </w:p>
        </w:tc>
        <w:tc>
          <w:tcPr>
            <w:tcW w:w="7770" w:type="dxa"/>
            <w:gridSpan w:val="2"/>
            <w:vAlign w:val="center"/>
          </w:tcPr>
          <w:p w14:paraId="218031A1">
            <w:pPr>
              <w:spacing w:line="276" w:lineRule="auto"/>
              <w:ind w:firstLine="422" w:firstLineChars="200"/>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删除投标人须知正文第5.2.1（4）款，并对序号进行修改。</w:t>
            </w:r>
          </w:p>
          <w:p w14:paraId="43AB39D7">
            <w:pPr>
              <w:spacing w:line="276" w:lineRule="auto"/>
              <w:ind w:firstLine="422" w:firstLineChars="200"/>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投标人须知正文第5.2.1（5）款修改为：</w:t>
            </w:r>
          </w:p>
          <w:p w14:paraId="0CAB8D4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主持人组织，在交易场所工作人员的见证下，招标代理机构对投标人的电子投标信息进行解密，解密成功后查看各投标人投标保证金缴纳情况及第一个信封（商务及技术文件）开标一览表。</w:t>
            </w:r>
          </w:p>
        </w:tc>
      </w:tr>
      <w:tr w14:paraId="4AEB2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1B5A539">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5.2.2</w:t>
            </w:r>
          </w:p>
        </w:tc>
        <w:tc>
          <w:tcPr>
            <w:tcW w:w="7770" w:type="dxa"/>
            <w:gridSpan w:val="2"/>
            <w:vAlign w:val="center"/>
          </w:tcPr>
          <w:p w14:paraId="2406AE5D">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投标人须知正文第5.2.2</w:t>
            </w:r>
            <w:r>
              <w:rPr>
                <w:rFonts w:hint="eastAsia" w:ascii="宋体" w:hAnsi="宋体" w:eastAsia="宋体" w:cs="宋体"/>
                <w:b/>
                <w:bCs/>
                <w:color w:val="000000" w:themeColor="text1"/>
                <w:highlight w:val="none"/>
                <w:lang w:eastAsia="zh-CN"/>
                <w14:textFill>
                  <w14:solidFill>
                    <w14:schemeClr w14:val="tx1"/>
                  </w14:solidFill>
                </w14:textFill>
              </w:rPr>
              <w:t>项内容修改如下</w:t>
            </w:r>
            <w:r>
              <w:rPr>
                <w:rFonts w:hint="eastAsia" w:ascii="宋体" w:hAnsi="宋体" w:eastAsia="宋体" w:cs="宋体"/>
                <w:b/>
                <w:color w:val="000000" w:themeColor="text1"/>
                <w:highlight w:val="none"/>
                <w:lang w:eastAsia="zh-CN"/>
                <w14:textFill>
                  <w14:solidFill>
                    <w14:schemeClr w14:val="tx1"/>
                  </w14:solidFill>
                </w14:textFill>
              </w:rPr>
              <w:t>：</w:t>
            </w:r>
          </w:p>
          <w:p w14:paraId="2E44632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w:t>
            </w:r>
            <w:r>
              <w:rPr>
                <w:rFonts w:hint="eastAsia" w:ascii="宋体" w:hAnsi="宋体" w:eastAsia="宋体" w:cs="宋体"/>
                <w:bCs/>
                <w:color w:val="000000" w:themeColor="text1"/>
                <w:highlight w:val="none"/>
                <w:lang w:eastAsia="zh-CN"/>
                <w14:textFill>
                  <w14:solidFill>
                    <w14:schemeClr w14:val="tx1"/>
                  </w14:solidFill>
                </w14:textFill>
              </w:rPr>
              <w:t>子投标，</w:t>
            </w:r>
            <w:r>
              <w:rPr>
                <w:rFonts w:hint="eastAsia" w:ascii="宋体" w:hAnsi="宋体" w:eastAsia="宋体" w:cs="宋体"/>
                <w:color w:val="000000" w:themeColor="text1"/>
                <w:highlight w:val="none"/>
                <w:lang w:eastAsia="zh-CN"/>
                <w14:textFill>
                  <w14:solidFill>
                    <w14:schemeClr w14:val="tx1"/>
                  </w14:solidFill>
                </w14:textFill>
              </w:rPr>
              <w:t>在投标文件第一个信封（商务及技术文件）开标现场，投标文件第二个信封（报价文件）不予解密开标。</w:t>
            </w:r>
          </w:p>
        </w:tc>
      </w:tr>
      <w:tr w14:paraId="3904F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C67DD1D">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5.2.3</w:t>
            </w:r>
          </w:p>
        </w:tc>
        <w:tc>
          <w:tcPr>
            <w:tcW w:w="7770" w:type="dxa"/>
            <w:gridSpan w:val="2"/>
            <w:vAlign w:val="center"/>
          </w:tcPr>
          <w:p w14:paraId="045CC6F5">
            <w:pPr>
              <w:spacing w:line="276" w:lineRule="auto"/>
              <w:ind w:firstLine="422" w:firstLineChars="200"/>
              <w:jc w:val="both"/>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删除投标人须知正文第5.2.3（4）款，并对序号进行修改。</w:t>
            </w:r>
          </w:p>
          <w:p w14:paraId="7490A95A">
            <w:pPr>
              <w:spacing w:line="276" w:lineRule="auto"/>
              <w:ind w:firstLine="422" w:firstLineChars="200"/>
              <w:jc w:val="both"/>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投标人须知正文第5.2.3（7）款内容修改如下：</w:t>
            </w:r>
          </w:p>
          <w:p w14:paraId="3162989D">
            <w:pPr>
              <w:spacing w:line="276" w:lineRule="auto"/>
              <w:ind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w:t>
            </w:r>
            <w:r>
              <w:rPr>
                <w:rFonts w:hint="eastAsia" w:ascii="宋体" w:hAnsi="宋体" w:eastAsia="宋体" w:cs="宋体"/>
                <w:bCs/>
                <w:color w:val="000000" w:themeColor="text1"/>
                <w:highlight w:val="none"/>
                <w:lang w:eastAsia="zh-CN"/>
                <w14:textFill>
                  <w14:solidFill>
                    <w14:schemeClr w14:val="tx1"/>
                  </w14:solidFill>
                </w14:textFill>
              </w:rPr>
              <w:t>子投标，</w:t>
            </w:r>
            <w:r>
              <w:rPr>
                <w:rFonts w:hint="eastAsia" w:ascii="宋体" w:hAnsi="宋体" w:eastAsia="宋体" w:cs="宋体"/>
                <w:color w:val="000000" w:themeColor="text1"/>
                <w:highlight w:val="none"/>
                <w:lang w:eastAsia="zh-CN"/>
                <w14:textFill>
                  <w14:solidFill>
                    <w14:schemeClr w14:val="tx1"/>
                  </w14:solidFill>
                </w14:textFill>
              </w:rPr>
              <w:t>不需要提交纸质版的投标文件，电子投标文件不予</w:t>
            </w:r>
            <w:r>
              <w:rPr>
                <w:rFonts w:hint="eastAsia" w:ascii="宋体" w:hAnsi="宋体" w:eastAsia="宋体" w:cs="宋体"/>
                <w:bCs/>
                <w:color w:val="000000" w:themeColor="text1"/>
                <w:highlight w:val="none"/>
                <w:lang w:eastAsia="zh-CN"/>
                <w14:textFill>
                  <w14:solidFill>
                    <w14:schemeClr w14:val="tx1"/>
                  </w14:solidFill>
                </w14:textFill>
              </w:rPr>
              <w:t>退回给投标人。</w:t>
            </w:r>
          </w:p>
        </w:tc>
      </w:tr>
      <w:tr w14:paraId="1C5FD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1012" w:type="dxa"/>
            <w:vAlign w:val="center"/>
          </w:tcPr>
          <w:p w14:paraId="6A1955F7">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6.1.2</w:t>
            </w:r>
          </w:p>
        </w:tc>
        <w:tc>
          <w:tcPr>
            <w:tcW w:w="7770" w:type="dxa"/>
            <w:gridSpan w:val="2"/>
            <w:vAlign w:val="center"/>
          </w:tcPr>
          <w:p w14:paraId="39C89660">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投标人须知正文原6.1.2项末增加如下内容：</w:t>
            </w:r>
          </w:p>
          <w:p w14:paraId="0B15DA4A">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招标人及其子公司、招标人的上级主管部门或者控股公司、招标代理机构的工作人员或者退休人员不得以专家身份参与本单位招标或者招标代理项目的评标。</w:t>
            </w:r>
          </w:p>
        </w:tc>
      </w:tr>
      <w:tr w14:paraId="3C269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FFB9343">
            <w:pPr>
              <w:spacing w:line="480" w:lineRule="auto"/>
              <w:jc w:val="center"/>
              <w:rPr>
                <w:rFonts w:hint="default" w:ascii="宋体" w:hAnsi="宋体" w:eastAsia="宋体" w:cs="宋体"/>
                <w:b/>
                <w:color w:val="000000" w:themeColor="text1"/>
                <w:highlight w:val="none"/>
                <w:lang w:val="en-US" w:eastAsia="zh-CN"/>
                <w14:textFill>
                  <w14:solidFill>
                    <w14:schemeClr w14:val="tx1"/>
                  </w14:solidFill>
                </w14:textFill>
              </w:rPr>
            </w:pPr>
            <w:r>
              <w:rPr>
                <w:rFonts w:hint="eastAsia" w:ascii="宋体" w:hAnsi="宋体" w:eastAsia="宋体" w:cs="宋体"/>
                <w:b/>
                <w:color w:val="000000" w:themeColor="text1"/>
                <w:highlight w:val="none"/>
                <w:lang w:val="en-US" w:eastAsia="zh-CN"/>
                <w14:textFill>
                  <w14:solidFill>
                    <w14:schemeClr w14:val="tx1"/>
                  </w14:solidFill>
                </w14:textFill>
              </w:rPr>
              <w:t>6.3.2</w:t>
            </w:r>
          </w:p>
        </w:tc>
        <w:tc>
          <w:tcPr>
            <w:tcW w:w="7770" w:type="dxa"/>
            <w:gridSpan w:val="2"/>
            <w:vAlign w:val="center"/>
          </w:tcPr>
          <w:p w14:paraId="33EB93EA">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投标人须知正文原6.</w:t>
            </w:r>
            <w:r>
              <w:rPr>
                <w:rFonts w:hint="eastAsia" w:ascii="宋体" w:hAnsi="宋体" w:eastAsia="宋体" w:cs="宋体"/>
                <w:b/>
                <w:color w:val="000000" w:themeColor="text1"/>
                <w:highlight w:val="none"/>
                <w:lang w:val="en-US" w:eastAsia="zh-CN"/>
                <w14:textFill>
                  <w14:solidFill>
                    <w14:schemeClr w14:val="tx1"/>
                  </w14:solidFill>
                </w14:textFill>
              </w:rPr>
              <w:t>3.2</w:t>
            </w:r>
            <w:r>
              <w:rPr>
                <w:rFonts w:hint="eastAsia" w:ascii="宋体" w:hAnsi="宋体" w:eastAsia="宋体" w:cs="宋体"/>
                <w:b/>
                <w:color w:val="000000" w:themeColor="text1"/>
                <w:highlight w:val="none"/>
                <w:lang w:eastAsia="zh-CN"/>
                <w14:textFill>
                  <w14:solidFill>
                    <w14:schemeClr w14:val="tx1"/>
                  </w14:solidFill>
                </w14:textFill>
              </w:rPr>
              <w:t>项</w:t>
            </w:r>
            <w:r>
              <w:rPr>
                <w:rFonts w:hint="eastAsia" w:ascii="宋体" w:hAnsi="宋体" w:eastAsia="宋体" w:cs="宋体"/>
                <w:b/>
                <w:bCs/>
                <w:color w:val="000000" w:themeColor="text1"/>
                <w:highlight w:val="none"/>
                <w:lang w:eastAsia="zh-CN"/>
                <w14:textFill>
                  <w14:solidFill>
                    <w14:schemeClr w14:val="tx1"/>
                  </w14:solidFill>
                </w14:textFill>
              </w:rPr>
              <w:t>内容修改如下：</w:t>
            </w:r>
          </w:p>
          <w:p w14:paraId="29429E40">
            <w:pPr>
              <w:kinsoku/>
              <w:wordWrap w:val="0"/>
              <w:spacing w:line="276"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完成后，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w:t>
            </w:r>
          </w:p>
          <w:p w14:paraId="30B5C07F">
            <w:pPr>
              <w:kinsoku/>
              <w:wordWrap w:val="0"/>
              <w:spacing w:line="276" w:lineRule="auto"/>
              <w:ind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定标候选人得分只作为评标委员会的推荐依据，不作为定标委员会对中标候选人排序的依据。</w:t>
            </w:r>
            <w:r>
              <w:rPr>
                <w:rFonts w:hint="eastAsia" w:ascii="宋体" w:hAnsi="宋体" w:eastAsia="宋体" w:cs="宋体"/>
                <w:color w:val="000000" w:themeColor="text1"/>
                <w:highlight w:val="none"/>
                <w:lang w:val="en-US" w:eastAsia="zh-CN"/>
                <w14:textFill>
                  <w14:solidFill>
                    <w14:schemeClr w14:val="tx1"/>
                  </w14:solidFill>
                </w14:textFill>
              </w:rPr>
              <w:t>当有效投标人数量不足5名但满足法定要求时，所有通过评审的有效投标人均应作为定标候选人。</w:t>
            </w:r>
          </w:p>
          <w:p w14:paraId="5B30289B">
            <w:pPr>
              <w:kinsoku/>
              <w:wordWrap w:val="0"/>
              <w:spacing w:line="276"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w:t>
            </w:r>
            <w:r>
              <w:rPr>
                <w:rFonts w:hint="eastAsia" w:ascii="宋体" w:hAnsi="宋体" w:eastAsia="宋体" w:cs="宋体"/>
                <w:color w:val="000000" w:themeColor="text1"/>
                <w:highlight w:val="none"/>
                <w:lang w:val="en-US" w:eastAsia="zh-CN"/>
                <w14:textFill>
                  <w14:solidFill>
                    <w14:schemeClr w14:val="tx1"/>
                  </w14:solidFill>
                </w14:textFill>
              </w:rPr>
              <w:t>编写评标报告时，定标候选人不排序，按</w:t>
            </w:r>
            <w:r>
              <w:rPr>
                <w:rFonts w:hint="eastAsia" w:ascii="宋体" w:hAnsi="宋体" w:eastAsia="宋体" w:cs="宋体"/>
                <w:color w:val="000000" w:themeColor="text1"/>
                <w:highlight w:val="none"/>
                <w:lang w:eastAsia="zh-CN"/>
                <w14:textFill>
                  <w14:solidFill>
                    <w14:schemeClr w14:val="tx1"/>
                  </w14:solidFill>
                </w14:textFill>
              </w:rPr>
              <w:t>企业</w:t>
            </w:r>
            <w:r>
              <w:rPr>
                <w:rFonts w:hint="eastAsia" w:ascii="宋体" w:hAnsi="宋体" w:eastAsia="宋体" w:cs="宋体"/>
                <w:color w:val="000000" w:themeColor="text1"/>
                <w:highlight w:val="none"/>
                <w:lang w:val="en-US" w:eastAsia="zh-CN"/>
                <w14:textFill>
                  <w14:solidFill>
                    <w14:schemeClr w14:val="tx1"/>
                  </w14:solidFill>
                </w14:textFill>
              </w:rPr>
              <w:t>统一社会信用代码后4位大小排位，如统一社会信用代码后4位出现字母情况的，字母以“0”进行代替大小排位，如出现后4位大小一致的，则随机排位</w:t>
            </w:r>
            <w:r>
              <w:rPr>
                <w:rFonts w:hint="eastAsia" w:ascii="宋体" w:hAnsi="宋体" w:eastAsia="宋体" w:cs="宋体"/>
                <w:color w:val="000000" w:themeColor="text1"/>
                <w:highlight w:val="none"/>
                <w:lang w:eastAsia="zh-CN"/>
                <w14:textFill>
                  <w14:solidFill>
                    <w14:schemeClr w14:val="tx1"/>
                  </w14:solidFill>
                </w14:textFill>
              </w:rPr>
              <w:t>。</w:t>
            </w:r>
          </w:p>
        </w:tc>
      </w:tr>
      <w:tr w14:paraId="684FA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EB95D66">
            <w:pPr>
              <w:spacing w:line="480" w:lineRule="auto"/>
              <w:jc w:val="center"/>
              <w:rPr>
                <w:rFonts w:hint="eastAsia" w:ascii="宋体" w:hAnsi="宋体" w:eastAsia="宋体" w:cs="宋体"/>
                <w:b/>
                <w:color w:val="000000" w:themeColor="text1"/>
                <w:highlight w:val="none"/>
                <w:lang w:val="en-US" w:eastAsia="zh-CN"/>
                <w14:textFill>
                  <w14:solidFill>
                    <w14:schemeClr w14:val="tx1"/>
                  </w14:solidFill>
                </w14:textFill>
              </w:rPr>
            </w:pPr>
            <w:r>
              <w:rPr>
                <w:rFonts w:hint="eastAsia" w:ascii="宋体" w:hAnsi="宋体" w:eastAsia="宋体" w:cs="宋体"/>
                <w:b/>
                <w:color w:val="000000" w:themeColor="text1"/>
                <w:highlight w:val="none"/>
                <w:lang w:val="en-US" w:eastAsia="zh-CN"/>
                <w14:textFill>
                  <w14:solidFill>
                    <w14:schemeClr w14:val="tx1"/>
                  </w14:solidFill>
                </w14:textFill>
              </w:rPr>
              <w:t>6.3</w:t>
            </w:r>
          </w:p>
        </w:tc>
        <w:tc>
          <w:tcPr>
            <w:tcW w:w="7770" w:type="dxa"/>
            <w:gridSpan w:val="2"/>
            <w:vAlign w:val="center"/>
          </w:tcPr>
          <w:p w14:paraId="006A77A3">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投标人须知正文增加第</w:t>
            </w:r>
            <w:r>
              <w:rPr>
                <w:rFonts w:hint="eastAsia" w:ascii="宋体" w:hAnsi="宋体" w:eastAsia="宋体" w:cs="宋体"/>
                <w:b/>
                <w:bCs/>
                <w:color w:val="000000" w:themeColor="text1"/>
                <w:highlight w:val="none"/>
                <w:lang w:val="en-US" w:eastAsia="zh-CN"/>
                <w14:textFill>
                  <w14:solidFill>
                    <w14:schemeClr w14:val="tx1"/>
                  </w14:solidFill>
                </w14:textFill>
              </w:rPr>
              <w:t>6.3.3</w:t>
            </w:r>
            <w:r>
              <w:rPr>
                <w:rFonts w:hint="eastAsia" w:ascii="宋体" w:hAnsi="宋体" w:eastAsia="宋体" w:cs="宋体"/>
                <w:b/>
                <w:bCs/>
                <w:color w:val="000000" w:themeColor="text1"/>
                <w:highlight w:val="none"/>
                <w:lang w:eastAsia="zh-CN"/>
                <w14:textFill>
                  <w14:solidFill>
                    <w14:schemeClr w14:val="tx1"/>
                  </w14:solidFill>
                </w14:textFill>
              </w:rPr>
              <w:t>款内容：</w:t>
            </w:r>
          </w:p>
          <w:p w14:paraId="16BF7049">
            <w:pPr>
              <w:spacing w:line="276" w:lineRule="auto"/>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6.3.3评标结果公示</w:t>
            </w:r>
          </w:p>
          <w:p w14:paraId="3AD11C92">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评标委员会按照投标人评审综合总得分由高到低的原则,向招标人推荐已明确的定标候选人数量（不标明排序）。评标委员会推荐定标候选人后，招标人应于评标会结束后3个工作日内将定标候选人和评标情况在广东省招标投标监管网和全国公共资源交易平台（广东省·韶关市）网上公示，公示时间不少于3个工作日。公示主要内容包括：（1）定标候选人名称、投标报价、质量、工期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tc>
      </w:tr>
      <w:tr w14:paraId="7D0B2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1CADD94">
            <w:pPr>
              <w:spacing w:line="480" w:lineRule="auto"/>
              <w:jc w:val="center"/>
              <w:rPr>
                <w:rFonts w:hint="default" w:ascii="宋体" w:hAnsi="宋体" w:eastAsia="宋体" w:cs="宋体"/>
                <w:b/>
                <w:color w:val="000000" w:themeColor="text1"/>
                <w:highlight w:val="none"/>
                <w:lang w:val="en-US" w:eastAsia="zh-CN"/>
                <w14:textFill>
                  <w14:solidFill>
                    <w14:schemeClr w14:val="tx1"/>
                  </w14:solidFill>
                </w14:textFill>
              </w:rPr>
            </w:pPr>
            <w:r>
              <w:rPr>
                <w:rFonts w:hint="eastAsia" w:ascii="宋体" w:hAnsi="宋体" w:eastAsia="宋体" w:cs="宋体"/>
                <w:b/>
                <w:color w:val="000000" w:themeColor="text1"/>
                <w:highlight w:val="none"/>
                <w:lang w:val="en-US" w:eastAsia="zh-CN"/>
                <w14:textFill>
                  <w14:solidFill>
                    <w14:schemeClr w14:val="tx1"/>
                  </w14:solidFill>
                </w14:textFill>
              </w:rPr>
              <w:t>7.4</w:t>
            </w:r>
          </w:p>
        </w:tc>
        <w:tc>
          <w:tcPr>
            <w:tcW w:w="7770" w:type="dxa"/>
            <w:gridSpan w:val="2"/>
            <w:vAlign w:val="center"/>
          </w:tcPr>
          <w:p w14:paraId="5393B5D9">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投标人须知正文原</w:t>
            </w:r>
            <w:r>
              <w:rPr>
                <w:rFonts w:hint="eastAsia" w:ascii="宋体" w:hAnsi="宋体" w:eastAsia="宋体" w:cs="宋体"/>
                <w:b/>
                <w:color w:val="000000" w:themeColor="text1"/>
                <w:highlight w:val="none"/>
                <w:lang w:val="en-US" w:eastAsia="zh-CN"/>
                <w14:textFill>
                  <w14:solidFill>
                    <w14:schemeClr w14:val="tx1"/>
                  </w14:solidFill>
                </w14:textFill>
              </w:rPr>
              <w:t>7.4</w:t>
            </w:r>
            <w:r>
              <w:rPr>
                <w:rFonts w:hint="eastAsia" w:ascii="宋体" w:hAnsi="宋体" w:eastAsia="宋体" w:cs="宋体"/>
                <w:b/>
                <w:color w:val="000000" w:themeColor="text1"/>
                <w:highlight w:val="none"/>
                <w:lang w:eastAsia="zh-CN"/>
                <w14:textFill>
                  <w14:solidFill>
                    <w14:schemeClr w14:val="tx1"/>
                  </w14:solidFill>
                </w14:textFill>
              </w:rPr>
              <w:t>项</w:t>
            </w:r>
            <w:r>
              <w:rPr>
                <w:rFonts w:hint="eastAsia" w:ascii="宋体" w:hAnsi="宋体" w:eastAsia="宋体" w:cs="宋体"/>
                <w:b/>
                <w:bCs/>
                <w:color w:val="000000" w:themeColor="text1"/>
                <w:highlight w:val="none"/>
                <w:lang w:eastAsia="zh-CN"/>
                <w14:textFill>
                  <w14:solidFill>
                    <w14:schemeClr w14:val="tx1"/>
                  </w14:solidFill>
                </w14:textFill>
              </w:rPr>
              <w:t>内容修改如下：</w:t>
            </w:r>
          </w:p>
          <w:p w14:paraId="153FCE6F">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定标</w:t>
            </w:r>
          </w:p>
          <w:p w14:paraId="6A0E2156">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采用评定分离，选定下列定标办法：</w:t>
            </w:r>
          </w:p>
          <w:p w14:paraId="259CDD2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☑票决数量法</w:t>
            </w:r>
          </w:p>
          <w:p w14:paraId="1A62A1F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□票决计分法</w:t>
            </w:r>
          </w:p>
          <w:p w14:paraId="1019A4A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□集体议事法</w:t>
            </w:r>
          </w:p>
          <w:p w14:paraId="5EC9278B">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□其他方法：</w:t>
            </w:r>
          </w:p>
          <w:p w14:paraId="0232E90F">
            <w:pPr>
              <w:spacing w:line="276"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定标办法详见</w:t>
            </w:r>
            <w:r>
              <w:rPr>
                <w:rFonts w:hint="eastAsia" w:ascii="宋体" w:hAnsi="宋体" w:eastAsia="宋体" w:cs="宋体"/>
                <w:b/>
                <w:bCs/>
                <w:color w:val="000000" w:themeColor="text1"/>
                <w:highlight w:val="none"/>
                <w:lang w:val="en-US" w:eastAsia="zh-CN"/>
                <w14:textFill>
                  <w14:solidFill>
                    <w14:schemeClr w14:val="tx1"/>
                  </w14:solidFill>
                </w14:textFill>
              </w:rPr>
              <w:t>第三章 评标和定标办法（二）定标办法</w:t>
            </w:r>
          </w:p>
        </w:tc>
      </w:tr>
      <w:tr w14:paraId="70B84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F2C4F71">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10</w:t>
            </w:r>
          </w:p>
        </w:tc>
        <w:tc>
          <w:tcPr>
            <w:tcW w:w="7770" w:type="dxa"/>
            <w:gridSpan w:val="2"/>
            <w:vAlign w:val="center"/>
          </w:tcPr>
          <w:p w14:paraId="15C4F20A">
            <w:pPr>
              <w:spacing w:line="276" w:lineRule="auto"/>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投标人须知正文增加第10.2款-10.7款内容：</w:t>
            </w:r>
          </w:p>
          <w:p w14:paraId="2EE5E8B0">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 信用等级的确定原则：</w:t>
            </w:r>
          </w:p>
          <w:p w14:paraId="58EA861A">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10.2.1 招标文件中的信用等级指的是广东省交通运输厅最新年度的信用评价等级。如无最新年度广东省信用等级而有上一年度广东省信用等级的，则其原信用等级可延续一年，但在递交投标文件时信用等级的使用次数应按上一年度公布的信用评价结果顺延上一年度的使用次数，使用次数有关规定执行粤交基[2014]564号文的要求。</w:t>
            </w:r>
          </w:p>
          <w:p w14:paraId="762B966F">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10.2.2 信用等级延续1年后仍无信用评价等级的，按照初次进入我省确定，原则上按B级对待，但下列情况除外：最新年度的全国公路从业单位（设计单位）信用评价结果为C级或D级的，则按最新年度的全国公路从业单位（设计单位）信用评价结果对待；或最新年度的全国公路从业单位（设计单位）信用评价结果未被评为C级或D级的，但在广东省最近年度原评价等级为D级的，则按C级对待。</w:t>
            </w:r>
          </w:p>
          <w:p w14:paraId="2AA9E5EF">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10.2.3 AA、A级单位是指使用广东省信用评价等级申请承诺书的单位。提交申请承诺书未使用AA、A时，在评标过程中，AA级信用等级企业按A级对待、A级信用等级企业按B级对待。</w:t>
            </w:r>
          </w:p>
          <w:p w14:paraId="08ACA345">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10.2.4 在招标评标中，信用评价等级采用按次、按标段申请使用的原则，即在同一次招标中的多个标段的投标，可自愿对其中部分或全部标段申请使用AA或A信用等级，无论中标与否，均应根据申请递交投标文件情况按标段计算使用次数（非投标人原因导致招标失败的情况除外）。</w:t>
            </w:r>
          </w:p>
          <w:p w14:paraId="28E90DA3">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10.3 如果推荐的第一中标候选人放弃中标、因不可抗力提出不能履行合同、或因被投诉经查证属实取消中标一资格的，或者招标文件规定应当提交履约保证金而在规定的期限内未能提交的，招标人可以确定排名第二的中标候选人为中标人，或重新组织招标，以此类推。</w:t>
            </w:r>
          </w:p>
          <w:p w14:paraId="3F97FA42">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10.4 如果开标后至中标通知书发出前，第一中标候选人发生投标人须知1.4.4项（1）至（7）目中的情形及中标候选人信用等级被广东省交通运输厅直接降为D级的情形，则均取消其中标资格，招标人按推荐中标候选人排名顺序依次确定中标人，或重新组织招标。</w:t>
            </w:r>
          </w:p>
          <w:p w14:paraId="6BE57242">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10.5 本招标文件中所有 “类似工程”均指</w:t>
            </w:r>
            <w:r>
              <w:rPr>
                <w:rFonts w:hint="eastAsia" w:ascii="宋体" w:hAnsi="宋体" w:eastAsia="宋体" w:cs="宋体"/>
                <w:b/>
                <w:color w:val="000000" w:themeColor="text1"/>
                <w:highlight w:val="none"/>
                <w:u w:val="single"/>
                <w:lang w:eastAsia="zh-CN"/>
                <w14:textFill>
                  <w14:solidFill>
                    <w14:schemeClr w14:val="tx1"/>
                  </w14:solidFill>
                </w14:textFill>
              </w:rPr>
              <w:t>新建、改建、扩建</w:t>
            </w:r>
            <w:r>
              <w:rPr>
                <w:rFonts w:hint="eastAsia" w:ascii="宋体" w:hAnsi="宋体" w:eastAsia="宋体" w:cs="宋体"/>
                <w:b/>
                <w:color w:val="000000" w:themeColor="text1"/>
                <w:highlight w:val="none"/>
                <w:u w:val="single"/>
                <w:lang w:val="en-US" w:eastAsia="zh-CN"/>
                <w14:textFill>
                  <w14:solidFill>
                    <w14:schemeClr w14:val="tx1"/>
                  </w14:solidFill>
                </w14:textFill>
              </w:rPr>
              <w:t>一</w:t>
            </w:r>
            <w:r>
              <w:rPr>
                <w:rFonts w:hint="eastAsia" w:ascii="宋体" w:hAnsi="宋体" w:eastAsia="宋体" w:cs="宋体"/>
                <w:b/>
                <w:color w:val="000000" w:themeColor="text1"/>
                <w:highlight w:val="none"/>
                <w:u w:val="single"/>
                <w:lang w:eastAsia="zh-CN"/>
                <w14:textFill>
                  <w14:solidFill>
                    <w14:schemeClr w14:val="tx1"/>
                  </w14:solidFill>
                </w14:textFill>
              </w:rPr>
              <w:t>级</w:t>
            </w:r>
            <w:r>
              <w:rPr>
                <w:rFonts w:hint="eastAsia" w:ascii="宋体" w:hAnsi="宋体" w:eastAsia="宋体" w:cs="宋体"/>
                <w:b/>
                <w:color w:val="000000" w:themeColor="text1"/>
                <w:highlight w:val="none"/>
                <w:u w:val="single"/>
                <w:lang w:eastAsia="zh-CN"/>
                <w14:textFill>
                  <w14:solidFill>
                    <w14:schemeClr w14:val="tx1"/>
                  </w14:solidFill>
                </w14:textFill>
              </w:rPr>
              <w:t>以上（</w:t>
            </w:r>
            <w:r>
              <w:rPr>
                <w:rFonts w:hint="eastAsia" w:ascii="宋体" w:hAnsi="宋体" w:eastAsia="宋体" w:cs="宋体"/>
                <w:b/>
                <w:color w:val="000000" w:themeColor="text1"/>
                <w:highlight w:val="none"/>
                <w:u w:val="single"/>
                <w:lang w:eastAsia="zh-CN"/>
                <w14:textFill>
                  <w14:solidFill>
                    <w14:schemeClr w14:val="tx1"/>
                  </w14:solidFill>
                </w14:textFill>
              </w:rPr>
              <w:t>含</w:t>
            </w:r>
            <w:r>
              <w:rPr>
                <w:rFonts w:hint="eastAsia" w:ascii="宋体" w:hAnsi="宋体" w:eastAsia="宋体" w:cs="宋体"/>
                <w:b/>
                <w:color w:val="000000" w:themeColor="text1"/>
                <w:highlight w:val="none"/>
                <w:u w:val="single"/>
                <w:lang w:val="en-US" w:eastAsia="zh-CN"/>
                <w14:textFill>
                  <w14:solidFill>
                    <w14:schemeClr w14:val="tx1"/>
                  </w14:solidFill>
                </w14:textFill>
              </w:rPr>
              <w:t>一</w:t>
            </w:r>
            <w:r>
              <w:rPr>
                <w:rFonts w:hint="eastAsia" w:ascii="宋体" w:hAnsi="宋体" w:eastAsia="宋体" w:cs="宋体"/>
                <w:b/>
                <w:color w:val="000000" w:themeColor="text1"/>
                <w:highlight w:val="none"/>
                <w:u w:val="single"/>
                <w:lang w:eastAsia="zh-CN"/>
                <w14:textFill>
                  <w14:solidFill>
                    <w14:schemeClr w14:val="tx1"/>
                  </w14:solidFill>
                </w14:textFill>
              </w:rPr>
              <w:t>级</w:t>
            </w:r>
            <w:r>
              <w:rPr>
                <w:rFonts w:hint="eastAsia" w:ascii="宋体" w:hAnsi="宋体" w:eastAsia="宋体" w:cs="宋体"/>
                <w:b/>
                <w:color w:val="000000" w:themeColor="text1"/>
                <w:highlight w:val="none"/>
                <w:u w:val="single"/>
                <w:lang w:eastAsia="zh-CN"/>
                <w14:textFill>
                  <w14:solidFill>
                    <w14:schemeClr w14:val="tx1"/>
                  </w14:solidFill>
                </w14:textFill>
              </w:rPr>
              <w:t>）公路项目</w:t>
            </w:r>
            <w:r>
              <w:rPr>
                <w:rFonts w:hint="eastAsia" w:ascii="宋体" w:hAnsi="宋体" w:eastAsia="宋体" w:cs="宋体"/>
                <w:color w:val="000000" w:themeColor="text1"/>
                <w:highlight w:val="none"/>
                <w:lang w:eastAsia="zh-CN"/>
                <w14:textFill>
                  <w14:solidFill>
                    <w14:schemeClr w14:val="tx1"/>
                  </w14:solidFill>
                </w14:textFill>
              </w:rPr>
              <w:t>。在采用新建的公路项目完工业绩时，对于同公路等级改、扩建中的新建桥梁或隧道工程业绩也应认可。</w:t>
            </w:r>
          </w:p>
          <w:p w14:paraId="2F37D9CB">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10.6 若投标人在递交投标文件期间，出现采取不正当手段妨碍其他投标人投标的过激行为，或出现在开标会现场扰乱招投标市场秩序的行为，招标人有权将投标人此行为上报省级交通主管部门，作为不良记录纳入全国公路建设市场监督管理系统。</w:t>
            </w:r>
          </w:p>
          <w:p w14:paraId="3BC85AA9">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10.7 招标文件中如无特别说明，土建工程里程累计长度均不扣除桥隧等构造物长度。</w:t>
            </w:r>
          </w:p>
          <w:p w14:paraId="508A37A7">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10.8 中标人须在中标通知书发出之日起30天内到招标人指定地点签署合同，如中标人未按上述要求执行，招标人将取消其中标资格，不退还其投标保证金，并上报交通运输主管部门。发生以上情况时，招标人按推荐中标候选人排名顺序确定中标人，或重新组织招标。</w:t>
            </w:r>
          </w:p>
        </w:tc>
      </w:tr>
      <w:tr w14:paraId="28B92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324CE7C">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11</w:t>
            </w:r>
          </w:p>
        </w:tc>
        <w:tc>
          <w:tcPr>
            <w:tcW w:w="7770" w:type="dxa"/>
            <w:gridSpan w:val="2"/>
            <w:vAlign w:val="center"/>
          </w:tcPr>
          <w:p w14:paraId="1671072F">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投标人须知正文增加第11款内容：</w:t>
            </w:r>
          </w:p>
          <w:p w14:paraId="7229305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11.电子投标及投标解密失败及突发情况的补救方案</w:t>
            </w:r>
          </w:p>
          <w:p w14:paraId="48AB73D3">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11.1 按照交易平台关于全流程电子化项目的相关指南进行操作。详见全国公共资源交易平台（广东省·韶关市）发布的最新版操作指引。</w:t>
            </w:r>
          </w:p>
          <w:p w14:paraId="2A030AF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11.2 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05EB6C35">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11.3 补救方案</w:t>
            </w:r>
          </w:p>
          <w:p w14:paraId="638C1A5F">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（1）投标文件解密失败的补救方案：</w:t>
            </w:r>
          </w:p>
          <w:p w14:paraId="14B6F90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在规定时间内，因投标人之外原因(指网络瘫痪、服务器损坏、交易平台故障短期无法恢复)等导致的电子投标文件解密失败，投标人应在规定的时限内按要求成功上传未加密的备用投标文件，继续开标程序。电子投标文件解密失败且未在规定的时限内按要求成功上传未加密的备用投标文件的，视为无效投标。</w:t>
            </w:r>
          </w:p>
          <w:p w14:paraId="2379B018">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（2）评标时突发情况的补救方案</w:t>
            </w:r>
          </w:p>
          <w:p w14:paraId="34C7DF5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tc>
      </w:tr>
    </w:tbl>
    <w:p w14:paraId="261B49CB">
      <w:pPr>
        <w:kinsoku/>
        <w:rPr>
          <w:rFonts w:ascii="宋体" w:hAnsi="宋体" w:eastAsia="宋体" w:cs="宋体"/>
          <w:color w:val="000000" w:themeColor="text1"/>
          <w:highlight w:val="none"/>
          <w:lang w:eastAsia="zh-CN"/>
          <w14:textFill>
            <w14:solidFill>
              <w14:schemeClr w14:val="tx1"/>
            </w14:solidFill>
          </w14:textFill>
        </w:rPr>
        <w:sectPr>
          <w:headerReference r:id="rId12" w:type="default"/>
          <w:footerReference r:id="rId13" w:type="default"/>
          <w:pgSz w:w="11907" w:h="16841"/>
          <w:pgMar w:top="1173" w:right="1498" w:bottom="1254" w:left="1476" w:header="862" w:footer="1076" w:gutter="0"/>
          <w:cols w:space="720" w:num="1"/>
        </w:sectPr>
      </w:pPr>
    </w:p>
    <w:p w14:paraId="153FA46E">
      <w:pPr>
        <w:kinsoku/>
        <w:spacing w:before="91" w:line="225" w:lineRule="auto"/>
        <w:ind w:left="1883"/>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39" w:name="bookmark44"/>
      <w:bookmarkEnd w:id="39"/>
      <w:bookmarkStart w:id="40" w:name="bookmark45"/>
      <w:bookmarkEnd w:id="40"/>
      <w:bookmarkStart w:id="41" w:name="_Toc22064"/>
      <w:bookmarkStart w:id="42" w:name="_Toc20083"/>
      <w:r>
        <w:rPr>
          <w:rFonts w:hint="eastAsia" w:ascii="宋体" w:hAnsi="宋体" w:eastAsia="宋体" w:cs="宋体"/>
          <w:b/>
          <w:bCs/>
          <w:color w:val="000000" w:themeColor="text1"/>
          <w:sz w:val="28"/>
          <w:szCs w:val="28"/>
          <w:highlight w:val="none"/>
          <w:lang w:eastAsia="zh-CN"/>
          <w14:textFill>
            <w14:solidFill>
              <w14:schemeClr w14:val="tx1"/>
            </w14:solidFill>
          </w14:textFill>
        </w:rPr>
        <w:t>附录</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1  资格审查条件（资质最低要求）</w:t>
      </w:r>
      <w:bookmarkEnd w:id="41"/>
      <w:bookmarkEnd w:id="42"/>
    </w:p>
    <w:p w14:paraId="6D2BB0C0">
      <w:pPr>
        <w:kinsoku/>
        <w:spacing w:line="230"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602" w:type="dxa"/>
        <w:tblInd w:w="1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2"/>
      </w:tblGrid>
      <w:tr w14:paraId="586A6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8602" w:type="dxa"/>
            <w:vAlign w:val="center"/>
          </w:tcPr>
          <w:p w14:paraId="2E16B7CF">
            <w:pPr>
              <w:kinsoku/>
              <w:spacing w:before="68" w:line="221" w:lineRule="auto"/>
              <w:jc w:val="center"/>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资质等级要求</w:t>
            </w:r>
          </w:p>
        </w:tc>
      </w:tr>
      <w:tr w14:paraId="2FEB0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8" w:hRule="atLeast"/>
        </w:trPr>
        <w:tc>
          <w:tcPr>
            <w:tcW w:w="8602" w:type="dxa"/>
          </w:tcPr>
          <w:p w14:paraId="7E732E84">
            <w:pPr>
              <w:kinsoku/>
              <w:spacing w:before="78" w:line="360" w:lineRule="auto"/>
              <w:ind w:left="42" w:right="73"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必须具备以下资质之一：</w:t>
            </w:r>
          </w:p>
          <w:p w14:paraId="32457AE3">
            <w:pPr>
              <w:kinsoku/>
              <w:spacing w:before="78" w:line="360" w:lineRule="auto"/>
              <w:ind w:left="42" w:right="73"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①工程设计综合资质甲级；</w:t>
            </w:r>
          </w:p>
          <w:p w14:paraId="27A32578">
            <w:pPr>
              <w:kinsoku/>
              <w:spacing w:before="78" w:line="360" w:lineRule="auto"/>
              <w:ind w:left="42" w:right="73"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②工程设计公路行业甲级资质；</w:t>
            </w:r>
          </w:p>
          <w:p w14:paraId="165A66BC">
            <w:pPr>
              <w:kinsoku/>
              <w:spacing w:before="78" w:line="360" w:lineRule="auto"/>
              <w:ind w:left="42" w:right="73"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③工程设计公路行业（公路）专业</w:t>
            </w:r>
            <w:r>
              <w:rPr>
                <w:rFonts w:hint="eastAsia" w:ascii="宋体" w:hAnsi="宋体" w:eastAsia="宋体" w:cs="宋体"/>
                <w:color w:val="000000" w:themeColor="text1"/>
                <w:sz w:val="24"/>
                <w:szCs w:val="24"/>
                <w:highlight w:val="none"/>
                <w:lang w:val="en-US" w:eastAsia="zh-CN"/>
                <w14:textFill>
                  <w14:solidFill>
                    <w14:schemeClr w14:val="tx1"/>
                  </w14:solidFill>
                </w14:textFill>
              </w:rPr>
              <w:t>甲</w:t>
            </w:r>
            <w:r>
              <w:rPr>
                <w:rFonts w:hint="eastAsia" w:ascii="宋体" w:hAnsi="宋体" w:eastAsia="宋体" w:cs="宋体"/>
                <w:color w:val="000000" w:themeColor="text1"/>
                <w:sz w:val="24"/>
                <w:szCs w:val="24"/>
                <w:highlight w:val="none"/>
                <w:lang w:eastAsia="zh-CN"/>
                <w14:textFill>
                  <w14:solidFill>
                    <w14:schemeClr w14:val="tx1"/>
                  </w14:solidFill>
                </w14:textFill>
              </w:rPr>
              <w:t>级以上（含</w:t>
            </w:r>
            <w:r>
              <w:rPr>
                <w:rFonts w:hint="eastAsia" w:ascii="宋体" w:hAnsi="宋体" w:eastAsia="宋体" w:cs="宋体"/>
                <w:color w:val="000000" w:themeColor="text1"/>
                <w:sz w:val="24"/>
                <w:szCs w:val="24"/>
                <w:highlight w:val="none"/>
                <w:lang w:val="en-US" w:eastAsia="zh-CN"/>
                <w14:textFill>
                  <w14:solidFill>
                    <w14:schemeClr w14:val="tx1"/>
                  </w14:solidFill>
                </w14:textFill>
              </w:rPr>
              <w:t>甲</w:t>
            </w:r>
            <w:r>
              <w:rPr>
                <w:rFonts w:hint="eastAsia" w:ascii="宋体" w:hAnsi="宋体" w:eastAsia="宋体" w:cs="宋体"/>
                <w:color w:val="000000" w:themeColor="text1"/>
                <w:sz w:val="24"/>
                <w:szCs w:val="24"/>
                <w:highlight w:val="none"/>
                <w:lang w:eastAsia="zh-CN"/>
                <w14:textFill>
                  <w14:solidFill>
                    <w14:schemeClr w14:val="tx1"/>
                  </w14:solidFill>
                </w14:textFill>
              </w:rPr>
              <w:t>级）资质</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bl>
    <w:p w14:paraId="36DEFC94">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697EA60F">
      <w:pPr>
        <w:kinsoku/>
        <w:spacing w:before="52" w:line="186" w:lineRule="auto"/>
        <w:ind w:left="4336"/>
        <w:rPr>
          <w:rFonts w:ascii="宋体" w:hAnsi="宋体" w:eastAsia="宋体" w:cs="宋体"/>
          <w:color w:val="000000" w:themeColor="text1"/>
          <w:sz w:val="18"/>
          <w:szCs w:val="18"/>
          <w:highlight w:val="none"/>
          <w:lang w:eastAsia="zh-CN"/>
          <w14:textFill>
            <w14:solidFill>
              <w14:schemeClr w14:val="tx1"/>
            </w14:solidFill>
          </w14:textFill>
        </w:rPr>
      </w:pPr>
    </w:p>
    <w:p w14:paraId="3C974209">
      <w:pPr>
        <w:kinsoku/>
        <w:spacing w:line="186" w:lineRule="auto"/>
        <w:rPr>
          <w:rFonts w:ascii="宋体" w:hAnsi="宋体" w:eastAsia="宋体" w:cs="宋体"/>
          <w:color w:val="000000" w:themeColor="text1"/>
          <w:sz w:val="18"/>
          <w:szCs w:val="18"/>
          <w:highlight w:val="none"/>
          <w:lang w:eastAsia="zh-CN"/>
          <w14:textFill>
            <w14:solidFill>
              <w14:schemeClr w14:val="tx1"/>
            </w14:solidFill>
          </w14:textFill>
        </w:rPr>
        <w:sectPr>
          <w:headerReference r:id="rId14" w:type="default"/>
          <w:pgSz w:w="11907" w:h="16841"/>
          <w:pgMar w:top="1173" w:right="1498" w:bottom="400" w:left="1560" w:header="862" w:footer="0" w:gutter="0"/>
          <w:cols w:space="720" w:num="1"/>
        </w:sectPr>
      </w:pPr>
    </w:p>
    <w:p w14:paraId="601DBBDD">
      <w:pPr>
        <w:kinsoku/>
        <w:spacing w:before="91" w:line="225" w:lineRule="auto"/>
        <w:ind w:left="1883"/>
        <w:outlineLvl w:val="1"/>
        <w:rPr>
          <w:rFonts w:ascii="宋体" w:hAnsi="宋体" w:eastAsia="宋体" w:cs="宋体"/>
          <w:color w:val="000000" w:themeColor="text1"/>
          <w:sz w:val="13"/>
          <w:szCs w:val="13"/>
          <w:highlight w:val="none"/>
          <w:lang w:eastAsia="zh-CN"/>
          <w14:textFill>
            <w14:solidFill>
              <w14:schemeClr w14:val="tx1"/>
            </w14:solidFill>
          </w14:textFill>
        </w:rPr>
      </w:pPr>
      <w:bookmarkStart w:id="43" w:name="bookmark47"/>
      <w:bookmarkEnd w:id="43"/>
      <w:bookmarkStart w:id="44" w:name="bookmark46"/>
      <w:bookmarkEnd w:id="44"/>
      <w:bookmarkStart w:id="45" w:name="_Toc32414"/>
      <w:bookmarkStart w:id="46" w:name="_Toc6782"/>
      <w:r>
        <w:rPr>
          <w:rFonts w:hint="eastAsia" w:ascii="宋体" w:hAnsi="宋体" w:eastAsia="宋体" w:cs="宋体"/>
          <w:b/>
          <w:bCs/>
          <w:color w:val="000000" w:themeColor="text1"/>
          <w:sz w:val="28"/>
          <w:szCs w:val="28"/>
          <w:highlight w:val="none"/>
          <w:lang w:eastAsia="zh-CN"/>
          <w14:textFill>
            <w14:solidFill>
              <w14:schemeClr w14:val="tx1"/>
            </w14:solidFill>
          </w14:textFill>
        </w:rPr>
        <w:t>附录</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2</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资格审查条件（业绩最低要求）</w:t>
      </w:r>
      <w:bookmarkEnd w:id="45"/>
      <w:bookmarkEnd w:id="46"/>
    </w:p>
    <w:p w14:paraId="085E4047">
      <w:pPr>
        <w:kinsoku/>
        <w:spacing w:line="230"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602" w:type="dxa"/>
        <w:tblInd w:w="1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2"/>
      </w:tblGrid>
      <w:tr w14:paraId="0BC78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8602" w:type="dxa"/>
            <w:vAlign w:val="center"/>
          </w:tcPr>
          <w:p w14:paraId="6148841A">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业绩要求</w:t>
            </w:r>
          </w:p>
        </w:tc>
      </w:tr>
      <w:tr w14:paraId="328F7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3" w:hRule="atLeast"/>
        </w:trPr>
        <w:tc>
          <w:tcPr>
            <w:tcW w:w="8602" w:type="dxa"/>
          </w:tcPr>
          <w:p w14:paraId="7D727543">
            <w:pPr>
              <w:spacing w:line="360" w:lineRule="auto"/>
              <w:ind w:left="80" w:leftChars="38" w:firstLine="480" w:firstLineChars="200"/>
              <w:rPr>
                <w:rFonts w:ascii="宋体" w:hAnsi="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投标人近5年内（</w:t>
            </w:r>
            <w:r>
              <w:rPr>
                <w:rFonts w:hint="eastAsia" w:ascii="宋体" w:hAnsi="宋体" w:cs="宋体"/>
                <w:bCs/>
                <w:color w:val="000000" w:themeColor="text1"/>
                <w:sz w:val="24"/>
                <w:highlight w:val="none"/>
                <w:lang w:eastAsia="zh-CN"/>
                <w14:textFill>
                  <w14:solidFill>
                    <w14:schemeClr w14:val="tx1"/>
                  </w14:solidFill>
                </w14:textFill>
              </w:rPr>
              <w:t>自20</w:t>
            </w:r>
            <w:r>
              <w:rPr>
                <w:rFonts w:hint="eastAsia" w:ascii="宋体" w:hAnsi="宋体" w:eastAsia="宋体" w:cs="宋体"/>
                <w:bCs/>
                <w:color w:val="000000" w:themeColor="text1"/>
                <w:sz w:val="24"/>
                <w:highlight w:val="none"/>
                <w:lang w:eastAsia="zh-CN"/>
                <w14:textFill>
                  <w14:solidFill>
                    <w14:schemeClr w14:val="tx1"/>
                  </w14:solidFill>
                </w14:textFill>
              </w:rPr>
              <w:t>2</w:t>
            </w:r>
            <w:r>
              <w:rPr>
                <w:rFonts w:hint="eastAsia" w:ascii="宋体" w:hAnsi="宋体" w:eastAsia="宋体" w:cs="宋体"/>
                <w:bCs/>
                <w:color w:val="000000" w:themeColor="text1"/>
                <w:sz w:val="24"/>
                <w:highlight w:val="none"/>
                <w:lang w:val="en-US" w:eastAsia="zh-CN"/>
                <w14:textFill>
                  <w14:solidFill>
                    <w14:schemeClr w14:val="tx1"/>
                  </w14:solidFill>
                </w14:textFill>
              </w:rPr>
              <w:t>1</w:t>
            </w:r>
            <w:r>
              <w:rPr>
                <w:rFonts w:hint="eastAsia" w:ascii="宋体" w:hAnsi="宋体" w:cs="宋体"/>
                <w:bCs/>
                <w:color w:val="000000" w:themeColor="text1"/>
                <w:sz w:val="24"/>
                <w:highlight w:val="none"/>
                <w:lang w:eastAsia="zh-CN"/>
                <w14:textFill>
                  <w14:solidFill>
                    <w14:schemeClr w14:val="tx1"/>
                  </w14:solidFill>
                </w14:textFill>
              </w:rPr>
              <w:t>年</w:t>
            </w:r>
            <w:r>
              <w:rPr>
                <w:rFonts w:hint="eastAsia" w:ascii="宋体" w:hAnsi="宋体" w:cs="宋体"/>
                <w:bCs/>
                <w:color w:val="000000" w:themeColor="text1"/>
                <w:sz w:val="24"/>
                <w:highlight w:val="none"/>
                <w:lang w:val="en-US" w:eastAsia="zh-CN"/>
                <w14:textFill>
                  <w14:solidFill>
                    <w14:schemeClr w14:val="tx1"/>
                  </w14:solidFill>
                </w14:textFill>
              </w:rPr>
              <w:t>4</w:t>
            </w:r>
            <w:r>
              <w:rPr>
                <w:rFonts w:hint="eastAsia" w:ascii="宋体" w:hAnsi="宋体" w:cs="宋体"/>
                <w:bCs/>
                <w:color w:val="000000" w:themeColor="text1"/>
                <w:sz w:val="24"/>
                <w:highlight w:val="none"/>
                <w:lang w:eastAsia="zh-CN"/>
                <w14:textFill>
                  <w14:solidFill>
                    <w14:schemeClr w14:val="tx1"/>
                  </w14:solidFill>
                </w14:textFill>
              </w:rPr>
              <w:t>月1日</w:t>
            </w:r>
            <w:r>
              <w:rPr>
                <w:rFonts w:hint="eastAsia" w:ascii="宋体" w:hAnsi="宋体" w:cs="宋体"/>
                <w:bCs/>
                <w:color w:val="000000" w:themeColor="text1"/>
                <w:sz w:val="24"/>
                <w:highlight w:val="none"/>
                <w:lang w:eastAsia="zh-CN"/>
                <w14:textFill>
                  <w14:solidFill>
                    <w14:schemeClr w14:val="tx1"/>
                  </w14:solidFill>
                </w14:textFill>
              </w:rPr>
              <w:t>至投标文件递交截止之日止）累计完成的类似工程业绩情况：</w:t>
            </w:r>
          </w:p>
          <w:p w14:paraId="6366C3AE">
            <w:pPr>
              <w:spacing w:line="360" w:lineRule="auto"/>
              <w:ind w:left="80" w:leftChars="38" w:firstLine="480" w:firstLineChars="200"/>
              <w:rPr>
                <w:rFonts w:ascii="宋体" w:hAnsi="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累计</w:t>
            </w:r>
            <w:r>
              <w:rPr>
                <w:rFonts w:hint="eastAsia" w:ascii="宋体" w:hAnsi="宋体" w:cs="宋体"/>
                <w:bCs/>
                <w:color w:val="000000" w:themeColor="text1"/>
                <w:sz w:val="24"/>
                <w:highlight w:val="none"/>
                <w:lang w:val="en-US" w:eastAsia="zh-CN"/>
                <w14:textFill>
                  <w14:solidFill>
                    <w14:schemeClr w14:val="tx1"/>
                  </w14:solidFill>
                </w14:textFill>
              </w:rPr>
              <w:t>不少于</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 xml:space="preserve"> 7.6 </w:t>
            </w:r>
            <w:r>
              <w:rPr>
                <w:rFonts w:hint="eastAsia" w:ascii="宋体" w:hAnsi="宋体" w:cs="宋体"/>
                <w:bCs/>
                <w:color w:val="000000" w:themeColor="text1"/>
                <w:sz w:val="24"/>
                <w:highlight w:val="none"/>
                <w:u w:val="none"/>
                <w:lang w:eastAsia="zh-CN"/>
                <w14:textFill>
                  <w14:solidFill>
                    <w14:schemeClr w14:val="tx1"/>
                  </w14:solidFill>
                </w14:textFill>
              </w:rPr>
              <w:t>km</w:t>
            </w:r>
            <w:r>
              <w:rPr>
                <w:rFonts w:hint="eastAsia" w:ascii="宋体" w:hAnsi="宋体" w:cs="宋体"/>
                <w:bCs/>
                <w:color w:val="000000" w:themeColor="text1"/>
                <w:sz w:val="24"/>
                <w:highlight w:val="none"/>
                <w:lang w:eastAsia="zh-CN"/>
                <w14:textFill>
                  <w14:solidFill>
                    <w14:schemeClr w14:val="tx1"/>
                  </w14:solidFill>
                </w14:textFill>
              </w:rPr>
              <w:t>类似工程的</w:t>
            </w:r>
            <w:r>
              <w:rPr>
                <w:rFonts w:hint="eastAsia" w:ascii="宋体" w:hAnsi="宋体" w:eastAsia="宋体" w:cs="宋体"/>
                <w:bCs/>
                <w:color w:val="000000" w:themeColor="text1"/>
                <w:sz w:val="24"/>
                <w:highlight w:val="none"/>
                <w:lang w:eastAsia="zh-CN"/>
                <w14:textFill>
                  <w14:solidFill>
                    <w14:schemeClr w14:val="tx1"/>
                  </w14:solidFill>
                </w14:textFill>
              </w:rPr>
              <w:t>土建工程</w:t>
            </w:r>
            <w:r>
              <w:rPr>
                <w:rFonts w:hint="eastAsia" w:ascii="宋体" w:hAnsi="宋体" w:cs="宋体"/>
                <w:bCs/>
                <w:color w:val="000000" w:themeColor="text1"/>
                <w:sz w:val="24"/>
                <w:highlight w:val="none"/>
                <w:lang w:eastAsia="zh-CN"/>
                <w14:textFill>
                  <w14:solidFill>
                    <w14:schemeClr w14:val="tx1"/>
                  </w14:solidFill>
                </w14:textFill>
              </w:rPr>
              <w:t>设计</w:t>
            </w:r>
            <w:r>
              <w:rPr>
                <w:rFonts w:hint="eastAsia" w:ascii="宋体" w:hAnsi="宋体" w:cs="宋体"/>
                <w:bCs/>
                <w:color w:val="000000" w:themeColor="text1"/>
                <w:sz w:val="24"/>
                <w:highlight w:val="none"/>
                <w:lang w:eastAsia="zh-CN"/>
                <w14:textFill>
                  <w14:solidFill>
                    <w14:schemeClr w14:val="tx1"/>
                  </w14:solidFill>
                </w14:textFill>
              </w:rPr>
              <w:t>，且其中有1个合同段（单个合同段不少于</w:t>
            </w:r>
            <w:r>
              <w:rPr>
                <w:rFonts w:hint="eastAsia" w:ascii="宋体" w:hAnsi="宋体" w:cs="宋体"/>
                <w:bCs/>
                <w:color w:val="000000" w:themeColor="text1"/>
                <w:sz w:val="24"/>
                <w:highlight w:val="none"/>
                <w:u w:val="single"/>
                <w:lang w:val="en-US" w:eastAsia="zh-CN"/>
                <w14:textFill>
                  <w14:solidFill>
                    <w14:schemeClr w14:val="tx1"/>
                  </w14:solidFill>
                </w14:textFill>
              </w:rPr>
              <w:t xml:space="preserve"> 3 </w:t>
            </w:r>
            <w:r>
              <w:rPr>
                <w:rFonts w:hint="eastAsia" w:ascii="宋体" w:hAnsi="宋体" w:cs="宋体"/>
                <w:bCs/>
                <w:color w:val="000000" w:themeColor="text1"/>
                <w:sz w:val="24"/>
                <w:highlight w:val="none"/>
                <w:lang w:eastAsia="zh-CN"/>
                <w14:textFill>
                  <w14:solidFill>
                    <w14:schemeClr w14:val="tx1"/>
                  </w14:solidFill>
                </w14:textFill>
              </w:rPr>
              <w:t>km）</w:t>
            </w:r>
            <w:r>
              <w:rPr>
                <w:rFonts w:hint="eastAsia" w:ascii="宋体" w:hAnsi="宋体" w:cs="宋体"/>
                <w:bCs/>
                <w:color w:val="000000" w:themeColor="text1"/>
                <w:sz w:val="24"/>
                <w:highlight w:val="none"/>
                <w:lang w:eastAsia="zh-CN"/>
                <w14:textFill>
                  <w14:solidFill>
                    <w14:schemeClr w14:val="tx1"/>
                  </w14:solidFill>
                </w14:textFill>
              </w:rPr>
              <w:t>类似工程的</w:t>
            </w:r>
            <w:r>
              <w:rPr>
                <w:rFonts w:hint="eastAsia" w:ascii="宋体" w:hAnsi="宋体" w:eastAsia="宋体" w:cs="宋体"/>
                <w:bCs/>
                <w:color w:val="000000" w:themeColor="text1"/>
                <w:sz w:val="24"/>
                <w:highlight w:val="none"/>
                <w:lang w:eastAsia="zh-CN"/>
                <w14:textFill>
                  <w14:solidFill>
                    <w14:schemeClr w14:val="tx1"/>
                  </w14:solidFill>
                </w14:textFill>
              </w:rPr>
              <w:t>土建工程</w:t>
            </w:r>
            <w:r>
              <w:rPr>
                <w:rFonts w:hint="eastAsia" w:ascii="宋体" w:hAnsi="宋体" w:cs="宋体"/>
                <w:bCs/>
                <w:color w:val="000000" w:themeColor="text1"/>
                <w:sz w:val="24"/>
                <w:highlight w:val="none"/>
                <w:lang w:eastAsia="zh-CN"/>
                <w14:textFill>
                  <w14:solidFill>
                    <w14:schemeClr w14:val="tx1"/>
                  </w14:solidFill>
                </w14:textFill>
              </w:rPr>
              <w:t>设计</w:t>
            </w:r>
            <w:r>
              <w:rPr>
                <w:rFonts w:hint="eastAsia" w:ascii="宋体" w:hAnsi="宋体" w:cs="宋体"/>
                <w:bCs/>
                <w:color w:val="000000" w:themeColor="text1"/>
                <w:sz w:val="24"/>
                <w:highlight w:val="none"/>
                <w:lang w:eastAsia="zh-CN"/>
                <w14:textFill>
                  <w14:solidFill>
                    <w14:schemeClr w14:val="tx1"/>
                  </w14:solidFill>
                </w14:textFill>
              </w:rPr>
              <w:t>。</w:t>
            </w:r>
          </w:p>
          <w:p w14:paraId="6839218B">
            <w:pPr>
              <w:spacing w:line="360" w:lineRule="auto"/>
              <w:ind w:left="80" w:leftChars="38" w:firstLine="480" w:firstLineChars="200"/>
              <w:rPr>
                <w:rFonts w:ascii="宋体" w:hAnsi="宋体" w:cs="宋体"/>
                <w:bCs/>
                <w:color w:val="000000" w:themeColor="text1"/>
                <w:sz w:val="24"/>
                <w:highlight w:val="none"/>
                <w:lang w:eastAsia="zh-CN"/>
                <w14:textFill>
                  <w14:solidFill>
                    <w14:schemeClr w14:val="tx1"/>
                  </w14:solidFill>
                </w14:textFill>
              </w:rPr>
            </w:pPr>
          </w:p>
        </w:tc>
      </w:tr>
    </w:tbl>
    <w:p w14:paraId="25510B4E">
      <w:pPr>
        <w:ind w:left="630" w:leftChars="100" w:hanging="420" w:hangingChars="200"/>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w:t>
      </w:r>
    </w:p>
    <w:p w14:paraId="1A7233FA">
      <w:pPr>
        <w:ind w:left="220" w:leftChars="105" w:firstLine="417" w:firstLineChars="19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类似工程是指新建、改建、扩建</w:t>
      </w:r>
      <w:r>
        <w:rPr>
          <w:rFonts w:hint="eastAsia" w:ascii="宋体" w:hAnsi="宋体" w:eastAsia="宋体" w:cs="宋体"/>
          <w:color w:val="000000" w:themeColor="text1"/>
          <w:highlight w:val="none"/>
          <w:lang w:val="en-US" w:eastAsia="zh-CN"/>
          <w14:textFill>
            <w14:solidFill>
              <w14:schemeClr w14:val="tx1"/>
            </w14:solidFill>
          </w14:textFill>
        </w:rPr>
        <w:t>一</w:t>
      </w:r>
      <w:r>
        <w:rPr>
          <w:rFonts w:hint="eastAsia" w:ascii="宋体" w:hAnsi="宋体" w:eastAsia="宋体" w:cs="宋体"/>
          <w:color w:val="000000" w:themeColor="text1"/>
          <w:highlight w:val="none"/>
          <w:lang w:eastAsia="zh-CN"/>
          <w14:textFill>
            <w14:solidFill>
              <w14:schemeClr w14:val="tx1"/>
            </w14:solidFill>
          </w14:textFill>
        </w:rPr>
        <w:t>级以上（含</w:t>
      </w:r>
      <w:r>
        <w:rPr>
          <w:rFonts w:hint="eastAsia" w:ascii="宋体" w:hAnsi="宋体" w:eastAsia="宋体" w:cs="宋体"/>
          <w:color w:val="000000" w:themeColor="text1"/>
          <w:highlight w:val="none"/>
          <w:lang w:val="en-US" w:eastAsia="zh-CN"/>
          <w14:textFill>
            <w14:solidFill>
              <w14:schemeClr w14:val="tx1"/>
            </w14:solidFill>
          </w14:textFill>
        </w:rPr>
        <w:t>一</w:t>
      </w:r>
      <w:r>
        <w:rPr>
          <w:rFonts w:hint="eastAsia" w:ascii="宋体" w:hAnsi="宋体" w:eastAsia="宋体" w:cs="宋体"/>
          <w:color w:val="000000" w:themeColor="text1"/>
          <w:highlight w:val="none"/>
          <w:lang w:eastAsia="zh-CN"/>
          <w14:textFill>
            <w14:solidFill>
              <w14:schemeClr w14:val="tx1"/>
            </w14:solidFill>
          </w14:textFill>
        </w:rPr>
        <w:t>级）</w:t>
      </w:r>
      <w:r>
        <w:rPr>
          <w:rFonts w:hint="eastAsia" w:ascii="宋体" w:hAnsi="宋体" w:eastAsia="宋体" w:cs="宋体"/>
          <w:color w:val="000000" w:themeColor="text1"/>
          <w:highlight w:val="none"/>
          <w:lang w:eastAsia="zh-CN"/>
          <w14:textFill>
            <w14:solidFill>
              <w14:schemeClr w14:val="tx1"/>
            </w14:solidFill>
          </w14:textFill>
        </w:rPr>
        <w:t>公路项目。</w:t>
      </w:r>
    </w:p>
    <w:p w14:paraId="7B74A565">
      <w:pPr>
        <w:tabs>
          <w:tab w:val="left" w:pos="6090"/>
        </w:tabs>
        <w:ind w:left="220" w:leftChars="105" w:firstLine="417" w:firstLineChars="19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2.投标人应根据招标文件第二章“投标人须知 ”第 3.5.2 项的要求附相关证明材料</w:t>
      </w:r>
      <w:r>
        <w:rPr>
          <w:rFonts w:hint="eastAsia" w:ascii="宋体" w:hAnsi="宋体" w:eastAsia="宋体" w:cs="宋体"/>
          <w:color w:val="000000" w:themeColor="text1"/>
          <w:highlight w:val="none"/>
          <w:lang w:eastAsia="zh-CN"/>
          <w14:textFill>
            <w14:solidFill>
              <w14:schemeClr w14:val="tx1"/>
            </w14:solidFill>
          </w14:textFill>
        </w:rPr>
        <w:t>。</w:t>
      </w:r>
    </w:p>
    <w:p w14:paraId="4C5B21FD">
      <w:pPr>
        <w:kinsoku/>
        <w:rPr>
          <w:rFonts w:ascii="宋体" w:hAnsi="宋体" w:eastAsia="宋体" w:cs="宋体"/>
          <w:b/>
          <w:bCs/>
          <w:color w:val="000000" w:themeColor="text1"/>
          <w:sz w:val="28"/>
          <w:szCs w:val="28"/>
          <w:highlight w:val="none"/>
          <w:lang w:eastAsia="zh-CN"/>
          <w14:textFill>
            <w14:solidFill>
              <w14:schemeClr w14:val="tx1"/>
            </w14:solidFill>
          </w14:textFill>
        </w:rPr>
      </w:pPr>
      <w:bookmarkStart w:id="47" w:name="bookmark48"/>
      <w:bookmarkEnd w:id="47"/>
      <w:bookmarkStart w:id="48" w:name="bookmark49"/>
      <w:bookmarkEnd w:id="48"/>
      <w:r>
        <w:rPr>
          <w:rFonts w:hint="eastAsia" w:ascii="宋体" w:hAnsi="宋体" w:eastAsia="宋体" w:cs="宋体"/>
          <w:b/>
          <w:bCs/>
          <w:color w:val="000000" w:themeColor="text1"/>
          <w:sz w:val="28"/>
          <w:szCs w:val="28"/>
          <w:highlight w:val="none"/>
          <w:lang w:eastAsia="zh-CN"/>
          <w14:textFill>
            <w14:solidFill>
              <w14:schemeClr w14:val="tx1"/>
            </w14:solidFill>
          </w14:textFill>
        </w:rPr>
        <w:br w:type="page"/>
      </w:r>
    </w:p>
    <w:p w14:paraId="1FCC0823">
      <w:pPr>
        <w:kinsoku/>
        <w:spacing w:before="91" w:line="225" w:lineRule="auto"/>
        <w:ind w:left="1883"/>
        <w:outlineLvl w:val="1"/>
        <w:rPr>
          <w:rFonts w:ascii="宋体" w:hAnsi="宋体" w:eastAsia="宋体" w:cs="宋体"/>
          <w:color w:val="000000" w:themeColor="text1"/>
          <w:sz w:val="13"/>
          <w:szCs w:val="13"/>
          <w:highlight w:val="none"/>
          <w:lang w:eastAsia="zh-CN"/>
          <w14:textFill>
            <w14:solidFill>
              <w14:schemeClr w14:val="tx1"/>
            </w14:solidFill>
          </w14:textFill>
        </w:rPr>
      </w:pPr>
      <w:bookmarkStart w:id="49" w:name="_Toc22964"/>
      <w:bookmarkStart w:id="50" w:name="_Toc16967"/>
      <w:r>
        <w:rPr>
          <w:rFonts w:hint="eastAsia" w:ascii="宋体" w:hAnsi="宋体" w:eastAsia="宋体" w:cs="宋体"/>
          <w:b/>
          <w:bCs/>
          <w:color w:val="000000" w:themeColor="text1"/>
          <w:sz w:val="28"/>
          <w:szCs w:val="28"/>
          <w:highlight w:val="none"/>
          <w:lang w:eastAsia="zh-CN"/>
          <w14:textFill>
            <w14:solidFill>
              <w14:schemeClr w14:val="tx1"/>
            </w14:solidFill>
          </w14:textFill>
        </w:rPr>
        <w:t>附录</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3</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资格审查条件（信誉最低要求）</w:t>
      </w:r>
      <w:bookmarkEnd w:id="49"/>
      <w:bookmarkEnd w:id="50"/>
    </w:p>
    <w:p w14:paraId="3CF23440">
      <w:pPr>
        <w:kinsoku/>
        <w:spacing w:line="230"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602" w:type="dxa"/>
        <w:tblInd w:w="1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2"/>
      </w:tblGrid>
      <w:tr w14:paraId="723D1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8602" w:type="dxa"/>
            <w:vAlign w:val="center"/>
          </w:tcPr>
          <w:p w14:paraId="3EF9755D">
            <w:pPr>
              <w:kinsoku/>
              <w:spacing w:before="69" w:line="22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信誉要求</w:t>
            </w:r>
          </w:p>
        </w:tc>
      </w:tr>
      <w:tr w14:paraId="469E1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8" w:hRule="atLeast"/>
        </w:trPr>
        <w:tc>
          <w:tcPr>
            <w:tcW w:w="8602" w:type="dxa"/>
          </w:tcPr>
          <w:p w14:paraId="7A4563E6">
            <w:pPr>
              <w:spacing w:line="400" w:lineRule="exact"/>
              <w:ind w:left="80" w:leftChars="38" w:right="97" w:rightChars="46" w:firstLine="480" w:firstLineChars="200"/>
              <w:contextualSpacing/>
              <w:jc w:val="both"/>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在最新年度广东省公路工程从业单位（设计单位）信用评价（含无最新年度而上一年度有信用评价）中，信用等级未被评为D级；</w:t>
            </w:r>
          </w:p>
          <w:p w14:paraId="2B3F3AFE">
            <w:pPr>
              <w:spacing w:line="400" w:lineRule="exact"/>
              <w:ind w:left="80" w:leftChars="38" w:right="97" w:rightChars="46" w:firstLine="480" w:firstLineChars="200"/>
              <w:contextualSpacing/>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初次进入广东省的投标人，在最新年度全国公路从业单位（设计单位）信用评价结果中未被评为D级。</w:t>
            </w:r>
          </w:p>
        </w:tc>
      </w:tr>
    </w:tbl>
    <w:p w14:paraId="3C593A9D">
      <w:pPr>
        <w:ind w:left="420" w:leftChars="200"/>
        <w:rPr>
          <w:rFonts w:ascii="宋体" w:hAnsi="宋体" w:cs="宋体"/>
          <w:color w:val="000000" w:themeColor="text1"/>
          <w:highlight w:val="none"/>
          <w:lang w:eastAsia="zh-CN"/>
          <w14:textFill>
            <w14:solidFill>
              <w14:schemeClr w14:val="tx1"/>
            </w14:solidFill>
          </w14:textFill>
        </w:rPr>
      </w:pPr>
      <w:bookmarkStart w:id="51" w:name="bookmark50"/>
      <w:bookmarkEnd w:id="51"/>
      <w:bookmarkStart w:id="52" w:name="bookmark51"/>
      <w:bookmarkEnd w:id="52"/>
    </w:p>
    <w:p w14:paraId="0A60F003">
      <w:pPr>
        <w:ind w:left="420" w:leftChars="200"/>
        <w:rPr>
          <w:rFonts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注：信用等级的确定原则遵循投标人须知前附表10.2款的规定。</w:t>
      </w:r>
      <w:r>
        <w:rPr>
          <w:rFonts w:hint="eastAsia" w:ascii="宋体" w:hAnsi="宋体" w:eastAsia="宋体" w:cs="宋体"/>
          <w:b/>
          <w:bCs/>
          <w:color w:val="000000" w:themeColor="text1"/>
          <w:sz w:val="28"/>
          <w:szCs w:val="28"/>
          <w:highlight w:val="none"/>
          <w:lang w:eastAsia="zh-CN"/>
          <w14:textFill>
            <w14:solidFill>
              <w14:schemeClr w14:val="tx1"/>
            </w14:solidFill>
          </w14:textFill>
        </w:rPr>
        <w:br w:type="page"/>
      </w:r>
    </w:p>
    <w:p w14:paraId="2039A6D6">
      <w:pPr>
        <w:kinsoku/>
        <w:spacing w:before="91" w:line="224" w:lineRule="auto"/>
        <w:ind w:left="1461"/>
        <w:outlineLvl w:val="1"/>
        <w:rPr>
          <w:rFonts w:ascii="宋体" w:hAnsi="宋体" w:eastAsia="宋体" w:cs="宋体"/>
          <w:color w:val="000000" w:themeColor="text1"/>
          <w:sz w:val="13"/>
          <w:szCs w:val="13"/>
          <w:highlight w:val="none"/>
          <w:lang w:eastAsia="zh-CN"/>
          <w14:textFill>
            <w14:solidFill>
              <w14:schemeClr w14:val="tx1"/>
            </w14:solidFill>
          </w14:textFill>
        </w:rPr>
      </w:pPr>
      <w:bookmarkStart w:id="53" w:name="_Toc8224"/>
      <w:bookmarkStart w:id="54" w:name="_Toc28026"/>
      <w:r>
        <w:rPr>
          <w:rFonts w:hint="eastAsia" w:ascii="宋体" w:hAnsi="宋体" w:eastAsia="宋体" w:cs="宋体"/>
          <w:b/>
          <w:bCs/>
          <w:color w:val="000000" w:themeColor="text1"/>
          <w:sz w:val="28"/>
          <w:szCs w:val="28"/>
          <w:highlight w:val="none"/>
          <w:lang w:eastAsia="zh-CN"/>
          <w14:textFill>
            <w14:solidFill>
              <w14:schemeClr w14:val="tx1"/>
            </w14:solidFill>
          </w14:textFill>
        </w:rPr>
        <w:t>附录</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4</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资格审查条件（项目负责人最低要求）</w:t>
      </w:r>
      <w:bookmarkEnd w:id="53"/>
      <w:bookmarkEnd w:id="54"/>
    </w:p>
    <w:p w14:paraId="446AADAB">
      <w:pPr>
        <w:kinsoku/>
        <w:spacing w:line="231"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782"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4"/>
        <w:gridCol w:w="1746"/>
        <w:gridCol w:w="4892"/>
      </w:tblGrid>
      <w:tr w14:paraId="057D5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2144" w:type="dxa"/>
          </w:tcPr>
          <w:p w14:paraId="138376C0">
            <w:pPr>
              <w:kinsoku/>
              <w:spacing w:before="204" w:line="222"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人员</w:t>
            </w:r>
          </w:p>
        </w:tc>
        <w:tc>
          <w:tcPr>
            <w:tcW w:w="1746" w:type="dxa"/>
          </w:tcPr>
          <w:p w14:paraId="222BD1BF">
            <w:pPr>
              <w:kinsoku/>
              <w:spacing w:before="204" w:line="221" w:lineRule="auto"/>
              <w:ind w:left="561"/>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数量</w:t>
            </w:r>
          </w:p>
        </w:tc>
        <w:tc>
          <w:tcPr>
            <w:tcW w:w="4892" w:type="dxa"/>
          </w:tcPr>
          <w:p w14:paraId="374B4A2B">
            <w:pPr>
              <w:kinsoku/>
              <w:spacing w:before="204" w:line="221" w:lineRule="auto"/>
              <w:ind w:left="188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资格要求</w:t>
            </w:r>
          </w:p>
        </w:tc>
      </w:tr>
      <w:tr w14:paraId="685E1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8" w:hRule="atLeast"/>
        </w:trPr>
        <w:tc>
          <w:tcPr>
            <w:tcW w:w="2144" w:type="dxa"/>
            <w:vAlign w:val="center"/>
          </w:tcPr>
          <w:p w14:paraId="13782C2D">
            <w:pPr>
              <w:kinsoku/>
              <w:spacing w:before="68" w:line="221"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项目负责人</w:t>
            </w:r>
          </w:p>
        </w:tc>
        <w:tc>
          <w:tcPr>
            <w:tcW w:w="1746" w:type="dxa"/>
            <w:vAlign w:val="center"/>
          </w:tcPr>
          <w:p w14:paraId="3EE86978">
            <w:pPr>
              <w:kinsoku/>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c>
          <w:tcPr>
            <w:tcW w:w="4892" w:type="dxa"/>
            <w:vAlign w:val="center"/>
          </w:tcPr>
          <w:p w14:paraId="14AEDBA2">
            <w:pPr>
              <w:kinsoku/>
              <w:ind w:left="80" w:leftChars="38" w:right="86" w:rightChars="4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路桥相关专业高级工程师以上（含高级工程师）职称，</w:t>
            </w:r>
            <w:r>
              <w:rPr>
                <w:rFonts w:hint="eastAsia" w:ascii="宋体" w:hAnsi="宋体" w:cs="宋体"/>
                <w:color w:val="000000" w:themeColor="text1"/>
                <w:sz w:val="24"/>
                <w:highlight w:val="none"/>
                <w:lang w:eastAsia="zh-CN"/>
                <w14:textFill>
                  <w14:solidFill>
                    <w14:schemeClr w14:val="tx1"/>
                  </w14:solidFill>
                </w14:textFill>
              </w:rPr>
              <w:t>近5年内（</w:t>
            </w:r>
            <w:r>
              <w:rPr>
                <w:rFonts w:hint="eastAsia" w:ascii="宋体" w:hAnsi="宋体" w:cs="宋体"/>
                <w:bCs/>
                <w:color w:val="000000" w:themeColor="text1"/>
                <w:sz w:val="24"/>
                <w:highlight w:val="none"/>
                <w:lang w:eastAsia="zh-CN"/>
                <w14:textFill>
                  <w14:solidFill>
                    <w14:schemeClr w14:val="tx1"/>
                  </w14:solidFill>
                </w14:textFill>
              </w:rPr>
              <w:t>自20</w:t>
            </w:r>
            <w:r>
              <w:rPr>
                <w:rFonts w:hint="eastAsia" w:ascii="宋体" w:hAnsi="宋体" w:eastAsia="宋体" w:cs="宋体"/>
                <w:bCs/>
                <w:color w:val="000000" w:themeColor="text1"/>
                <w:sz w:val="24"/>
                <w:highlight w:val="none"/>
                <w:lang w:eastAsia="zh-CN"/>
                <w14:textFill>
                  <w14:solidFill>
                    <w14:schemeClr w14:val="tx1"/>
                  </w14:solidFill>
                </w14:textFill>
              </w:rPr>
              <w:t>2</w:t>
            </w:r>
            <w:r>
              <w:rPr>
                <w:rFonts w:hint="eastAsia" w:ascii="宋体" w:hAnsi="宋体" w:eastAsia="宋体" w:cs="宋体"/>
                <w:bCs/>
                <w:color w:val="000000" w:themeColor="text1"/>
                <w:sz w:val="24"/>
                <w:highlight w:val="none"/>
                <w:lang w:val="en-US" w:eastAsia="zh-CN"/>
                <w14:textFill>
                  <w14:solidFill>
                    <w14:schemeClr w14:val="tx1"/>
                  </w14:solidFill>
                </w14:textFill>
              </w:rPr>
              <w:t>1</w:t>
            </w:r>
            <w:r>
              <w:rPr>
                <w:rFonts w:hint="eastAsia" w:ascii="宋体" w:hAnsi="宋体" w:cs="宋体"/>
                <w:bCs/>
                <w:color w:val="000000" w:themeColor="text1"/>
                <w:sz w:val="24"/>
                <w:highlight w:val="none"/>
                <w:lang w:eastAsia="zh-CN"/>
                <w14:textFill>
                  <w14:solidFill>
                    <w14:schemeClr w14:val="tx1"/>
                  </w14:solidFill>
                </w14:textFill>
              </w:rPr>
              <w:t>年</w:t>
            </w:r>
            <w:r>
              <w:rPr>
                <w:rFonts w:hint="eastAsia" w:ascii="宋体" w:hAnsi="宋体" w:cs="宋体"/>
                <w:bCs/>
                <w:color w:val="000000" w:themeColor="text1"/>
                <w:sz w:val="24"/>
                <w:highlight w:val="none"/>
                <w:lang w:val="en-US" w:eastAsia="zh-CN"/>
                <w14:textFill>
                  <w14:solidFill>
                    <w14:schemeClr w14:val="tx1"/>
                  </w14:solidFill>
                </w14:textFill>
              </w:rPr>
              <w:t>4</w:t>
            </w:r>
            <w:r>
              <w:rPr>
                <w:rFonts w:hint="eastAsia" w:ascii="宋体" w:hAnsi="宋体" w:cs="宋体"/>
                <w:bCs/>
                <w:color w:val="000000" w:themeColor="text1"/>
                <w:sz w:val="24"/>
                <w:highlight w:val="none"/>
                <w:lang w:eastAsia="zh-CN"/>
                <w14:textFill>
                  <w14:solidFill>
                    <w14:schemeClr w14:val="tx1"/>
                  </w14:solidFill>
                </w14:textFill>
              </w:rPr>
              <w:t>月1日</w:t>
            </w:r>
            <w:r>
              <w:rPr>
                <w:rFonts w:hint="eastAsia" w:ascii="宋体" w:hAnsi="宋体" w:cs="宋体"/>
                <w:bCs/>
                <w:color w:val="000000" w:themeColor="text1"/>
                <w:sz w:val="24"/>
                <w:highlight w:val="none"/>
                <w:lang w:eastAsia="zh-CN"/>
                <w14:textFill>
                  <w14:solidFill>
                    <w14:schemeClr w14:val="tx1"/>
                  </w14:solidFill>
                </w14:textFill>
              </w:rPr>
              <w:t>至投标文件递交截止之日止</w:t>
            </w:r>
            <w:r>
              <w:rPr>
                <w:rFonts w:hint="eastAsia" w:ascii="宋体" w:hAnsi="宋体" w:cs="宋体"/>
                <w:color w:val="000000" w:themeColor="text1"/>
                <w:sz w:val="24"/>
                <w:highlight w:val="none"/>
                <w:lang w:eastAsia="zh-CN"/>
                <w14:textFill>
                  <w14:solidFill>
                    <w14:schemeClr w14:val="tx1"/>
                  </w14:solidFill>
                </w14:textFill>
              </w:rPr>
              <w:t>）作为项目负责人主持过1个合同段类似工程的设计工作</w:t>
            </w:r>
            <w:r>
              <w:rPr>
                <w:rFonts w:hint="eastAsia" w:ascii="宋体" w:hAnsi="宋体" w:cs="宋体"/>
                <w:color w:val="000000" w:themeColor="text1"/>
                <w:sz w:val="24"/>
                <w:highlight w:val="none"/>
                <w:lang w:eastAsia="zh-CN"/>
                <w14:textFill>
                  <w14:solidFill>
                    <w14:schemeClr w14:val="tx1"/>
                  </w14:solidFill>
                </w14:textFill>
              </w:rPr>
              <w:t>。</w:t>
            </w:r>
          </w:p>
        </w:tc>
      </w:tr>
    </w:tbl>
    <w:p w14:paraId="77156AB8">
      <w:pPr>
        <w:kinsoku/>
        <w:rPr>
          <w:rFonts w:ascii="宋体" w:hAnsi="宋体" w:eastAsia="宋体" w:cs="宋体"/>
          <w:color w:val="000000" w:themeColor="text1"/>
          <w:highlight w:val="none"/>
          <w:lang w:eastAsia="zh-CN"/>
          <w14:textFill>
            <w14:solidFill>
              <w14:schemeClr w14:val="tx1"/>
            </w14:solidFill>
          </w14:textFill>
        </w:rPr>
      </w:pPr>
    </w:p>
    <w:p w14:paraId="10DD342A">
      <w:pPr>
        <w:kinsoku/>
        <w:spacing w:line="354"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类似工程是指新建、改建、扩建</w:t>
      </w:r>
      <w:r>
        <w:rPr>
          <w:rFonts w:hint="eastAsia" w:ascii="宋体" w:hAnsi="宋体" w:cs="宋体"/>
          <w:color w:val="000000" w:themeColor="text1"/>
          <w:highlight w:val="none"/>
          <w:lang w:val="en-US" w:eastAsia="zh-CN"/>
          <w14:textFill>
            <w14:solidFill>
              <w14:schemeClr w14:val="tx1"/>
            </w14:solidFill>
          </w14:textFill>
        </w:rPr>
        <w:t>一</w:t>
      </w:r>
      <w:r>
        <w:rPr>
          <w:rFonts w:hint="eastAsia" w:ascii="宋体" w:hAnsi="宋体" w:cs="宋体"/>
          <w:color w:val="000000" w:themeColor="text1"/>
          <w:highlight w:val="none"/>
          <w:lang w:eastAsia="zh-CN"/>
          <w14:textFill>
            <w14:solidFill>
              <w14:schemeClr w14:val="tx1"/>
            </w14:solidFill>
          </w14:textFill>
        </w:rPr>
        <w:t>级以上（含</w:t>
      </w:r>
      <w:r>
        <w:rPr>
          <w:rFonts w:hint="eastAsia" w:ascii="宋体" w:hAnsi="宋体" w:cs="宋体"/>
          <w:color w:val="000000" w:themeColor="text1"/>
          <w:highlight w:val="none"/>
          <w:lang w:val="en-US" w:eastAsia="zh-CN"/>
          <w14:textFill>
            <w14:solidFill>
              <w14:schemeClr w14:val="tx1"/>
            </w14:solidFill>
          </w14:textFill>
        </w:rPr>
        <w:t>一</w:t>
      </w:r>
      <w:r>
        <w:rPr>
          <w:rFonts w:hint="eastAsia" w:ascii="宋体" w:hAnsi="宋体" w:cs="宋体"/>
          <w:color w:val="000000" w:themeColor="text1"/>
          <w:highlight w:val="none"/>
          <w:lang w:eastAsia="zh-CN"/>
          <w14:textFill>
            <w14:solidFill>
              <w14:schemeClr w14:val="tx1"/>
            </w14:solidFill>
          </w14:textFill>
        </w:rPr>
        <w:t>级）</w:t>
      </w:r>
      <w:r>
        <w:rPr>
          <w:rFonts w:hint="eastAsia" w:ascii="宋体" w:hAnsi="宋体" w:cs="宋体"/>
          <w:color w:val="000000" w:themeColor="text1"/>
          <w:highlight w:val="none"/>
          <w:lang w:eastAsia="zh-CN"/>
          <w14:textFill>
            <w14:solidFill>
              <w14:schemeClr w14:val="tx1"/>
            </w14:solidFill>
          </w14:textFill>
        </w:rPr>
        <w:t>公路项目。</w:t>
      </w:r>
    </w:p>
    <w:p w14:paraId="12D07E59">
      <w:pPr>
        <w:kinsoku/>
        <w:spacing w:line="354" w:lineRule="auto"/>
        <w:ind w:firstLine="420" w:firstLineChars="200"/>
        <w:rPr>
          <w:rFonts w:hint="default"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2.投标人应根据招标文件第二章“投标人须知 ”第 3.5.4 项的要求附相关证明材料。</w:t>
      </w:r>
    </w:p>
    <w:p w14:paraId="6D0C8C66">
      <w:pPr>
        <w:kinsoku/>
        <w:spacing w:line="354" w:lineRule="auto"/>
        <w:rPr>
          <w:rFonts w:ascii="宋体" w:hAnsi="宋体" w:cs="宋体"/>
          <w:color w:val="000000" w:themeColor="text1"/>
          <w:highlight w:val="none"/>
          <w:lang w:eastAsia="zh-CN"/>
          <w14:textFill>
            <w14:solidFill>
              <w14:schemeClr w14:val="tx1"/>
            </w14:solidFill>
          </w14:textFill>
        </w:rPr>
      </w:pPr>
    </w:p>
    <w:p w14:paraId="40884998">
      <w:pPr>
        <w:kinsoku/>
        <w:spacing w:before="91" w:line="224" w:lineRule="auto"/>
        <w:ind w:left="1461"/>
        <w:outlineLvl w:val="1"/>
        <w:rPr>
          <w:rFonts w:ascii="宋体" w:hAnsi="宋体" w:eastAsia="宋体" w:cs="宋体"/>
          <w:b/>
          <w:bCs/>
          <w:color w:val="000000" w:themeColor="text1"/>
          <w:sz w:val="28"/>
          <w:szCs w:val="28"/>
          <w:highlight w:val="none"/>
          <w:lang w:eastAsia="zh-CN"/>
          <w14:textFill>
            <w14:solidFill>
              <w14:schemeClr w14:val="tx1"/>
            </w14:solidFill>
          </w14:textFill>
        </w:rPr>
      </w:pPr>
    </w:p>
    <w:p w14:paraId="0E13E219">
      <w:pPr>
        <w:kinsoku/>
        <w:rPr>
          <w:rFonts w:ascii="宋体" w:hAnsi="宋体" w:eastAsia="宋体" w:cs="宋体"/>
          <w:b/>
          <w:bCs/>
          <w:color w:val="000000" w:themeColor="text1"/>
          <w:sz w:val="28"/>
          <w:szCs w:val="28"/>
          <w:highlight w:val="none"/>
          <w:lang w:eastAsia="zh-CN"/>
          <w14:textFill>
            <w14:solidFill>
              <w14:schemeClr w14:val="tx1"/>
            </w14:solidFill>
          </w14:textFill>
        </w:rPr>
      </w:pPr>
      <w:bookmarkStart w:id="55" w:name="bookmark52"/>
      <w:bookmarkEnd w:id="55"/>
      <w:bookmarkStart w:id="56" w:name="bookmark53"/>
      <w:bookmarkEnd w:id="56"/>
      <w:r>
        <w:rPr>
          <w:rFonts w:hint="eastAsia" w:ascii="宋体" w:hAnsi="宋体" w:eastAsia="宋体" w:cs="宋体"/>
          <w:b/>
          <w:bCs/>
          <w:color w:val="000000" w:themeColor="text1"/>
          <w:sz w:val="28"/>
          <w:szCs w:val="28"/>
          <w:highlight w:val="none"/>
          <w:lang w:eastAsia="zh-CN"/>
          <w14:textFill>
            <w14:solidFill>
              <w14:schemeClr w14:val="tx1"/>
            </w14:solidFill>
          </w14:textFill>
        </w:rPr>
        <w:br w:type="page"/>
      </w:r>
    </w:p>
    <w:p w14:paraId="17127A89">
      <w:pPr>
        <w:kinsoku/>
        <w:spacing w:before="91" w:line="219" w:lineRule="auto"/>
        <w:ind w:left="54"/>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57" w:name="bookmark55"/>
      <w:bookmarkEnd w:id="57"/>
      <w:bookmarkStart w:id="58" w:name="bookmark54"/>
      <w:bookmarkEnd w:id="58"/>
      <w:bookmarkStart w:id="59" w:name="bookmark57"/>
      <w:bookmarkEnd w:id="59"/>
      <w:bookmarkStart w:id="60" w:name="_Toc11530"/>
      <w:bookmarkStart w:id="61" w:name="_Toc19362"/>
      <w:r>
        <w:rPr>
          <w:rFonts w:hint="eastAsia" w:ascii="宋体" w:hAnsi="宋体" w:eastAsia="宋体" w:cs="宋体"/>
          <w:b/>
          <w:bCs/>
          <w:color w:val="000000" w:themeColor="text1"/>
          <w:sz w:val="28"/>
          <w:szCs w:val="28"/>
          <w:highlight w:val="none"/>
          <w:lang w:eastAsia="zh-CN"/>
          <w14:textFill>
            <w14:solidFill>
              <w14:schemeClr w14:val="tx1"/>
            </w14:solidFill>
          </w14:textFill>
        </w:rPr>
        <w:t>1. 总则</w:t>
      </w:r>
      <w:bookmarkEnd w:id="60"/>
      <w:bookmarkEnd w:id="61"/>
    </w:p>
    <w:p w14:paraId="69164FB6">
      <w:pPr>
        <w:kinsoku/>
        <w:spacing w:before="264" w:line="218" w:lineRule="auto"/>
        <w:ind w:left="50"/>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62" w:name="bookmark56"/>
      <w:bookmarkEnd w:id="62"/>
      <w:bookmarkStart w:id="63" w:name="_Toc28699"/>
      <w:bookmarkStart w:id="64" w:name="_Toc31663"/>
      <w:r>
        <w:rPr>
          <w:rFonts w:hint="eastAsia" w:ascii="宋体" w:hAnsi="宋体" w:eastAsia="宋体" w:cs="宋体"/>
          <w:b/>
          <w:bCs/>
          <w:color w:val="000000" w:themeColor="text1"/>
          <w:sz w:val="24"/>
          <w:szCs w:val="24"/>
          <w:highlight w:val="none"/>
          <w:lang w:eastAsia="zh-CN"/>
          <w14:textFill>
            <w14:solidFill>
              <w14:schemeClr w14:val="tx1"/>
            </w14:solidFill>
          </w14:textFill>
        </w:rPr>
        <w:t>1.1 项目概况</w:t>
      </w:r>
      <w:bookmarkEnd w:id="63"/>
      <w:bookmarkEnd w:id="64"/>
    </w:p>
    <w:p w14:paraId="273AC639">
      <w:pPr>
        <w:kinsoku/>
        <w:spacing w:before="78" w:line="298" w:lineRule="auto"/>
        <w:ind w:left="39" w:firstLine="497"/>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 根据《中华人民共和国招标投标法》《中华人民共和国招标投标法实施条例》《公路工程建设项目招标投标管理办法》等有关法律、法规和规章的规定，本招标项目已具备招标条件，现对本标段设计进行招标。</w:t>
      </w:r>
    </w:p>
    <w:p w14:paraId="590130EE">
      <w:pPr>
        <w:kinsoku/>
        <w:spacing w:before="3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 本招标项目招标人：见投标人须知前附表。</w:t>
      </w:r>
    </w:p>
    <w:p w14:paraId="233FC518">
      <w:pPr>
        <w:kinsoku/>
        <w:spacing w:before="114"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1.1.3 本标段招标代理机构：见投标人须知前附表。</w:t>
      </w:r>
    </w:p>
    <w:p w14:paraId="4C8D1841">
      <w:pPr>
        <w:kinsoku/>
        <w:spacing w:before="11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1.1.4 本招标项目名称：见投标人须知前附表。</w:t>
      </w:r>
    </w:p>
    <w:p w14:paraId="16354A79">
      <w:pPr>
        <w:kinsoku/>
        <w:spacing w:before="11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1.1.5 本标段建设地点：见投标人须知前附表。</w:t>
      </w:r>
    </w:p>
    <w:p w14:paraId="07626662">
      <w:pPr>
        <w:kinsoku/>
        <w:spacing w:before="113"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1.1.6 本标段建设规模：见投标人须知前附表。</w:t>
      </w:r>
    </w:p>
    <w:p w14:paraId="2771ECD9">
      <w:pPr>
        <w:kinsoku/>
        <w:spacing w:before="117" w:line="218" w:lineRule="auto"/>
        <w:ind w:left="536"/>
        <w:rPr>
          <w:rFonts w:ascii="宋体" w:hAnsi="宋体" w:eastAsia="宋体" w:cs="宋体"/>
          <w:color w:val="000000" w:themeColor="text1"/>
          <w:sz w:val="24"/>
          <w:szCs w:val="24"/>
          <w:highlight w:val="none"/>
          <w:lang w:eastAsia="zh-CN"/>
          <w14:textFill>
            <w14:solidFill>
              <w14:schemeClr w14:val="tx1"/>
            </w14:solidFill>
          </w14:textFill>
        </w:rPr>
      </w:pPr>
      <w:bookmarkStart w:id="65" w:name="bookmark59"/>
      <w:bookmarkEnd w:id="65"/>
      <w:r>
        <w:rPr>
          <w:rFonts w:hint="eastAsia" w:ascii="宋体" w:hAnsi="宋体" w:eastAsia="宋体" w:cs="宋体"/>
          <w:color w:val="000000" w:themeColor="text1"/>
          <w:sz w:val="24"/>
          <w:szCs w:val="24"/>
          <w:highlight w:val="none"/>
          <w:lang w:eastAsia="zh-CN"/>
          <w14:textFill>
            <w14:solidFill>
              <w14:schemeClr w14:val="tx1"/>
            </w14:solidFill>
          </w14:textFill>
        </w:rPr>
        <w:t>1.1.7 本标段投资估算：见投标人须知前附表。</w:t>
      </w:r>
    </w:p>
    <w:p w14:paraId="6A5D4887">
      <w:pPr>
        <w:kinsoku/>
        <w:spacing w:before="268" w:line="218" w:lineRule="auto"/>
        <w:ind w:left="50"/>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66" w:name="bookmark58"/>
      <w:bookmarkEnd w:id="66"/>
      <w:bookmarkStart w:id="67" w:name="_Toc4586"/>
      <w:bookmarkStart w:id="68" w:name="_Toc1832"/>
      <w:r>
        <w:rPr>
          <w:rFonts w:hint="eastAsia" w:ascii="宋体" w:hAnsi="宋体" w:eastAsia="宋体" w:cs="宋体"/>
          <w:b/>
          <w:bCs/>
          <w:color w:val="000000" w:themeColor="text1"/>
          <w:sz w:val="24"/>
          <w:szCs w:val="24"/>
          <w:highlight w:val="none"/>
          <w:lang w:eastAsia="zh-CN"/>
          <w14:textFill>
            <w14:solidFill>
              <w14:schemeClr w14:val="tx1"/>
            </w14:solidFill>
          </w14:textFill>
        </w:rPr>
        <w:t>1.2 招标项目的资金来源和落实情况</w:t>
      </w:r>
      <w:bookmarkEnd w:id="67"/>
      <w:bookmarkEnd w:id="68"/>
    </w:p>
    <w:p w14:paraId="66D8D011">
      <w:pPr>
        <w:kinsoku/>
        <w:spacing w:before="79"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 资金来源及比例：见投标人须知前附表。</w:t>
      </w:r>
    </w:p>
    <w:p w14:paraId="39F27269">
      <w:pPr>
        <w:kinsoku/>
        <w:spacing w:before="117"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bookmarkStart w:id="69" w:name="bookmark61"/>
      <w:bookmarkEnd w:id="69"/>
      <w:r>
        <w:rPr>
          <w:rFonts w:hint="eastAsia" w:ascii="宋体" w:hAnsi="宋体" w:eastAsia="宋体" w:cs="宋体"/>
          <w:color w:val="000000" w:themeColor="text1"/>
          <w:sz w:val="24"/>
          <w:szCs w:val="24"/>
          <w:highlight w:val="none"/>
          <w:lang w:eastAsia="zh-CN"/>
          <w14:textFill>
            <w14:solidFill>
              <w14:schemeClr w14:val="tx1"/>
            </w14:solidFill>
          </w14:textFill>
        </w:rPr>
        <w:t>1.2.2 资金落实情况：见投标人须知前附表。</w:t>
      </w:r>
    </w:p>
    <w:p w14:paraId="5D259D9D">
      <w:pPr>
        <w:kinsoku/>
        <w:spacing w:before="267" w:line="218" w:lineRule="auto"/>
        <w:ind w:left="50"/>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70" w:name="bookmark60"/>
      <w:bookmarkEnd w:id="70"/>
      <w:bookmarkStart w:id="71" w:name="_Toc24651"/>
      <w:bookmarkStart w:id="72" w:name="_Toc12840"/>
      <w:r>
        <w:rPr>
          <w:rFonts w:hint="eastAsia" w:ascii="宋体" w:hAnsi="宋体" w:eastAsia="宋体" w:cs="宋体"/>
          <w:b/>
          <w:bCs/>
          <w:color w:val="000000" w:themeColor="text1"/>
          <w:sz w:val="24"/>
          <w:szCs w:val="24"/>
          <w:highlight w:val="none"/>
          <w:lang w:eastAsia="zh-CN"/>
          <w14:textFill>
            <w14:solidFill>
              <w14:schemeClr w14:val="tx1"/>
            </w14:solidFill>
          </w14:textFill>
        </w:rPr>
        <w:t>1.3 招标范围、设计服务期限、质量要求和安全目标</w:t>
      </w:r>
      <w:bookmarkEnd w:id="71"/>
      <w:bookmarkEnd w:id="72"/>
    </w:p>
    <w:p w14:paraId="7A1527AC">
      <w:pPr>
        <w:kinsoku/>
        <w:spacing w:before="79"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1.3.1 招标范围：见投标人须知前附表。</w:t>
      </w:r>
    </w:p>
    <w:p w14:paraId="7D37608A">
      <w:pPr>
        <w:kinsoku/>
        <w:spacing w:before="11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1.3.2 本标段的设计服务期限：见投标人须知前附表。</w:t>
      </w:r>
    </w:p>
    <w:p w14:paraId="6298CA61">
      <w:pPr>
        <w:kinsoku/>
        <w:spacing w:before="11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1.3.3 本标段的质量要求：见投标人须知前附表。</w:t>
      </w:r>
    </w:p>
    <w:p w14:paraId="24DD8B24">
      <w:pPr>
        <w:kinsoku/>
        <w:spacing w:before="114"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bookmarkStart w:id="73" w:name="bookmark63"/>
      <w:bookmarkEnd w:id="73"/>
      <w:r>
        <w:rPr>
          <w:rFonts w:hint="eastAsia" w:ascii="宋体" w:hAnsi="宋体" w:eastAsia="宋体" w:cs="宋体"/>
          <w:color w:val="000000" w:themeColor="text1"/>
          <w:sz w:val="24"/>
          <w:szCs w:val="24"/>
          <w:highlight w:val="none"/>
          <w:lang w:eastAsia="zh-CN"/>
          <w14:textFill>
            <w14:solidFill>
              <w14:schemeClr w14:val="tx1"/>
            </w14:solidFill>
          </w14:textFill>
        </w:rPr>
        <w:t>1.3.4 本标段的安全目标：见投标人须知前附表。</w:t>
      </w:r>
    </w:p>
    <w:p w14:paraId="3A3DFCA7">
      <w:pPr>
        <w:kinsoku/>
        <w:spacing w:before="265" w:line="219" w:lineRule="auto"/>
        <w:ind w:left="50"/>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74" w:name="bookmark64"/>
      <w:bookmarkEnd w:id="74"/>
      <w:bookmarkStart w:id="75" w:name="bookmark62"/>
      <w:bookmarkEnd w:id="75"/>
      <w:bookmarkStart w:id="76" w:name="_Toc14058"/>
      <w:bookmarkStart w:id="77" w:name="_Toc11358"/>
      <w:r>
        <w:rPr>
          <w:rFonts w:hint="eastAsia" w:ascii="宋体" w:hAnsi="宋体" w:eastAsia="宋体" w:cs="宋体"/>
          <w:b/>
          <w:bCs/>
          <w:color w:val="000000" w:themeColor="text1"/>
          <w:sz w:val="24"/>
          <w:szCs w:val="24"/>
          <w:highlight w:val="none"/>
          <w:lang w:eastAsia="zh-CN"/>
          <w14:textFill>
            <w14:solidFill>
              <w14:schemeClr w14:val="tx1"/>
            </w14:solidFill>
          </w14:textFill>
        </w:rPr>
        <w:t>1.4 投标人资格要求</w:t>
      </w:r>
      <w:bookmarkEnd w:id="76"/>
      <w:bookmarkEnd w:id="77"/>
    </w:p>
    <w:p w14:paraId="2AE7D4EC">
      <w:pPr>
        <w:kinsoku/>
        <w:spacing w:before="79"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1.4.1 投标人应具备承担本标段设计的资质条件、能力和信誉。</w:t>
      </w:r>
    </w:p>
    <w:p w14:paraId="6A83FDEE">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（1）资质要求：见投标人须知前附表；</w:t>
      </w:r>
    </w:p>
    <w:p w14:paraId="5FEC5349">
      <w:pPr>
        <w:kinsoku/>
        <w:spacing w:before="114"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（2）业绩要求：见投标人须知前附表；</w:t>
      </w:r>
    </w:p>
    <w:p w14:paraId="1AD75F6C">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（3）信誉要求：见投标人须知前附表；</w:t>
      </w:r>
    </w:p>
    <w:p w14:paraId="35B049BA">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（4）项目负责人资格：见投标人须知前附表；</w:t>
      </w:r>
    </w:p>
    <w:p w14:paraId="6B74750D">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（5）分项负责人资格：见投标人须知前附表；</w:t>
      </w:r>
    </w:p>
    <w:p w14:paraId="56E52C48">
      <w:pPr>
        <w:kinsoku/>
        <w:spacing w:before="114" w:line="219" w:lineRule="auto"/>
        <w:ind w:left="52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（6）其他要求：见投标人须知前附表。</w:t>
      </w:r>
    </w:p>
    <w:p w14:paraId="0E49AF8E">
      <w:pPr>
        <w:kinsoku/>
        <w:spacing w:before="78" w:line="219" w:lineRule="auto"/>
        <w:ind w:left="53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需要提交的相关证明材料见本章第3.5款的规定。</w:t>
      </w:r>
    </w:p>
    <w:p w14:paraId="2B64560D">
      <w:pPr>
        <w:kinsoku/>
        <w:spacing w:before="112" w:line="264" w:lineRule="auto"/>
        <w:ind w:left="42" w:right="26" w:firstLine="49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1.4.2 投标人须知前附表规定接受联合体投标的，联合体除应符合本章第1.4.1项和投标人须知前附表的要求外，还应遵守以下规定：</w:t>
      </w:r>
    </w:p>
    <w:p w14:paraId="1AAED7A0">
      <w:pPr>
        <w:kinsoku/>
        <w:spacing w:before="116" w:line="263" w:lineRule="auto"/>
        <w:ind w:left="40" w:right="33"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（1）联合体各方应按招标文件提供的格式签订联合体协议书，明确联合体牵头人和各方权利义务，并承诺就中标项目向招标人承担连带责任；</w:t>
      </w:r>
    </w:p>
    <w:p w14:paraId="7F5B1DBD">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（2）由同一专业的单位组成的联合体，按照资质等级较低的单位确定资质等级；</w:t>
      </w:r>
    </w:p>
    <w:p w14:paraId="5A32B5A8">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（3）联合体各方不得再以自己名义单独或参加其他联合体在同一标段中投标；</w:t>
      </w:r>
    </w:p>
    <w:p w14:paraId="0B19E949">
      <w:pPr>
        <w:kinsoku/>
        <w:spacing w:before="115" w:line="278" w:lineRule="auto"/>
        <w:ind w:left="39" w:right="30"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0ADAA524">
      <w:pPr>
        <w:kinsoku/>
        <w:spacing w:before="114" w:line="264" w:lineRule="auto"/>
        <w:ind w:left="39" w:right="28"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（5）尽管委任了联合体牵头人，但联合体各成员在投标、签订合同与履行合同过程中，仍负有连带的和各自的法律责任。</w:t>
      </w:r>
    </w:p>
    <w:p w14:paraId="5B9FF8EB">
      <w:pPr>
        <w:kinsoku/>
        <w:spacing w:before="115" w:line="219" w:lineRule="auto"/>
        <w:ind w:left="536" w:right="-391" w:rightChars="-1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1.4.3 投标人（包括联合体各成员）不得与本标段相关单位存在下列关联情形：</w:t>
      </w:r>
    </w:p>
    <w:p w14:paraId="2CCB5F69">
      <w:pPr>
        <w:kinsoku/>
        <w:spacing w:before="114"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（1）为招标人不具有独立法人资格的附属机构（单位）；</w:t>
      </w:r>
    </w:p>
    <w:p w14:paraId="3112B181">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（2）与招标人存在利害关系且可能影响招标公正性；</w:t>
      </w:r>
    </w:p>
    <w:p w14:paraId="69768955">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（3）与本标段的其他投标人同为一个单位负责人；</w:t>
      </w:r>
    </w:p>
    <w:p w14:paraId="5F2E53AF">
      <w:pPr>
        <w:kinsoku/>
        <w:spacing w:before="114"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（4）与本标段的其他投标人存在控股、管理关系；</w:t>
      </w:r>
    </w:p>
    <w:p w14:paraId="7D35EF6F">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（5）为本标段的代建人；</w:t>
      </w:r>
    </w:p>
    <w:p w14:paraId="407CC9C7">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（6）为本标段的招标代理机构；</w:t>
      </w:r>
    </w:p>
    <w:p w14:paraId="0751F6F4">
      <w:pPr>
        <w:kinsoku/>
        <w:spacing w:before="114"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（7）与本标段的代建人或招标代理机构同为一个法定代表人；</w:t>
      </w:r>
    </w:p>
    <w:p w14:paraId="20741AFF">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（8）与本标段的代建人或招标代理机构存在控股或参股关系；</w:t>
      </w:r>
    </w:p>
    <w:p w14:paraId="5AFBE1A0">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（9）法律法规或投标人须知前附表规定的其他情形。</w:t>
      </w:r>
    </w:p>
    <w:p w14:paraId="55C01279">
      <w:pPr>
        <w:kinsoku/>
        <w:spacing w:before="113" w:line="220"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1.4.4 投标人（包括联合体各成员）不得存在下列不良状况或不良信用记录：</w:t>
      </w:r>
    </w:p>
    <w:p w14:paraId="6925DC66">
      <w:pPr>
        <w:kinsoku/>
        <w:spacing w:before="116" w:line="264" w:lineRule="auto"/>
        <w:ind w:left="43" w:right="33"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（1）被省级及以上交通运输主管部门取消招标项目所在地的投标资格且处于有效期内；</w:t>
      </w:r>
    </w:p>
    <w:p w14:paraId="14C4A123">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（2）被责令停业，暂扣或吊销执照，或吊销资质证书；</w:t>
      </w:r>
    </w:p>
    <w:p w14:paraId="16B8E405">
      <w:pPr>
        <w:kinsoku/>
        <w:spacing w:before="116"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（3）进入清算程序，或被宣告破产，或其他丧失履约能力的情形；</w:t>
      </w:r>
    </w:p>
    <w:p w14:paraId="2098DF46">
      <w:pPr>
        <w:kinsoku/>
        <w:spacing w:before="117" w:line="263" w:lineRule="auto"/>
        <w:ind w:left="43" w:right="31" w:firstLine="48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（4）在国家企业信用信息公示系统（http://www.gsxt.gov.cn/）中被列入严重违法失信企业名单；</w:t>
      </w:r>
    </w:p>
    <w:p w14:paraId="1F8B7B48">
      <w:pPr>
        <w:kinsoku/>
        <w:spacing w:before="117" w:line="264" w:lineRule="auto"/>
        <w:ind w:left="40" w:right="28" w:firstLine="484"/>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（5）在“信用中国”网站（</w:t>
      </w:r>
      <w:r>
        <w:rPr>
          <w:rFonts w:hint="eastAsia" w:ascii="宋体" w:hAnsi="宋体" w:eastAsia="宋体" w:cs="宋体"/>
          <w:color w:val="000000" w:themeColor="text1"/>
          <w:sz w:val="24"/>
          <w:szCs w:val="24"/>
          <w:highlight w:val="none"/>
          <w:lang w:eastAsia="zh-CN"/>
          <w14:textFill>
            <w14:solidFill>
              <w14:schemeClr w14:val="tx1"/>
            </w14:solidFill>
          </w14:textFill>
        </w:rPr>
        <w:t>https://www.creditchina.gov.cn/</w:t>
      </w:r>
      <w:r>
        <w:rPr>
          <w:rFonts w:hint="eastAsia" w:ascii="宋体" w:hAnsi="宋体" w:eastAsia="宋体" w:cs="宋体"/>
          <w:color w:val="000000" w:themeColor="text1"/>
          <w:sz w:val="24"/>
          <w:szCs w:val="24"/>
          <w:highlight w:val="none"/>
          <w14:textFill>
            <w14:solidFill>
              <w14:schemeClr w14:val="tx1"/>
            </w14:solidFill>
          </w14:textFill>
        </w:rPr>
        <w:t>）中被列入失信被执行人名单；</w:t>
      </w:r>
    </w:p>
    <w:p w14:paraId="58D844F9">
      <w:pPr>
        <w:kinsoku/>
        <w:spacing w:before="111" w:line="264" w:lineRule="auto"/>
        <w:ind w:left="57" w:right="29" w:firstLine="46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（6）投标人或其法定代表人、拟委任的项目负责人在近三年内有行贿犯罪行为的（行贿犯罪行为的认定以检察机关职务犯罪预防部门出具的查询结果为准）；</w:t>
      </w:r>
    </w:p>
    <w:p w14:paraId="66B359E5">
      <w:pPr>
        <w:kinsoku/>
        <w:spacing w:before="116" w:line="219" w:lineRule="auto"/>
        <w:ind w:left="52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（7）法律法规或投标人须知前附表规定的其他情形。</w:t>
      </w:r>
    </w:p>
    <w:p w14:paraId="5EBCDC1F">
      <w:pPr>
        <w:kinsoku/>
        <w:spacing w:before="78" w:line="299" w:lineRule="auto"/>
        <w:ind w:left="38" w:right="79" w:firstLine="498"/>
        <w:jc w:val="both"/>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1.4.5 投标人（包括联合体各成员）应进入交通运输部“</w:t>
      </w:r>
      <w:r>
        <w:rPr>
          <w:rFonts w:hint="eastAsia" w:ascii="宋体" w:hAnsi="宋体" w:eastAsia="宋体" w:cs="宋体"/>
          <w:color w:val="000000" w:themeColor="text1"/>
          <w:sz w:val="24"/>
          <w:szCs w:val="24"/>
          <w:highlight w:val="none"/>
          <w:lang w:eastAsia="zh-CN"/>
          <w14:textFill>
            <w14:solidFill>
              <w14:schemeClr w14:val="tx1"/>
            </w14:solidFill>
          </w14:textFill>
        </w:rPr>
        <w:t>全国公路建设市场监督管理系统</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https://hwdms.mot.gov.cn/BMWebSite/</w:t>
      </w:r>
      <w:r>
        <w:rPr>
          <w:rFonts w:hint="eastAsia" w:ascii="宋体" w:hAnsi="宋体" w:eastAsia="宋体" w:cs="宋体"/>
          <w:color w:val="000000" w:themeColor="text1"/>
          <w:sz w:val="24"/>
          <w:szCs w:val="24"/>
          <w:highlight w:val="none"/>
          <w14:textFill>
            <w14:solidFill>
              <w14:schemeClr w14:val="tx1"/>
            </w14:solidFill>
          </w14:textFill>
        </w:rPr>
        <w:t>）”中的公路工程设计资质企业名录，且投标人名称和资质与该名录中的相应企业名称和资质完全一致。</w:t>
      </w:r>
      <w:r>
        <w:rPr>
          <w:rFonts w:hint="eastAsia" w:ascii="宋体" w:hAnsi="宋体" w:eastAsia="宋体" w:cs="宋体"/>
          <w:color w:val="000000" w:themeColor="text1"/>
          <w:sz w:val="24"/>
          <w:szCs w:val="24"/>
          <w:highlight w:val="none"/>
          <w:lang w:eastAsia="zh-CN"/>
          <w14:textFill>
            <w14:solidFill>
              <w14:schemeClr w14:val="tx1"/>
            </w14:solidFill>
          </w14:textFill>
        </w:rPr>
        <w:t>投标人不满足本项规定条件</w:t>
      </w:r>
      <w:bookmarkStart w:id="78" w:name="bookmark67"/>
      <w:bookmarkEnd w:id="78"/>
      <w:r>
        <w:rPr>
          <w:rFonts w:hint="eastAsia" w:ascii="宋体" w:hAnsi="宋体" w:eastAsia="宋体" w:cs="宋体"/>
          <w:color w:val="000000" w:themeColor="text1"/>
          <w:sz w:val="24"/>
          <w:szCs w:val="24"/>
          <w:highlight w:val="none"/>
          <w:lang w:eastAsia="zh-CN"/>
          <w14:textFill>
            <w14:solidFill>
              <w14:schemeClr w14:val="tx1"/>
            </w14:solidFill>
          </w14:textFill>
        </w:rPr>
        <w:t>的，将被否决投标。</w:t>
      </w:r>
    </w:p>
    <w:p w14:paraId="54DA7197">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79" w:name="bookmark66"/>
      <w:bookmarkEnd w:id="79"/>
      <w:bookmarkStart w:id="80" w:name="_Toc10521"/>
      <w:bookmarkStart w:id="81" w:name="_Toc20199"/>
      <w:r>
        <w:rPr>
          <w:rFonts w:hint="eastAsia" w:ascii="宋体" w:hAnsi="宋体" w:eastAsia="宋体" w:cs="宋体"/>
          <w:b/>
          <w:bCs/>
          <w:color w:val="000000" w:themeColor="text1"/>
          <w:sz w:val="24"/>
          <w:szCs w:val="24"/>
          <w:highlight w:val="none"/>
          <w:lang w:eastAsia="zh-CN"/>
          <w14:textFill>
            <w14:solidFill>
              <w14:schemeClr w14:val="tx1"/>
            </w14:solidFill>
          </w14:textFill>
        </w:rPr>
        <w:t>1.5 费用承担</w:t>
      </w:r>
      <w:bookmarkEnd w:id="80"/>
      <w:bookmarkEnd w:id="81"/>
    </w:p>
    <w:p w14:paraId="0568D229">
      <w:pPr>
        <w:kinsoku/>
        <w:spacing w:before="78" w:line="220"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投标人准备和参加投标活动发生的费用自理。</w:t>
      </w:r>
    </w:p>
    <w:p w14:paraId="5A2EA964">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82" w:name="bookmark68"/>
      <w:bookmarkEnd w:id="82"/>
      <w:bookmarkStart w:id="83" w:name="bookmark69"/>
      <w:bookmarkEnd w:id="83"/>
      <w:bookmarkStart w:id="84" w:name="_Toc15427"/>
      <w:bookmarkStart w:id="85" w:name="_Toc11670"/>
      <w:r>
        <w:rPr>
          <w:rFonts w:hint="eastAsia" w:ascii="宋体" w:hAnsi="宋体" w:eastAsia="宋体" w:cs="宋体"/>
          <w:b/>
          <w:bCs/>
          <w:color w:val="000000" w:themeColor="text1"/>
          <w:sz w:val="24"/>
          <w:szCs w:val="24"/>
          <w:highlight w:val="none"/>
          <w:lang w:eastAsia="zh-CN"/>
          <w14:textFill>
            <w14:solidFill>
              <w14:schemeClr w14:val="tx1"/>
            </w14:solidFill>
          </w14:textFill>
        </w:rPr>
        <w:t>1.6 保密</w:t>
      </w:r>
      <w:bookmarkEnd w:id="84"/>
      <w:bookmarkEnd w:id="85"/>
    </w:p>
    <w:p w14:paraId="34CF3BC2">
      <w:pPr>
        <w:kinsoku/>
        <w:spacing w:before="78" w:line="295" w:lineRule="auto"/>
        <w:ind w:left="45" w:right="16"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参与招标投标活动的各方应对招标文件和投标文件中的商业和技术等秘密保密，</w:t>
      </w:r>
      <w:bookmarkStart w:id="86" w:name="bookmark71"/>
      <w:bookmarkEnd w:id="86"/>
      <w:r>
        <w:rPr>
          <w:rFonts w:hint="eastAsia" w:ascii="宋体" w:hAnsi="宋体" w:eastAsia="宋体" w:cs="宋体"/>
          <w:color w:val="000000" w:themeColor="text1"/>
          <w:sz w:val="24"/>
          <w:szCs w:val="24"/>
          <w:highlight w:val="none"/>
          <w:lang w:eastAsia="zh-CN"/>
          <w14:textFill>
            <w14:solidFill>
              <w14:schemeClr w14:val="tx1"/>
            </w14:solidFill>
          </w14:textFill>
        </w:rPr>
        <w:t>否则应承担相应的法律责任。</w:t>
      </w:r>
    </w:p>
    <w:p w14:paraId="01983621">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87" w:name="bookmark70"/>
      <w:bookmarkEnd w:id="87"/>
      <w:bookmarkStart w:id="88" w:name="_Toc17507"/>
      <w:bookmarkStart w:id="89" w:name="_Toc28424"/>
      <w:r>
        <w:rPr>
          <w:rFonts w:hint="eastAsia" w:ascii="宋体" w:hAnsi="宋体" w:eastAsia="宋体" w:cs="宋体"/>
          <w:b/>
          <w:bCs/>
          <w:color w:val="000000" w:themeColor="text1"/>
          <w:sz w:val="24"/>
          <w:szCs w:val="24"/>
          <w:highlight w:val="none"/>
          <w:lang w:eastAsia="zh-CN"/>
          <w14:textFill>
            <w14:solidFill>
              <w14:schemeClr w14:val="tx1"/>
            </w14:solidFill>
          </w14:textFill>
        </w:rPr>
        <w:t>1.7 语言文字</w:t>
      </w:r>
      <w:bookmarkEnd w:id="88"/>
      <w:bookmarkEnd w:id="89"/>
    </w:p>
    <w:p w14:paraId="1412B680">
      <w:pPr>
        <w:kinsoku/>
        <w:spacing w:before="78" w:line="219" w:lineRule="auto"/>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招标投标文件使用的语言文字为中文。专用术语使用外文的，应附有中文注释。</w:t>
      </w:r>
    </w:p>
    <w:p w14:paraId="0BF05449">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90" w:name="bookmark73"/>
      <w:bookmarkEnd w:id="90"/>
      <w:bookmarkStart w:id="91" w:name="bookmark72"/>
      <w:bookmarkEnd w:id="91"/>
      <w:bookmarkStart w:id="92" w:name="_Toc3610"/>
      <w:bookmarkStart w:id="93" w:name="_Toc24037"/>
      <w:r>
        <w:rPr>
          <w:rFonts w:hint="eastAsia" w:ascii="宋体" w:hAnsi="宋体" w:eastAsia="宋体" w:cs="宋体"/>
          <w:b/>
          <w:bCs/>
          <w:color w:val="000000" w:themeColor="text1"/>
          <w:sz w:val="24"/>
          <w:szCs w:val="24"/>
          <w:highlight w:val="none"/>
          <w:lang w:eastAsia="zh-CN"/>
          <w14:textFill>
            <w14:solidFill>
              <w14:schemeClr w14:val="tx1"/>
            </w14:solidFill>
          </w14:textFill>
        </w:rPr>
        <w:t>1.8 计量单位</w:t>
      </w:r>
      <w:bookmarkEnd w:id="92"/>
      <w:bookmarkEnd w:id="93"/>
    </w:p>
    <w:p w14:paraId="4BE9501B">
      <w:pPr>
        <w:kinsoku/>
        <w:spacing w:before="79" w:line="219"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所有计量均采用中华人民共和国法定计量单位。</w:t>
      </w:r>
    </w:p>
    <w:p w14:paraId="464E1F24">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94" w:name="bookmark75"/>
      <w:bookmarkEnd w:id="94"/>
      <w:bookmarkStart w:id="95" w:name="bookmark74"/>
      <w:bookmarkEnd w:id="95"/>
      <w:bookmarkStart w:id="96" w:name="_Toc21670"/>
      <w:bookmarkStart w:id="97" w:name="_Toc21979"/>
      <w:r>
        <w:rPr>
          <w:rFonts w:hint="eastAsia" w:ascii="宋体" w:hAnsi="宋体" w:eastAsia="宋体" w:cs="宋体"/>
          <w:b/>
          <w:bCs/>
          <w:color w:val="000000" w:themeColor="text1"/>
          <w:sz w:val="24"/>
          <w:szCs w:val="24"/>
          <w:highlight w:val="none"/>
          <w:lang w:eastAsia="zh-CN"/>
          <w14:textFill>
            <w14:solidFill>
              <w14:schemeClr w14:val="tx1"/>
            </w14:solidFill>
          </w14:textFill>
        </w:rPr>
        <w:t>1.9 踏勘现场</w:t>
      </w:r>
      <w:bookmarkEnd w:id="96"/>
      <w:bookmarkEnd w:id="97"/>
    </w:p>
    <w:p w14:paraId="76370EF6">
      <w:pPr>
        <w:kinsoku/>
        <w:spacing w:before="79" w:line="299" w:lineRule="auto"/>
        <w:ind w:left="43" w:right="81" w:firstLine="492"/>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1.9.1 第一章“招标公告”或“投标邀请书”规定组织踏勘现场的，招标人按规定的时间、地点组织投标人踏勘项目现场。部分投标人未按时参加踏勘现场的，不影响踏勘现场的正常进行。招标人不得组织单个或部分投标人踏勘项目现场。</w:t>
      </w:r>
    </w:p>
    <w:p w14:paraId="6C5138C9">
      <w:pPr>
        <w:kinsoku/>
        <w:spacing w:before="35" w:line="220"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1.9.2 投标人踏勘现场发生的费用自理。</w:t>
      </w:r>
    </w:p>
    <w:p w14:paraId="2363BBDB">
      <w:pPr>
        <w:kinsoku/>
        <w:spacing w:before="116" w:line="263" w:lineRule="auto"/>
        <w:ind w:left="38" w:right="85" w:firstLine="49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1.9.3 除招标人的原因外，投标人自行负责在踏勘现场中所发生的人员伤亡和财产损失。</w:t>
      </w:r>
    </w:p>
    <w:p w14:paraId="176E92C0">
      <w:pPr>
        <w:kinsoku/>
        <w:spacing w:before="115" w:line="264" w:lineRule="auto"/>
        <w:ind w:left="40" w:right="85"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1.9.4 招标人在踏勘现场中介绍的工程场地和相关的周边环境情况，供投标人在 编制投标文件时参考，招标人不对投标人据此作出的判断和决策负责。</w:t>
      </w:r>
    </w:p>
    <w:p w14:paraId="3AFA77D1">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98" w:name="bookmark76"/>
      <w:bookmarkEnd w:id="98"/>
      <w:bookmarkStart w:id="99" w:name="bookmark77"/>
      <w:bookmarkEnd w:id="99"/>
      <w:bookmarkStart w:id="100" w:name="_Toc28251"/>
      <w:bookmarkStart w:id="101" w:name="_Toc20360"/>
      <w:r>
        <w:rPr>
          <w:rFonts w:hint="eastAsia" w:ascii="宋体" w:hAnsi="宋体" w:eastAsia="宋体" w:cs="宋体"/>
          <w:b/>
          <w:bCs/>
          <w:color w:val="000000" w:themeColor="text1"/>
          <w:sz w:val="24"/>
          <w:szCs w:val="24"/>
          <w:highlight w:val="none"/>
          <w:lang w:eastAsia="zh-CN"/>
          <w14:textFill>
            <w14:solidFill>
              <w14:schemeClr w14:val="tx1"/>
            </w14:solidFill>
          </w14:textFill>
        </w:rPr>
        <w:t>1.10 投标预备会</w:t>
      </w:r>
      <w:bookmarkEnd w:id="100"/>
      <w:bookmarkEnd w:id="101"/>
    </w:p>
    <w:p w14:paraId="16CC6165">
      <w:pPr>
        <w:kinsoku/>
        <w:spacing w:before="79" w:line="264" w:lineRule="auto"/>
        <w:ind w:left="39" w:right="81" w:firstLine="49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1.10.1 第一章“招标公告”或“投标邀请书”规定召开投标预备会的，招标人按规定的时间和地点召开投标预备会，澄清投标人提出的问题。</w:t>
      </w:r>
    </w:p>
    <w:p w14:paraId="2A9310EB">
      <w:pPr>
        <w:kinsoku/>
        <w:spacing w:before="78" w:line="263" w:lineRule="auto"/>
        <w:ind w:left="40" w:right="30"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1.10.2 投标人应按投标人须知前附表规定的时间和形式将提出的问题送达招标人，以便招标人在会议期间澄清。</w:t>
      </w:r>
    </w:p>
    <w:p w14:paraId="0F4FB324">
      <w:pPr>
        <w:kinsoku/>
        <w:spacing w:before="116" w:line="264" w:lineRule="auto"/>
        <w:ind w:left="57" w:right="31"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1.10.3 投标预备会后，招标人将对投标人所提问题的澄清，以本章第2.2款规定的形式通知所有购买招标文件的投标人。该澄清内容为招标文件的组成部分。</w:t>
      </w:r>
    </w:p>
    <w:p w14:paraId="399F644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02" w:name="bookmark78"/>
      <w:bookmarkEnd w:id="102"/>
      <w:bookmarkStart w:id="103" w:name="bookmark79"/>
      <w:bookmarkEnd w:id="103"/>
      <w:bookmarkStart w:id="104" w:name="_Toc1503"/>
      <w:bookmarkStart w:id="105" w:name="_Toc31301"/>
      <w:r>
        <w:rPr>
          <w:rFonts w:hint="eastAsia" w:ascii="宋体" w:hAnsi="宋体" w:eastAsia="宋体" w:cs="宋体"/>
          <w:b/>
          <w:bCs/>
          <w:color w:val="000000" w:themeColor="text1"/>
          <w:sz w:val="24"/>
          <w:szCs w:val="24"/>
          <w:highlight w:val="none"/>
          <w:lang w:eastAsia="zh-CN"/>
          <w14:textFill>
            <w14:solidFill>
              <w14:schemeClr w14:val="tx1"/>
            </w14:solidFill>
          </w14:textFill>
        </w:rPr>
        <w:t>1.11 分包</w:t>
      </w:r>
      <w:bookmarkEnd w:id="104"/>
      <w:bookmarkEnd w:id="105"/>
    </w:p>
    <w:p w14:paraId="53C5AF0D">
      <w:pPr>
        <w:kinsoku/>
        <w:spacing w:before="78" w:line="295" w:lineRule="auto"/>
        <w:ind w:left="57" w:right="31"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1.11.1 投标人拟在中标后将中标项目的非主体、非关键性设计工作进行分包的，应符合以下规定：</w:t>
      </w:r>
    </w:p>
    <w:p w14:paraId="4B8CE6A1">
      <w:pPr>
        <w:kinsoku/>
        <w:spacing w:before="30" w:line="279" w:lineRule="auto"/>
        <w:ind w:left="37" w:right="28"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（1）分包内容要求：允许分包的范围仅限于工程设计中跨专业或有特殊要求的设计工作。招标人允许分包或不允许分包的工程（如有）应在投标人须知前附表中载明。</w:t>
      </w:r>
    </w:p>
    <w:p w14:paraId="570691FC">
      <w:pPr>
        <w:kinsoku/>
        <w:spacing w:before="112" w:line="264" w:lineRule="auto"/>
        <w:ind w:left="39" w:right="31"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（2）接受分包的第三人资格要求：分包人的资格能力应与其分包工程的标准和规模相适应，且具备投标人须知前附表中规定的资格条件。</w:t>
      </w:r>
    </w:p>
    <w:p w14:paraId="29C34AFB">
      <w:pPr>
        <w:kinsoku/>
        <w:spacing w:before="117" w:line="278" w:lineRule="auto"/>
        <w:ind w:left="39" w:right="37"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（3）其他要求：投标人如有分包计划，应按第六章“投标文件格式”的要求填写“拟分包项目情况表”，明确拟分包的工程及规模，且投标人中标后的分包应满足合同条款第4.3款的相关要求。</w:t>
      </w:r>
    </w:p>
    <w:p w14:paraId="1FEDC359">
      <w:pPr>
        <w:kinsoku/>
        <w:spacing w:before="116" w:line="293" w:lineRule="auto"/>
        <w:ind w:left="40" w:right="28"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1.11.2 中标人不得向他人转让中标项目，接受分包的人不得再次分包。中标人应就分包项目向招标人负责，接受分包的人就分包项目承担连带责任。</w:t>
      </w:r>
    </w:p>
    <w:p w14:paraId="12F4C380">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06" w:name="bookmark81"/>
      <w:bookmarkEnd w:id="106"/>
      <w:bookmarkStart w:id="107" w:name="bookmark80"/>
      <w:bookmarkEnd w:id="107"/>
      <w:bookmarkStart w:id="108" w:name="_Toc24723"/>
      <w:bookmarkStart w:id="109" w:name="_Toc10292"/>
      <w:r>
        <w:rPr>
          <w:rFonts w:hint="eastAsia" w:ascii="宋体" w:hAnsi="宋体" w:eastAsia="宋体" w:cs="宋体"/>
          <w:b/>
          <w:bCs/>
          <w:color w:val="000000" w:themeColor="text1"/>
          <w:sz w:val="24"/>
          <w:szCs w:val="24"/>
          <w:highlight w:val="none"/>
          <w:lang w:eastAsia="zh-CN"/>
          <w14:textFill>
            <w14:solidFill>
              <w14:schemeClr w14:val="tx1"/>
            </w14:solidFill>
          </w14:textFill>
        </w:rPr>
        <w:t>1.12 响应和偏差</w:t>
      </w:r>
      <w:bookmarkEnd w:id="108"/>
      <w:bookmarkEnd w:id="109"/>
    </w:p>
    <w:p w14:paraId="495BB6D5">
      <w:pPr>
        <w:kinsoku/>
        <w:spacing w:before="78" w:line="263" w:lineRule="auto"/>
        <w:ind w:left="38" w:right="28" w:firstLine="49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1.12.1 投标文件偏离招标文件某些要求，视为投标文件存在偏差。偏差包括重大偏差和细微偏差。</w:t>
      </w:r>
    </w:p>
    <w:p w14:paraId="42F24443">
      <w:pPr>
        <w:kinsoku/>
        <w:spacing w:before="116" w:line="264" w:lineRule="auto"/>
        <w:ind w:left="40" w:right="29"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1.12.2 投标文件应对招标文件的实质性要求和条件作出满足性或更有利于招标人的响应，否则，视为投标文件存在重大偏差，投标人的投标将被否决。</w:t>
      </w:r>
    </w:p>
    <w:p w14:paraId="6B722AA6">
      <w:pPr>
        <w:kinsoku/>
        <w:spacing w:before="113" w:line="295" w:lineRule="auto"/>
        <w:ind w:left="38" w:right="32" w:firstLine="48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投标文件存在第三章“评标办法”中所列任一否决投标情形的，均属于存在重大偏差。</w:t>
      </w:r>
    </w:p>
    <w:p w14:paraId="1256BA01">
      <w:pPr>
        <w:kinsoku/>
        <w:spacing w:before="34" w:line="220"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1.12.3 投标文件中的下列偏差为细微偏差：</w:t>
      </w:r>
    </w:p>
    <w:p w14:paraId="5FF14003">
      <w:pPr>
        <w:kinsoku/>
        <w:spacing w:before="112" w:line="279" w:lineRule="auto"/>
        <w:ind w:left="40" w:right="30"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（1）在按照第三章“评标办法”的规定对投标价进行算术性错误修正后，最终投标报价未超过最高投标限价（如有）的情况下，出现第三章“评标办法”规定的算术性错误；</w:t>
      </w:r>
    </w:p>
    <w:p w14:paraId="7A0884FC">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（2）技术建议书不够完善；</w:t>
      </w:r>
    </w:p>
    <w:p w14:paraId="6471C523">
      <w:pPr>
        <w:kinsoku/>
        <w:spacing w:before="116" w:line="264" w:lineRule="auto"/>
        <w:ind w:left="39" w:right="33"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（3）投标文件页码不连续、采用活页夹装订、个别文字有遗漏错误等不影响投标文件实质性内容的偏差。</w:t>
      </w:r>
    </w:p>
    <w:p w14:paraId="248458B5">
      <w:pPr>
        <w:kinsoku/>
        <w:spacing w:before="113"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1.12.4 评标委员会对投标文件中的细微偏差按如下规定处理：</w:t>
      </w:r>
    </w:p>
    <w:p w14:paraId="45DFACB8">
      <w:pPr>
        <w:kinsoku/>
        <w:spacing w:before="116" w:line="264" w:lineRule="auto"/>
        <w:ind w:left="39" w:right="33"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（1）对于本章第1.12.3项（1）目所述的细微偏差，按照第三章“评标办法”的规定予以修正并要求投标人进行澄清；</w:t>
      </w:r>
    </w:p>
    <w:p w14:paraId="56F0907A">
      <w:pPr>
        <w:kinsoku/>
        <w:spacing w:before="116" w:line="264" w:lineRule="auto"/>
        <w:ind w:left="37" w:right="29"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（2）对于本章第1.12.3项（2）、（3）目所述的细微偏差，可在相关评分因素的评分中酌情扣分。</w:t>
      </w:r>
    </w:p>
    <w:p w14:paraId="01C161A0">
      <w:pPr>
        <w:kinsoku/>
        <w:spacing w:before="112" w:line="265" w:lineRule="auto"/>
        <w:ind w:left="50" w:right="29"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1.12.5 投标人应根据招标文件的要求提供技术建议书等内容以对招标文件作出响应。</w:t>
      </w:r>
    </w:p>
    <w:p w14:paraId="378CE9E1">
      <w:pPr>
        <w:kinsoku/>
        <w:spacing w:before="91" w:line="219" w:lineRule="auto"/>
        <w:ind w:left="37"/>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110" w:name="bookmark83"/>
      <w:bookmarkEnd w:id="110"/>
      <w:bookmarkStart w:id="111" w:name="bookmark85"/>
      <w:bookmarkEnd w:id="111"/>
      <w:bookmarkStart w:id="112" w:name="bookmark82"/>
      <w:bookmarkEnd w:id="112"/>
      <w:bookmarkStart w:id="113" w:name="_Toc16189"/>
      <w:bookmarkStart w:id="114" w:name="_Toc29586"/>
      <w:r>
        <w:rPr>
          <w:rFonts w:hint="eastAsia" w:ascii="宋体" w:hAnsi="宋体" w:eastAsia="宋体" w:cs="宋体"/>
          <w:b/>
          <w:bCs/>
          <w:color w:val="000000" w:themeColor="text1"/>
          <w:sz w:val="28"/>
          <w:szCs w:val="28"/>
          <w:highlight w:val="none"/>
          <w:lang w:eastAsia="zh-CN"/>
          <w14:textFill>
            <w14:solidFill>
              <w14:schemeClr w14:val="tx1"/>
            </w14:solidFill>
          </w14:textFill>
        </w:rPr>
        <w:t>2. 招标文件</w:t>
      </w:r>
      <w:bookmarkEnd w:id="113"/>
      <w:bookmarkEnd w:id="114"/>
    </w:p>
    <w:p w14:paraId="38DE2D1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15" w:name="bookmark84"/>
      <w:bookmarkEnd w:id="115"/>
      <w:bookmarkStart w:id="116" w:name="_Toc29548"/>
      <w:bookmarkStart w:id="117" w:name="_Toc24354"/>
      <w:r>
        <w:rPr>
          <w:rFonts w:hint="eastAsia" w:ascii="宋体" w:hAnsi="宋体" w:eastAsia="宋体" w:cs="宋体"/>
          <w:b/>
          <w:bCs/>
          <w:color w:val="000000" w:themeColor="text1"/>
          <w:sz w:val="24"/>
          <w:szCs w:val="24"/>
          <w:highlight w:val="none"/>
          <w:lang w:eastAsia="zh-CN"/>
          <w14:textFill>
            <w14:solidFill>
              <w14:schemeClr w14:val="tx1"/>
            </w14:solidFill>
          </w14:textFill>
        </w:rPr>
        <w:t>2.1 招标文件的组成</w:t>
      </w:r>
      <w:bookmarkEnd w:id="116"/>
      <w:bookmarkEnd w:id="117"/>
    </w:p>
    <w:p w14:paraId="5B67E912">
      <w:pPr>
        <w:kinsoku/>
        <w:spacing w:before="78" w:line="219"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本招标文件包括：</w:t>
      </w:r>
    </w:p>
    <w:p w14:paraId="13DE1E97">
      <w:pPr>
        <w:kinsoku/>
        <w:spacing w:before="114"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（1）招标公告（或投标邀请书）；</w:t>
      </w:r>
    </w:p>
    <w:p w14:paraId="3BCC0D6D">
      <w:pPr>
        <w:kinsoku/>
        <w:spacing w:before="117"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（2）投标人须知；</w:t>
      </w:r>
    </w:p>
    <w:p w14:paraId="7EBEB862">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（3）评标办法；</w:t>
      </w:r>
    </w:p>
    <w:p w14:paraId="63E2454D">
      <w:pPr>
        <w:kinsoku/>
        <w:spacing w:before="112"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（4）合同条款及格式；</w:t>
      </w:r>
    </w:p>
    <w:p w14:paraId="1EDCC3BD">
      <w:pPr>
        <w:kinsoku/>
        <w:spacing w:before="116"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（5）发包人要求；</w:t>
      </w:r>
    </w:p>
    <w:p w14:paraId="61B7F4B6">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（6）投标文件格式；</w:t>
      </w:r>
    </w:p>
    <w:p w14:paraId="4E813455">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（7）投标人须知前附表规定的其他资料。</w:t>
      </w:r>
    </w:p>
    <w:p w14:paraId="0BC61E2E">
      <w:pPr>
        <w:kinsoku/>
        <w:spacing w:before="116" w:line="295" w:lineRule="auto"/>
        <w:ind w:left="39" w:right="27"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根据本章第1.10款、第2.2款和第2.3款对招标文件所作的澄清、修改，构成招标文件的组成部分。</w:t>
      </w:r>
    </w:p>
    <w:p w14:paraId="518CCC79">
      <w:pPr>
        <w:kinsoku/>
        <w:spacing w:before="32" w:line="295" w:lineRule="auto"/>
        <w:ind w:left="58" w:right="30"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当招标文件、招标文件的澄清或修改等在同一内容的表述上不一致时，以最后发</w:t>
      </w:r>
      <w:bookmarkStart w:id="118" w:name="bookmark87"/>
      <w:bookmarkEnd w:id="118"/>
      <w:r>
        <w:rPr>
          <w:rFonts w:hint="eastAsia" w:ascii="宋体" w:hAnsi="宋体" w:eastAsia="宋体" w:cs="宋体"/>
          <w:color w:val="000000" w:themeColor="text1"/>
          <w:sz w:val="24"/>
          <w:szCs w:val="24"/>
          <w:highlight w:val="none"/>
          <w:lang w:eastAsia="zh-CN"/>
          <w14:textFill>
            <w14:solidFill>
              <w14:schemeClr w14:val="tx1"/>
            </w14:solidFill>
          </w14:textFill>
        </w:rPr>
        <w:t>出的书面文件为准。</w:t>
      </w:r>
    </w:p>
    <w:p w14:paraId="4BF5917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19" w:name="bookmark86"/>
      <w:bookmarkEnd w:id="119"/>
      <w:bookmarkStart w:id="120" w:name="_Toc27060"/>
      <w:bookmarkStart w:id="121" w:name="_Toc29497"/>
      <w:r>
        <w:rPr>
          <w:rFonts w:hint="eastAsia" w:ascii="宋体" w:hAnsi="宋体" w:eastAsia="宋体" w:cs="宋体"/>
          <w:b/>
          <w:bCs/>
          <w:color w:val="000000" w:themeColor="text1"/>
          <w:sz w:val="24"/>
          <w:szCs w:val="24"/>
          <w:highlight w:val="none"/>
          <w:lang w:eastAsia="zh-CN"/>
          <w14:textFill>
            <w14:solidFill>
              <w14:schemeClr w14:val="tx1"/>
            </w14:solidFill>
          </w14:textFill>
        </w:rPr>
        <w:t>2.2 招标文件的澄清</w:t>
      </w:r>
      <w:bookmarkEnd w:id="120"/>
      <w:bookmarkEnd w:id="121"/>
    </w:p>
    <w:p w14:paraId="68A25E5A">
      <w:pPr>
        <w:kinsoku/>
        <w:spacing w:before="79" w:line="279" w:lineRule="auto"/>
        <w:ind w:left="38" w:right="29"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5F4748F6">
      <w:pPr>
        <w:kinsoku/>
        <w:spacing w:before="112" w:line="279" w:lineRule="auto"/>
        <w:ind w:left="39" w:right="29"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2.2.2 招标文件的澄清以投标人须知前附表规定的形式发给所有购买招标文件的投标人，但不指明澄清问题的来源。澄清发出的时间距本章第4.2.1项规定的投标截止时间不足15日，且澄清内容可能影响投标文件编制的，将相应延长投标截止时间。</w:t>
      </w:r>
    </w:p>
    <w:p w14:paraId="1858E7FA">
      <w:pPr>
        <w:kinsoku/>
        <w:spacing w:before="113" w:line="264" w:lineRule="auto"/>
        <w:ind w:left="40" w:right="34"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2.2.3 投标人在收到澄清后，应按投标人须知前附表规定的时间和形式通知招标人，确认已收到该澄清。</w:t>
      </w:r>
    </w:p>
    <w:p w14:paraId="3F580DBF">
      <w:pPr>
        <w:kinsoku/>
        <w:spacing w:before="115" w:line="263" w:lineRule="auto"/>
        <w:ind w:left="38" w:right="31"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2.2.4 除非招标人认为确有必要答复，否则，招标人有权拒绝回复投标人在本章第2.2.1项规定的时间后提出的任何澄清要求。</w:t>
      </w:r>
      <w:bookmarkStart w:id="122" w:name="bookmark88"/>
      <w:bookmarkEnd w:id="122"/>
      <w:bookmarkStart w:id="123" w:name="bookmark89"/>
      <w:bookmarkEnd w:id="123"/>
    </w:p>
    <w:p w14:paraId="350DFF98">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24" w:name="_Toc4680"/>
      <w:bookmarkStart w:id="125" w:name="_Toc9551"/>
      <w:r>
        <w:rPr>
          <w:rFonts w:hint="eastAsia" w:ascii="宋体" w:hAnsi="宋体" w:eastAsia="宋体" w:cs="宋体"/>
          <w:b/>
          <w:bCs/>
          <w:color w:val="000000" w:themeColor="text1"/>
          <w:sz w:val="24"/>
          <w:szCs w:val="24"/>
          <w:highlight w:val="none"/>
          <w:lang w:eastAsia="zh-CN"/>
          <w14:textFill>
            <w14:solidFill>
              <w14:schemeClr w14:val="tx1"/>
            </w14:solidFill>
          </w14:textFill>
        </w:rPr>
        <w:t>2.3 招标文件的修改</w:t>
      </w:r>
      <w:bookmarkEnd w:id="124"/>
      <w:bookmarkEnd w:id="125"/>
    </w:p>
    <w:p w14:paraId="3C95B474">
      <w:pPr>
        <w:kinsoku/>
        <w:spacing w:before="78" w:line="279" w:lineRule="auto"/>
        <w:ind w:left="39" w:right="67"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2.3.1 招标人以投标人须知前附表规定的形式修改招标文件，并通知所有已购买招标文件的投标人。修改招标文件的时间距本章第4.2.1项规定的投标截止时间不足15日，且修改内容可能影响投标文件编制的，将相应延长投标截止时间。</w:t>
      </w:r>
    </w:p>
    <w:p w14:paraId="37104471">
      <w:pPr>
        <w:kinsoku/>
        <w:spacing w:before="112" w:line="264" w:lineRule="auto"/>
        <w:ind w:left="39" w:right="71"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2.3.2 投标人收到修改内容后，应按投标人须知前附表规定的时间和形式通知招</w:t>
      </w:r>
      <w:bookmarkStart w:id="126" w:name="bookmark91"/>
      <w:bookmarkEnd w:id="126"/>
      <w:r>
        <w:rPr>
          <w:rFonts w:hint="eastAsia" w:ascii="宋体" w:hAnsi="宋体" w:eastAsia="宋体" w:cs="宋体"/>
          <w:color w:val="000000" w:themeColor="text1"/>
          <w:sz w:val="24"/>
          <w:szCs w:val="24"/>
          <w:highlight w:val="none"/>
          <w:lang w:eastAsia="zh-CN"/>
          <w14:textFill>
            <w14:solidFill>
              <w14:schemeClr w14:val="tx1"/>
            </w14:solidFill>
          </w14:textFill>
        </w:rPr>
        <w:t>标人，确认已收到该修改。</w:t>
      </w:r>
    </w:p>
    <w:p w14:paraId="32D4E490">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27" w:name="bookmark90"/>
      <w:bookmarkEnd w:id="127"/>
      <w:bookmarkStart w:id="128" w:name="_Toc28533"/>
      <w:bookmarkStart w:id="129" w:name="_Toc9963"/>
      <w:r>
        <w:rPr>
          <w:rFonts w:hint="eastAsia" w:ascii="宋体" w:hAnsi="宋体" w:eastAsia="宋体" w:cs="宋体"/>
          <w:b/>
          <w:bCs/>
          <w:color w:val="000000" w:themeColor="text1"/>
          <w:sz w:val="24"/>
          <w:szCs w:val="24"/>
          <w:highlight w:val="none"/>
          <w:lang w:eastAsia="zh-CN"/>
          <w14:textFill>
            <w14:solidFill>
              <w14:schemeClr w14:val="tx1"/>
            </w14:solidFill>
          </w14:textFill>
        </w:rPr>
        <w:t>2.4 招标文件的异议</w:t>
      </w:r>
      <w:bookmarkEnd w:id="128"/>
      <w:bookmarkEnd w:id="129"/>
    </w:p>
    <w:p w14:paraId="1B7749F9">
      <w:pPr>
        <w:kinsoku/>
        <w:spacing w:before="78" w:line="300" w:lineRule="auto"/>
        <w:ind w:left="39" w:right="66" w:firstLine="48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投标人或其他利害关系人对招标文件有异议的，应在投标截止时间10日前以书面形式提出。招标人将在收到异议之日起3日内作出答复；作出答复前，将暂停招标投标活动。</w:t>
      </w:r>
    </w:p>
    <w:p w14:paraId="0D4DD86F">
      <w:pPr>
        <w:kinsoku/>
        <w:spacing w:before="308" w:line="219" w:lineRule="auto"/>
        <w:ind w:left="39"/>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130" w:name="bookmark95"/>
      <w:bookmarkEnd w:id="130"/>
      <w:bookmarkStart w:id="131" w:name="bookmark92"/>
      <w:bookmarkEnd w:id="131"/>
      <w:bookmarkStart w:id="132" w:name="bookmark93"/>
      <w:bookmarkEnd w:id="132"/>
      <w:bookmarkStart w:id="133" w:name="_Toc10144"/>
      <w:bookmarkStart w:id="134" w:name="_Toc29106"/>
      <w:r>
        <w:rPr>
          <w:rFonts w:hint="eastAsia" w:ascii="宋体" w:hAnsi="宋体" w:eastAsia="宋体" w:cs="宋体"/>
          <w:b/>
          <w:bCs/>
          <w:color w:val="000000" w:themeColor="text1"/>
          <w:sz w:val="28"/>
          <w:szCs w:val="28"/>
          <w:highlight w:val="none"/>
          <w:lang w:eastAsia="zh-CN"/>
          <w14:textFill>
            <w14:solidFill>
              <w14:schemeClr w14:val="tx1"/>
            </w14:solidFill>
          </w14:textFill>
        </w:rPr>
        <w:t>3. 投标文件</w:t>
      </w:r>
      <w:bookmarkEnd w:id="133"/>
      <w:bookmarkEnd w:id="134"/>
    </w:p>
    <w:p w14:paraId="283A7DE5">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35" w:name="bookmark94"/>
      <w:bookmarkEnd w:id="135"/>
      <w:bookmarkStart w:id="136" w:name="_Toc7416"/>
      <w:bookmarkStart w:id="137" w:name="_Toc21179"/>
      <w:r>
        <w:rPr>
          <w:rFonts w:hint="eastAsia" w:ascii="宋体" w:hAnsi="宋体" w:eastAsia="宋体" w:cs="宋体"/>
          <w:b/>
          <w:bCs/>
          <w:color w:val="000000" w:themeColor="text1"/>
          <w:sz w:val="24"/>
          <w:szCs w:val="24"/>
          <w:highlight w:val="none"/>
          <w:lang w:eastAsia="zh-CN"/>
          <w14:textFill>
            <w14:solidFill>
              <w14:schemeClr w14:val="tx1"/>
            </w14:solidFill>
          </w14:textFill>
        </w:rPr>
        <w:t>3.1 投标文件的组成</w:t>
      </w:r>
      <w:bookmarkEnd w:id="136"/>
      <w:bookmarkEnd w:id="137"/>
    </w:p>
    <w:p w14:paraId="42C82DC0">
      <w:pPr>
        <w:kinsoku/>
        <w:spacing w:before="78" w:line="300" w:lineRule="auto"/>
        <w:ind w:left="39" w:right="66" w:firstLine="48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3.1.1 投标文件应采用双信封形式，包括下列内容：第一个信封（商务及技术文件）：</w:t>
      </w:r>
    </w:p>
    <w:p w14:paraId="35575BBE">
      <w:pPr>
        <w:kinsoku/>
        <w:spacing w:before="116"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（1）投标函；</w:t>
      </w:r>
    </w:p>
    <w:p w14:paraId="74E61D14">
      <w:pPr>
        <w:kinsoku/>
        <w:spacing w:before="111"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（2）授权委托书或法定代表人身份证明；</w:t>
      </w:r>
    </w:p>
    <w:p w14:paraId="70DBAB97">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（3）联合体协议书；</w:t>
      </w:r>
    </w:p>
    <w:p w14:paraId="0764B012">
      <w:pPr>
        <w:kinsoku/>
        <w:spacing w:before="117"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（4）投标保证金；</w:t>
      </w:r>
    </w:p>
    <w:p w14:paraId="31B741B5">
      <w:pPr>
        <w:kinsoku/>
        <w:spacing w:before="112"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（5）拟分包项目情况表；</w:t>
      </w:r>
    </w:p>
    <w:p w14:paraId="29F393B7">
      <w:pPr>
        <w:kinsoku/>
        <w:spacing w:before="116"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（6）资格审查资料；</w:t>
      </w:r>
    </w:p>
    <w:p w14:paraId="1B316B5C">
      <w:pPr>
        <w:kinsoku/>
        <w:spacing w:before="115"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（7）技术建议书；</w:t>
      </w:r>
    </w:p>
    <w:p w14:paraId="2076DD53">
      <w:pPr>
        <w:kinsoku/>
        <w:spacing w:before="115" w:line="263" w:lineRule="auto"/>
        <w:ind w:left="518" w:right="449" w:firstLine="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（8）投标人须知前附表规定的其他资料。</w:t>
      </w:r>
    </w:p>
    <w:p w14:paraId="7D4951C4">
      <w:pPr>
        <w:kinsoku/>
        <w:spacing w:before="115" w:line="263" w:lineRule="auto"/>
        <w:ind w:left="518" w:right="449" w:firstLine="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第二个信封（报价文件）：</w:t>
      </w:r>
    </w:p>
    <w:p w14:paraId="48682B77">
      <w:pPr>
        <w:kinsoku/>
        <w:spacing w:before="118"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（1）投标函；</w:t>
      </w:r>
    </w:p>
    <w:p w14:paraId="61EB751A">
      <w:pPr>
        <w:kinsoku/>
        <w:spacing w:before="111"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（2）设计费用清单。</w:t>
      </w:r>
    </w:p>
    <w:p w14:paraId="3CE21E21">
      <w:pPr>
        <w:kinsoku/>
        <w:spacing w:before="115" w:line="295" w:lineRule="auto"/>
        <w:ind w:left="40" w:right="68"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投标人在评标过程中作出的符合法律法规和招标文件规定的澄清确认，构成投标文件的组成部分。</w:t>
      </w:r>
    </w:p>
    <w:p w14:paraId="4E27D14E">
      <w:pPr>
        <w:kinsoku/>
        <w:spacing w:before="32" w:line="264" w:lineRule="auto"/>
        <w:ind w:left="41"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3.1.2 投标人须知前附表规定不接受联合体投标的，或投标人没有组成联合体的，投标文件不包括本章第3.1.1（3）目所指的联合体协议书。</w:t>
      </w:r>
    </w:p>
    <w:p w14:paraId="2CD35361">
      <w:pPr>
        <w:kinsoku/>
        <w:spacing w:before="116" w:line="219"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3.1.3 投标人须知前附表未要求提交投标保证金的，投标文件不包括本章第3.1.1</w:t>
      </w:r>
      <w:bookmarkStart w:id="138" w:name="bookmark97"/>
      <w:bookmarkEnd w:id="138"/>
      <w:r>
        <w:rPr>
          <w:rFonts w:hint="eastAsia" w:ascii="宋体" w:hAnsi="宋体" w:eastAsia="宋体" w:cs="宋体"/>
          <w:color w:val="000000" w:themeColor="text1"/>
          <w:sz w:val="24"/>
          <w:szCs w:val="24"/>
          <w:highlight w:val="none"/>
          <w:lang w:eastAsia="zh-CN"/>
          <w14:textFill>
            <w14:solidFill>
              <w14:schemeClr w14:val="tx1"/>
            </w14:solidFill>
          </w14:textFill>
        </w:rPr>
        <w:t>（4）目所指的投标保证金。</w:t>
      </w:r>
    </w:p>
    <w:p w14:paraId="68315F9D">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39" w:name="bookmark96"/>
      <w:bookmarkEnd w:id="139"/>
      <w:bookmarkStart w:id="140" w:name="_Toc20099"/>
      <w:bookmarkStart w:id="141" w:name="_Toc18689"/>
      <w:r>
        <w:rPr>
          <w:rFonts w:hint="eastAsia" w:ascii="宋体" w:hAnsi="宋体" w:eastAsia="宋体" w:cs="宋体"/>
          <w:b/>
          <w:bCs/>
          <w:color w:val="000000" w:themeColor="text1"/>
          <w:sz w:val="24"/>
          <w:szCs w:val="24"/>
          <w:highlight w:val="none"/>
          <w:lang w:eastAsia="zh-CN"/>
          <w14:textFill>
            <w14:solidFill>
              <w14:schemeClr w14:val="tx1"/>
            </w14:solidFill>
          </w14:textFill>
        </w:rPr>
        <w:t>3.2 投标报价</w:t>
      </w:r>
      <w:bookmarkEnd w:id="140"/>
      <w:bookmarkEnd w:id="141"/>
    </w:p>
    <w:p w14:paraId="22036248">
      <w:pPr>
        <w:kinsoku/>
        <w:spacing w:before="78" w:line="278" w:lineRule="auto"/>
        <w:ind w:left="39" w:right="14"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3.2.1 投标报价应包括国家规定的增值税税金，除投标人须知前附表另有规定外，增值税税金按一般计税方法计算。投标人应按第六章“投标文件格式”的要求在投标函中进行报价并填写设计费用清单相应表格。</w:t>
      </w:r>
    </w:p>
    <w:p w14:paraId="0546566C">
      <w:pPr>
        <w:kinsoku/>
        <w:spacing w:before="117" w:line="264" w:lineRule="auto"/>
        <w:ind w:left="39" w:right="101"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3.2.2 投标人应充分了解本项目的总体情况以及影响投标报价的其他要素，按照招标文件规定的设计工作内容和计划工作量，自行测算设计费用。</w:t>
      </w:r>
    </w:p>
    <w:p w14:paraId="7EE458A5">
      <w:pPr>
        <w:kinsoku/>
        <w:spacing w:before="114" w:line="278" w:lineRule="auto"/>
        <w:ind w:left="3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3.2.3 本项目的报价方式见投标人须知前附表。投标人在投标截止时间前修改投标函中的投标报价总额，应同时修改投标文件“设计费用清单”中的相应报价。此修改须符合本章第4.3款的有关要求。</w:t>
      </w:r>
    </w:p>
    <w:p w14:paraId="36DA9405">
      <w:pPr>
        <w:kinsoku/>
        <w:spacing w:before="115" w:line="263" w:lineRule="auto"/>
        <w:ind w:left="41" w:right="139"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3.2.4 招标人设有最高投标限价的，投标人的投标报价不得超过最高投标限价，最高投标限价在投标人须知前附表中载明。</w:t>
      </w:r>
    </w:p>
    <w:p w14:paraId="325A45C0">
      <w:pPr>
        <w:kinsoku/>
        <w:spacing w:before="117" w:line="218"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3.2.5 投标报价的其他要求见投标人须知前附表。</w:t>
      </w:r>
    </w:p>
    <w:p w14:paraId="300AE036">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42" w:name="bookmark99"/>
      <w:bookmarkEnd w:id="142"/>
      <w:bookmarkStart w:id="143" w:name="bookmark98"/>
      <w:bookmarkEnd w:id="143"/>
      <w:bookmarkStart w:id="144" w:name="_Toc2374"/>
      <w:bookmarkStart w:id="145" w:name="_Toc15379"/>
      <w:r>
        <w:rPr>
          <w:rFonts w:hint="eastAsia" w:ascii="宋体" w:hAnsi="宋体" w:eastAsia="宋体" w:cs="宋体"/>
          <w:b/>
          <w:bCs/>
          <w:color w:val="000000" w:themeColor="text1"/>
          <w:sz w:val="24"/>
          <w:szCs w:val="24"/>
          <w:highlight w:val="none"/>
          <w:lang w:eastAsia="zh-CN"/>
          <w14:textFill>
            <w14:solidFill>
              <w14:schemeClr w14:val="tx1"/>
            </w14:solidFill>
          </w14:textFill>
        </w:rPr>
        <w:t>3.3 投标有效期</w:t>
      </w:r>
      <w:bookmarkEnd w:id="144"/>
      <w:bookmarkEnd w:id="145"/>
    </w:p>
    <w:p w14:paraId="777843A5">
      <w:pPr>
        <w:kinsoku/>
        <w:spacing w:before="79" w:line="219"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3.3.1 除投标人须知前附表另有规定外，投标有效期为90日。</w:t>
      </w:r>
    </w:p>
    <w:p w14:paraId="00592D88">
      <w:pPr>
        <w:kinsoku/>
        <w:spacing w:before="116" w:line="263" w:lineRule="auto"/>
        <w:ind w:left="46" w:right="83" w:firstLine="47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3.3.2 在投标有效期内，投标人撤销投标文件的，应承担招标文件和法律规定的责任。</w:t>
      </w:r>
    </w:p>
    <w:p w14:paraId="2442C679">
      <w:pPr>
        <w:kinsoku/>
        <w:spacing w:before="117" w:line="290" w:lineRule="auto"/>
        <w:ind w:left="39" w:right="7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w:t>
      </w:r>
      <w:bookmarkStart w:id="146" w:name="bookmark101"/>
      <w:bookmarkEnd w:id="146"/>
      <w:r>
        <w:rPr>
          <w:rFonts w:hint="eastAsia" w:ascii="宋体" w:hAnsi="宋体" w:eastAsia="宋体" w:cs="宋体"/>
          <w:color w:val="000000" w:themeColor="text1"/>
          <w:sz w:val="24"/>
          <w:szCs w:val="24"/>
          <w:highlight w:val="none"/>
          <w:lang w:eastAsia="zh-CN"/>
          <w14:textFill>
            <w14:solidFill>
              <w14:schemeClr w14:val="tx1"/>
            </w14:solidFill>
          </w14:textFill>
        </w:rPr>
        <w:t>期存款利息。</w:t>
      </w:r>
    </w:p>
    <w:p w14:paraId="6378609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47" w:name="bookmark100"/>
      <w:bookmarkEnd w:id="147"/>
      <w:bookmarkStart w:id="148" w:name="_Toc2076"/>
      <w:bookmarkStart w:id="149" w:name="_Toc20873"/>
      <w:r>
        <w:rPr>
          <w:rFonts w:hint="eastAsia" w:ascii="宋体" w:hAnsi="宋体" w:eastAsia="宋体" w:cs="宋体"/>
          <w:b/>
          <w:bCs/>
          <w:color w:val="000000" w:themeColor="text1"/>
          <w:sz w:val="24"/>
          <w:szCs w:val="24"/>
          <w:highlight w:val="none"/>
          <w:lang w:eastAsia="zh-CN"/>
          <w14:textFill>
            <w14:solidFill>
              <w14:schemeClr w14:val="tx1"/>
            </w14:solidFill>
          </w14:textFill>
        </w:rPr>
        <w:t>3.4 投标保证金</w:t>
      </w:r>
      <w:bookmarkEnd w:id="148"/>
      <w:bookmarkEnd w:id="149"/>
    </w:p>
    <w:p w14:paraId="7CD8C803">
      <w:pPr>
        <w:kinsoku/>
        <w:spacing w:before="79" w:line="302" w:lineRule="auto"/>
        <w:ind w:left="41" w:right="79" w:firstLine="477"/>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3.4.1 投标人在递交投标文件的同时，应按投标人须知前附表规定的金额和第六章“投标文件格式”规定的投标保证金格式递交投标保证金，并作为其投标文件的组成部分。联合体投标的，其投标保证金由牵头人递交，并应符合投标人须知前附表的规定。</w:t>
      </w:r>
    </w:p>
    <w:p w14:paraId="75126713">
      <w:pPr>
        <w:kinsoku/>
        <w:spacing w:before="35" w:line="294" w:lineRule="auto"/>
        <w:ind w:left="38" w:right="79" w:firstLine="48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投标保证金应采用现金、支票、银行保函或招标人在投标人须知前附表规定的其他形式。</w:t>
      </w:r>
    </w:p>
    <w:p w14:paraId="57912345">
      <w:pPr>
        <w:kinsoku/>
        <w:spacing w:before="78" w:line="278" w:lineRule="auto"/>
        <w:ind w:left="40" w:right="28"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（1）若采用现金或支票，投标人应在递交投标文件截止时间之前，将投标保证金由投标人的基本账户转入招标人指定账户，否则视为投标保证金无效。招标人指定的开户银行及账号见投标人须知前附表。</w:t>
      </w:r>
    </w:p>
    <w:p w14:paraId="586FE266">
      <w:pPr>
        <w:kinsoku/>
        <w:spacing w:before="116" w:line="278" w:lineRule="auto"/>
        <w:ind w:left="37" w:right="28"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（2）若采用银行保函，则应由符合投标人须知前附表规定级别的银行开具，并采用招标文件提供的格式。银行保函复印件装订在投标文件内，原件应在递交投标文件截止时间之前单独密封递交给招标人。</w:t>
      </w:r>
    </w:p>
    <w:p w14:paraId="7D98D546">
      <w:pPr>
        <w:kinsoku/>
        <w:spacing w:before="115" w:line="300" w:lineRule="auto"/>
        <w:ind w:left="39" w:right="29" w:firstLine="48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无论采取何种形式的投标保证金，投标保证金有效期均应与投标有效期一致。招标人如果按本章第3.3.3项的规定延长了投标有效期，则投标保证金的有效期也相应延长。</w:t>
      </w:r>
    </w:p>
    <w:p w14:paraId="1E1A2E32">
      <w:pPr>
        <w:kinsoku/>
        <w:spacing w:before="31" w:line="263" w:lineRule="auto"/>
        <w:ind w:left="39" w:right="2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3.4.2 投标人不按本章第3.4.1项要求提交投标保证金的，评标委员会将否决其投标。</w:t>
      </w:r>
    </w:p>
    <w:p w14:paraId="6D5D31E6">
      <w:pPr>
        <w:kinsoku/>
        <w:spacing w:before="116" w:line="285" w:lineRule="auto"/>
        <w:ind w:left="38" w:right="29"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3.4.3 招标人最迟将在中标通知书发出后5日内向中标候选人以外的其他投标人退还投标保证金，与中标人签订合同后5日内向中标人和其他中标候选人退还投标保证金。投标保证金以现金或支票形式递交的，招标人应同时退还投标保证金的银行同期活期存款利息，且退还至投标人的基本账户。</w:t>
      </w:r>
    </w:p>
    <w:p w14:paraId="5046A06A">
      <w:pPr>
        <w:kinsoku/>
        <w:spacing w:before="117" w:line="219"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利息计算原则见投标人须知前附表。</w:t>
      </w:r>
    </w:p>
    <w:p w14:paraId="3A76CFF2">
      <w:pPr>
        <w:kinsoku/>
        <w:spacing w:before="113"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3.4.4 有下列情形之一的，投标保证金将不予退还：</w:t>
      </w:r>
    </w:p>
    <w:p w14:paraId="655D68E9">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（1）投标人在投标有效期内撤销投标文件；</w:t>
      </w:r>
    </w:p>
    <w:p w14:paraId="497A2C04">
      <w:pPr>
        <w:kinsoku/>
        <w:spacing w:before="114" w:line="263" w:lineRule="auto"/>
        <w:ind w:left="61" w:right="43" w:firstLine="46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（2）中标人在收到中标通知书后，无正当理由不与招标人订立合同，在签订合同时向招标人提出附加条件，或不按照招标文件要求提交履约保证金；</w:t>
      </w:r>
    </w:p>
    <w:p w14:paraId="1F81C41F">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（3）发生投标人须知前附表规定的其他可以不予退还投标保证金的情形。</w:t>
      </w:r>
    </w:p>
    <w:p w14:paraId="014E5AED">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50" w:name="bookmark103"/>
      <w:bookmarkEnd w:id="150"/>
      <w:bookmarkStart w:id="151" w:name="bookmark102"/>
      <w:bookmarkEnd w:id="151"/>
      <w:bookmarkStart w:id="152" w:name="bookmark104"/>
      <w:bookmarkEnd w:id="152"/>
      <w:bookmarkStart w:id="153" w:name="_Toc6909"/>
      <w:bookmarkStart w:id="154" w:name="_Toc32642"/>
      <w:r>
        <w:rPr>
          <w:rFonts w:hint="eastAsia" w:ascii="宋体" w:hAnsi="宋体" w:eastAsia="宋体" w:cs="宋体"/>
          <w:b/>
          <w:bCs/>
          <w:color w:val="000000" w:themeColor="text1"/>
          <w:sz w:val="24"/>
          <w:szCs w:val="24"/>
          <w:highlight w:val="none"/>
          <w:lang w:eastAsia="zh-CN"/>
          <w14:textFill>
            <w14:solidFill>
              <w14:schemeClr w14:val="tx1"/>
            </w14:solidFill>
          </w14:textFill>
        </w:rPr>
        <w:t>3.5 资格审查资料</w:t>
      </w:r>
      <w:bookmarkEnd w:id="153"/>
      <w:bookmarkEnd w:id="154"/>
    </w:p>
    <w:p w14:paraId="441BF1F6">
      <w:pPr>
        <w:kinsoku/>
        <w:spacing w:before="78" w:line="293" w:lineRule="auto"/>
        <w:ind w:left="60" w:right="204" w:firstLine="47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除投标人须知前附表另有规定外，投标人应按下列规定提供资格审查资料，以证明其满足本章第1.4款规定的资质、业绩、信誉等要求。</w:t>
      </w:r>
    </w:p>
    <w:p w14:paraId="5128CE7A">
      <w:pPr>
        <w:kinsoku/>
        <w:spacing w:before="35" w:line="304" w:lineRule="auto"/>
        <w:ind w:left="37"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3.5.1 “投标人基本情况表”应附企业法人营业执照副本和组织机构代码证副本（按照“三证合一”或“五证合一”登记制度进行登记的，可仅提供营业执照副本，下同）、设计资质证书副本、基本账户开户许可证的复印件，投标人在交通运输部“全国公路建设市场监督管理系统”公路工程设计资质企业名录中的网页截图复印件，以及投标人在国家企业信用信息公示系统中基础信息（体现股东及出资详细信息）的网页截图或由法定的社会验资机构出具的验资报告或注册地工商部门出具的股东出资情况证明复印件。</w:t>
      </w:r>
    </w:p>
    <w:p w14:paraId="112E9BA5">
      <w:pPr>
        <w:kinsoku/>
        <w:spacing w:before="37" w:line="301" w:lineRule="auto"/>
        <w:ind w:left="37" w:right="203"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企业法人营业执照副本和组织机构代码证副本、设计资质证书副本、基本账户开户许可证的复印件应提供全本（证书封面、封底、空白页除外），应包括投标人名称、投标人其他相关信息、颁发机构名称、投标人信息变更情况等关键页在内，并逐页加盖投标人单位章。</w:t>
      </w:r>
    </w:p>
    <w:p w14:paraId="7F588AD5">
      <w:pPr>
        <w:kinsoku/>
        <w:spacing w:before="34" w:line="299" w:lineRule="auto"/>
        <w:ind w:left="38" w:right="205" w:firstLine="48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3.5.2 “近年完成的类似项目”应是已列入交通运输主管部门“全国公路建设市场监督管理系统”并公开的“初步设计已批复或施工图设计已批复”的主包业绩或分包业绩，具体时间要求见投标人须知前附表。</w:t>
      </w:r>
    </w:p>
    <w:p w14:paraId="2C2CDE38">
      <w:pPr>
        <w:kinsoku/>
        <w:spacing w:before="34" w:line="304" w:lineRule="auto"/>
        <w:ind w:left="21" w:right="202" w:firstLine="479"/>
        <w:jc w:val="both"/>
        <w:rPr>
          <w:rFonts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“近年完成的类似项目情况表”应附在交通运输部“</w:t>
      </w:r>
      <w:bookmarkStart w:id="155" w:name="OLE_LINK2"/>
      <w:r>
        <w:rPr>
          <w:rFonts w:hint="eastAsia" w:ascii="宋体" w:hAnsi="宋体" w:eastAsia="宋体" w:cs="宋体"/>
          <w:color w:val="000000" w:themeColor="text1"/>
          <w:sz w:val="24"/>
          <w:szCs w:val="24"/>
          <w:highlight w:val="none"/>
          <w:lang w:eastAsia="zh-CN"/>
          <w14:textFill>
            <w14:solidFill>
              <w14:schemeClr w14:val="tx1"/>
            </w14:solidFill>
          </w14:textFill>
        </w:rPr>
        <w:t>全国公路建设市场监督管理系统</w:t>
      </w:r>
      <w:bookmarkEnd w:id="155"/>
      <w:r>
        <w:rPr>
          <w:rFonts w:hint="eastAsia" w:ascii="宋体" w:hAnsi="宋体" w:eastAsia="宋体" w:cs="宋体"/>
          <w:color w:val="000000" w:themeColor="text1"/>
          <w:sz w:val="24"/>
          <w:szCs w:val="24"/>
          <w:highlight w:val="none"/>
          <w14:textFill>
            <w14:solidFill>
              <w14:schemeClr w14:val="tx1"/>
            </w14:solidFill>
          </w14:textFill>
        </w:rPr>
        <w:t>”（网址：</w:t>
      </w:r>
      <w:r>
        <w:rPr>
          <w:rFonts w:hint="eastAsia" w:ascii="宋体" w:hAnsi="宋体" w:eastAsia="宋体" w:cs="宋体"/>
          <w:color w:val="000000" w:themeColor="text1"/>
          <w:sz w:val="24"/>
          <w:szCs w:val="24"/>
          <w:highlight w:val="none"/>
          <w:lang w:eastAsia="zh-CN"/>
          <w14:textFill>
            <w14:solidFill>
              <w14:schemeClr w14:val="tx1"/>
            </w14:solidFill>
          </w14:textFill>
        </w:rPr>
        <w:t>https://hwdms.mot.gov.cn/BMWebSite/</w:t>
      </w:r>
      <w:r>
        <w:rPr>
          <w:rFonts w:hint="eastAsia" w:ascii="宋体" w:hAnsi="宋体" w:eastAsia="宋体" w:cs="宋体"/>
          <w:color w:val="000000" w:themeColor="text1"/>
          <w:sz w:val="24"/>
          <w:szCs w:val="24"/>
          <w:highlight w:val="none"/>
          <w14:textFill>
            <w14:solidFill>
              <w14:schemeClr w14:val="tx1"/>
            </w14:solidFill>
          </w14:textFill>
        </w:rPr>
        <w:t>）中查询到的企业“业绩信息”相关项目网页截图复印件，即包括“工程名称”“项目类型”“合同价”“技术等级”“主要设计内容”“人员履约信息”等栏目在内的项目详细信息网页截图复印件。</w:t>
      </w:r>
      <w:r>
        <w:rPr>
          <w:rFonts w:hint="eastAsia" w:ascii="宋体" w:hAnsi="宋体" w:eastAsia="宋体" w:cs="宋体"/>
          <w:color w:val="000000" w:themeColor="text1"/>
          <w:sz w:val="24"/>
          <w:szCs w:val="24"/>
          <w:highlight w:val="none"/>
          <w:lang w:eastAsia="zh-CN"/>
          <w14:textFill>
            <w14:solidFill>
              <w14:schemeClr w14:val="tx1"/>
            </w14:solidFill>
          </w14:textFill>
        </w:rPr>
        <w:t>在交通运输部“全国公路建设市场监督管理系统”中无法查询，但可在省级交通运输主管部门“公路建设市场监督管理系统”中查询的，应附省级交通运输主管部门“公路建设市场监督管理系统”中查询到的网页截图复印件并注明查询路径。</w:t>
      </w:r>
      <w:r>
        <w:rPr>
          <w:rStyle w:val="21"/>
          <w:rFonts w:hint="eastAsia" w:ascii="宋体" w:hAnsi="宋体" w:cs="宋体"/>
          <w:color w:val="000000" w:themeColor="text1"/>
          <w:sz w:val="24"/>
          <w:szCs w:val="24"/>
          <w:highlight w:val="none"/>
          <w:u w:val="none"/>
          <w14:textFill>
            <w14:solidFill>
              <w14:schemeClr w14:val="tx1"/>
            </w14:solidFill>
          </w14:textFill>
        </w:rPr>
        <w:t>投标人提供的业绩无法提供“</w:t>
      </w:r>
      <w:r>
        <w:rPr>
          <w:rStyle w:val="21"/>
          <w:rFonts w:hint="eastAsia" w:ascii="宋体" w:hAnsi="宋体" w:cs="宋体"/>
          <w:color w:val="000000" w:themeColor="text1"/>
          <w:sz w:val="24"/>
          <w:szCs w:val="24"/>
          <w:highlight w:val="none"/>
          <w:u w:val="none"/>
          <w:lang w:eastAsia="zh-CN"/>
          <w14:textFill>
            <w14:solidFill>
              <w14:schemeClr w14:val="tx1"/>
            </w14:solidFill>
          </w14:textFill>
        </w:rPr>
        <w:t>公路建设市场监督管理系统</w:t>
      </w:r>
      <w:r>
        <w:rPr>
          <w:rStyle w:val="21"/>
          <w:rFonts w:hint="eastAsia" w:ascii="宋体" w:hAnsi="宋体" w:cs="宋体"/>
          <w:color w:val="000000" w:themeColor="text1"/>
          <w:sz w:val="24"/>
          <w:szCs w:val="24"/>
          <w:highlight w:val="none"/>
          <w:u w:val="none"/>
          <w14:textFill>
            <w14:solidFill>
              <w14:schemeClr w14:val="tx1"/>
            </w14:solidFill>
          </w14:textFill>
        </w:rPr>
        <w:t>”所填的业绩信息截图，则业绩信息以投标人提供的真实有效的业绩相关证明材料为准（中标通知书（中选通知书）或合同</w:t>
      </w:r>
      <w:r>
        <w:rPr>
          <w:rStyle w:val="21"/>
          <w:rFonts w:hint="eastAsia" w:ascii="宋体" w:hAnsi="宋体" w:eastAsia="宋体" w:cs="宋体"/>
          <w:color w:val="000000" w:themeColor="text1"/>
          <w:sz w:val="24"/>
          <w:szCs w:val="24"/>
          <w:highlight w:val="none"/>
          <w:u w:val="none"/>
          <w:lang w:val="en-US" w:eastAsia="zh-CN"/>
          <w14:textFill>
            <w14:solidFill>
              <w14:schemeClr w14:val="tx1"/>
            </w14:solidFill>
          </w14:textFill>
        </w:rPr>
        <w:t>扫描</w:t>
      </w:r>
      <w:r>
        <w:rPr>
          <w:rStyle w:val="21"/>
          <w:rFonts w:hint="eastAsia" w:ascii="宋体" w:hAnsi="宋体" w:cs="宋体"/>
          <w:color w:val="000000" w:themeColor="text1"/>
          <w:sz w:val="24"/>
          <w:szCs w:val="24"/>
          <w:highlight w:val="none"/>
          <w:u w:val="none"/>
          <w14:textFill>
            <w14:solidFill>
              <w14:schemeClr w14:val="tx1"/>
            </w14:solidFill>
          </w14:textFill>
        </w:rPr>
        <w:t>件）。</w:t>
      </w:r>
    </w:p>
    <w:p w14:paraId="707B051B">
      <w:pPr>
        <w:kinsoku/>
        <w:spacing w:before="78" w:line="290"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3.5.3 “投标人的信誉情况表”应附投标人在国家企业信用信息公示系统中未被 列入严重违法失信企业名单、在“信用中国”网站中未被列入失信被执行人名单的网页截图复印件，以及由项目所在地或投标人住所地检察机关职务犯罪预防部门出具的近三年内投标人及其法定代表人、拟委任的项目负责人均无行贿犯罪行为的查询记录证明原件。</w:t>
      </w:r>
    </w:p>
    <w:p w14:paraId="41B975D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3.5.4 “拟委任的项目负责人资历表”应附项目负责人的身份证、职称资格证书和资格审查条件所要求的其他相关证书的复印件，以及投标人所属社保机构出具的拟委任的项目负责人的社保缴费证明或其他能够证明拟委任的项目负责人参加社保的有效证明材料复印件。</w:t>
      </w:r>
    </w:p>
    <w:p w14:paraId="1D8B4B0F">
      <w:pPr>
        <w:kinsoku/>
        <w:spacing w:before="118" w:line="304" w:lineRule="auto"/>
        <w:ind w:left="37" w:right="199" w:firstLine="464"/>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拟委任的项目负责人资历表”还应附交通运输部“全国公路建设市场监督管理系统”中载明的、能够证明项目负责人具有相关业绩的网页截图复印件。在交通运输部“全国公路建设市场监督管理系统”中无法查询，但可在省级交通运输主管部门“全国公路建设市场监督管理系统”中查询的，应附省级交通运输主管部门“全国公路建设市场监督管理系统”中查询到的网页截图复印件并注明查询路径。除网页截图复印件外，投标人无须再提供任何业绩证明材料。如投标人未提供相关业绩网页截图复印件或相关业绩网页截图中的信息无法证实投标人满足招标文件规定的资格审查条件（项目负责人最低要求），则该业绩不予认定。</w:t>
      </w:r>
    </w:p>
    <w:p w14:paraId="17AAD987">
      <w:pPr>
        <w:kinsoku/>
        <w:spacing w:before="118" w:line="304" w:lineRule="auto"/>
        <w:ind w:left="37" w:right="199" w:firstLine="464"/>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3.5.5 “拟委任的分项负责人汇总表”（如有）应填报满足投标人须知前附表附录5规定的各专业分项负责人的相关信息。“拟委任的分项负责人资历表”（如有）中分项负责人应附身份证、职称资格证书和资格审查条件所要求的其他相关证书的复印件，相关业绩证明材料复印件，以及投标人所属社保机构出具的社保缴费证明或其他能够证明其参加社保的有效证明材料复印件。</w:t>
      </w:r>
    </w:p>
    <w:p w14:paraId="0F19BFF2">
      <w:pPr>
        <w:kinsoku/>
        <w:spacing w:before="114" w:line="264" w:lineRule="auto"/>
        <w:ind w:left="43" w:right="204"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3.5.6 投标人须知前附表规定接受联合体投标的，本章第3.5.1项至第3.5.5项规定的表格和资料应包括联合体各方相关情况。</w:t>
      </w:r>
    </w:p>
    <w:p w14:paraId="2DC9449A">
      <w:pPr>
        <w:kinsoku/>
        <w:spacing w:before="116" w:line="263" w:lineRule="auto"/>
        <w:ind w:left="46" w:right="209" w:firstLine="47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3.5.7 除合同条款约定的特殊情形外，投标人在投标文件中填报的项目负责人不允许更换。</w:t>
      </w:r>
    </w:p>
    <w:p w14:paraId="06B98082">
      <w:pPr>
        <w:kinsoku/>
        <w:spacing w:before="115" w:line="264" w:lineRule="auto"/>
        <w:ind w:left="38" w:right="206"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3.5.8 投标人在投标文件中填报的资质、业绩、主要人员资历和目前在岗情况、信用等级等信息，应与其在交通运输主管部门“全国公路建设市场监督管理系统”上填报并发布的相关信息一致。投标人应根据本单位实际情况及时完成相关信息的申报、录入和动态更新，并对相关信息的真实性、完整性和准确性负责。</w:t>
      </w:r>
    </w:p>
    <w:p w14:paraId="0989D3E1">
      <w:pPr>
        <w:kinsoku/>
        <w:spacing w:before="33" w:line="301" w:lineRule="auto"/>
        <w:ind w:left="39" w:right="204"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3.5.9 招标人有权核查投标人在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合同价款或履约保证金中扣除不超过5％签约合同价的金额作为违约金。同时招标人将投标人上述弄虚作假行为上报省级交通运输主管部门，作</w:t>
      </w:r>
      <w:bookmarkStart w:id="156" w:name="bookmark107"/>
      <w:bookmarkEnd w:id="156"/>
      <w:r>
        <w:rPr>
          <w:rFonts w:hint="eastAsia" w:ascii="宋体" w:hAnsi="宋体" w:eastAsia="宋体" w:cs="宋体"/>
          <w:color w:val="000000" w:themeColor="text1"/>
          <w:sz w:val="24"/>
          <w:szCs w:val="24"/>
          <w:highlight w:val="none"/>
          <w:lang w:eastAsia="zh-CN"/>
          <w14:textFill>
            <w14:solidFill>
              <w14:schemeClr w14:val="tx1"/>
            </w14:solidFill>
          </w14:textFill>
        </w:rPr>
        <w:t>为不良记录纳入全国公路建设市场监督管理系统。</w:t>
      </w:r>
    </w:p>
    <w:p w14:paraId="6C83038D">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57" w:name="bookmark106"/>
      <w:bookmarkEnd w:id="157"/>
      <w:bookmarkStart w:id="158" w:name="_Toc24470"/>
      <w:bookmarkStart w:id="159" w:name="_Toc31167"/>
      <w:r>
        <w:rPr>
          <w:rFonts w:hint="eastAsia" w:ascii="宋体" w:hAnsi="宋体" w:eastAsia="宋体" w:cs="宋体"/>
          <w:b/>
          <w:bCs/>
          <w:color w:val="000000" w:themeColor="text1"/>
          <w:sz w:val="24"/>
          <w:szCs w:val="24"/>
          <w:highlight w:val="none"/>
          <w:lang w:eastAsia="zh-CN"/>
          <w14:textFill>
            <w14:solidFill>
              <w14:schemeClr w14:val="tx1"/>
            </w14:solidFill>
          </w14:textFill>
        </w:rPr>
        <w:t>3.6 备选投标方案</w:t>
      </w:r>
      <w:bookmarkEnd w:id="158"/>
      <w:bookmarkEnd w:id="159"/>
    </w:p>
    <w:p w14:paraId="29254E2C">
      <w:pPr>
        <w:kinsoku/>
        <w:spacing w:before="78" w:line="263" w:lineRule="auto"/>
        <w:ind w:left="41" w:right="79"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3.6.1 除投标人须知前附表规定允许外，投标人不得递交备选投标方案，否则其投标将被否决。</w:t>
      </w:r>
    </w:p>
    <w:p w14:paraId="53175F65">
      <w:pPr>
        <w:kinsoku/>
        <w:spacing w:before="117" w:line="278" w:lineRule="auto"/>
        <w:ind w:left="39" w:right="78"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53778455">
      <w:pPr>
        <w:kinsoku/>
        <w:spacing w:before="113" w:line="264" w:lineRule="auto"/>
        <w:ind w:left="61" w:right="80" w:firstLine="45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3.6.3 投标人提供两个或两个以上投标报价，或在投标文件中提供一个报价，但 同时提供两个或两个以上技术建议书的，视为提供备选方案。</w:t>
      </w:r>
    </w:p>
    <w:p w14:paraId="6AF6F2D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60" w:name="bookmark109"/>
      <w:bookmarkEnd w:id="160"/>
      <w:bookmarkStart w:id="161" w:name="bookmark108"/>
      <w:bookmarkEnd w:id="161"/>
      <w:bookmarkStart w:id="162" w:name="_Toc22492"/>
      <w:bookmarkStart w:id="163" w:name="_Toc20712"/>
      <w:r>
        <w:rPr>
          <w:rFonts w:hint="eastAsia" w:ascii="宋体" w:hAnsi="宋体" w:eastAsia="宋体" w:cs="宋体"/>
          <w:b/>
          <w:bCs/>
          <w:color w:val="000000" w:themeColor="text1"/>
          <w:sz w:val="24"/>
          <w:szCs w:val="24"/>
          <w:highlight w:val="none"/>
          <w:lang w:eastAsia="zh-CN"/>
          <w14:textFill>
            <w14:solidFill>
              <w14:schemeClr w14:val="tx1"/>
            </w14:solidFill>
          </w14:textFill>
        </w:rPr>
        <w:t>3.7 投标文件的编制</w:t>
      </w:r>
      <w:bookmarkEnd w:id="162"/>
      <w:bookmarkEnd w:id="163"/>
    </w:p>
    <w:p w14:paraId="0236EB7A">
      <w:pPr>
        <w:kinsoku/>
        <w:spacing w:before="79" w:line="264" w:lineRule="auto"/>
        <w:ind w:left="39" w:right="131"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3.7.1 投标文件应按第六章“投标文件格式”进行编写，如有必要，可以增加附页，作为投标文件的组成部分。</w:t>
      </w:r>
    </w:p>
    <w:p w14:paraId="4E189EB1">
      <w:pPr>
        <w:kinsoku/>
        <w:spacing w:before="113" w:line="264" w:lineRule="auto"/>
        <w:ind w:left="42" w:right="113"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3.7.2 投标文件应对招标文件有关设计服务期限、投标有效期、质量要求、安全目标、发包人要求、招标范围等实质性内容作出响应。</w:t>
      </w:r>
    </w:p>
    <w:p w14:paraId="56F21407">
      <w:pPr>
        <w:kinsoku/>
        <w:spacing w:before="114" w:line="290" w:lineRule="auto"/>
        <w:ind w:left="37"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3.7.3 投标文件应用不褪色的材料书写或打印。投标文件格式中明确要求投标人法定代表人或其委托代理人签字之处，必须由相关人员亲笔签名，不得使用印章、签名章或其他电子制版签名代替；明确要求投标人加盖单位章之处，必须加盖单位章。其中，投标函及对投标文件的澄清和说明应加盖投标人单位章，或由投标人的法定代表人或其委托代理人签字。</w:t>
      </w:r>
    </w:p>
    <w:p w14:paraId="259F48C0">
      <w:pPr>
        <w:kinsoku/>
        <w:spacing w:before="117" w:line="298" w:lineRule="auto"/>
        <w:ind w:left="38" w:right="77"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如果投标文件由委托代理人签署，则投标人须提交授权委托书，授权委托书应按第六章“投标文件格式”的要求出具，并由法定代表人和委托代理人亲笔签名，不得使用印章、签名章或其他电子制版签名代替。</w:t>
      </w:r>
    </w:p>
    <w:p w14:paraId="60DA76E3">
      <w:pPr>
        <w:kinsoku/>
        <w:spacing w:before="36" w:line="295" w:lineRule="auto"/>
        <w:ind w:left="38" w:right="77"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如果由投标人的法定代表人亲自签署投标文件，则投标人须提交法定代表人身份证明，身份证明应符合第六章“投标文件格式”的要求。</w:t>
      </w:r>
    </w:p>
    <w:p w14:paraId="1AB1C8AF">
      <w:pPr>
        <w:kinsoku/>
        <w:spacing w:before="34" w:line="299" w:lineRule="auto"/>
        <w:ind w:left="40" w:right="78" w:firstLine="50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以联合体形式参与投标的，投标文件由联合体牵头人的法定代表人或其委托代理人按上述规定签署并加盖联合体牵头人单位章。法定代表人授权委托书或法定代表人身份证明须由联合体牵头人按上述规定出具。</w:t>
      </w:r>
    </w:p>
    <w:p w14:paraId="5951BC17">
      <w:pPr>
        <w:kinsoku/>
        <w:spacing w:before="33" w:line="295" w:lineRule="auto"/>
        <w:ind w:left="41" w:right="77"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投标文件应尽量避免涂改、行间插字或删除。如果出现上述情况，改动之处应由投标人的法定代表人或其授权的代理人签字或盖单位章。</w:t>
      </w:r>
    </w:p>
    <w:p w14:paraId="10DF4E4E">
      <w:pPr>
        <w:kinsoku/>
        <w:spacing w:before="36" w:line="289" w:lineRule="auto"/>
        <w:ind w:left="40" w:right="7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3.7.4  投标文件正本一份，副本份数见投标人须知前附表。正本和副本的封面右上角上应清楚地标记“正本”或“副本”字样。投标人应根据投标人须知前附表要求提供电子版文件。当副本和正本不一致或电子版文件和纸质正本文件不一致时，以纸质正本文件为准。</w:t>
      </w:r>
    </w:p>
    <w:p w14:paraId="7D9E0EEB">
      <w:pPr>
        <w:kinsoku/>
        <w:spacing w:before="37" w:line="301" w:lineRule="auto"/>
        <w:ind w:left="39" w:right="99"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3.7.5 投标文件的正本与副本应分别装订成册（A4纸幅，其中技术建议书采用标准图框A3幅面，单独装订成册），编制目录并逐页标注连续页码。投标文件不得采用活页夹装订，否则，招标人对由于投标文件装订松散而造成的丢失或其他后果不承担任何责任。装订的其他要求见投标人须知前附表。</w:t>
      </w:r>
    </w:p>
    <w:p w14:paraId="0177FE42">
      <w:pPr>
        <w:kinsoku/>
        <w:spacing w:before="313" w:line="220" w:lineRule="auto"/>
        <w:ind w:left="32"/>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164" w:name="bookmark111"/>
      <w:bookmarkEnd w:id="164"/>
      <w:bookmarkStart w:id="165" w:name="bookmark113"/>
      <w:bookmarkEnd w:id="165"/>
      <w:bookmarkStart w:id="166" w:name="bookmark110"/>
      <w:bookmarkEnd w:id="166"/>
      <w:bookmarkStart w:id="167" w:name="_Toc25098"/>
      <w:bookmarkStart w:id="168" w:name="_Toc1085"/>
      <w:r>
        <w:rPr>
          <w:rFonts w:hint="eastAsia" w:ascii="宋体" w:hAnsi="宋体" w:eastAsia="宋体" w:cs="宋体"/>
          <w:b/>
          <w:bCs/>
          <w:color w:val="000000" w:themeColor="text1"/>
          <w:sz w:val="28"/>
          <w:szCs w:val="28"/>
          <w:highlight w:val="none"/>
          <w:lang w:eastAsia="zh-CN"/>
          <w14:textFill>
            <w14:solidFill>
              <w14:schemeClr w14:val="tx1"/>
            </w14:solidFill>
          </w14:textFill>
        </w:rPr>
        <w:t>4. 投标</w:t>
      </w:r>
      <w:bookmarkEnd w:id="167"/>
      <w:bookmarkEnd w:id="168"/>
    </w:p>
    <w:p w14:paraId="4EDAFA99">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69" w:name="bookmark112"/>
      <w:bookmarkEnd w:id="169"/>
      <w:bookmarkStart w:id="170" w:name="_Toc23278"/>
      <w:bookmarkStart w:id="171" w:name="_Toc24702"/>
      <w:r>
        <w:rPr>
          <w:rFonts w:hint="eastAsia" w:ascii="宋体" w:hAnsi="宋体" w:eastAsia="宋体" w:cs="宋体"/>
          <w:b/>
          <w:bCs/>
          <w:color w:val="000000" w:themeColor="text1"/>
          <w:sz w:val="24"/>
          <w:szCs w:val="24"/>
          <w:highlight w:val="none"/>
          <w:lang w:eastAsia="zh-CN"/>
          <w14:textFill>
            <w14:solidFill>
              <w14:schemeClr w14:val="tx1"/>
            </w14:solidFill>
          </w14:textFill>
        </w:rPr>
        <w:t>4.1 投标文件的密封和标识</w:t>
      </w:r>
      <w:bookmarkEnd w:id="170"/>
      <w:bookmarkEnd w:id="171"/>
    </w:p>
    <w:p w14:paraId="3DDCE59C">
      <w:pPr>
        <w:kinsoku/>
        <w:spacing w:before="78" w:line="302" w:lineRule="auto"/>
        <w:ind w:left="38"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4.1.1 投标文件应采用双信封形式密封。投标文件第一个信封（商务及技术文件）以及第二个信封（报价文件）应单独密封包装。商务文件、技术文件的正本与副本应统一密封在一个封套中。报价文件的正本与副本以及投标文件电子版文件（如需要）应统一密封在另一个封套中。封套应加贴封条，并在封套的封口处加盖投标人单位章或由投标人的法定代表人或其委托代理人签字。</w:t>
      </w:r>
    </w:p>
    <w:p w14:paraId="71081563">
      <w:pPr>
        <w:kinsoku/>
        <w:spacing w:before="36" w:line="219"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采用银行保函形式提交投标保证金的，银行保函原件应密封在单独的封套中。</w:t>
      </w:r>
    </w:p>
    <w:p w14:paraId="00392A18">
      <w:pPr>
        <w:kinsoku/>
        <w:spacing w:before="115" w:line="263" w:lineRule="auto"/>
        <w:ind w:left="42" w:right="100" w:firstLine="47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4.1.2 投标文件第一个信封（商务及技术文件）、第二个信封（报价文件）以及银行保函封套上应写明的内容见投标人须知前附表。</w:t>
      </w:r>
    </w:p>
    <w:p w14:paraId="7BA8EEE9">
      <w:pPr>
        <w:kinsoku/>
        <w:spacing w:before="116" w:line="219" w:lineRule="auto"/>
        <w:ind w:left="51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4.1.3 未按本章第4.1.1项要求密封的投标文件，招标人将予以拒收。</w:t>
      </w:r>
    </w:p>
    <w:p w14:paraId="60CD406D">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72" w:name="bookmark114"/>
      <w:bookmarkEnd w:id="172"/>
      <w:bookmarkStart w:id="173" w:name="bookmark115"/>
      <w:bookmarkEnd w:id="173"/>
      <w:bookmarkStart w:id="174" w:name="_Toc6317"/>
      <w:bookmarkStart w:id="175" w:name="_Toc18159"/>
      <w:r>
        <w:rPr>
          <w:rFonts w:hint="eastAsia" w:ascii="宋体" w:hAnsi="宋体" w:eastAsia="宋体" w:cs="宋体"/>
          <w:b/>
          <w:bCs/>
          <w:color w:val="000000" w:themeColor="text1"/>
          <w:sz w:val="24"/>
          <w:szCs w:val="24"/>
          <w:highlight w:val="none"/>
          <w:lang w:eastAsia="zh-CN"/>
          <w14:textFill>
            <w14:solidFill>
              <w14:schemeClr w14:val="tx1"/>
            </w14:solidFill>
          </w14:textFill>
        </w:rPr>
        <w:t>4.2 投标文件的递交</w:t>
      </w:r>
      <w:bookmarkEnd w:id="174"/>
      <w:bookmarkEnd w:id="175"/>
    </w:p>
    <w:p w14:paraId="7DCE1A30">
      <w:pPr>
        <w:kinsoku/>
        <w:spacing w:before="79" w:line="264" w:lineRule="auto"/>
        <w:ind w:left="39" w:right="102"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4.2.1 投标人应在第一章“招标公告”或“投标邀请书”规定的投标截止时间前递交投标文件。</w:t>
      </w:r>
    </w:p>
    <w:p w14:paraId="23F50F0D">
      <w:pPr>
        <w:kinsoku/>
        <w:spacing w:before="79" w:line="264" w:lineRule="auto"/>
        <w:ind w:left="39" w:right="29"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4.2.2 投标人递交投标文件的地点：见第一章“招标公告”或“投标邀请书”。</w:t>
      </w:r>
    </w:p>
    <w:p w14:paraId="1646F6CA">
      <w:pPr>
        <w:kinsoku/>
        <w:spacing w:before="114" w:line="264" w:lineRule="auto"/>
        <w:ind w:left="39" w:right="100"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4.2.3 除投标人须知前附表另有规定外，投标人所递交的投标文件不予退还。投标人少于3个的，投标文件当场退还给投标人。</w:t>
      </w:r>
    </w:p>
    <w:p w14:paraId="3CE57B46">
      <w:pPr>
        <w:kinsoku/>
        <w:spacing w:before="115" w:line="220" w:lineRule="auto"/>
        <w:ind w:left="51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4.2.4 招标人收到投标文件后，向投标人出具签收凭证。</w:t>
      </w:r>
    </w:p>
    <w:p w14:paraId="3E43FFAF">
      <w:pPr>
        <w:kinsoku/>
        <w:spacing w:before="113" w:line="220" w:lineRule="auto"/>
        <w:ind w:left="51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4.2.5 逾期送达的或未送达指定地点的投标文件，招标人将予以拒收。</w:t>
      </w:r>
    </w:p>
    <w:p w14:paraId="467E7FD0">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76" w:name="bookmark116"/>
      <w:bookmarkEnd w:id="176"/>
      <w:bookmarkStart w:id="177" w:name="bookmark117"/>
      <w:bookmarkEnd w:id="177"/>
      <w:bookmarkStart w:id="178" w:name="_Toc23067"/>
      <w:bookmarkStart w:id="179" w:name="_Toc18479"/>
      <w:r>
        <w:rPr>
          <w:rFonts w:hint="eastAsia" w:ascii="宋体" w:hAnsi="宋体" w:eastAsia="宋体" w:cs="宋体"/>
          <w:b/>
          <w:bCs/>
          <w:color w:val="000000" w:themeColor="text1"/>
          <w:sz w:val="24"/>
          <w:szCs w:val="24"/>
          <w:highlight w:val="none"/>
          <w:lang w:eastAsia="zh-CN"/>
          <w14:textFill>
            <w14:solidFill>
              <w14:schemeClr w14:val="tx1"/>
            </w14:solidFill>
          </w14:textFill>
        </w:rPr>
        <w:t>4.3 投标文件的修改与撤回</w:t>
      </w:r>
      <w:bookmarkEnd w:id="178"/>
      <w:bookmarkEnd w:id="179"/>
    </w:p>
    <w:p w14:paraId="1C412F43">
      <w:pPr>
        <w:kinsoku/>
        <w:spacing w:before="78" w:line="263" w:lineRule="auto"/>
        <w:ind w:left="41" w:right="117" w:firstLine="47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4.3.1 在本章第 4.2.1 项规定的投标截止时间前，投标人可以修改或撤回已递交的投标文件，但应以书面形式通知招标人。</w:t>
      </w:r>
    </w:p>
    <w:p w14:paraId="19140734">
      <w:pPr>
        <w:kinsoku/>
        <w:spacing w:before="115" w:line="264" w:lineRule="auto"/>
        <w:ind w:left="40" w:right="100" w:firstLine="47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4.3.2 投标人修改或撤回已递交投标文件的书面通知应按照本章第3.7.3项的要求签字或盖章。招标人收到书面通知后，向投标人出具签收凭证。</w:t>
      </w:r>
    </w:p>
    <w:p w14:paraId="27187A0C">
      <w:pPr>
        <w:kinsoku/>
        <w:spacing w:before="78" w:line="263" w:lineRule="auto"/>
        <w:ind w:left="39" w:right="222"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4.3.3 投标人撤回投标文件的，招标人自收到投标人书面撤回通知之日起5日内退还已收取的投标保证金。</w:t>
      </w:r>
    </w:p>
    <w:p w14:paraId="1EF44F76">
      <w:pPr>
        <w:kinsoku/>
        <w:spacing w:before="115" w:line="264" w:lineRule="auto"/>
        <w:ind w:left="38" w:right="257"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4.3.4 修改的内容为投标文件的组成部分。修改的投标文件应按照本章第3条、第4条的规定进行编制、密封、标记和递交，并标明“修改”字样。</w:t>
      </w:r>
    </w:p>
    <w:p w14:paraId="4EA838AE">
      <w:pPr>
        <w:kinsoku/>
        <w:spacing w:line="297" w:lineRule="auto"/>
        <w:rPr>
          <w:rFonts w:ascii="宋体" w:hAnsi="宋体" w:eastAsia="宋体" w:cs="宋体"/>
          <w:color w:val="000000" w:themeColor="text1"/>
          <w:highlight w:val="none"/>
          <w:lang w:eastAsia="zh-CN"/>
          <w14:textFill>
            <w14:solidFill>
              <w14:schemeClr w14:val="tx1"/>
            </w14:solidFill>
          </w14:textFill>
        </w:rPr>
      </w:pPr>
    </w:p>
    <w:p w14:paraId="5F1BE7BD">
      <w:pPr>
        <w:kinsoku/>
        <w:spacing w:before="91" w:line="222" w:lineRule="auto"/>
        <w:ind w:left="33"/>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180" w:name="bookmark118"/>
      <w:bookmarkEnd w:id="180"/>
      <w:bookmarkStart w:id="181" w:name="bookmark121"/>
      <w:bookmarkEnd w:id="181"/>
      <w:bookmarkStart w:id="182" w:name="bookmark119"/>
      <w:bookmarkEnd w:id="182"/>
      <w:bookmarkStart w:id="183" w:name="_Toc2560"/>
      <w:bookmarkStart w:id="184" w:name="_Toc29729"/>
      <w:r>
        <w:rPr>
          <w:rFonts w:hint="eastAsia" w:ascii="宋体" w:hAnsi="宋体" w:eastAsia="宋体" w:cs="宋体"/>
          <w:b/>
          <w:bCs/>
          <w:color w:val="000000" w:themeColor="text1"/>
          <w:sz w:val="28"/>
          <w:szCs w:val="28"/>
          <w:highlight w:val="none"/>
          <w:lang w:eastAsia="zh-CN"/>
          <w14:textFill>
            <w14:solidFill>
              <w14:schemeClr w14:val="tx1"/>
            </w14:solidFill>
          </w14:textFill>
        </w:rPr>
        <w:t>5. 开标</w:t>
      </w:r>
      <w:bookmarkEnd w:id="183"/>
      <w:bookmarkEnd w:id="184"/>
    </w:p>
    <w:p w14:paraId="7C102275">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85" w:name="bookmark120"/>
      <w:bookmarkEnd w:id="185"/>
      <w:bookmarkStart w:id="186" w:name="_Toc14565"/>
      <w:bookmarkStart w:id="187" w:name="_Toc12598"/>
      <w:r>
        <w:rPr>
          <w:rFonts w:hint="eastAsia" w:ascii="宋体" w:hAnsi="宋体" w:eastAsia="宋体" w:cs="宋体"/>
          <w:b/>
          <w:bCs/>
          <w:color w:val="000000" w:themeColor="text1"/>
          <w:sz w:val="24"/>
          <w:szCs w:val="24"/>
          <w:highlight w:val="none"/>
          <w:lang w:eastAsia="zh-CN"/>
          <w14:textFill>
            <w14:solidFill>
              <w14:schemeClr w14:val="tx1"/>
            </w14:solidFill>
          </w14:textFill>
        </w:rPr>
        <w:t>5.1 开标时间和地点</w:t>
      </w:r>
      <w:bookmarkEnd w:id="186"/>
      <w:bookmarkEnd w:id="187"/>
    </w:p>
    <w:p w14:paraId="2E37F557">
      <w:pPr>
        <w:kinsoku/>
        <w:spacing w:before="78" w:line="299" w:lineRule="auto"/>
        <w:ind w:left="39" w:right="223"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招标人在本章第4.2.1项规定的投标截止时间（开标时间）和投标人须知前附表规定的地点对收到的投标文件第一个信封（商务及技术文件）公开开标，并邀请所有投标人的法定代表人或其委托代理人准时参加。</w:t>
      </w:r>
    </w:p>
    <w:p w14:paraId="4EC2133B">
      <w:pPr>
        <w:kinsoku/>
        <w:spacing w:before="32" w:line="295" w:lineRule="auto"/>
        <w:ind w:left="45"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招标人在投标人须知前附表规定的时间和地点对投标文件第二个信封（报价文件）公开开标，并邀请所有投标人的法定代表人或其委托代理人准时参加。</w:t>
      </w:r>
    </w:p>
    <w:p w14:paraId="41FDD765">
      <w:pPr>
        <w:kinsoku/>
        <w:spacing w:before="33" w:line="294" w:lineRule="auto"/>
        <w:ind w:left="42" w:right="22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投标人若未派法定代表人或委托代理人出席开标活动，视为该投标人默认开标结</w:t>
      </w:r>
      <w:bookmarkStart w:id="188" w:name="bookmark123"/>
      <w:bookmarkEnd w:id="188"/>
      <w:r>
        <w:rPr>
          <w:rFonts w:hint="eastAsia" w:ascii="宋体" w:hAnsi="宋体" w:eastAsia="宋体" w:cs="宋体"/>
          <w:color w:val="000000" w:themeColor="text1"/>
          <w:sz w:val="24"/>
          <w:szCs w:val="24"/>
          <w:highlight w:val="none"/>
          <w:lang w:eastAsia="zh-CN"/>
          <w14:textFill>
            <w14:solidFill>
              <w14:schemeClr w14:val="tx1"/>
            </w14:solidFill>
          </w14:textFill>
        </w:rPr>
        <w:t>果。</w:t>
      </w:r>
    </w:p>
    <w:p w14:paraId="1EEBBB86">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89" w:name="bookmark122"/>
      <w:bookmarkEnd w:id="189"/>
      <w:bookmarkStart w:id="190" w:name="_Toc7315"/>
      <w:bookmarkStart w:id="191" w:name="_Toc18878"/>
      <w:r>
        <w:rPr>
          <w:rFonts w:hint="eastAsia" w:ascii="宋体" w:hAnsi="宋体" w:eastAsia="宋体" w:cs="宋体"/>
          <w:b/>
          <w:bCs/>
          <w:color w:val="000000" w:themeColor="text1"/>
          <w:sz w:val="24"/>
          <w:szCs w:val="24"/>
          <w:highlight w:val="none"/>
          <w:lang w:eastAsia="zh-CN"/>
          <w14:textFill>
            <w14:solidFill>
              <w14:schemeClr w14:val="tx1"/>
            </w14:solidFill>
          </w14:textFill>
        </w:rPr>
        <w:t>5.2 开标程序</w:t>
      </w:r>
      <w:bookmarkEnd w:id="190"/>
      <w:bookmarkEnd w:id="191"/>
    </w:p>
    <w:p w14:paraId="0D3E1A95">
      <w:pPr>
        <w:kinsoku/>
        <w:spacing w:before="33" w:line="294" w:lineRule="auto"/>
        <w:ind w:left="42" w:right="22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5.2.1 主持人按下列程序对投标文件第一个信封（商务及技术文件）进行开标：</w:t>
      </w:r>
    </w:p>
    <w:p w14:paraId="14B07787">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（1）宣布开标纪律；</w:t>
      </w:r>
    </w:p>
    <w:p w14:paraId="309ACDF8">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（2）公布在投标截止时间前递交投标文件的投标人数量；</w:t>
      </w:r>
    </w:p>
    <w:p w14:paraId="705919D0">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（3）宣布开标人、唱标人、记录人等有关人员姓名；</w:t>
      </w:r>
    </w:p>
    <w:p w14:paraId="4AC67582">
      <w:pPr>
        <w:kinsoku/>
        <w:spacing w:before="33" w:line="294" w:lineRule="auto"/>
        <w:ind w:left="42" w:right="22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（4）按照投标人须知前附表规定由投标人推选的代表检查投标文件的密封情况；</w:t>
      </w:r>
    </w:p>
    <w:p w14:paraId="087CA75E">
      <w:pPr>
        <w:kinsoku/>
        <w:spacing w:before="117" w:line="264" w:lineRule="auto"/>
        <w:ind w:left="41" w:right="222"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（5）按照投标人须知前附表规定的开标顺序当众开标，公布标段名称、投标人名称、投标保证金的递交情况、设计服务期限及其他内容，并记录在案；</w:t>
      </w:r>
    </w:p>
    <w:p w14:paraId="7F1D0BB2">
      <w:pPr>
        <w:kinsoku/>
        <w:spacing w:before="113"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（6）投标人代表、招标人代表、记录人等有关人员在开标记录上签字确认；</w:t>
      </w:r>
    </w:p>
    <w:p w14:paraId="1BA46BD7">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（7）开标结束。</w:t>
      </w:r>
    </w:p>
    <w:p w14:paraId="707E16E5">
      <w:pPr>
        <w:kinsoku/>
        <w:spacing w:before="116" w:line="262" w:lineRule="auto"/>
        <w:ind w:left="37" w:right="226"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5.2.2 在投标文件第一个信封（商务及技术文件）开标现场，投标文件第二个信封（报价文件）不予开封，由招标人密封保存。</w:t>
      </w:r>
    </w:p>
    <w:p w14:paraId="5FD2952D">
      <w:pPr>
        <w:kinsoku/>
        <w:spacing w:before="118" w:line="263" w:lineRule="auto"/>
        <w:ind w:left="39" w:right="223"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5.2.3 招标人将按照本章第5.1款规定的时间和地点对投标文件第二个信封（报价文件）进行开标。主持人按下列程序进行开标：</w:t>
      </w:r>
    </w:p>
    <w:p w14:paraId="39C5A4F2">
      <w:pPr>
        <w:kinsoku/>
        <w:spacing w:before="115"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（1）宣布开标纪律；</w:t>
      </w:r>
    </w:p>
    <w:p w14:paraId="6CF350F1">
      <w:pPr>
        <w:kinsoku/>
        <w:spacing w:before="116" w:line="264" w:lineRule="auto"/>
        <w:ind w:left="38" w:right="227"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（2）当众拆开投标文件第一个信封（商务及技术文件）评审结果的密封袋，宣布通过投标文件第一个信封（商务及技术文件）评审的投标人名单；</w:t>
      </w:r>
    </w:p>
    <w:p w14:paraId="0450F949">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（3）宣布开标人、唱标人、记录人等有关人员姓名；</w:t>
      </w:r>
    </w:p>
    <w:p w14:paraId="2859F3F9">
      <w:pPr>
        <w:kinsoku/>
        <w:spacing w:before="116" w:line="264" w:lineRule="auto"/>
        <w:ind w:left="38" w:right="227"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（4）按照投标人须知前附表规定由投标人推选的代表检查投标文件的密封情况；</w:t>
      </w:r>
    </w:p>
    <w:p w14:paraId="2D300E8A">
      <w:pPr>
        <w:kinsoku/>
        <w:spacing w:before="114" w:line="278" w:lineRule="auto"/>
        <w:ind w:left="39" w:right="65"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按照投标人须知前附表规定的开标顺序当众开标，开标人只拆封通过投标文件第一个信封（商务及技术文件）评审的投标文件第二个信封（报价文件），公布标段名称、投标人名称、投标报价及其他内容，并记录在案；</w:t>
      </w:r>
    </w:p>
    <w:p w14:paraId="222E22AE">
      <w:pPr>
        <w:kinsoku/>
        <w:spacing w:before="114"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（6）计算并宣布评标基准价；</w:t>
      </w:r>
    </w:p>
    <w:p w14:paraId="0686C672">
      <w:pPr>
        <w:kinsoku/>
        <w:spacing w:before="118" w:line="263" w:lineRule="auto"/>
        <w:ind w:left="38" w:right="69"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（7）将未通过投标文件第一个信封（商务及技术文件）评审的投标文件第二个信封（报价文件）退还给投标人；</w:t>
      </w:r>
    </w:p>
    <w:p w14:paraId="098484E3">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（8）投标人代表、招标人代表、记录人等有关人员在开标记录上签字确认；</w:t>
      </w:r>
    </w:p>
    <w:p w14:paraId="68F4FF1B">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（9）开标结束。</w:t>
      </w:r>
    </w:p>
    <w:p w14:paraId="05CC6015">
      <w:pPr>
        <w:kinsoku/>
        <w:spacing w:before="114" w:line="278" w:lineRule="auto"/>
        <w:ind w:left="39"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5.2.4 在投标文件第二个信封（报价文件）开标现场，招标人将按第三章“评标办法规定的原则计算并宣布评标基准价。若招标人发现投标文件出现以下任一情况，其投标报价将不再参加评标基准价的计算：</w:t>
      </w:r>
    </w:p>
    <w:p w14:paraId="6E34E286">
      <w:pPr>
        <w:kinsoku/>
        <w:spacing w:before="118"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（1）未在投标函上填写投标总价；</w:t>
      </w:r>
    </w:p>
    <w:p w14:paraId="3A024C4E">
      <w:pPr>
        <w:kinsoku/>
        <w:spacing w:before="115"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（2）投标报价超出招标人公布的最高投标限价（如有）；</w:t>
      </w:r>
    </w:p>
    <w:p w14:paraId="2E7A2FC6">
      <w:pPr>
        <w:kinsoku/>
        <w:spacing w:before="117"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（3）投标报价的大写金额无法确定具体数值；</w:t>
      </w:r>
    </w:p>
    <w:p w14:paraId="444A40F0">
      <w:pPr>
        <w:kinsoku/>
        <w:spacing w:before="117"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（4）投标函上填写的标段号与投标文件封套上标记的标段号不一致。</w:t>
      </w:r>
    </w:p>
    <w:p w14:paraId="13AA4F3C">
      <w:pPr>
        <w:kinsoku/>
        <w:spacing w:before="114" w:line="299" w:lineRule="auto"/>
        <w:ind w:left="40" w:right="65" w:firstLine="48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14:paraId="5B1C4511">
      <w:pPr>
        <w:kinsoku/>
        <w:spacing w:before="33" w:line="301" w:lineRule="auto"/>
        <w:ind w:left="38" w:right="7" w:firstLine="482"/>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5.2.5 在投标文件第一个信封（商务及技术文件）或第二个信封（报价文件）开标过程中，若招标人宣读的内容与投标文件不符，投标人有权在开标现场提出疑问，经招标人当场核查确认之后，可重新宣读其投标文件。若投标人现场未提出疑问，则</w:t>
      </w:r>
      <w:bookmarkStart w:id="192" w:name="bookmark125"/>
      <w:bookmarkEnd w:id="192"/>
      <w:r>
        <w:rPr>
          <w:rFonts w:hint="eastAsia" w:ascii="宋体" w:hAnsi="宋体" w:eastAsia="宋体" w:cs="宋体"/>
          <w:color w:val="000000" w:themeColor="text1"/>
          <w:sz w:val="24"/>
          <w:szCs w:val="24"/>
          <w:highlight w:val="none"/>
          <w:lang w:eastAsia="zh-CN"/>
          <w14:textFill>
            <w14:solidFill>
              <w14:schemeClr w14:val="tx1"/>
            </w14:solidFill>
          </w14:textFill>
        </w:rPr>
        <w:t>认为投标人已确认招标人宣读的内容。</w:t>
      </w:r>
    </w:p>
    <w:p w14:paraId="1C6D4BAC">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93" w:name="bookmark124"/>
      <w:bookmarkEnd w:id="193"/>
      <w:bookmarkStart w:id="194" w:name="_Toc3832"/>
      <w:bookmarkStart w:id="195" w:name="_Toc26222"/>
      <w:r>
        <w:rPr>
          <w:rFonts w:hint="eastAsia" w:ascii="宋体" w:hAnsi="宋体" w:eastAsia="宋体" w:cs="宋体"/>
          <w:b/>
          <w:bCs/>
          <w:color w:val="000000" w:themeColor="text1"/>
          <w:sz w:val="24"/>
          <w:szCs w:val="24"/>
          <w:highlight w:val="none"/>
          <w:lang w:eastAsia="zh-CN"/>
          <w14:textFill>
            <w14:solidFill>
              <w14:schemeClr w14:val="tx1"/>
            </w14:solidFill>
          </w14:textFill>
        </w:rPr>
        <w:t>5.3 开标异议</w:t>
      </w:r>
      <w:bookmarkEnd w:id="194"/>
      <w:bookmarkEnd w:id="195"/>
    </w:p>
    <w:p w14:paraId="1492F676">
      <w:pPr>
        <w:kinsoku/>
        <w:spacing w:before="78" w:line="293" w:lineRule="auto"/>
        <w:ind w:left="39" w:right="119"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投标人对开标有异议的，应在开标现场提出，招标人当场作出答复，并制作记录，有异议的投标人代表、招标人代表、记录人等有关人员在记录上签字确认。</w:t>
      </w:r>
    </w:p>
    <w:p w14:paraId="076C9AA3">
      <w:pPr>
        <w:kinsoku/>
        <w:spacing w:before="315" w:line="219" w:lineRule="auto"/>
        <w:ind w:left="38"/>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196" w:name="bookmark127"/>
      <w:bookmarkEnd w:id="196"/>
      <w:bookmarkStart w:id="197" w:name="bookmark126"/>
      <w:bookmarkEnd w:id="197"/>
      <w:bookmarkStart w:id="198" w:name="bookmark129"/>
      <w:bookmarkEnd w:id="198"/>
      <w:bookmarkStart w:id="199" w:name="_Toc22634"/>
      <w:bookmarkStart w:id="200" w:name="_Toc6197"/>
      <w:r>
        <w:rPr>
          <w:rFonts w:hint="eastAsia" w:ascii="宋体" w:hAnsi="宋体" w:eastAsia="宋体" w:cs="宋体"/>
          <w:b/>
          <w:bCs/>
          <w:color w:val="000000" w:themeColor="text1"/>
          <w:sz w:val="28"/>
          <w:szCs w:val="28"/>
          <w:highlight w:val="none"/>
          <w:lang w:eastAsia="zh-CN"/>
          <w14:textFill>
            <w14:solidFill>
              <w14:schemeClr w14:val="tx1"/>
            </w14:solidFill>
          </w14:textFill>
        </w:rPr>
        <w:t>6. 评标</w:t>
      </w:r>
      <w:bookmarkEnd w:id="199"/>
      <w:bookmarkEnd w:id="200"/>
    </w:p>
    <w:p w14:paraId="3CDC479C">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01" w:name="bookmark128"/>
      <w:bookmarkEnd w:id="201"/>
      <w:bookmarkStart w:id="202" w:name="_Toc28517"/>
      <w:bookmarkStart w:id="203" w:name="_Toc31565"/>
      <w:r>
        <w:rPr>
          <w:rFonts w:hint="eastAsia" w:ascii="宋体" w:hAnsi="宋体" w:eastAsia="宋体" w:cs="宋体"/>
          <w:b/>
          <w:bCs/>
          <w:color w:val="000000" w:themeColor="text1"/>
          <w:sz w:val="24"/>
          <w:szCs w:val="24"/>
          <w:highlight w:val="none"/>
          <w:lang w:eastAsia="zh-CN"/>
          <w14:textFill>
            <w14:solidFill>
              <w14:schemeClr w14:val="tx1"/>
            </w14:solidFill>
          </w14:textFill>
        </w:rPr>
        <w:t>6.1 评标委员会</w:t>
      </w:r>
      <w:bookmarkEnd w:id="202"/>
      <w:bookmarkEnd w:id="203"/>
    </w:p>
    <w:p w14:paraId="02092264">
      <w:pPr>
        <w:kinsoku/>
        <w:spacing w:before="33" w:line="301" w:lineRule="auto"/>
        <w:ind w:left="38" w:right="7" w:firstLine="482"/>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21682524">
      <w:pPr>
        <w:kinsoku/>
        <w:spacing w:before="33" w:line="301" w:lineRule="auto"/>
        <w:ind w:left="38" w:right="7" w:firstLine="482"/>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6.1.2 评标委员会成员有下列情形之一的，应主动提出回避：</w:t>
      </w:r>
    </w:p>
    <w:p w14:paraId="40A9F6EF">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（1）为负责招标项目监督管理的交通运输主管部门的工作人员；</w:t>
      </w:r>
    </w:p>
    <w:p w14:paraId="04C28AB5">
      <w:pPr>
        <w:kinsoku/>
        <w:spacing w:before="112"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（2）与投标人法定代表人或其委托代理人有近亲属关系；</w:t>
      </w:r>
    </w:p>
    <w:p w14:paraId="1B3AEA48">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（3）为投标人的工作人员或退休人员；</w:t>
      </w:r>
    </w:p>
    <w:p w14:paraId="27092A97">
      <w:pPr>
        <w:kinsoku/>
        <w:spacing w:before="116"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（4）与投标人有其他利害关系，可能影响评标活动公正性；</w:t>
      </w:r>
    </w:p>
    <w:p w14:paraId="665D827B">
      <w:pPr>
        <w:kinsoku/>
        <w:spacing w:before="113" w:line="266" w:lineRule="auto"/>
        <w:ind w:left="48" w:right="88" w:firstLine="47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（5）在与招标投标有关的活动中有过违法违规行为、曾受过行政处罚或刑事处罚。</w:t>
      </w:r>
    </w:p>
    <w:p w14:paraId="57664795">
      <w:pPr>
        <w:kinsoku/>
        <w:spacing w:before="109" w:line="278" w:lineRule="auto"/>
        <w:ind w:left="40" w:right="87"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6.1.3 评标过程中，评标委员会成员有回避事由、擅离职守或因健康等原因不能继续评标的，招标人有权更换。被更换的评标委员会成员作出的评审结论无效，由更</w:t>
      </w:r>
      <w:bookmarkStart w:id="204" w:name="bookmark131"/>
      <w:bookmarkEnd w:id="204"/>
      <w:r>
        <w:rPr>
          <w:rFonts w:hint="eastAsia" w:ascii="宋体" w:hAnsi="宋体" w:eastAsia="宋体" w:cs="宋体"/>
          <w:color w:val="000000" w:themeColor="text1"/>
          <w:sz w:val="24"/>
          <w:szCs w:val="24"/>
          <w:highlight w:val="none"/>
          <w:lang w:eastAsia="zh-CN"/>
          <w14:textFill>
            <w14:solidFill>
              <w14:schemeClr w14:val="tx1"/>
            </w14:solidFill>
          </w14:textFill>
        </w:rPr>
        <w:t>换后的评标委员会成员重新进行评审。</w:t>
      </w:r>
    </w:p>
    <w:p w14:paraId="47E58762">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05" w:name="bookmark130"/>
      <w:bookmarkEnd w:id="205"/>
      <w:bookmarkStart w:id="206" w:name="_Toc13682"/>
      <w:bookmarkStart w:id="207" w:name="_Toc21619"/>
      <w:r>
        <w:rPr>
          <w:rFonts w:hint="eastAsia" w:ascii="宋体" w:hAnsi="宋体" w:eastAsia="宋体" w:cs="宋体"/>
          <w:b/>
          <w:bCs/>
          <w:color w:val="000000" w:themeColor="text1"/>
          <w:sz w:val="24"/>
          <w:szCs w:val="24"/>
          <w:highlight w:val="none"/>
          <w:lang w:eastAsia="zh-CN"/>
          <w14:textFill>
            <w14:solidFill>
              <w14:schemeClr w14:val="tx1"/>
            </w14:solidFill>
          </w14:textFill>
        </w:rPr>
        <w:t>6.2 评标原则</w:t>
      </w:r>
      <w:bookmarkEnd w:id="206"/>
      <w:bookmarkEnd w:id="207"/>
    </w:p>
    <w:p w14:paraId="481E86F1">
      <w:pPr>
        <w:kinsoku/>
        <w:spacing w:before="78" w:line="219"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评标活动遵循公平、公正、科学和择优的原则。</w:t>
      </w:r>
    </w:p>
    <w:p w14:paraId="66496A70">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08" w:name="bookmark132"/>
      <w:bookmarkEnd w:id="208"/>
      <w:bookmarkStart w:id="209" w:name="bookmark133"/>
      <w:bookmarkEnd w:id="209"/>
      <w:bookmarkStart w:id="210" w:name="_Toc13993"/>
      <w:bookmarkStart w:id="211" w:name="_Toc23418"/>
      <w:r>
        <w:rPr>
          <w:rFonts w:hint="eastAsia" w:ascii="宋体" w:hAnsi="宋体" w:eastAsia="宋体" w:cs="宋体"/>
          <w:b/>
          <w:bCs/>
          <w:color w:val="000000" w:themeColor="text1"/>
          <w:sz w:val="24"/>
          <w:szCs w:val="24"/>
          <w:highlight w:val="none"/>
          <w:lang w:eastAsia="zh-CN"/>
          <w14:textFill>
            <w14:solidFill>
              <w14:schemeClr w14:val="tx1"/>
            </w14:solidFill>
          </w14:textFill>
        </w:rPr>
        <w:t>6.3 评标</w:t>
      </w:r>
      <w:bookmarkEnd w:id="210"/>
      <w:bookmarkEnd w:id="211"/>
    </w:p>
    <w:p w14:paraId="130A1C49">
      <w:pPr>
        <w:kinsoku/>
        <w:spacing w:before="78" w:line="278" w:lineRule="auto"/>
        <w:ind w:left="39" w:right="85"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6.3.1 评标委员会按照第三章“评标办法”规定的方法、评审因素、标准和程序对投标文件进行评审。第三章“评标办法”没有规定的方法、评审因素和标准，不作为评标依据。</w:t>
      </w:r>
    </w:p>
    <w:p w14:paraId="1AFCB87D">
      <w:pPr>
        <w:kinsoku/>
        <w:spacing w:before="116" w:line="263" w:lineRule="auto"/>
        <w:ind w:left="37"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6.3.2 评标完成后，评标委员会应向招标人提交书面评标报告和中标候选人名单。评标委员会推荐中标候选人的人数见投标人须知前附表。</w:t>
      </w:r>
    </w:p>
    <w:p w14:paraId="7E4A1DAC">
      <w:pPr>
        <w:kinsoku/>
        <w:spacing w:line="301" w:lineRule="auto"/>
        <w:rPr>
          <w:rFonts w:ascii="宋体" w:hAnsi="宋体" w:eastAsia="宋体" w:cs="宋体"/>
          <w:color w:val="000000" w:themeColor="text1"/>
          <w:highlight w:val="none"/>
          <w:lang w:eastAsia="zh-CN"/>
          <w14:textFill>
            <w14:solidFill>
              <w14:schemeClr w14:val="tx1"/>
            </w14:solidFill>
          </w14:textFill>
        </w:rPr>
      </w:pPr>
    </w:p>
    <w:p w14:paraId="5740CF0F">
      <w:pPr>
        <w:kinsoku/>
        <w:spacing w:before="91" w:line="220" w:lineRule="auto"/>
        <w:ind w:left="40"/>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212" w:name="bookmark137"/>
      <w:bookmarkEnd w:id="212"/>
      <w:bookmarkStart w:id="213" w:name="bookmark134"/>
      <w:bookmarkEnd w:id="213"/>
      <w:bookmarkStart w:id="214" w:name="bookmark135"/>
      <w:bookmarkEnd w:id="214"/>
      <w:bookmarkStart w:id="215" w:name="_Toc18238"/>
      <w:bookmarkStart w:id="216" w:name="_Toc22080"/>
      <w:r>
        <w:rPr>
          <w:rFonts w:hint="eastAsia" w:ascii="宋体" w:hAnsi="宋体" w:eastAsia="宋体" w:cs="宋体"/>
          <w:b/>
          <w:bCs/>
          <w:color w:val="000000" w:themeColor="text1"/>
          <w:sz w:val="28"/>
          <w:szCs w:val="28"/>
          <w:highlight w:val="none"/>
          <w:lang w:eastAsia="zh-CN"/>
          <w14:textFill>
            <w14:solidFill>
              <w14:schemeClr w14:val="tx1"/>
            </w14:solidFill>
          </w14:textFill>
        </w:rPr>
        <w:t>7. 合同授予</w:t>
      </w:r>
      <w:bookmarkEnd w:id="215"/>
      <w:bookmarkEnd w:id="216"/>
    </w:p>
    <w:p w14:paraId="0914606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17" w:name="bookmark136"/>
      <w:bookmarkEnd w:id="217"/>
      <w:bookmarkStart w:id="218" w:name="_Toc14137"/>
      <w:bookmarkStart w:id="219" w:name="_Toc22293"/>
      <w:r>
        <w:rPr>
          <w:rFonts w:hint="eastAsia" w:ascii="宋体" w:hAnsi="宋体" w:eastAsia="宋体" w:cs="宋体"/>
          <w:b/>
          <w:bCs/>
          <w:color w:val="000000" w:themeColor="text1"/>
          <w:sz w:val="24"/>
          <w:szCs w:val="24"/>
          <w:highlight w:val="none"/>
          <w:lang w:eastAsia="zh-CN"/>
          <w14:textFill>
            <w14:solidFill>
              <w14:schemeClr w14:val="tx1"/>
            </w14:solidFill>
          </w14:textFill>
        </w:rPr>
        <w:t>7.1 中标候选人公示</w:t>
      </w:r>
      <w:bookmarkEnd w:id="218"/>
      <w:bookmarkEnd w:id="219"/>
    </w:p>
    <w:p w14:paraId="3C99B5AD">
      <w:pPr>
        <w:kinsoku/>
        <w:spacing w:before="79" w:line="295" w:lineRule="auto"/>
        <w:ind w:left="41" w:right="85"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招标人在收到评标报告之日起3日内，按照投标人须知前附表规定的公示媒介和期限公示中标候选人，公示期不得少于3日，公示内容包括：</w:t>
      </w:r>
    </w:p>
    <w:p w14:paraId="392D4D48">
      <w:pPr>
        <w:kinsoku/>
        <w:spacing w:before="32" w:line="264" w:lineRule="auto"/>
        <w:ind w:left="41" w:right="84"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（1）中标候选人排序、名称、投标报价，对设计质量要求、安全目标和设计服务期限的响应情况；</w:t>
      </w:r>
    </w:p>
    <w:p w14:paraId="19FDA399">
      <w:pPr>
        <w:kinsoku/>
        <w:spacing w:before="116" w:line="263" w:lineRule="auto"/>
        <w:ind w:left="37" w:right="84"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（2）中标候选人在投标文件中承诺的项目负责人姓名、个人业绩、相关证书名称和编号；</w:t>
      </w:r>
    </w:p>
    <w:p w14:paraId="0260D780">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（3）中标候选人在投标文件中填报的项目业绩；</w:t>
      </w:r>
    </w:p>
    <w:p w14:paraId="2EF53765">
      <w:pPr>
        <w:kinsoku/>
        <w:spacing w:before="115" w:line="219" w:lineRule="auto"/>
        <w:ind w:left="52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（4）被否决投标的投标人名称、否决依据和原因；</w:t>
      </w:r>
    </w:p>
    <w:p w14:paraId="486A0668">
      <w:pPr>
        <w:kinsoku/>
        <w:spacing w:before="78"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（5）提出异议的渠道和方式；</w:t>
      </w:r>
    </w:p>
    <w:p w14:paraId="77AE21EA">
      <w:pPr>
        <w:kinsoku/>
        <w:spacing w:before="112"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（6）投标人须知前附表规定公示的其他内容。</w:t>
      </w:r>
    </w:p>
    <w:p w14:paraId="2E9888FC">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20" w:name="bookmark138"/>
      <w:bookmarkEnd w:id="220"/>
      <w:bookmarkStart w:id="221" w:name="bookmark139"/>
      <w:bookmarkEnd w:id="221"/>
      <w:bookmarkStart w:id="222" w:name="_Toc27928"/>
      <w:bookmarkStart w:id="223" w:name="_Toc6341"/>
      <w:r>
        <w:rPr>
          <w:rFonts w:hint="eastAsia" w:ascii="宋体" w:hAnsi="宋体" w:eastAsia="宋体" w:cs="宋体"/>
          <w:b/>
          <w:bCs/>
          <w:color w:val="000000" w:themeColor="text1"/>
          <w:sz w:val="24"/>
          <w:szCs w:val="24"/>
          <w:highlight w:val="none"/>
          <w:lang w:eastAsia="zh-CN"/>
          <w14:textFill>
            <w14:solidFill>
              <w14:schemeClr w14:val="tx1"/>
            </w14:solidFill>
          </w14:textFill>
        </w:rPr>
        <w:t>7.2 评标结果异议</w:t>
      </w:r>
      <w:bookmarkEnd w:id="222"/>
      <w:bookmarkEnd w:id="223"/>
    </w:p>
    <w:p w14:paraId="55FCCDD2">
      <w:pPr>
        <w:kinsoku/>
        <w:spacing w:before="78" w:line="299" w:lineRule="auto"/>
        <w:ind w:left="36" w:firstLine="484"/>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投标人或其他利害关系人对依法必须进行招标的项目的评标结果有异议的，应在中标候选人公示期间提出。招标人将在收到异议之日起3日内作出答复；作出答复前，</w:t>
      </w:r>
      <w:bookmarkStart w:id="224" w:name="bookmark141"/>
      <w:bookmarkEnd w:id="224"/>
      <w:r>
        <w:rPr>
          <w:rFonts w:hint="eastAsia" w:ascii="宋体" w:hAnsi="宋体" w:eastAsia="宋体" w:cs="宋体"/>
          <w:color w:val="000000" w:themeColor="text1"/>
          <w:sz w:val="24"/>
          <w:szCs w:val="24"/>
          <w:highlight w:val="none"/>
          <w:lang w:eastAsia="zh-CN"/>
          <w14:textFill>
            <w14:solidFill>
              <w14:schemeClr w14:val="tx1"/>
            </w14:solidFill>
          </w14:textFill>
        </w:rPr>
        <w:t>将暂停招标投标活动。</w:t>
      </w:r>
    </w:p>
    <w:p w14:paraId="7283A186">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25" w:name="bookmark140"/>
      <w:bookmarkEnd w:id="225"/>
      <w:bookmarkStart w:id="226" w:name="_Toc23463"/>
      <w:bookmarkStart w:id="227" w:name="_Toc23978"/>
      <w:r>
        <w:rPr>
          <w:rFonts w:hint="eastAsia" w:ascii="宋体" w:hAnsi="宋体" w:eastAsia="宋体" w:cs="宋体"/>
          <w:b/>
          <w:bCs/>
          <w:color w:val="000000" w:themeColor="text1"/>
          <w:sz w:val="24"/>
          <w:szCs w:val="24"/>
          <w:highlight w:val="none"/>
          <w:lang w:eastAsia="zh-CN"/>
          <w14:textFill>
            <w14:solidFill>
              <w14:schemeClr w14:val="tx1"/>
            </w14:solidFill>
          </w14:textFill>
        </w:rPr>
        <w:t>7.3 中标候选人履约能力审查</w:t>
      </w:r>
      <w:bookmarkEnd w:id="226"/>
      <w:bookmarkEnd w:id="227"/>
    </w:p>
    <w:p w14:paraId="137FBD05">
      <w:pPr>
        <w:kinsoku/>
        <w:spacing w:before="79" w:line="300" w:lineRule="auto"/>
        <w:ind w:left="39" w:right="66" w:firstLine="50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中标候选人的经营、财务状况发生较大变化或存在违法行为，招标人认为可能影响其履约能力的，将在发出中标通知书前提请原评标委员会按照招标文件规定的标准</w:t>
      </w:r>
      <w:bookmarkStart w:id="228" w:name="bookmark143"/>
      <w:bookmarkEnd w:id="228"/>
      <w:r>
        <w:rPr>
          <w:rFonts w:hint="eastAsia" w:ascii="宋体" w:hAnsi="宋体" w:eastAsia="宋体" w:cs="宋体"/>
          <w:color w:val="000000" w:themeColor="text1"/>
          <w:sz w:val="24"/>
          <w:szCs w:val="24"/>
          <w:highlight w:val="none"/>
          <w:lang w:eastAsia="zh-CN"/>
          <w14:textFill>
            <w14:solidFill>
              <w14:schemeClr w14:val="tx1"/>
            </w14:solidFill>
          </w14:textFill>
        </w:rPr>
        <w:t>和方法进行审查确认。</w:t>
      </w:r>
    </w:p>
    <w:p w14:paraId="69B691CC">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29" w:name="bookmark142"/>
      <w:bookmarkEnd w:id="229"/>
      <w:bookmarkStart w:id="230" w:name="_Toc15774"/>
      <w:bookmarkStart w:id="231" w:name="_Toc10898"/>
      <w:r>
        <w:rPr>
          <w:rFonts w:hint="eastAsia" w:ascii="宋体" w:hAnsi="宋体" w:eastAsia="宋体" w:cs="宋体"/>
          <w:b/>
          <w:bCs/>
          <w:color w:val="000000" w:themeColor="text1"/>
          <w:sz w:val="24"/>
          <w:szCs w:val="24"/>
          <w:highlight w:val="none"/>
          <w:lang w:eastAsia="zh-CN"/>
          <w14:textFill>
            <w14:solidFill>
              <w14:schemeClr w14:val="tx1"/>
            </w14:solidFill>
          </w14:textFill>
        </w:rPr>
        <w:t>7.4 定标</w:t>
      </w:r>
      <w:bookmarkEnd w:id="230"/>
      <w:bookmarkEnd w:id="231"/>
    </w:p>
    <w:p w14:paraId="5A387273">
      <w:pPr>
        <w:kinsoku/>
        <w:spacing w:before="78" w:line="297" w:lineRule="auto"/>
        <w:ind w:left="40" w:right="67"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按照投标人须知前附表的规定，招标人或招标人授权的评标委员会依法确定中标</w:t>
      </w:r>
      <w:bookmarkStart w:id="232" w:name="bookmark145"/>
      <w:bookmarkEnd w:id="232"/>
      <w:r>
        <w:rPr>
          <w:rFonts w:hint="eastAsia" w:ascii="宋体" w:hAnsi="宋体" w:eastAsia="宋体" w:cs="宋体"/>
          <w:color w:val="000000" w:themeColor="text1"/>
          <w:sz w:val="24"/>
          <w:szCs w:val="24"/>
          <w:highlight w:val="none"/>
          <w:lang w:eastAsia="zh-CN"/>
          <w14:textFill>
            <w14:solidFill>
              <w14:schemeClr w14:val="tx1"/>
            </w14:solidFill>
          </w14:textFill>
        </w:rPr>
        <w:t>人。</w:t>
      </w:r>
    </w:p>
    <w:p w14:paraId="2EDEA10E">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33" w:name="bookmark144"/>
      <w:bookmarkEnd w:id="233"/>
      <w:bookmarkStart w:id="234" w:name="_Toc13397"/>
      <w:bookmarkStart w:id="235" w:name="_Toc1196"/>
      <w:r>
        <w:rPr>
          <w:rFonts w:hint="eastAsia" w:ascii="宋体" w:hAnsi="宋体" w:eastAsia="宋体" w:cs="宋体"/>
          <w:b/>
          <w:bCs/>
          <w:color w:val="000000" w:themeColor="text1"/>
          <w:sz w:val="24"/>
          <w:szCs w:val="24"/>
          <w:highlight w:val="none"/>
          <w:lang w:eastAsia="zh-CN"/>
          <w14:textFill>
            <w14:solidFill>
              <w14:schemeClr w14:val="tx1"/>
            </w14:solidFill>
          </w14:textFill>
        </w:rPr>
        <w:t>7.5 中标通知</w:t>
      </w:r>
      <w:bookmarkEnd w:id="234"/>
      <w:bookmarkEnd w:id="235"/>
    </w:p>
    <w:p w14:paraId="3987AE3D">
      <w:pPr>
        <w:kinsoku/>
        <w:spacing w:before="78" w:line="295" w:lineRule="auto"/>
        <w:ind w:left="60" w:right="65" w:firstLine="45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在本章第 3.3 款规定的投标有效期内，招标人以投标人须知前附表规定的形式向中标人发出中标通知书，同时将中标结果通知未中标的投标人。</w:t>
      </w:r>
    </w:p>
    <w:p w14:paraId="00E0E48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36" w:name="bookmark147"/>
      <w:bookmarkEnd w:id="236"/>
      <w:bookmarkStart w:id="237" w:name="bookmark146"/>
      <w:bookmarkEnd w:id="237"/>
      <w:bookmarkStart w:id="238" w:name="_Toc7643"/>
      <w:bookmarkStart w:id="239" w:name="_Toc25871"/>
      <w:r>
        <w:rPr>
          <w:rFonts w:hint="eastAsia" w:ascii="宋体" w:hAnsi="宋体" w:eastAsia="宋体" w:cs="宋体"/>
          <w:b/>
          <w:bCs/>
          <w:color w:val="000000" w:themeColor="text1"/>
          <w:sz w:val="24"/>
          <w:szCs w:val="24"/>
          <w:highlight w:val="none"/>
          <w:lang w:eastAsia="zh-CN"/>
          <w14:textFill>
            <w14:solidFill>
              <w14:schemeClr w14:val="tx1"/>
            </w14:solidFill>
          </w14:textFill>
        </w:rPr>
        <w:t>7.6 中标结果公告</w:t>
      </w:r>
      <w:bookmarkEnd w:id="238"/>
      <w:bookmarkEnd w:id="239"/>
    </w:p>
    <w:p w14:paraId="15C3B2EE">
      <w:pPr>
        <w:kinsoku/>
        <w:spacing w:before="78" w:line="295" w:lineRule="auto"/>
        <w:ind w:left="54" w:right="65" w:firstLine="46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招标人在确定中标人之日起3日内，按照投标人须知前附表规定的公告媒介和期限公告中标结果，公告期不得少于3日。公告内容包括中标人名称、中标价。</w:t>
      </w:r>
    </w:p>
    <w:p w14:paraId="069EE809">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40" w:name="bookmark149"/>
      <w:bookmarkEnd w:id="240"/>
      <w:bookmarkStart w:id="241" w:name="bookmark148"/>
      <w:bookmarkEnd w:id="241"/>
      <w:bookmarkStart w:id="242" w:name="_Toc24077"/>
      <w:bookmarkStart w:id="243" w:name="_Toc5169"/>
      <w:r>
        <w:rPr>
          <w:rFonts w:hint="eastAsia" w:ascii="宋体" w:hAnsi="宋体" w:eastAsia="宋体" w:cs="宋体"/>
          <w:b/>
          <w:bCs/>
          <w:color w:val="000000" w:themeColor="text1"/>
          <w:sz w:val="24"/>
          <w:szCs w:val="24"/>
          <w:highlight w:val="none"/>
          <w:lang w:eastAsia="zh-CN"/>
          <w14:textFill>
            <w14:solidFill>
              <w14:schemeClr w14:val="tx1"/>
            </w14:solidFill>
          </w14:textFill>
        </w:rPr>
        <w:t>7.7 技术成果经济补偿</w:t>
      </w:r>
      <w:bookmarkEnd w:id="242"/>
      <w:bookmarkEnd w:id="243"/>
    </w:p>
    <w:p w14:paraId="59F0C7AC">
      <w:pPr>
        <w:kinsoku/>
        <w:spacing w:before="79" w:line="301" w:lineRule="auto"/>
        <w:ind w:left="39" w:right="65"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对符合招标文件规定的未中标人的技术成果进行补偿的，招标人将按投标人须知前附表规定的标准给予经济补偿，未中标人在投标文件中声明放弃技术成果经济补偿费的除外。招标人将于中标通知书发出后30日内向未中标人支付技术成果经</w:t>
      </w:r>
      <w:bookmarkStart w:id="244" w:name="bookmark151"/>
      <w:bookmarkEnd w:id="244"/>
      <w:r>
        <w:rPr>
          <w:rFonts w:hint="eastAsia" w:ascii="宋体" w:hAnsi="宋体" w:eastAsia="宋体" w:cs="宋体"/>
          <w:color w:val="000000" w:themeColor="text1"/>
          <w:sz w:val="24"/>
          <w:szCs w:val="24"/>
          <w:highlight w:val="none"/>
          <w:lang w:eastAsia="zh-CN"/>
          <w14:textFill>
            <w14:solidFill>
              <w14:schemeClr w14:val="tx1"/>
            </w14:solidFill>
          </w14:textFill>
        </w:rPr>
        <w:t>济补偿费。</w:t>
      </w:r>
    </w:p>
    <w:p w14:paraId="60EB426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45" w:name="bookmark150"/>
      <w:bookmarkEnd w:id="245"/>
      <w:bookmarkStart w:id="246" w:name="_Toc772"/>
      <w:bookmarkStart w:id="247" w:name="_Toc13225"/>
      <w:r>
        <w:rPr>
          <w:rFonts w:hint="eastAsia" w:ascii="宋体" w:hAnsi="宋体" w:eastAsia="宋体" w:cs="宋体"/>
          <w:b/>
          <w:bCs/>
          <w:color w:val="000000" w:themeColor="text1"/>
          <w:sz w:val="24"/>
          <w:szCs w:val="24"/>
          <w:highlight w:val="none"/>
          <w:lang w:eastAsia="zh-CN"/>
          <w14:textFill>
            <w14:solidFill>
              <w14:schemeClr w14:val="tx1"/>
            </w14:solidFill>
          </w14:textFill>
        </w:rPr>
        <w:t>7.8 履约保证金</w:t>
      </w:r>
      <w:bookmarkEnd w:id="246"/>
      <w:bookmarkEnd w:id="247"/>
    </w:p>
    <w:p w14:paraId="784754CC">
      <w:pPr>
        <w:kinsoku/>
        <w:spacing w:before="78" w:line="295" w:lineRule="auto"/>
        <w:ind w:left="37" w:right="71"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7.8.1 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。联合体中标的，其履约保证金以联合体各方或联合体中牵头人的名义提交。</w:t>
      </w:r>
    </w:p>
    <w:p w14:paraId="67EF5046">
      <w:pPr>
        <w:kinsoku/>
        <w:spacing w:before="37" w:line="295" w:lineRule="auto"/>
        <w:ind w:left="67" w:right="203" w:firstLine="4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采用银行保函时，应由符合投标人须知前附表规定级别的银行开具，所需的费用由中标人承担，中标人应保证银行保函有效。</w:t>
      </w:r>
    </w:p>
    <w:p w14:paraId="055418DA">
      <w:pPr>
        <w:kinsoku/>
        <w:spacing w:before="33" w:line="299" w:lineRule="auto"/>
        <w:ind w:left="39" w:right="20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7.8.2 中标人不能按本章第7.8.1项要求提交履约保证金的，视为放弃中标，其投标保证金不予退还，给招标人造成的损失超过投标保证金数额的，中标人还应对超过</w:t>
      </w:r>
      <w:bookmarkStart w:id="248" w:name="bookmark153"/>
      <w:bookmarkEnd w:id="248"/>
      <w:r>
        <w:rPr>
          <w:rFonts w:hint="eastAsia" w:ascii="宋体" w:hAnsi="宋体" w:eastAsia="宋体" w:cs="宋体"/>
          <w:color w:val="000000" w:themeColor="text1"/>
          <w:sz w:val="24"/>
          <w:szCs w:val="24"/>
          <w:highlight w:val="none"/>
          <w:lang w:eastAsia="zh-CN"/>
          <w14:textFill>
            <w14:solidFill>
              <w14:schemeClr w14:val="tx1"/>
            </w14:solidFill>
          </w14:textFill>
        </w:rPr>
        <w:t>部分予以赔偿。</w:t>
      </w:r>
    </w:p>
    <w:p w14:paraId="2CE1EFD8">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49" w:name="bookmark152"/>
      <w:bookmarkEnd w:id="249"/>
      <w:bookmarkStart w:id="250" w:name="_Toc1009"/>
      <w:bookmarkStart w:id="251" w:name="_Toc16721"/>
      <w:r>
        <w:rPr>
          <w:rFonts w:hint="eastAsia" w:ascii="宋体" w:hAnsi="宋体" w:eastAsia="宋体" w:cs="宋体"/>
          <w:b/>
          <w:bCs/>
          <w:color w:val="000000" w:themeColor="text1"/>
          <w:sz w:val="24"/>
          <w:szCs w:val="24"/>
          <w:highlight w:val="none"/>
          <w:lang w:eastAsia="zh-CN"/>
          <w14:textFill>
            <w14:solidFill>
              <w14:schemeClr w14:val="tx1"/>
            </w14:solidFill>
          </w14:textFill>
        </w:rPr>
        <w:t>7.9 签订合同</w:t>
      </w:r>
      <w:bookmarkEnd w:id="250"/>
      <w:bookmarkEnd w:id="251"/>
    </w:p>
    <w:p w14:paraId="39AB4F3B">
      <w:pPr>
        <w:kinsoku/>
        <w:spacing w:before="79" w:line="290" w:lineRule="auto"/>
        <w:ind w:left="39" w:right="20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7.9.1 招标人和中标人应在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6F9FF952">
      <w:pPr>
        <w:kinsoku/>
        <w:spacing w:before="113" w:line="279" w:lineRule="auto"/>
        <w:ind w:left="37" w:right="206"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7.9.2 发出中标通知书后，招标人无正当理由拒签合同，或在签订合同时向中标人提出附加条件的，招标人向中标人退还投标保证金；给中标人造成损失的，还应赔偿损失。</w:t>
      </w:r>
    </w:p>
    <w:p w14:paraId="1C3E0955">
      <w:pPr>
        <w:kinsoku/>
        <w:spacing w:before="112" w:line="295" w:lineRule="auto"/>
        <w:ind w:left="57" w:right="203" w:firstLine="4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招标人不得以压低设计费、增加工作量、缩短设计服务期限等作为中标的条件，不得与中标人再行订立背离合同实质性内容的其他协议。</w:t>
      </w:r>
    </w:p>
    <w:p w14:paraId="75A19BAE">
      <w:pPr>
        <w:kinsoku/>
        <w:spacing w:before="35" w:line="218"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7.9.3 签约合同价的确定原则如下：</w:t>
      </w:r>
    </w:p>
    <w:p w14:paraId="72E4D48B">
      <w:pPr>
        <w:kinsoku/>
        <w:spacing w:before="115" w:line="263" w:lineRule="auto"/>
        <w:ind w:left="39" w:right="22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（1）按照评标办法规定对投标报价进行修正后，若修正后的最终投标报价小于开标时的投标函大写金额报价，则签订合同时以修正后的最终投标报价为准；</w:t>
      </w:r>
    </w:p>
    <w:p w14:paraId="09ECC9C3">
      <w:pPr>
        <w:kinsoku/>
        <w:spacing w:before="117" w:line="278" w:lineRule="auto"/>
        <w:ind w:left="39" w:right="145"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（2）按照评标办法规定对投标报价进行修正后，若修正后的最终投标报价大于开标时的投标函大写金额报价，则签订合同时以开标时的投标函大写金额报价为准，同时按比例修正相应子目的单价或合价。</w:t>
      </w:r>
    </w:p>
    <w:p w14:paraId="08259DC5">
      <w:pPr>
        <w:kinsoku/>
        <w:spacing w:before="117" w:line="263" w:lineRule="auto"/>
        <w:ind w:left="40" w:right="208"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7.9.4 联合体中标的，联合体各方应共同与招标人签订合同，就中标项目向招标人承担连带责任。</w:t>
      </w:r>
    </w:p>
    <w:p w14:paraId="373ED61F">
      <w:pPr>
        <w:kinsoku/>
        <w:spacing w:before="115" w:line="264" w:lineRule="auto"/>
        <w:ind w:left="3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7.9.5 招标人和中标人在签订合同协议书的同时，须按照本招标文件规定的格式和要求签订廉政合同，明确双方在廉政建设方面的权利和义务以及应承担的违约责任。</w:t>
      </w:r>
    </w:p>
    <w:p w14:paraId="4E1D6F5F">
      <w:pPr>
        <w:kinsoku/>
        <w:spacing w:line="296" w:lineRule="auto"/>
        <w:rPr>
          <w:rFonts w:ascii="宋体" w:hAnsi="宋体" w:eastAsia="宋体" w:cs="宋体"/>
          <w:color w:val="000000" w:themeColor="text1"/>
          <w:highlight w:val="none"/>
          <w:lang w:eastAsia="zh-CN"/>
          <w14:textFill>
            <w14:solidFill>
              <w14:schemeClr w14:val="tx1"/>
            </w14:solidFill>
          </w14:textFill>
        </w:rPr>
      </w:pPr>
    </w:p>
    <w:p w14:paraId="34936034">
      <w:pPr>
        <w:kinsoku/>
        <w:spacing w:before="92" w:line="219" w:lineRule="auto"/>
        <w:ind w:left="36"/>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252" w:name="bookmark157"/>
      <w:bookmarkEnd w:id="252"/>
      <w:bookmarkStart w:id="253" w:name="bookmark154"/>
      <w:bookmarkEnd w:id="253"/>
      <w:bookmarkStart w:id="254" w:name="bookmark155"/>
      <w:bookmarkEnd w:id="254"/>
      <w:bookmarkStart w:id="255" w:name="_Toc10189"/>
      <w:bookmarkStart w:id="256" w:name="_Toc9396"/>
      <w:r>
        <w:rPr>
          <w:rFonts w:hint="eastAsia" w:ascii="宋体" w:hAnsi="宋体" w:eastAsia="宋体" w:cs="宋体"/>
          <w:b/>
          <w:bCs/>
          <w:color w:val="000000" w:themeColor="text1"/>
          <w:sz w:val="28"/>
          <w:szCs w:val="28"/>
          <w:highlight w:val="none"/>
          <w:lang w:eastAsia="zh-CN"/>
          <w14:textFill>
            <w14:solidFill>
              <w14:schemeClr w14:val="tx1"/>
            </w14:solidFill>
          </w14:textFill>
        </w:rPr>
        <w:t>8. 纪律和监督</w:t>
      </w:r>
      <w:bookmarkEnd w:id="255"/>
      <w:bookmarkEnd w:id="256"/>
    </w:p>
    <w:p w14:paraId="05720C5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57" w:name="bookmark156"/>
      <w:bookmarkEnd w:id="257"/>
      <w:bookmarkStart w:id="258" w:name="_Toc2850"/>
      <w:bookmarkStart w:id="259" w:name="_Toc16074"/>
      <w:r>
        <w:rPr>
          <w:rFonts w:hint="eastAsia" w:ascii="宋体" w:hAnsi="宋体" w:eastAsia="宋体" w:cs="宋体"/>
          <w:b/>
          <w:bCs/>
          <w:color w:val="000000" w:themeColor="text1"/>
          <w:sz w:val="24"/>
          <w:szCs w:val="24"/>
          <w:highlight w:val="none"/>
          <w:lang w:eastAsia="zh-CN"/>
          <w14:textFill>
            <w14:solidFill>
              <w14:schemeClr w14:val="tx1"/>
            </w14:solidFill>
          </w14:textFill>
        </w:rPr>
        <w:t>8.1 对招标人的纪律要求</w:t>
      </w:r>
      <w:bookmarkEnd w:id="258"/>
      <w:bookmarkEnd w:id="259"/>
    </w:p>
    <w:p w14:paraId="514CBFC9">
      <w:pPr>
        <w:kinsoku/>
        <w:spacing w:before="115" w:line="264" w:lineRule="auto"/>
        <w:ind w:left="3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招标人不得泄露招标投标活动中应保密的情况和资料，不得与投标人串通损害国</w:t>
      </w:r>
      <w:bookmarkStart w:id="260" w:name="bookmark159"/>
      <w:bookmarkEnd w:id="260"/>
      <w:r>
        <w:rPr>
          <w:rFonts w:hint="eastAsia" w:ascii="宋体" w:hAnsi="宋体" w:eastAsia="宋体" w:cs="宋体"/>
          <w:color w:val="000000" w:themeColor="text1"/>
          <w:sz w:val="24"/>
          <w:szCs w:val="24"/>
          <w:highlight w:val="none"/>
          <w:lang w:eastAsia="zh-CN"/>
          <w14:textFill>
            <w14:solidFill>
              <w14:schemeClr w14:val="tx1"/>
            </w14:solidFill>
          </w14:textFill>
        </w:rPr>
        <w:t>家利益、社会公共利益或他人合法权益。</w:t>
      </w:r>
    </w:p>
    <w:p w14:paraId="4526968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61" w:name="bookmark158"/>
      <w:bookmarkEnd w:id="261"/>
      <w:bookmarkStart w:id="262" w:name="_Toc27636"/>
      <w:bookmarkStart w:id="263" w:name="_Toc10199"/>
      <w:r>
        <w:rPr>
          <w:rFonts w:hint="eastAsia" w:ascii="宋体" w:hAnsi="宋体" w:eastAsia="宋体" w:cs="宋体"/>
          <w:b/>
          <w:bCs/>
          <w:color w:val="000000" w:themeColor="text1"/>
          <w:sz w:val="24"/>
          <w:szCs w:val="24"/>
          <w:highlight w:val="none"/>
          <w:lang w:eastAsia="zh-CN"/>
          <w14:textFill>
            <w14:solidFill>
              <w14:schemeClr w14:val="tx1"/>
            </w14:solidFill>
          </w14:textFill>
        </w:rPr>
        <w:t>8.2 对投标人的纪律要求</w:t>
      </w:r>
      <w:bookmarkEnd w:id="262"/>
      <w:bookmarkEnd w:id="263"/>
    </w:p>
    <w:p w14:paraId="534BAA79">
      <w:pPr>
        <w:kinsoku/>
        <w:spacing w:before="78" w:line="298" w:lineRule="auto"/>
        <w:ind w:left="37" w:right="65" w:firstLine="483"/>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投标人不得相互串通投标或与招标人串通投标，不得向招标人或评标委员会成员行贿谋取中标，不得以他人名义投标或以其他方式弄虚作假骗取中标；投标人不得以</w:t>
      </w:r>
      <w:bookmarkStart w:id="264" w:name="bookmark161"/>
      <w:bookmarkEnd w:id="264"/>
      <w:r>
        <w:rPr>
          <w:rFonts w:hint="eastAsia" w:ascii="宋体" w:hAnsi="宋体" w:eastAsia="宋体" w:cs="宋体"/>
          <w:color w:val="000000" w:themeColor="text1"/>
          <w:sz w:val="24"/>
          <w:szCs w:val="24"/>
          <w:highlight w:val="none"/>
          <w:lang w:eastAsia="zh-CN"/>
          <w14:textFill>
            <w14:solidFill>
              <w14:schemeClr w14:val="tx1"/>
            </w14:solidFill>
          </w14:textFill>
        </w:rPr>
        <w:t>任何方式干扰、影响评标工作。</w:t>
      </w:r>
    </w:p>
    <w:p w14:paraId="57C4CB02">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65" w:name="bookmark160"/>
      <w:bookmarkEnd w:id="265"/>
      <w:bookmarkStart w:id="266" w:name="_Toc31610"/>
      <w:bookmarkStart w:id="267" w:name="_Toc370"/>
      <w:r>
        <w:rPr>
          <w:rFonts w:hint="eastAsia" w:ascii="宋体" w:hAnsi="宋体" w:eastAsia="宋体" w:cs="宋体"/>
          <w:b/>
          <w:bCs/>
          <w:color w:val="000000" w:themeColor="text1"/>
          <w:sz w:val="24"/>
          <w:szCs w:val="24"/>
          <w:highlight w:val="none"/>
          <w:lang w:eastAsia="zh-CN"/>
          <w14:textFill>
            <w14:solidFill>
              <w14:schemeClr w14:val="tx1"/>
            </w14:solidFill>
          </w14:textFill>
        </w:rPr>
        <w:t>8.3 对评标委员会成员的纪律要求</w:t>
      </w:r>
      <w:bookmarkEnd w:id="266"/>
      <w:bookmarkEnd w:id="267"/>
    </w:p>
    <w:p w14:paraId="06BCBB39">
      <w:pPr>
        <w:kinsoku/>
        <w:spacing w:before="78" w:line="301" w:lineRule="auto"/>
        <w:ind w:left="37" w:right="64"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w:t>
      </w:r>
      <w:bookmarkStart w:id="268" w:name="bookmark163"/>
      <w:bookmarkEnd w:id="268"/>
      <w:r>
        <w:rPr>
          <w:rFonts w:hint="eastAsia" w:ascii="宋体" w:hAnsi="宋体" w:eastAsia="宋体" w:cs="宋体"/>
          <w:color w:val="000000" w:themeColor="text1"/>
          <w:sz w:val="24"/>
          <w:szCs w:val="24"/>
          <w:highlight w:val="none"/>
          <w:lang w:eastAsia="zh-CN"/>
          <w14:textFill>
            <w14:solidFill>
              <w14:schemeClr w14:val="tx1"/>
            </w14:solidFill>
          </w14:textFill>
        </w:rPr>
        <w:t>正常进行，不得使用第三章“评标办法”没有规定的评审因素和标准进行评标。</w:t>
      </w:r>
    </w:p>
    <w:p w14:paraId="2C79FBF3">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69" w:name="bookmark162"/>
      <w:bookmarkEnd w:id="269"/>
      <w:bookmarkStart w:id="270" w:name="_Toc17992"/>
      <w:bookmarkStart w:id="271" w:name="_Toc32681"/>
      <w:r>
        <w:rPr>
          <w:rFonts w:hint="eastAsia" w:ascii="宋体" w:hAnsi="宋体" w:eastAsia="宋体" w:cs="宋体"/>
          <w:b/>
          <w:bCs/>
          <w:color w:val="000000" w:themeColor="text1"/>
          <w:sz w:val="24"/>
          <w:szCs w:val="24"/>
          <w:highlight w:val="none"/>
          <w:lang w:eastAsia="zh-CN"/>
          <w14:textFill>
            <w14:solidFill>
              <w14:schemeClr w14:val="tx1"/>
            </w14:solidFill>
          </w14:textFill>
        </w:rPr>
        <w:t>8.4 对与评标活动有关的工作人员的纪律要求</w:t>
      </w:r>
      <w:bookmarkEnd w:id="270"/>
      <w:bookmarkEnd w:id="271"/>
    </w:p>
    <w:p w14:paraId="07C20D41">
      <w:pPr>
        <w:kinsoku/>
        <w:spacing w:before="78" w:line="299" w:lineRule="auto"/>
        <w:ind w:left="39" w:right="64" w:firstLine="483"/>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117124B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72" w:name="bookmark165"/>
      <w:bookmarkEnd w:id="272"/>
      <w:bookmarkStart w:id="273" w:name="bookmark164"/>
      <w:bookmarkEnd w:id="273"/>
      <w:bookmarkStart w:id="274" w:name="_Toc4867"/>
      <w:bookmarkStart w:id="275" w:name="_Toc16585"/>
      <w:r>
        <w:rPr>
          <w:rFonts w:hint="eastAsia" w:ascii="宋体" w:hAnsi="宋体" w:eastAsia="宋体" w:cs="宋体"/>
          <w:b/>
          <w:bCs/>
          <w:color w:val="000000" w:themeColor="text1"/>
          <w:sz w:val="24"/>
          <w:szCs w:val="24"/>
          <w:highlight w:val="none"/>
          <w:lang w:eastAsia="zh-CN"/>
          <w14:textFill>
            <w14:solidFill>
              <w14:schemeClr w14:val="tx1"/>
            </w14:solidFill>
          </w14:textFill>
        </w:rPr>
        <w:t>8.5 投诉</w:t>
      </w:r>
      <w:bookmarkEnd w:id="274"/>
      <w:bookmarkEnd w:id="275"/>
    </w:p>
    <w:p w14:paraId="61A97399">
      <w:pPr>
        <w:kinsoku/>
        <w:spacing w:before="79" w:line="298" w:lineRule="auto"/>
        <w:ind w:left="40"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8.5.1 投标人或其他利害关系人认为招标投标活动不符合法律、行政法规规定的，可以自知道或应当知道之日起10日内向有关行政监督部门投诉。投诉应有明确的请求和必要的证明材料。</w:t>
      </w:r>
    </w:p>
    <w:p w14:paraId="0D642467">
      <w:pPr>
        <w:kinsoku/>
        <w:spacing w:before="37" w:line="219"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监督部门的联系方式见投标人须知前附表。</w:t>
      </w:r>
    </w:p>
    <w:p w14:paraId="78A35726">
      <w:pPr>
        <w:kinsoku/>
        <w:spacing w:before="116" w:line="299" w:lineRule="auto"/>
        <w:ind w:left="38" w:right="67"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8.5.2 投标人或其他利害关系人对招标文件、开标和评标结果提出投诉的，应按照本章第2.4款、第5.3款和第7.2款的规定先向招标人提出异议。异议答复期间不计算在第8.5.1项规定的期限内。</w:t>
      </w:r>
    </w:p>
    <w:p w14:paraId="62EDC93E">
      <w:pPr>
        <w:kinsoku/>
        <w:spacing w:before="309" w:line="220" w:lineRule="auto"/>
        <w:ind w:left="32"/>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276" w:name="bookmark166"/>
      <w:bookmarkEnd w:id="276"/>
      <w:bookmarkStart w:id="277" w:name="bookmark167"/>
      <w:bookmarkEnd w:id="277"/>
      <w:bookmarkStart w:id="278" w:name="_Toc8847"/>
      <w:bookmarkStart w:id="279" w:name="_Toc27275"/>
      <w:r>
        <w:rPr>
          <w:rFonts w:hint="eastAsia" w:ascii="宋体" w:hAnsi="宋体" w:eastAsia="宋体" w:cs="宋体"/>
          <w:b/>
          <w:bCs/>
          <w:color w:val="000000" w:themeColor="text1"/>
          <w:sz w:val="28"/>
          <w:szCs w:val="28"/>
          <w:highlight w:val="none"/>
          <w:lang w:eastAsia="zh-CN"/>
          <w14:textFill>
            <w14:solidFill>
              <w14:schemeClr w14:val="tx1"/>
            </w14:solidFill>
          </w14:textFill>
        </w:rPr>
        <w:t>9. 是否采用电子招标投标</w:t>
      </w:r>
      <w:bookmarkEnd w:id="278"/>
      <w:bookmarkEnd w:id="279"/>
    </w:p>
    <w:p w14:paraId="712DCB26">
      <w:pPr>
        <w:kinsoku/>
        <w:spacing w:before="78" w:line="219"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本招标项目是否采用电子招标投标方式，见投标人须知前附表。</w:t>
      </w:r>
    </w:p>
    <w:p w14:paraId="39C82EEE">
      <w:pPr>
        <w:kinsoku/>
        <w:spacing w:before="92" w:line="220" w:lineRule="auto"/>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280" w:name="bookmark168"/>
      <w:bookmarkEnd w:id="280"/>
      <w:bookmarkStart w:id="281" w:name="bookmark169"/>
      <w:bookmarkEnd w:id="281"/>
      <w:bookmarkStart w:id="282" w:name="_Toc9019"/>
      <w:bookmarkStart w:id="283" w:name="_Toc15481"/>
      <w:r>
        <w:rPr>
          <w:rFonts w:hint="eastAsia" w:ascii="宋体" w:hAnsi="宋体" w:eastAsia="宋体" w:cs="宋体"/>
          <w:b/>
          <w:bCs/>
          <w:color w:val="000000" w:themeColor="text1"/>
          <w:sz w:val="28"/>
          <w:szCs w:val="28"/>
          <w:highlight w:val="none"/>
          <w:lang w:eastAsia="zh-CN"/>
          <w14:textFill>
            <w14:solidFill>
              <w14:schemeClr w14:val="tx1"/>
            </w14:solidFill>
          </w14:textFill>
        </w:rPr>
        <w:t>10. 需要补充的其他内容</w:t>
      </w:r>
      <w:bookmarkEnd w:id="282"/>
      <w:bookmarkEnd w:id="283"/>
    </w:p>
    <w:p w14:paraId="1870046D">
      <w:pPr>
        <w:kinsoku/>
        <w:spacing w:before="78" w:line="291" w:lineRule="auto"/>
        <w:ind w:left="66" w:firstLine="47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10.1自购买招标文件之日起，投标人应保证其提供的联系方式（电话、传真、电子邮件）一直有效，以便及时收到招标人发出的函件(招标文件的澄清、修改等)，并应及时向招标人反馈信息，否则招标人不承担由此引起的一切后果。</w:t>
      </w:r>
    </w:p>
    <w:p w14:paraId="23D77430">
      <w:pPr>
        <w:kinsoku/>
        <w:spacing w:before="78" w:line="219" w:lineRule="auto"/>
        <w:ind w:left="531"/>
        <w:rPr>
          <w:rFonts w:ascii="宋体" w:hAnsi="宋体" w:eastAsia="宋体" w:cs="宋体"/>
          <w:color w:val="000000" w:themeColor="text1"/>
          <w:sz w:val="24"/>
          <w:szCs w:val="24"/>
          <w:highlight w:val="none"/>
          <w:lang w:eastAsia="zh-CN"/>
          <w14:textFill>
            <w14:solidFill>
              <w14:schemeClr w14:val="tx1"/>
            </w14:solidFill>
          </w14:textFill>
        </w:rPr>
        <w:sectPr>
          <w:headerReference r:id="rId15" w:type="default"/>
          <w:footerReference r:id="rId16" w:type="default"/>
          <w:pgSz w:w="11907" w:h="16841"/>
          <w:pgMar w:top="1173" w:right="1498" w:bottom="1254" w:left="1560" w:header="862" w:footer="1093" w:gutter="0"/>
          <w:cols w:space="720" w:num="1"/>
        </w:sectPr>
      </w:pPr>
      <w:r>
        <w:rPr>
          <w:rFonts w:hint="eastAsia" w:ascii="宋体" w:hAnsi="宋体" w:eastAsia="宋体" w:cs="宋体"/>
          <w:color w:val="000000" w:themeColor="text1"/>
          <w:sz w:val="24"/>
          <w:szCs w:val="24"/>
          <w:highlight w:val="none"/>
          <w:lang w:eastAsia="zh-CN"/>
          <w14:textFill>
            <w14:solidFill>
              <w14:schemeClr w14:val="tx1"/>
            </w14:solidFill>
          </w14:textFill>
        </w:rPr>
        <w:t>需要补充的其他内容：见投标人须知前附表。</w:t>
      </w:r>
    </w:p>
    <w:p w14:paraId="16010BEC">
      <w:pPr>
        <w:kinsoku/>
        <w:spacing w:before="78" w:line="224" w:lineRule="auto"/>
        <w:ind w:left="135"/>
        <w:outlineLvl w:val="1"/>
        <w:rPr>
          <w:rFonts w:ascii="宋体" w:hAnsi="宋体" w:eastAsia="宋体" w:cs="宋体"/>
          <w:color w:val="000000" w:themeColor="text1"/>
          <w:sz w:val="12"/>
          <w:szCs w:val="12"/>
          <w:highlight w:val="none"/>
          <w:lang w:eastAsia="zh-CN"/>
          <w14:textFill>
            <w14:solidFill>
              <w14:schemeClr w14:val="tx1"/>
            </w14:solidFill>
          </w14:textFill>
        </w:rPr>
      </w:pPr>
      <w:bookmarkStart w:id="284" w:name="bookmark170"/>
      <w:bookmarkEnd w:id="284"/>
      <w:bookmarkStart w:id="285" w:name="_Toc18446"/>
      <w:bookmarkStart w:id="286" w:name="_Toc12016"/>
      <w:r>
        <w:rPr>
          <w:rFonts w:hint="eastAsia" w:ascii="宋体" w:hAnsi="宋体" w:eastAsia="宋体" w:cs="宋体"/>
          <w:color w:val="000000" w:themeColor="text1"/>
          <w:sz w:val="24"/>
          <w:szCs w:val="24"/>
          <w:highlight w:val="none"/>
          <w:lang w:eastAsia="zh-CN"/>
          <w14:textFill>
            <w14:solidFill>
              <w14:schemeClr w14:val="tx1"/>
            </w14:solidFill>
          </w14:textFill>
        </w:rPr>
        <w:t>附件一 开标记录表</w:t>
      </w:r>
      <w:bookmarkEnd w:id="285"/>
      <w:bookmarkEnd w:id="286"/>
    </w:p>
    <w:p w14:paraId="1F497516">
      <w:pPr>
        <w:tabs>
          <w:tab w:val="left" w:pos="1105"/>
        </w:tabs>
        <w:kinsoku/>
        <w:spacing w:before="224" w:line="277" w:lineRule="auto"/>
        <w:ind w:left="3821" w:right="181" w:hanging="3709"/>
        <w:rPr>
          <w:rFonts w:ascii="宋体" w:hAnsi="宋体" w:eastAsia="宋体" w:cs="宋体"/>
          <w:color w:val="000000" w:themeColor="text1"/>
          <w:sz w:val="28"/>
          <w:szCs w:val="28"/>
          <w:highlight w:val="none"/>
          <w:lang w:eastAsia="zh-CN"/>
          <w14:textFill>
            <w14:solidFill>
              <w14:schemeClr w14:val="tx1"/>
            </w14:solidFill>
          </w14:textFill>
        </w:rPr>
      </w:pPr>
      <w:bookmarkStart w:id="287" w:name="bookmark171"/>
      <w:bookmarkEnd w:id="287"/>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（项目名称）</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标段施工图设计第一个信封（商务及技术文件）开标记录表</w:t>
      </w:r>
    </w:p>
    <w:p w14:paraId="718DDC1A">
      <w:pPr>
        <w:kinsoku/>
        <w:spacing w:before="73" w:line="220" w:lineRule="auto"/>
        <w:jc w:val="righ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开标时间：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日</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分</w:t>
      </w:r>
    </w:p>
    <w:p w14:paraId="63167178">
      <w:pPr>
        <w:kinsoku/>
        <w:spacing w:line="74" w:lineRule="auto"/>
        <w:rPr>
          <w:rFonts w:ascii="宋体" w:hAnsi="宋体" w:eastAsia="宋体" w:cs="宋体"/>
          <w:color w:val="000000" w:themeColor="text1"/>
          <w:sz w:val="2"/>
          <w:highlight w:val="none"/>
          <w14:textFill>
            <w14:solidFill>
              <w14:schemeClr w14:val="tx1"/>
            </w14:solidFill>
          </w14:textFill>
        </w:rPr>
      </w:pPr>
    </w:p>
    <w:tbl>
      <w:tblPr>
        <w:tblStyle w:val="26"/>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0"/>
        <w:gridCol w:w="1413"/>
        <w:gridCol w:w="1071"/>
        <w:gridCol w:w="1355"/>
        <w:gridCol w:w="1809"/>
        <w:gridCol w:w="1274"/>
        <w:gridCol w:w="1564"/>
      </w:tblGrid>
      <w:tr w14:paraId="2EA32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700" w:type="dxa"/>
            <w:vAlign w:val="center"/>
          </w:tcPr>
          <w:p w14:paraId="5475B475">
            <w:pPr>
              <w:kinsoku/>
              <w:spacing w:before="68" w:line="222"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413" w:type="dxa"/>
            <w:vAlign w:val="center"/>
          </w:tcPr>
          <w:p w14:paraId="7DCA9ABC">
            <w:pPr>
              <w:kinsoku/>
              <w:spacing w:before="68" w:line="221"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p>
        </w:tc>
        <w:tc>
          <w:tcPr>
            <w:tcW w:w="1071" w:type="dxa"/>
            <w:vAlign w:val="center"/>
          </w:tcPr>
          <w:p w14:paraId="58B9FD80">
            <w:pPr>
              <w:kinsoku/>
              <w:spacing w:before="68" w:line="221"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密封情况</w:t>
            </w:r>
          </w:p>
        </w:tc>
        <w:tc>
          <w:tcPr>
            <w:tcW w:w="1355" w:type="dxa"/>
            <w:vAlign w:val="center"/>
          </w:tcPr>
          <w:p w14:paraId="0EF2C534">
            <w:pPr>
              <w:kinsoku/>
              <w:spacing w:before="226" w:line="340" w:lineRule="auto"/>
              <w:ind w:left="-40" w:leftChars="-19" w:right="7"/>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投标保证金递交情况</w:t>
            </w:r>
          </w:p>
        </w:tc>
        <w:tc>
          <w:tcPr>
            <w:tcW w:w="1809" w:type="dxa"/>
            <w:vAlign w:val="center"/>
          </w:tcPr>
          <w:p w14:paraId="0DD74F2A">
            <w:pPr>
              <w:kinsoku/>
              <w:spacing w:before="69" w:line="221"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设计服务期限</w:t>
            </w:r>
          </w:p>
        </w:tc>
        <w:tc>
          <w:tcPr>
            <w:tcW w:w="1274" w:type="dxa"/>
            <w:vAlign w:val="center"/>
          </w:tcPr>
          <w:p w14:paraId="4271E623">
            <w:pPr>
              <w:kinsoku/>
              <w:spacing w:before="68" w:line="222"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1564" w:type="dxa"/>
            <w:vAlign w:val="center"/>
          </w:tcPr>
          <w:p w14:paraId="5F45EF1B">
            <w:pPr>
              <w:kinsoku/>
              <w:spacing w:before="69" w:line="221"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投标人代表签名</w:t>
            </w:r>
          </w:p>
        </w:tc>
      </w:tr>
      <w:tr w14:paraId="1A62D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657B7FAF">
            <w:pPr>
              <w:kinsoku/>
              <w:rPr>
                <w:rFonts w:ascii="宋体" w:hAnsi="宋体" w:eastAsia="宋体" w:cs="宋体"/>
                <w:color w:val="000000" w:themeColor="text1"/>
                <w:highlight w:val="none"/>
                <w14:textFill>
                  <w14:solidFill>
                    <w14:schemeClr w14:val="tx1"/>
                  </w14:solidFill>
                </w14:textFill>
              </w:rPr>
            </w:pPr>
          </w:p>
        </w:tc>
        <w:tc>
          <w:tcPr>
            <w:tcW w:w="1413" w:type="dxa"/>
          </w:tcPr>
          <w:p w14:paraId="3A662D41">
            <w:pPr>
              <w:kinsoku/>
              <w:rPr>
                <w:rFonts w:ascii="宋体" w:hAnsi="宋体" w:eastAsia="宋体" w:cs="宋体"/>
                <w:color w:val="000000" w:themeColor="text1"/>
                <w:highlight w:val="none"/>
                <w14:textFill>
                  <w14:solidFill>
                    <w14:schemeClr w14:val="tx1"/>
                  </w14:solidFill>
                </w14:textFill>
              </w:rPr>
            </w:pPr>
          </w:p>
        </w:tc>
        <w:tc>
          <w:tcPr>
            <w:tcW w:w="1071" w:type="dxa"/>
          </w:tcPr>
          <w:p w14:paraId="73B28658">
            <w:pPr>
              <w:kinsoku/>
              <w:rPr>
                <w:rFonts w:ascii="宋体" w:hAnsi="宋体" w:eastAsia="宋体" w:cs="宋体"/>
                <w:color w:val="000000" w:themeColor="text1"/>
                <w:highlight w:val="none"/>
                <w14:textFill>
                  <w14:solidFill>
                    <w14:schemeClr w14:val="tx1"/>
                  </w14:solidFill>
                </w14:textFill>
              </w:rPr>
            </w:pPr>
          </w:p>
        </w:tc>
        <w:tc>
          <w:tcPr>
            <w:tcW w:w="1355" w:type="dxa"/>
          </w:tcPr>
          <w:p w14:paraId="6D638533">
            <w:pPr>
              <w:kinsoku/>
              <w:rPr>
                <w:rFonts w:ascii="宋体" w:hAnsi="宋体" w:eastAsia="宋体" w:cs="宋体"/>
                <w:color w:val="000000" w:themeColor="text1"/>
                <w:highlight w:val="none"/>
                <w14:textFill>
                  <w14:solidFill>
                    <w14:schemeClr w14:val="tx1"/>
                  </w14:solidFill>
                </w14:textFill>
              </w:rPr>
            </w:pPr>
          </w:p>
        </w:tc>
        <w:tc>
          <w:tcPr>
            <w:tcW w:w="1809" w:type="dxa"/>
          </w:tcPr>
          <w:p w14:paraId="3E3E0D85">
            <w:pPr>
              <w:kinsoku/>
              <w:rPr>
                <w:rFonts w:ascii="宋体" w:hAnsi="宋体" w:eastAsia="宋体" w:cs="宋体"/>
                <w:color w:val="000000" w:themeColor="text1"/>
                <w:highlight w:val="none"/>
                <w14:textFill>
                  <w14:solidFill>
                    <w14:schemeClr w14:val="tx1"/>
                  </w14:solidFill>
                </w14:textFill>
              </w:rPr>
            </w:pPr>
          </w:p>
        </w:tc>
        <w:tc>
          <w:tcPr>
            <w:tcW w:w="1274" w:type="dxa"/>
          </w:tcPr>
          <w:p w14:paraId="01D48726">
            <w:pPr>
              <w:kinsoku/>
              <w:rPr>
                <w:rFonts w:ascii="宋体" w:hAnsi="宋体" w:eastAsia="宋体" w:cs="宋体"/>
                <w:color w:val="000000" w:themeColor="text1"/>
                <w:highlight w:val="none"/>
                <w14:textFill>
                  <w14:solidFill>
                    <w14:schemeClr w14:val="tx1"/>
                  </w14:solidFill>
                </w14:textFill>
              </w:rPr>
            </w:pPr>
          </w:p>
        </w:tc>
        <w:tc>
          <w:tcPr>
            <w:tcW w:w="1564" w:type="dxa"/>
          </w:tcPr>
          <w:p w14:paraId="2E1DA6D9">
            <w:pPr>
              <w:kinsoku/>
              <w:rPr>
                <w:rFonts w:ascii="宋体" w:hAnsi="宋体" w:eastAsia="宋体" w:cs="宋体"/>
                <w:color w:val="000000" w:themeColor="text1"/>
                <w:highlight w:val="none"/>
                <w14:textFill>
                  <w14:solidFill>
                    <w14:schemeClr w14:val="tx1"/>
                  </w14:solidFill>
                </w14:textFill>
              </w:rPr>
            </w:pPr>
          </w:p>
        </w:tc>
      </w:tr>
      <w:tr w14:paraId="742CA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0" w:type="dxa"/>
          </w:tcPr>
          <w:p w14:paraId="53F99DDD">
            <w:pPr>
              <w:kinsoku/>
              <w:rPr>
                <w:rFonts w:ascii="宋体" w:hAnsi="宋体" w:eastAsia="宋体" w:cs="宋体"/>
                <w:color w:val="000000" w:themeColor="text1"/>
                <w:highlight w:val="none"/>
                <w14:textFill>
                  <w14:solidFill>
                    <w14:schemeClr w14:val="tx1"/>
                  </w14:solidFill>
                </w14:textFill>
              </w:rPr>
            </w:pPr>
          </w:p>
        </w:tc>
        <w:tc>
          <w:tcPr>
            <w:tcW w:w="1413" w:type="dxa"/>
          </w:tcPr>
          <w:p w14:paraId="11D564A4">
            <w:pPr>
              <w:kinsoku/>
              <w:rPr>
                <w:rFonts w:ascii="宋体" w:hAnsi="宋体" w:eastAsia="宋体" w:cs="宋体"/>
                <w:color w:val="000000" w:themeColor="text1"/>
                <w:highlight w:val="none"/>
                <w14:textFill>
                  <w14:solidFill>
                    <w14:schemeClr w14:val="tx1"/>
                  </w14:solidFill>
                </w14:textFill>
              </w:rPr>
            </w:pPr>
          </w:p>
        </w:tc>
        <w:tc>
          <w:tcPr>
            <w:tcW w:w="1071" w:type="dxa"/>
          </w:tcPr>
          <w:p w14:paraId="58D056BF">
            <w:pPr>
              <w:kinsoku/>
              <w:rPr>
                <w:rFonts w:ascii="宋体" w:hAnsi="宋体" w:eastAsia="宋体" w:cs="宋体"/>
                <w:color w:val="000000" w:themeColor="text1"/>
                <w:highlight w:val="none"/>
                <w14:textFill>
                  <w14:solidFill>
                    <w14:schemeClr w14:val="tx1"/>
                  </w14:solidFill>
                </w14:textFill>
              </w:rPr>
            </w:pPr>
          </w:p>
        </w:tc>
        <w:tc>
          <w:tcPr>
            <w:tcW w:w="1355" w:type="dxa"/>
          </w:tcPr>
          <w:p w14:paraId="4F4F857A">
            <w:pPr>
              <w:kinsoku/>
              <w:rPr>
                <w:rFonts w:ascii="宋体" w:hAnsi="宋体" w:eastAsia="宋体" w:cs="宋体"/>
                <w:color w:val="000000" w:themeColor="text1"/>
                <w:highlight w:val="none"/>
                <w14:textFill>
                  <w14:solidFill>
                    <w14:schemeClr w14:val="tx1"/>
                  </w14:solidFill>
                </w14:textFill>
              </w:rPr>
            </w:pPr>
          </w:p>
        </w:tc>
        <w:tc>
          <w:tcPr>
            <w:tcW w:w="1809" w:type="dxa"/>
          </w:tcPr>
          <w:p w14:paraId="2EC7D7AE">
            <w:pPr>
              <w:kinsoku/>
              <w:rPr>
                <w:rFonts w:ascii="宋体" w:hAnsi="宋体" w:eastAsia="宋体" w:cs="宋体"/>
                <w:color w:val="000000" w:themeColor="text1"/>
                <w:highlight w:val="none"/>
                <w14:textFill>
                  <w14:solidFill>
                    <w14:schemeClr w14:val="tx1"/>
                  </w14:solidFill>
                </w14:textFill>
              </w:rPr>
            </w:pPr>
          </w:p>
        </w:tc>
        <w:tc>
          <w:tcPr>
            <w:tcW w:w="1274" w:type="dxa"/>
          </w:tcPr>
          <w:p w14:paraId="292834B2">
            <w:pPr>
              <w:kinsoku/>
              <w:rPr>
                <w:rFonts w:ascii="宋体" w:hAnsi="宋体" w:eastAsia="宋体" w:cs="宋体"/>
                <w:color w:val="000000" w:themeColor="text1"/>
                <w:highlight w:val="none"/>
                <w14:textFill>
                  <w14:solidFill>
                    <w14:schemeClr w14:val="tx1"/>
                  </w14:solidFill>
                </w14:textFill>
              </w:rPr>
            </w:pPr>
          </w:p>
        </w:tc>
        <w:tc>
          <w:tcPr>
            <w:tcW w:w="1564" w:type="dxa"/>
          </w:tcPr>
          <w:p w14:paraId="2D1E417B">
            <w:pPr>
              <w:kinsoku/>
              <w:rPr>
                <w:rFonts w:ascii="宋体" w:hAnsi="宋体" w:eastAsia="宋体" w:cs="宋体"/>
                <w:color w:val="000000" w:themeColor="text1"/>
                <w:highlight w:val="none"/>
                <w14:textFill>
                  <w14:solidFill>
                    <w14:schemeClr w14:val="tx1"/>
                  </w14:solidFill>
                </w14:textFill>
              </w:rPr>
            </w:pPr>
          </w:p>
        </w:tc>
      </w:tr>
      <w:tr w14:paraId="035AD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329A240C">
            <w:pPr>
              <w:kinsoku/>
              <w:rPr>
                <w:rFonts w:ascii="宋体" w:hAnsi="宋体" w:eastAsia="宋体" w:cs="宋体"/>
                <w:color w:val="000000" w:themeColor="text1"/>
                <w:highlight w:val="none"/>
                <w14:textFill>
                  <w14:solidFill>
                    <w14:schemeClr w14:val="tx1"/>
                  </w14:solidFill>
                </w14:textFill>
              </w:rPr>
            </w:pPr>
          </w:p>
        </w:tc>
        <w:tc>
          <w:tcPr>
            <w:tcW w:w="1413" w:type="dxa"/>
          </w:tcPr>
          <w:p w14:paraId="13832597">
            <w:pPr>
              <w:kinsoku/>
              <w:rPr>
                <w:rFonts w:ascii="宋体" w:hAnsi="宋体" w:eastAsia="宋体" w:cs="宋体"/>
                <w:color w:val="000000" w:themeColor="text1"/>
                <w:highlight w:val="none"/>
                <w14:textFill>
                  <w14:solidFill>
                    <w14:schemeClr w14:val="tx1"/>
                  </w14:solidFill>
                </w14:textFill>
              </w:rPr>
            </w:pPr>
          </w:p>
        </w:tc>
        <w:tc>
          <w:tcPr>
            <w:tcW w:w="1071" w:type="dxa"/>
          </w:tcPr>
          <w:p w14:paraId="2AD6BFDB">
            <w:pPr>
              <w:kinsoku/>
              <w:rPr>
                <w:rFonts w:ascii="宋体" w:hAnsi="宋体" w:eastAsia="宋体" w:cs="宋体"/>
                <w:color w:val="000000" w:themeColor="text1"/>
                <w:highlight w:val="none"/>
                <w14:textFill>
                  <w14:solidFill>
                    <w14:schemeClr w14:val="tx1"/>
                  </w14:solidFill>
                </w14:textFill>
              </w:rPr>
            </w:pPr>
          </w:p>
        </w:tc>
        <w:tc>
          <w:tcPr>
            <w:tcW w:w="1355" w:type="dxa"/>
          </w:tcPr>
          <w:p w14:paraId="5301BB46">
            <w:pPr>
              <w:kinsoku/>
              <w:rPr>
                <w:rFonts w:ascii="宋体" w:hAnsi="宋体" w:eastAsia="宋体" w:cs="宋体"/>
                <w:color w:val="000000" w:themeColor="text1"/>
                <w:highlight w:val="none"/>
                <w14:textFill>
                  <w14:solidFill>
                    <w14:schemeClr w14:val="tx1"/>
                  </w14:solidFill>
                </w14:textFill>
              </w:rPr>
            </w:pPr>
          </w:p>
        </w:tc>
        <w:tc>
          <w:tcPr>
            <w:tcW w:w="1809" w:type="dxa"/>
          </w:tcPr>
          <w:p w14:paraId="3E77CA54">
            <w:pPr>
              <w:kinsoku/>
              <w:rPr>
                <w:rFonts w:ascii="宋体" w:hAnsi="宋体" w:eastAsia="宋体" w:cs="宋体"/>
                <w:color w:val="000000" w:themeColor="text1"/>
                <w:highlight w:val="none"/>
                <w14:textFill>
                  <w14:solidFill>
                    <w14:schemeClr w14:val="tx1"/>
                  </w14:solidFill>
                </w14:textFill>
              </w:rPr>
            </w:pPr>
          </w:p>
        </w:tc>
        <w:tc>
          <w:tcPr>
            <w:tcW w:w="1274" w:type="dxa"/>
          </w:tcPr>
          <w:p w14:paraId="7B9A1AD6">
            <w:pPr>
              <w:kinsoku/>
              <w:rPr>
                <w:rFonts w:ascii="宋体" w:hAnsi="宋体" w:eastAsia="宋体" w:cs="宋体"/>
                <w:color w:val="000000" w:themeColor="text1"/>
                <w:highlight w:val="none"/>
                <w14:textFill>
                  <w14:solidFill>
                    <w14:schemeClr w14:val="tx1"/>
                  </w14:solidFill>
                </w14:textFill>
              </w:rPr>
            </w:pPr>
          </w:p>
        </w:tc>
        <w:tc>
          <w:tcPr>
            <w:tcW w:w="1564" w:type="dxa"/>
          </w:tcPr>
          <w:p w14:paraId="19A718F1">
            <w:pPr>
              <w:kinsoku/>
              <w:rPr>
                <w:rFonts w:ascii="宋体" w:hAnsi="宋体" w:eastAsia="宋体" w:cs="宋体"/>
                <w:color w:val="000000" w:themeColor="text1"/>
                <w:highlight w:val="none"/>
                <w14:textFill>
                  <w14:solidFill>
                    <w14:schemeClr w14:val="tx1"/>
                  </w14:solidFill>
                </w14:textFill>
              </w:rPr>
            </w:pPr>
          </w:p>
        </w:tc>
      </w:tr>
      <w:tr w14:paraId="6CFC1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0" w:type="dxa"/>
          </w:tcPr>
          <w:p w14:paraId="1CC6E18D">
            <w:pPr>
              <w:kinsoku/>
              <w:rPr>
                <w:rFonts w:ascii="宋体" w:hAnsi="宋体" w:eastAsia="宋体" w:cs="宋体"/>
                <w:color w:val="000000" w:themeColor="text1"/>
                <w:highlight w:val="none"/>
                <w14:textFill>
                  <w14:solidFill>
                    <w14:schemeClr w14:val="tx1"/>
                  </w14:solidFill>
                </w14:textFill>
              </w:rPr>
            </w:pPr>
          </w:p>
        </w:tc>
        <w:tc>
          <w:tcPr>
            <w:tcW w:w="1413" w:type="dxa"/>
          </w:tcPr>
          <w:p w14:paraId="1284CE2C">
            <w:pPr>
              <w:kinsoku/>
              <w:rPr>
                <w:rFonts w:ascii="宋体" w:hAnsi="宋体" w:eastAsia="宋体" w:cs="宋体"/>
                <w:color w:val="000000" w:themeColor="text1"/>
                <w:highlight w:val="none"/>
                <w14:textFill>
                  <w14:solidFill>
                    <w14:schemeClr w14:val="tx1"/>
                  </w14:solidFill>
                </w14:textFill>
              </w:rPr>
            </w:pPr>
          </w:p>
        </w:tc>
        <w:tc>
          <w:tcPr>
            <w:tcW w:w="1071" w:type="dxa"/>
          </w:tcPr>
          <w:p w14:paraId="35C065D0">
            <w:pPr>
              <w:kinsoku/>
              <w:rPr>
                <w:rFonts w:ascii="宋体" w:hAnsi="宋体" w:eastAsia="宋体" w:cs="宋体"/>
                <w:color w:val="000000" w:themeColor="text1"/>
                <w:highlight w:val="none"/>
                <w14:textFill>
                  <w14:solidFill>
                    <w14:schemeClr w14:val="tx1"/>
                  </w14:solidFill>
                </w14:textFill>
              </w:rPr>
            </w:pPr>
          </w:p>
        </w:tc>
        <w:tc>
          <w:tcPr>
            <w:tcW w:w="1355" w:type="dxa"/>
          </w:tcPr>
          <w:p w14:paraId="5D8B2643">
            <w:pPr>
              <w:kinsoku/>
              <w:rPr>
                <w:rFonts w:ascii="宋体" w:hAnsi="宋体" w:eastAsia="宋体" w:cs="宋体"/>
                <w:color w:val="000000" w:themeColor="text1"/>
                <w:highlight w:val="none"/>
                <w14:textFill>
                  <w14:solidFill>
                    <w14:schemeClr w14:val="tx1"/>
                  </w14:solidFill>
                </w14:textFill>
              </w:rPr>
            </w:pPr>
          </w:p>
        </w:tc>
        <w:tc>
          <w:tcPr>
            <w:tcW w:w="1809" w:type="dxa"/>
          </w:tcPr>
          <w:p w14:paraId="2497B840">
            <w:pPr>
              <w:kinsoku/>
              <w:rPr>
                <w:rFonts w:ascii="宋体" w:hAnsi="宋体" w:eastAsia="宋体" w:cs="宋体"/>
                <w:color w:val="000000" w:themeColor="text1"/>
                <w:highlight w:val="none"/>
                <w14:textFill>
                  <w14:solidFill>
                    <w14:schemeClr w14:val="tx1"/>
                  </w14:solidFill>
                </w14:textFill>
              </w:rPr>
            </w:pPr>
          </w:p>
        </w:tc>
        <w:tc>
          <w:tcPr>
            <w:tcW w:w="1274" w:type="dxa"/>
          </w:tcPr>
          <w:p w14:paraId="13AE5BB8">
            <w:pPr>
              <w:kinsoku/>
              <w:rPr>
                <w:rFonts w:ascii="宋体" w:hAnsi="宋体" w:eastAsia="宋体" w:cs="宋体"/>
                <w:color w:val="000000" w:themeColor="text1"/>
                <w:highlight w:val="none"/>
                <w14:textFill>
                  <w14:solidFill>
                    <w14:schemeClr w14:val="tx1"/>
                  </w14:solidFill>
                </w14:textFill>
              </w:rPr>
            </w:pPr>
          </w:p>
        </w:tc>
        <w:tc>
          <w:tcPr>
            <w:tcW w:w="1564" w:type="dxa"/>
          </w:tcPr>
          <w:p w14:paraId="7F369CE0">
            <w:pPr>
              <w:kinsoku/>
              <w:rPr>
                <w:rFonts w:ascii="宋体" w:hAnsi="宋体" w:eastAsia="宋体" w:cs="宋体"/>
                <w:color w:val="000000" w:themeColor="text1"/>
                <w:highlight w:val="none"/>
                <w14:textFill>
                  <w14:solidFill>
                    <w14:schemeClr w14:val="tx1"/>
                  </w14:solidFill>
                </w14:textFill>
              </w:rPr>
            </w:pPr>
          </w:p>
        </w:tc>
      </w:tr>
      <w:tr w14:paraId="19C4C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2B020068">
            <w:pPr>
              <w:kinsoku/>
              <w:rPr>
                <w:rFonts w:ascii="宋体" w:hAnsi="宋体" w:eastAsia="宋体" w:cs="宋体"/>
                <w:color w:val="000000" w:themeColor="text1"/>
                <w:highlight w:val="none"/>
                <w14:textFill>
                  <w14:solidFill>
                    <w14:schemeClr w14:val="tx1"/>
                  </w14:solidFill>
                </w14:textFill>
              </w:rPr>
            </w:pPr>
          </w:p>
        </w:tc>
        <w:tc>
          <w:tcPr>
            <w:tcW w:w="1413" w:type="dxa"/>
          </w:tcPr>
          <w:p w14:paraId="272F4205">
            <w:pPr>
              <w:kinsoku/>
              <w:rPr>
                <w:rFonts w:ascii="宋体" w:hAnsi="宋体" w:eastAsia="宋体" w:cs="宋体"/>
                <w:color w:val="000000" w:themeColor="text1"/>
                <w:highlight w:val="none"/>
                <w14:textFill>
                  <w14:solidFill>
                    <w14:schemeClr w14:val="tx1"/>
                  </w14:solidFill>
                </w14:textFill>
              </w:rPr>
            </w:pPr>
          </w:p>
        </w:tc>
        <w:tc>
          <w:tcPr>
            <w:tcW w:w="1071" w:type="dxa"/>
          </w:tcPr>
          <w:p w14:paraId="2BC0A639">
            <w:pPr>
              <w:kinsoku/>
              <w:rPr>
                <w:rFonts w:ascii="宋体" w:hAnsi="宋体" w:eastAsia="宋体" w:cs="宋体"/>
                <w:color w:val="000000" w:themeColor="text1"/>
                <w:highlight w:val="none"/>
                <w14:textFill>
                  <w14:solidFill>
                    <w14:schemeClr w14:val="tx1"/>
                  </w14:solidFill>
                </w14:textFill>
              </w:rPr>
            </w:pPr>
          </w:p>
        </w:tc>
        <w:tc>
          <w:tcPr>
            <w:tcW w:w="1355" w:type="dxa"/>
          </w:tcPr>
          <w:p w14:paraId="53D47633">
            <w:pPr>
              <w:kinsoku/>
              <w:rPr>
                <w:rFonts w:ascii="宋体" w:hAnsi="宋体" w:eastAsia="宋体" w:cs="宋体"/>
                <w:color w:val="000000" w:themeColor="text1"/>
                <w:highlight w:val="none"/>
                <w14:textFill>
                  <w14:solidFill>
                    <w14:schemeClr w14:val="tx1"/>
                  </w14:solidFill>
                </w14:textFill>
              </w:rPr>
            </w:pPr>
          </w:p>
        </w:tc>
        <w:tc>
          <w:tcPr>
            <w:tcW w:w="1809" w:type="dxa"/>
          </w:tcPr>
          <w:p w14:paraId="65A72AE6">
            <w:pPr>
              <w:kinsoku/>
              <w:rPr>
                <w:rFonts w:ascii="宋体" w:hAnsi="宋体" w:eastAsia="宋体" w:cs="宋体"/>
                <w:color w:val="000000" w:themeColor="text1"/>
                <w:highlight w:val="none"/>
                <w14:textFill>
                  <w14:solidFill>
                    <w14:schemeClr w14:val="tx1"/>
                  </w14:solidFill>
                </w14:textFill>
              </w:rPr>
            </w:pPr>
          </w:p>
        </w:tc>
        <w:tc>
          <w:tcPr>
            <w:tcW w:w="1274" w:type="dxa"/>
          </w:tcPr>
          <w:p w14:paraId="0EAF9EF9">
            <w:pPr>
              <w:kinsoku/>
              <w:rPr>
                <w:rFonts w:ascii="宋体" w:hAnsi="宋体" w:eastAsia="宋体" w:cs="宋体"/>
                <w:color w:val="000000" w:themeColor="text1"/>
                <w:highlight w:val="none"/>
                <w14:textFill>
                  <w14:solidFill>
                    <w14:schemeClr w14:val="tx1"/>
                  </w14:solidFill>
                </w14:textFill>
              </w:rPr>
            </w:pPr>
          </w:p>
        </w:tc>
        <w:tc>
          <w:tcPr>
            <w:tcW w:w="1564" w:type="dxa"/>
          </w:tcPr>
          <w:p w14:paraId="192535EE">
            <w:pPr>
              <w:kinsoku/>
              <w:rPr>
                <w:rFonts w:ascii="宋体" w:hAnsi="宋体" w:eastAsia="宋体" w:cs="宋体"/>
                <w:color w:val="000000" w:themeColor="text1"/>
                <w:highlight w:val="none"/>
                <w14:textFill>
                  <w14:solidFill>
                    <w14:schemeClr w14:val="tx1"/>
                  </w14:solidFill>
                </w14:textFill>
              </w:rPr>
            </w:pPr>
          </w:p>
        </w:tc>
      </w:tr>
      <w:tr w14:paraId="2A7AA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tcPr>
          <w:p w14:paraId="6D1BFD6E">
            <w:pPr>
              <w:kinsoku/>
              <w:rPr>
                <w:rFonts w:ascii="宋体" w:hAnsi="宋体" w:eastAsia="宋体" w:cs="宋体"/>
                <w:color w:val="000000" w:themeColor="text1"/>
                <w:highlight w:val="none"/>
                <w14:textFill>
                  <w14:solidFill>
                    <w14:schemeClr w14:val="tx1"/>
                  </w14:solidFill>
                </w14:textFill>
              </w:rPr>
            </w:pPr>
          </w:p>
        </w:tc>
        <w:tc>
          <w:tcPr>
            <w:tcW w:w="1413" w:type="dxa"/>
          </w:tcPr>
          <w:p w14:paraId="1DAAEE19">
            <w:pPr>
              <w:kinsoku/>
              <w:rPr>
                <w:rFonts w:ascii="宋体" w:hAnsi="宋体" w:eastAsia="宋体" w:cs="宋体"/>
                <w:color w:val="000000" w:themeColor="text1"/>
                <w:highlight w:val="none"/>
                <w14:textFill>
                  <w14:solidFill>
                    <w14:schemeClr w14:val="tx1"/>
                  </w14:solidFill>
                </w14:textFill>
              </w:rPr>
            </w:pPr>
          </w:p>
        </w:tc>
        <w:tc>
          <w:tcPr>
            <w:tcW w:w="1071" w:type="dxa"/>
          </w:tcPr>
          <w:p w14:paraId="5F34B47C">
            <w:pPr>
              <w:kinsoku/>
              <w:rPr>
                <w:rFonts w:ascii="宋体" w:hAnsi="宋体" w:eastAsia="宋体" w:cs="宋体"/>
                <w:color w:val="000000" w:themeColor="text1"/>
                <w:highlight w:val="none"/>
                <w14:textFill>
                  <w14:solidFill>
                    <w14:schemeClr w14:val="tx1"/>
                  </w14:solidFill>
                </w14:textFill>
              </w:rPr>
            </w:pPr>
          </w:p>
        </w:tc>
        <w:tc>
          <w:tcPr>
            <w:tcW w:w="1355" w:type="dxa"/>
          </w:tcPr>
          <w:p w14:paraId="3495891E">
            <w:pPr>
              <w:kinsoku/>
              <w:rPr>
                <w:rFonts w:ascii="宋体" w:hAnsi="宋体" w:eastAsia="宋体" w:cs="宋体"/>
                <w:color w:val="000000" w:themeColor="text1"/>
                <w:highlight w:val="none"/>
                <w14:textFill>
                  <w14:solidFill>
                    <w14:schemeClr w14:val="tx1"/>
                  </w14:solidFill>
                </w14:textFill>
              </w:rPr>
            </w:pPr>
          </w:p>
        </w:tc>
        <w:tc>
          <w:tcPr>
            <w:tcW w:w="1809" w:type="dxa"/>
          </w:tcPr>
          <w:p w14:paraId="267157DC">
            <w:pPr>
              <w:kinsoku/>
              <w:rPr>
                <w:rFonts w:ascii="宋体" w:hAnsi="宋体" w:eastAsia="宋体" w:cs="宋体"/>
                <w:color w:val="000000" w:themeColor="text1"/>
                <w:highlight w:val="none"/>
                <w14:textFill>
                  <w14:solidFill>
                    <w14:schemeClr w14:val="tx1"/>
                  </w14:solidFill>
                </w14:textFill>
              </w:rPr>
            </w:pPr>
          </w:p>
        </w:tc>
        <w:tc>
          <w:tcPr>
            <w:tcW w:w="1274" w:type="dxa"/>
          </w:tcPr>
          <w:p w14:paraId="40ABF812">
            <w:pPr>
              <w:kinsoku/>
              <w:rPr>
                <w:rFonts w:ascii="宋体" w:hAnsi="宋体" w:eastAsia="宋体" w:cs="宋体"/>
                <w:color w:val="000000" w:themeColor="text1"/>
                <w:highlight w:val="none"/>
                <w14:textFill>
                  <w14:solidFill>
                    <w14:schemeClr w14:val="tx1"/>
                  </w14:solidFill>
                </w14:textFill>
              </w:rPr>
            </w:pPr>
          </w:p>
        </w:tc>
        <w:tc>
          <w:tcPr>
            <w:tcW w:w="1564" w:type="dxa"/>
          </w:tcPr>
          <w:p w14:paraId="3AA71B60">
            <w:pPr>
              <w:kinsoku/>
              <w:rPr>
                <w:rFonts w:ascii="宋体" w:hAnsi="宋体" w:eastAsia="宋体" w:cs="宋体"/>
                <w:color w:val="000000" w:themeColor="text1"/>
                <w:highlight w:val="none"/>
                <w14:textFill>
                  <w14:solidFill>
                    <w14:schemeClr w14:val="tx1"/>
                  </w14:solidFill>
                </w14:textFill>
              </w:rPr>
            </w:pPr>
          </w:p>
        </w:tc>
      </w:tr>
      <w:tr w14:paraId="089B1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62520BB0">
            <w:pPr>
              <w:kinsoku/>
              <w:rPr>
                <w:rFonts w:ascii="宋体" w:hAnsi="宋体" w:eastAsia="宋体" w:cs="宋体"/>
                <w:color w:val="000000" w:themeColor="text1"/>
                <w:highlight w:val="none"/>
                <w14:textFill>
                  <w14:solidFill>
                    <w14:schemeClr w14:val="tx1"/>
                  </w14:solidFill>
                </w14:textFill>
              </w:rPr>
            </w:pPr>
          </w:p>
        </w:tc>
        <w:tc>
          <w:tcPr>
            <w:tcW w:w="1413" w:type="dxa"/>
          </w:tcPr>
          <w:p w14:paraId="27157240">
            <w:pPr>
              <w:kinsoku/>
              <w:rPr>
                <w:rFonts w:ascii="宋体" w:hAnsi="宋体" w:eastAsia="宋体" w:cs="宋体"/>
                <w:color w:val="000000" w:themeColor="text1"/>
                <w:highlight w:val="none"/>
                <w14:textFill>
                  <w14:solidFill>
                    <w14:schemeClr w14:val="tx1"/>
                  </w14:solidFill>
                </w14:textFill>
              </w:rPr>
            </w:pPr>
          </w:p>
        </w:tc>
        <w:tc>
          <w:tcPr>
            <w:tcW w:w="1071" w:type="dxa"/>
          </w:tcPr>
          <w:p w14:paraId="2AF3626C">
            <w:pPr>
              <w:kinsoku/>
              <w:rPr>
                <w:rFonts w:ascii="宋体" w:hAnsi="宋体" w:eastAsia="宋体" w:cs="宋体"/>
                <w:color w:val="000000" w:themeColor="text1"/>
                <w:highlight w:val="none"/>
                <w14:textFill>
                  <w14:solidFill>
                    <w14:schemeClr w14:val="tx1"/>
                  </w14:solidFill>
                </w14:textFill>
              </w:rPr>
            </w:pPr>
          </w:p>
        </w:tc>
        <w:tc>
          <w:tcPr>
            <w:tcW w:w="1355" w:type="dxa"/>
          </w:tcPr>
          <w:p w14:paraId="384BD5E5">
            <w:pPr>
              <w:kinsoku/>
              <w:rPr>
                <w:rFonts w:ascii="宋体" w:hAnsi="宋体" w:eastAsia="宋体" w:cs="宋体"/>
                <w:color w:val="000000" w:themeColor="text1"/>
                <w:highlight w:val="none"/>
                <w14:textFill>
                  <w14:solidFill>
                    <w14:schemeClr w14:val="tx1"/>
                  </w14:solidFill>
                </w14:textFill>
              </w:rPr>
            </w:pPr>
          </w:p>
        </w:tc>
        <w:tc>
          <w:tcPr>
            <w:tcW w:w="1809" w:type="dxa"/>
          </w:tcPr>
          <w:p w14:paraId="1B88E94A">
            <w:pPr>
              <w:kinsoku/>
              <w:rPr>
                <w:rFonts w:ascii="宋体" w:hAnsi="宋体" w:eastAsia="宋体" w:cs="宋体"/>
                <w:color w:val="000000" w:themeColor="text1"/>
                <w:highlight w:val="none"/>
                <w14:textFill>
                  <w14:solidFill>
                    <w14:schemeClr w14:val="tx1"/>
                  </w14:solidFill>
                </w14:textFill>
              </w:rPr>
            </w:pPr>
          </w:p>
        </w:tc>
        <w:tc>
          <w:tcPr>
            <w:tcW w:w="1274" w:type="dxa"/>
          </w:tcPr>
          <w:p w14:paraId="43B8DEEF">
            <w:pPr>
              <w:kinsoku/>
              <w:rPr>
                <w:rFonts w:ascii="宋体" w:hAnsi="宋体" w:eastAsia="宋体" w:cs="宋体"/>
                <w:color w:val="000000" w:themeColor="text1"/>
                <w:highlight w:val="none"/>
                <w14:textFill>
                  <w14:solidFill>
                    <w14:schemeClr w14:val="tx1"/>
                  </w14:solidFill>
                </w14:textFill>
              </w:rPr>
            </w:pPr>
          </w:p>
        </w:tc>
        <w:tc>
          <w:tcPr>
            <w:tcW w:w="1564" w:type="dxa"/>
          </w:tcPr>
          <w:p w14:paraId="2ABFD13E">
            <w:pPr>
              <w:kinsoku/>
              <w:rPr>
                <w:rFonts w:ascii="宋体" w:hAnsi="宋体" w:eastAsia="宋体" w:cs="宋体"/>
                <w:color w:val="000000" w:themeColor="text1"/>
                <w:highlight w:val="none"/>
                <w14:textFill>
                  <w14:solidFill>
                    <w14:schemeClr w14:val="tx1"/>
                  </w14:solidFill>
                </w14:textFill>
              </w:rPr>
            </w:pPr>
          </w:p>
        </w:tc>
      </w:tr>
      <w:tr w14:paraId="3474B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0" w:type="dxa"/>
          </w:tcPr>
          <w:p w14:paraId="6649A95E">
            <w:pPr>
              <w:kinsoku/>
              <w:rPr>
                <w:rFonts w:ascii="宋体" w:hAnsi="宋体" w:eastAsia="宋体" w:cs="宋体"/>
                <w:color w:val="000000" w:themeColor="text1"/>
                <w:highlight w:val="none"/>
                <w14:textFill>
                  <w14:solidFill>
                    <w14:schemeClr w14:val="tx1"/>
                  </w14:solidFill>
                </w14:textFill>
              </w:rPr>
            </w:pPr>
          </w:p>
        </w:tc>
        <w:tc>
          <w:tcPr>
            <w:tcW w:w="1413" w:type="dxa"/>
          </w:tcPr>
          <w:p w14:paraId="7791147F">
            <w:pPr>
              <w:kinsoku/>
              <w:rPr>
                <w:rFonts w:ascii="宋体" w:hAnsi="宋体" w:eastAsia="宋体" w:cs="宋体"/>
                <w:color w:val="000000" w:themeColor="text1"/>
                <w:highlight w:val="none"/>
                <w14:textFill>
                  <w14:solidFill>
                    <w14:schemeClr w14:val="tx1"/>
                  </w14:solidFill>
                </w14:textFill>
              </w:rPr>
            </w:pPr>
          </w:p>
        </w:tc>
        <w:tc>
          <w:tcPr>
            <w:tcW w:w="1071" w:type="dxa"/>
          </w:tcPr>
          <w:p w14:paraId="1D0D8639">
            <w:pPr>
              <w:kinsoku/>
              <w:rPr>
                <w:rFonts w:ascii="宋体" w:hAnsi="宋体" w:eastAsia="宋体" w:cs="宋体"/>
                <w:color w:val="000000" w:themeColor="text1"/>
                <w:highlight w:val="none"/>
                <w14:textFill>
                  <w14:solidFill>
                    <w14:schemeClr w14:val="tx1"/>
                  </w14:solidFill>
                </w14:textFill>
              </w:rPr>
            </w:pPr>
          </w:p>
        </w:tc>
        <w:tc>
          <w:tcPr>
            <w:tcW w:w="1355" w:type="dxa"/>
          </w:tcPr>
          <w:p w14:paraId="1DD05BEA">
            <w:pPr>
              <w:kinsoku/>
              <w:rPr>
                <w:rFonts w:ascii="宋体" w:hAnsi="宋体" w:eastAsia="宋体" w:cs="宋体"/>
                <w:color w:val="000000" w:themeColor="text1"/>
                <w:highlight w:val="none"/>
                <w14:textFill>
                  <w14:solidFill>
                    <w14:schemeClr w14:val="tx1"/>
                  </w14:solidFill>
                </w14:textFill>
              </w:rPr>
            </w:pPr>
          </w:p>
        </w:tc>
        <w:tc>
          <w:tcPr>
            <w:tcW w:w="1809" w:type="dxa"/>
          </w:tcPr>
          <w:p w14:paraId="2DA968F0">
            <w:pPr>
              <w:kinsoku/>
              <w:rPr>
                <w:rFonts w:ascii="宋体" w:hAnsi="宋体" w:eastAsia="宋体" w:cs="宋体"/>
                <w:color w:val="000000" w:themeColor="text1"/>
                <w:highlight w:val="none"/>
                <w14:textFill>
                  <w14:solidFill>
                    <w14:schemeClr w14:val="tx1"/>
                  </w14:solidFill>
                </w14:textFill>
              </w:rPr>
            </w:pPr>
          </w:p>
        </w:tc>
        <w:tc>
          <w:tcPr>
            <w:tcW w:w="1274" w:type="dxa"/>
          </w:tcPr>
          <w:p w14:paraId="213070B9">
            <w:pPr>
              <w:kinsoku/>
              <w:rPr>
                <w:rFonts w:ascii="宋体" w:hAnsi="宋体" w:eastAsia="宋体" w:cs="宋体"/>
                <w:color w:val="000000" w:themeColor="text1"/>
                <w:highlight w:val="none"/>
                <w14:textFill>
                  <w14:solidFill>
                    <w14:schemeClr w14:val="tx1"/>
                  </w14:solidFill>
                </w14:textFill>
              </w:rPr>
            </w:pPr>
          </w:p>
        </w:tc>
        <w:tc>
          <w:tcPr>
            <w:tcW w:w="1564" w:type="dxa"/>
          </w:tcPr>
          <w:p w14:paraId="1F0918F8">
            <w:pPr>
              <w:kinsoku/>
              <w:rPr>
                <w:rFonts w:ascii="宋体" w:hAnsi="宋体" w:eastAsia="宋体" w:cs="宋体"/>
                <w:color w:val="000000" w:themeColor="text1"/>
                <w:highlight w:val="none"/>
                <w14:textFill>
                  <w14:solidFill>
                    <w14:schemeClr w14:val="tx1"/>
                  </w14:solidFill>
                </w14:textFill>
              </w:rPr>
            </w:pPr>
          </w:p>
        </w:tc>
      </w:tr>
      <w:tr w14:paraId="44C03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1C622C01">
            <w:pPr>
              <w:kinsoku/>
              <w:rPr>
                <w:rFonts w:ascii="宋体" w:hAnsi="宋体" w:eastAsia="宋体" w:cs="宋体"/>
                <w:color w:val="000000" w:themeColor="text1"/>
                <w:highlight w:val="none"/>
                <w14:textFill>
                  <w14:solidFill>
                    <w14:schemeClr w14:val="tx1"/>
                  </w14:solidFill>
                </w14:textFill>
              </w:rPr>
            </w:pPr>
          </w:p>
        </w:tc>
        <w:tc>
          <w:tcPr>
            <w:tcW w:w="1413" w:type="dxa"/>
          </w:tcPr>
          <w:p w14:paraId="7EA8FC87">
            <w:pPr>
              <w:kinsoku/>
              <w:rPr>
                <w:rFonts w:ascii="宋体" w:hAnsi="宋体" w:eastAsia="宋体" w:cs="宋体"/>
                <w:color w:val="000000" w:themeColor="text1"/>
                <w:highlight w:val="none"/>
                <w14:textFill>
                  <w14:solidFill>
                    <w14:schemeClr w14:val="tx1"/>
                  </w14:solidFill>
                </w14:textFill>
              </w:rPr>
            </w:pPr>
          </w:p>
        </w:tc>
        <w:tc>
          <w:tcPr>
            <w:tcW w:w="1071" w:type="dxa"/>
          </w:tcPr>
          <w:p w14:paraId="343C8100">
            <w:pPr>
              <w:kinsoku/>
              <w:rPr>
                <w:rFonts w:ascii="宋体" w:hAnsi="宋体" w:eastAsia="宋体" w:cs="宋体"/>
                <w:color w:val="000000" w:themeColor="text1"/>
                <w:highlight w:val="none"/>
                <w14:textFill>
                  <w14:solidFill>
                    <w14:schemeClr w14:val="tx1"/>
                  </w14:solidFill>
                </w14:textFill>
              </w:rPr>
            </w:pPr>
          </w:p>
        </w:tc>
        <w:tc>
          <w:tcPr>
            <w:tcW w:w="1355" w:type="dxa"/>
          </w:tcPr>
          <w:p w14:paraId="526F4391">
            <w:pPr>
              <w:kinsoku/>
              <w:rPr>
                <w:rFonts w:ascii="宋体" w:hAnsi="宋体" w:eastAsia="宋体" w:cs="宋体"/>
                <w:color w:val="000000" w:themeColor="text1"/>
                <w:highlight w:val="none"/>
                <w14:textFill>
                  <w14:solidFill>
                    <w14:schemeClr w14:val="tx1"/>
                  </w14:solidFill>
                </w14:textFill>
              </w:rPr>
            </w:pPr>
          </w:p>
        </w:tc>
        <w:tc>
          <w:tcPr>
            <w:tcW w:w="1809" w:type="dxa"/>
          </w:tcPr>
          <w:p w14:paraId="45B9F7A3">
            <w:pPr>
              <w:kinsoku/>
              <w:rPr>
                <w:rFonts w:ascii="宋体" w:hAnsi="宋体" w:eastAsia="宋体" w:cs="宋体"/>
                <w:color w:val="000000" w:themeColor="text1"/>
                <w:highlight w:val="none"/>
                <w14:textFill>
                  <w14:solidFill>
                    <w14:schemeClr w14:val="tx1"/>
                  </w14:solidFill>
                </w14:textFill>
              </w:rPr>
            </w:pPr>
          </w:p>
        </w:tc>
        <w:tc>
          <w:tcPr>
            <w:tcW w:w="1274" w:type="dxa"/>
          </w:tcPr>
          <w:p w14:paraId="5242E465">
            <w:pPr>
              <w:kinsoku/>
              <w:rPr>
                <w:rFonts w:ascii="宋体" w:hAnsi="宋体" w:eastAsia="宋体" w:cs="宋体"/>
                <w:color w:val="000000" w:themeColor="text1"/>
                <w:highlight w:val="none"/>
                <w14:textFill>
                  <w14:solidFill>
                    <w14:schemeClr w14:val="tx1"/>
                  </w14:solidFill>
                </w14:textFill>
              </w:rPr>
            </w:pPr>
          </w:p>
        </w:tc>
        <w:tc>
          <w:tcPr>
            <w:tcW w:w="1564" w:type="dxa"/>
          </w:tcPr>
          <w:p w14:paraId="7D083B1C">
            <w:pPr>
              <w:kinsoku/>
              <w:rPr>
                <w:rFonts w:ascii="宋体" w:hAnsi="宋体" w:eastAsia="宋体" w:cs="宋体"/>
                <w:color w:val="000000" w:themeColor="text1"/>
                <w:highlight w:val="none"/>
                <w14:textFill>
                  <w14:solidFill>
                    <w14:schemeClr w14:val="tx1"/>
                  </w14:solidFill>
                </w14:textFill>
              </w:rPr>
            </w:pPr>
          </w:p>
        </w:tc>
      </w:tr>
      <w:tr w14:paraId="7CA56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tcPr>
          <w:p w14:paraId="52D252C7">
            <w:pPr>
              <w:kinsoku/>
              <w:rPr>
                <w:rFonts w:ascii="宋体" w:hAnsi="宋体" w:eastAsia="宋体" w:cs="宋体"/>
                <w:color w:val="000000" w:themeColor="text1"/>
                <w:highlight w:val="none"/>
                <w14:textFill>
                  <w14:solidFill>
                    <w14:schemeClr w14:val="tx1"/>
                  </w14:solidFill>
                </w14:textFill>
              </w:rPr>
            </w:pPr>
          </w:p>
        </w:tc>
        <w:tc>
          <w:tcPr>
            <w:tcW w:w="1413" w:type="dxa"/>
          </w:tcPr>
          <w:p w14:paraId="288F4127">
            <w:pPr>
              <w:kinsoku/>
              <w:rPr>
                <w:rFonts w:ascii="宋体" w:hAnsi="宋体" w:eastAsia="宋体" w:cs="宋体"/>
                <w:color w:val="000000" w:themeColor="text1"/>
                <w:highlight w:val="none"/>
                <w14:textFill>
                  <w14:solidFill>
                    <w14:schemeClr w14:val="tx1"/>
                  </w14:solidFill>
                </w14:textFill>
              </w:rPr>
            </w:pPr>
          </w:p>
        </w:tc>
        <w:tc>
          <w:tcPr>
            <w:tcW w:w="1071" w:type="dxa"/>
          </w:tcPr>
          <w:p w14:paraId="34EF2712">
            <w:pPr>
              <w:kinsoku/>
              <w:rPr>
                <w:rFonts w:ascii="宋体" w:hAnsi="宋体" w:eastAsia="宋体" w:cs="宋体"/>
                <w:color w:val="000000" w:themeColor="text1"/>
                <w:highlight w:val="none"/>
                <w14:textFill>
                  <w14:solidFill>
                    <w14:schemeClr w14:val="tx1"/>
                  </w14:solidFill>
                </w14:textFill>
              </w:rPr>
            </w:pPr>
          </w:p>
        </w:tc>
        <w:tc>
          <w:tcPr>
            <w:tcW w:w="1355" w:type="dxa"/>
          </w:tcPr>
          <w:p w14:paraId="192F6D51">
            <w:pPr>
              <w:kinsoku/>
              <w:rPr>
                <w:rFonts w:ascii="宋体" w:hAnsi="宋体" w:eastAsia="宋体" w:cs="宋体"/>
                <w:color w:val="000000" w:themeColor="text1"/>
                <w:highlight w:val="none"/>
                <w14:textFill>
                  <w14:solidFill>
                    <w14:schemeClr w14:val="tx1"/>
                  </w14:solidFill>
                </w14:textFill>
              </w:rPr>
            </w:pPr>
          </w:p>
        </w:tc>
        <w:tc>
          <w:tcPr>
            <w:tcW w:w="1809" w:type="dxa"/>
          </w:tcPr>
          <w:p w14:paraId="0A7E5C3C">
            <w:pPr>
              <w:kinsoku/>
              <w:rPr>
                <w:rFonts w:ascii="宋体" w:hAnsi="宋体" w:eastAsia="宋体" w:cs="宋体"/>
                <w:color w:val="000000" w:themeColor="text1"/>
                <w:highlight w:val="none"/>
                <w14:textFill>
                  <w14:solidFill>
                    <w14:schemeClr w14:val="tx1"/>
                  </w14:solidFill>
                </w14:textFill>
              </w:rPr>
            </w:pPr>
          </w:p>
        </w:tc>
        <w:tc>
          <w:tcPr>
            <w:tcW w:w="1274" w:type="dxa"/>
          </w:tcPr>
          <w:p w14:paraId="0B832F90">
            <w:pPr>
              <w:kinsoku/>
              <w:rPr>
                <w:rFonts w:ascii="宋体" w:hAnsi="宋体" w:eastAsia="宋体" w:cs="宋体"/>
                <w:color w:val="000000" w:themeColor="text1"/>
                <w:highlight w:val="none"/>
                <w14:textFill>
                  <w14:solidFill>
                    <w14:schemeClr w14:val="tx1"/>
                  </w14:solidFill>
                </w14:textFill>
              </w:rPr>
            </w:pPr>
          </w:p>
        </w:tc>
        <w:tc>
          <w:tcPr>
            <w:tcW w:w="1564" w:type="dxa"/>
          </w:tcPr>
          <w:p w14:paraId="2CEA1DBF">
            <w:pPr>
              <w:kinsoku/>
              <w:rPr>
                <w:rFonts w:ascii="宋体" w:hAnsi="宋体" w:eastAsia="宋体" w:cs="宋体"/>
                <w:color w:val="000000" w:themeColor="text1"/>
                <w:highlight w:val="none"/>
                <w14:textFill>
                  <w14:solidFill>
                    <w14:schemeClr w14:val="tx1"/>
                  </w14:solidFill>
                </w14:textFill>
              </w:rPr>
            </w:pPr>
          </w:p>
        </w:tc>
      </w:tr>
      <w:tr w14:paraId="208EC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2CAF7C34">
            <w:pPr>
              <w:kinsoku/>
              <w:rPr>
                <w:rFonts w:ascii="宋体" w:hAnsi="宋体" w:eastAsia="宋体" w:cs="宋体"/>
                <w:color w:val="000000" w:themeColor="text1"/>
                <w:highlight w:val="none"/>
                <w14:textFill>
                  <w14:solidFill>
                    <w14:schemeClr w14:val="tx1"/>
                  </w14:solidFill>
                </w14:textFill>
              </w:rPr>
            </w:pPr>
          </w:p>
        </w:tc>
        <w:tc>
          <w:tcPr>
            <w:tcW w:w="1413" w:type="dxa"/>
          </w:tcPr>
          <w:p w14:paraId="7C8E5F2C">
            <w:pPr>
              <w:kinsoku/>
              <w:rPr>
                <w:rFonts w:ascii="宋体" w:hAnsi="宋体" w:eastAsia="宋体" w:cs="宋体"/>
                <w:color w:val="000000" w:themeColor="text1"/>
                <w:highlight w:val="none"/>
                <w14:textFill>
                  <w14:solidFill>
                    <w14:schemeClr w14:val="tx1"/>
                  </w14:solidFill>
                </w14:textFill>
              </w:rPr>
            </w:pPr>
          </w:p>
        </w:tc>
        <w:tc>
          <w:tcPr>
            <w:tcW w:w="1071" w:type="dxa"/>
          </w:tcPr>
          <w:p w14:paraId="5C4C78E4">
            <w:pPr>
              <w:kinsoku/>
              <w:rPr>
                <w:rFonts w:ascii="宋体" w:hAnsi="宋体" w:eastAsia="宋体" w:cs="宋体"/>
                <w:color w:val="000000" w:themeColor="text1"/>
                <w:highlight w:val="none"/>
                <w14:textFill>
                  <w14:solidFill>
                    <w14:schemeClr w14:val="tx1"/>
                  </w14:solidFill>
                </w14:textFill>
              </w:rPr>
            </w:pPr>
          </w:p>
        </w:tc>
        <w:tc>
          <w:tcPr>
            <w:tcW w:w="1355" w:type="dxa"/>
          </w:tcPr>
          <w:p w14:paraId="3354BC11">
            <w:pPr>
              <w:kinsoku/>
              <w:rPr>
                <w:rFonts w:ascii="宋体" w:hAnsi="宋体" w:eastAsia="宋体" w:cs="宋体"/>
                <w:color w:val="000000" w:themeColor="text1"/>
                <w:highlight w:val="none"/>
                <w14:textFill>
                  <w14:solidFill>
                    <w14:schemeClr w14:val="tx1"/>
                  </w14:solidFill>
                </w14:textFill>
              </w:rPr>
            </w:pPr>
          </w:p>
        </w:tc>
        <w:tc>
          <w:tcPr>
            <w:tcW w:w="1809" w:type="dxa"/>
          </w:tcPr>
          <w:p w14:paraId="616D0481">
            <w:pPr>
              <w:kinsoku/>
              <w:rPr>
                <w:rFonts w:ascii="宋体" w:hAnsi="宋体" w:eastAsia="宋体" w:cs="宋体"/>
                <w:color w:val="000000" w:themeColor="text1"/>
                <w:highlight w:val="none"/>
                <w14:textFill>
                  <w14:solidFill>
                    <w14:schemeClr w14:val="tx1"/>
                  </w14:solidFill>
                </w14:textFill>
              </w:rPr>
            </w:pPr>
          </w:p>
        </w:tc>
        <w:tc>
          <w:tcPr>
            <w:tcW w:w="1274" w:type="dxa"/>
          </w:tcPr>
          <w:p w14:paraId="76BE05D2">
            <w:pPr>
              <w:kinsoku/>
              <w:rPr>
                <w:rFonts w:ascii="宋体" w:hAnsi="宋体" w:eastAsia="宋体" w:cs="宋体"/>
                <w:color w:val="000000" w:themeColor="text1"/>
                <w:highlight w:val="none"/>
                <w14:textFill>
                  <w14:solidFill>
                    <w14:schemeClr w14:val="tx1"/>
                  </w14:solidFill>
                </w14:textFill>
              </w:rPr>
            </w:pPr>
          </w:p>
        </w:tc>
        <w:tc>
          <w:tcPr>
            <w:tcW w:w="1564" w:type="dxa"/>
          </w:tcPr>
          <w:p w14:paraId="6CEE35AF">
            <w:pPr>
              <w:kinsoku/>
              <w:rPr>
                <w:rFonts w:ascii="宋体" w:hAnsi="宋体" w:eastAsia="宋体" w:cs="宋体"/>
                <w:color w:val="000000" w:themeColor="text1"/>
                <w:highlight w:val="none"/>
                <w14:textFill>
                  <w14:solidFill>
                    <w14:schemeClr w14:val="tx1"/>
                  </w14:solidFill>
                </w14:textFill>
              </w:rPr>
            </w:pPr>
          </w:p>
        </w:tc>
      </w:tr>
      <w:tr w14:paraId="353FF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tcPr>
          <w:p w14:paraId="5ECED966">
            <w:pPr>
              <w:kinsoku/>
              <w:rPr>
                <w:rFonts w:ascii="宋体" w:hAnsi="宋体" w:eastAsia="宋体" w:cs="宋体"/>
                <w:color w:val="000000" w:themeColor="text1"/>
                <w:highlight w:val="none"/>
                <w14:textFill>
                  <w14:solidFill>
                    <w14:schemeClr w14:val="tx1"/>
                  </w14:solidFill>
                </w14:textFill>
              </w:rPr>
            </w:pPr>
          </w:p>
        </w:tc>
        <w:tc>
          <w:tcPr>
            <w:tcW w:w="1413" w:type="dxa"/>
          </w:tcPr>
          <w:p w14:paraId="0480A394">
            <w:pPr>
              <w:kinsoku/>
              <w:rPr>
                <w:rFonts w:ascii="宋体" w:hAnsi="宋体" w:eastAsia="宋体" w:cs="宋体"/>
                <w:color w:val="000000" w:themeColor="text1"/>
                <w:highlight w:val="none"/>
                <w14:textFill>
                  <w14:solidFill>
                    <w14:schemeClr w14:val="tx1"/>
                  </w14:solidFill>
                </w14:textFill>
              </w:rPr>
            </w:pPr>
          </w:p>
        </w:tc>
        <w:tc>
          <w:tcPr>
            <w:tcW w:w="1071" w:type="dxa"/>
          </w:tcPr>
          <w:p w14:paraId="47BADA2A">
            <w:pPr>
              <w:kinsoku/>
              <w:rPr>
                <w:rFonts w:ascii="宋体" w:hAnsi="宋体" w:eastAsia="宋体" w:cs="宋体"/>
                <w:color w:val="000000" w:themeColor="text1"/>
                <w:highlight w:val="none"/>
                <w14:textFill>
                  <w14:solidFill>
                    <w14:schemeClr w14:val="tx1"/>
                  </w14:solidFill>
                </w14:textFill>
              </w:rPr>
            </w:pPr>
          </w:p>
        </w:tc>
        <w:tc>
          <w:tcPr>
            <w:tcW w:w="1355" w:type="dxa"/>
          </w:tcPr>
          <w:p w14:paraId="6B67898F">
            <w:pPr>
              <w:kinsoku/>
              <w:rPr>
                <w:rFonts w:ascii="宋体" w:hAnsi="宋体" w:eastAsia="宋体" w:cs="宋体"/>
                <w:color w:val="000000" w:themeColor="text1"/>
                <w:highlight w:val="none"/>
                <w14:textFill>
                  <w14:solidFill>
                    <w14:schemeClr w14:val="tx1"/>
                  </w14:solidFill>
                </w14:textFill>
              </w:rPr>
            </w:pPr>
          </w:p>
        </w:tc>
        <w:tc>
          <w:tcPr>
            <w:tcW w:w="1809" w:type="dxa"/>
          </w:tcPr>
          <w:p w14:paraId="57C49890">
            <w:pPr>
              <w:kinsoku/>
              <w:rPr>
                <w:rFonts w:ascii="宋体" w:hAnsi="宋体" w:eastAsia="宋体" w:cs="宋体"/>
                <w:color w:val="000000" w:themeColor="text1"/>
                <w:highlight w:val="none"/>
                <w14:textFill>
                  <w14:solidFill>
                    <w14:schemeClr w14:val="tx1"/>
                  </w14:solidFill>
                </w14:textFill>
              </w:rPr>
            </w:pPr>
          </w:p>
        </w:tc>
        <w:tc>
          <w:tcPr>
            <w:tcW w:w="1274" w:type="dxa"/>
          </w:tcPr>
          <w:p w14:paraId="6454D4FA">
            <w:pPr>
              <w:kinsoku/>
              <w:rPr>
                <w:rFonts w:ascii="宋体" w:hAnsi="宋体" w:eastAsia="宋体" w:cs="宋体"/>
                <w:color w:val="000000" w:themeColor="text1"/>
                <w:highlight w:val="none"/>
                <w14:textFill>
                  <w14:solidFill>
                    <w14:schemeClr w14:val="tx1"/>
                  </w14:solidFill>
                </w14:textFill>
              </w:rPr>
            </w:pPr>
          </w:p>
        </w:tc>
        <w:tc>
          <w:tcPr>
            <w:tcW w:w="1564" w:type="dxa"/>
          </w:tcPr>
          <w:p w14:paraId="2873D218">
            <w:pPr>
              <w:kinsoku/>
              <w:rPr>
                <w:rFonts w:ascii="宋体" w:hAnsi="宋体" w:eastAsia="宋体" w:cs="宋体"/>
                <w:color w:val="000000" w:themeColor="text1"/>
                <w:highlight w:val="none"/>
                <w14:textFill>
                  <w14:solidFill>
                    <w14:schemeClr w14:val="tx1"/>
                  </w14:solidFill>
                </w14:textFill>
              </w:rPr>
            </w:pPr>
          </w:p>
        </w:tc>
      </w:tr>
      <w:tr w14:paraId="29BAC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54DC7694">
            <w:pPr>
              <w:kinsoku/>
              <w:rPr>
                <w:rFonts w:ascii="宋体" w:hAnsi="宋体" w:eastAsia="宋体" w:cs="宋体"/>
                <w:color w:val="000000" w:themeColor="text1"/>
                <w:highlight w:val="none"/>
                <w14:textFill>
                  <w14:solidFill>
                    <w14:schemeClr w14:val="tx1"/>
                  </w14:solidFill>
                </w14:textFill>
              </w:rPr>
            </w:pPr>
          </w:p>
        </w:tc>
        <w:tc>
          <w:tcPr>
            <w:tcW w:w="1413" w:type="dxa"/>
          </w:tcPr>
          <w:p w14:paraId="01718609">
            <w:pPr>
              <w:kinsoku/>
              <w:rPr>
                <w:rFonts w:ascii="宋体" w:hAnsi="宋体" w:eastAsia="宋体" w:cs="宋体"/>
                <w:color w:val="000000" w:themeColor="text1"/>
                <w:highlight w:val="none"/>
                <w14:textFill>
                  <w14:solidFill>
                    <w14:schemeClr w14:val="tx1"/>
                  </w14:solidFill>
                </w14:textFill>
              </w:rPr>
            </w:pPr>
          </w:p>
        </w:tc>
        <w:tc>
          <w:tcPr>
            <w:tcW w:w="1071" w:type="dxa"/>
          </w:tcPr>
          <w:p w14:paraId="502A952F">
            <w:pPr>
              <w:kinsoku/>
              <w:rPr>
                <w:rFonts w:ascii="宋体" w:hAnsi="宋体" w:eastAsia="宋体" w:cs="宋体"/>
                <w:color w:val="000000" w:themeColor="text1"/>
                <w:highlight w:val="none"/>
                <w14:textFill>
                  <w14:solidFill>
                    <w14:schemeClr w14:val="tx1"/>
                  </w14:solidFill>
                </w14:textFill>
              </w:rPr>
            </w:pPr>
          </w:p>
        </w:tc>
        <w:tc>
          <w:tcPr>
            <w:tcW w:w="1355" w:type="dxa"/>
          </w:tcPr>
          <w:p w14:paraId="431D1F47">
            <w:pPr>
              <w:kinsoku/>
              <w:rPr>
                <w:rFonts w:ascii="宋体" w:hAnsi="宋体" w:eastAsia="宋体" w:cs="宋体"/>
                <w:color w:val="000000" w:themeColor="text1"/>
                <w:highlight w:val="none"/>
                <w14:textFill>
                  <w14:solidFill>
                    <w14:schemeClr w14:val="tx1"/>
                  </w14:solidFill>
                </w14:textFill>
              </w:rPr>
            </w:pPr>
          </w:p>
        </w:tc>
        <w:tc>
          <w:tcPr>
            <w:tcW w:w="1809" w:type="dxa"/>
          </w:tcPr>
          <w:p w14:paraId="028640CD">
            <w:pPr>
              <w:kinsoku/>
              <w:rPr>
                <w:rFonts w:ascii="宋体" w:hAnsi="宋体" w:eastAsia="宋体" w:cs="宋体"/>
                <w:color w:val="000000" w:themeColor="text1"/>
                <w:highlight w:val="none"/>
                <w14:textFill>
                  <w14:solidFill>
                    <w14:schemeClr w14:val="tx1"/>
                  </w14:solidFill>
                </w14:textFill>
              </w:rPr>
            </w:pPr>
          </w:p>
        </w:tc>
        <w:tc>
          <w:tcPr>
            <w:tcW w:w="1274" w:type="dxa"/>
          </w:tcPr>
          <w:p w14:paraId="213E40E1">
            <w:pPr>
              <w:kinsoku/>
              <w:rPr>
                <w:rFonts w:ascii="宋体" w:hAnsi="宋体" w:eastAsia="宋体" w:cs="宋体"/>
                <w:color w:val="000000" w:themeColor="text1"/>
                <w:highlight w:val="none"/>
                <w14:textFill>
                  <w14:solidFill>
                    <w14:schemeClr w14:val="tx1"/>
                  </w14:solidFill>
                </w14:textFill>
              </w:rPr>
            </w:pPr>
          </w:p>
        </w:tc>
        <w:tc>
          <w:tcPr>
            <w:tcW w:w="1564" w:type="dxa"/>
          </w:tcPr>
          <w:p w14:paraId="5DA041B9">
            <w:pPr>
              <w:kinsoku/>
              <w:rPr>
                <w:rFonts w:ascii="宋体" w:hAnsi="宋体" w:eastAsia="宋体" w:cs="宋体"/>
                <w:color w:val="000000" w:themeColor="text1"/>
                <w:highlight w:val="none"/>
                <w14:textFill>
                  <w14:solidFill>
                    <w14:schemeClr w14:val="tx1"/>
                  </w14:solidFill>
                </w14:textFill>
              </w:rPr>
            </w:pPr>
          </w:p>
        </w:tc>
      </w:tr>
      <w:tr w14:paraId="52A68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00" w:type="dxa"/>
          </w:tcPr>
          <w:p w14:paraId="2686347F">
            <w:pPr>
              <w:kinsoku/>
              <w:rPr>
                <w:rFonts w:ascii="宋体" w:hAnsi="宋体" w:eastAsia="宋体" w:cs="宋体"/>
                <w:color w:val="000000" w:themeColor="text1"/>
                <w:highlight w:val="none"/>
                <w14:textFill>
                  <w14:solidFill>
                    <w14:schemeClr w14:val="tx1"/>
                  </w14:solidFill>
                </w14:textFill>
              </w:rPr>
            </w:pPr>
          </w:p>
        </w:tc>
        <w:tc>
          <w:tcPr>
            <w:tcW w:w="1413" w:type="dxa"/>
          </w:tcPr>
          <w:p w14:paraId="2E3B3ACF">
            <w:pPr>
              <w:kinsoku/>
              <w:rPr>
                <w:rFonts w:ascii="宋体" w:hAnsi="宋体" w:eastAsia="宋体" w:cs="宋体"/>
                <w:color w:val="000000" w:themeColor="text1"/>
                <w:highlight w:val="none"/>
                <w14:textFill>
                  <w14:solidFill>
                    <w14:schemeClr w14:val="tx1"/>
                  </w14:solidFill>
                </w14:textFill>
              </w:rPr>
            </w:pPr>
          </w:p>
        </w:tc>
        <w:tc>
          <w:tcPr>
            <w:tcW w:w="1071" w:type="dxa"/>
          </w:tcPr>
          <w:p w14:paraId="399D1EF1">
            <w:pPr>
              <w:kinsoku/>
              <w:rPr>
                <w:rFonts w:ascii="宋体" w:hAnsi="宋体" w:eastAsia="宋体" w:cs="宋体"/>
                <w:color w:val="000000" w:themeColor="text1"/>
                <w:highlight w:val="none"/>
                <w14:textFill>
                  <w14:solidFill>
                    <w14:schemeClr w14:val="tx1"/>
                  </w14:solidFill>
                </w14:textFill>
              </w:rPr>
            </w:pPr>
          </w:p>
        </w:tc>
        <w:tc>
          <w:tcPr>
            <w:tcW w:w="1355" w:type="dxa"/>
          </w:tcPr>
          <w:p w14:paraId="10E7E0BF">
            <w:pPr>
              <w:kinsoku/>
              <w:rPr>
                <w:rFonts w:ascii="宋体" w:hAnsi="宋体" w:eastAsia="宋体" w:cs="宋体"/>
                <w:color w:val="000000" w:themeColor="text1"/>
                <w:highlight w:val="none"/>
                <w14:textFill>
                  <w14:solidFill>
                    <w14:schemeClr w14:val="tx1"/>
                  </w14:solidFill>
                </w14:textFill>
              </w:rPr>
            </w:pPr>
          </w:p>
        </w:tc>
        <w:tc>
          <w:tcPr>
            <w:tcW w:w="1809" w:type="dxa"/>
          </w:tcPr>
          <w:p w14:paraId="0708E8C1">
            <w:pPr>
              <w:kinsoku/>
              <w:rPr>
                <w:rFonts w:ascii="宋体" w:hAnsi="宋体" w:eastAsia="宋体" w:cs="宋体"/>
                <w:color w:val="000000" w:themeColor="text1"/>
                <w:highlight w:val="none"/>
                <w14:textFill>
                  <w14:solidFill>
                    <w14:schemeClr w14:val="tx1"/>
                  </w14:solidFill>
                </w14:textFill>
              </w:rPr>
            </w:pPr>
          </w:p>
        </w:tc>
        <w:tc>
          <w:tcPr>
            <w:tcW w:w="1274" w:type="dxa"/>
          </w:tcPr>
          <w:p w14:paraId="7EB7AB5E">
            <w:pPr>
              <w:kinsoku/>
              <w:rPr>
                <w:rFonts w:ascii="宋体" w:hAnsi="宋体" w:eastAsia="宋体" w:cs="宋体"/>
                <w:color w:val="000000" w:themeColor="text1"/>
                <w:highlight w:val="none"/>
                <w14:textFill>
                  <w14:solidFill>
                    <w14:schemeClr w14:val="tx1"/>
                  </w14:solidFill>
                </w14:textFill>
              </w:rPr>
            </w:pPr>
          </w:p>
        </w:tc>
        <w:tc>
          <w:tcPr>
            <w:tcW w:w="1564" w:type="dxa"/>
          </w:tcPr>
          <w:p w14:paraId="54050DDA">
            <w:pPr>
              <w:kinsoku/>
              <w:rPr>
                <w:rFonts w:ascii="宋体" w:hAnsi="宋体" w:eastAsia="宋体" w:cs="宋体"/>
                <w:color w:val="000000" w:themeColor="text1"/>
                <w:highlight w:val="none"/>
                <w14:textFill>
                  <w14:solidFill>
                    <w14:schemeClr w14:val="tx1"/>
                  </w14:solidFill>
                </w14:textFill>
              </w:rPr>
            </w:pPr>
          </w:p>
        </w:tc>
      </w:tr>
    </w:tbl>
    <w:p w14:paraId="3DF587BD">
      <w:pPr>
        <w:kinsoku/>
        <w:spacing w:line="342" w:lineRule="auto"/>
        <w:rPr>
          <w:rFonts w:ascii="宋体" w:hAnsi="宋体" w:eastAsia="宋体" w:cs="宋体"/>
          <w:color w:val="000000" w:themeColor="text1"/>
          <w:highlight w:val="none"/>
          <w14:textFill>
            <w14:solidFill>
              <w14:schemeClr w14:val="tx1"/>
            </w14:solidFill>
          </w14:textFill>
        </w:rPr>
      </w:pPr>
    </w:p>
    <w:p w14:paraId="65A76D0A">
      <w:pPr>
        <w:kinsoku/>
        <w:spacing w:line="342" w:lineRule="auto"/>
        <w:rPr>
          <w:rFonts w:ascii="宋体" w:hAnsi="宋体" w:eastAsia="宋体" w:cs="宋体"/>
          <w:color w:val="000000" w:themeColor="text1"/>
          <w:highlight w:val="none"/>
          <w14:textFill>
            <w14:solidFill>
              <w14:schemeClr w14:val="tx1"/>
            </w14:solidFill>
          </w14:textFill>
        </w:rPr>
      </w:pPr>
    </w:p>
    <w:p w14:paraId="5402F27F">
      <w:pPr>
        <w:kinsoku/>
        <w:spacing w:before="68" w:line="221" w:lineRule="auto"/>
        <w:ind w:left="1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招标人代表：</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记录人：</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p>
    <w:p w14:paraId="623DABA9">
      <w:pPr>
        <w:kinsoku/>
        <w:spacing w:line="297" w:lineRule="auto"/>
        <w:rPr>
          <w:rFonts w:ascii="宋体" w:hAnsi="宋体" w:eastAsia="宋体" w:cs="宋体"/>
          <w:color w:val="000000" w:themeColor="text1"/>
          <w:highlight w:val="none"/>
          <w:lang w:eastAsia="zh-CN"/>
          <w14:textFill>
            <w14:solidFill>
              <w14:schemeClr w14:val="tx1"/>
            </w14:solidFill>
          </w14:textFill>
        </w:rPr>
      </w:pPr>
    </w:p>
    <w:p w14:paraId="4758363A">
      <w:pPr>
        <w:tabs>
          <w:tab w:val="left" w:pos="6487"/>
        </w:tabs>
        <w:kinsoku/>
        <w:spacing w:before="68" w:line="221" w:lineRule="auto"/>
        <w:ind w:left="54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u w:val="single"/>
          <w:lang w:eastAsia="zh-CN"/>
          <w14:textFill>
            <w14:solidFill>
              <w14:schemeClr w14:val="tx1"/>
            </w14:solidFill>
          </w14:textFill>
        </w:rPr>
        <w:tab/>
      </w:r>
      <w:r>
        <w:rPr>
          <w:rFonts w:hint="eastAsia" w:ascii="宋体" w:hAnsi="宋体" w:eastAsia="宋体" w:cs="宋体"/>
          <w:color w:val="000000" w:themeColor="text1"/>
          <w:highlight w:val="none"/>
          <w:lang w:eastAsia="zh-CN"/>
          <w14:textFill>
            <w14:solidFill>
              <w14:schemeClr w14:val="tx1"/>
            </w14:solidFill>
          </w14:textFill>
        </w:rPr>
        <w:t xml:space="preserve"> 年 </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月</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日</w:t>
      </w:r>
    </w:p>
    <w:p w14:paraId="791B8FD8">
      <w:pPr>
        <w:kinsoku/>
        <w:spacing w:line="318" w:lineRule="auto"/>
        <w:rPr>
          <w:rFonts w:ascii="宋体" w:hAnsi="宋体" w:eastAsia="宋体" w:cs="宋体"/>
          <w:color w:val="000000" w:themeColor="text1"/>
          <w:highlight w:val="none"/>
          <w:lang w:eastAsia="zh-CN"/>
          <w14:textFill>
            <w14:solidFill>
              <w14:schemeClr w14:val="tx1"/>
            </w14:solidFill>
          </w14:textFill>
        </w:rPr>
      </w:pPr>
    </w:p>
    <w:p w14:paraId="65E4C800">
      <w:pPr>
        <w:kinsoku/>
        <w:spacing w:line="318" w:lineRule="auto"/>
        <w:rPr>
          <w:rFonts w:ascii="宋体" w:hAnsi="宋体" w:eastAsia="宋体" w:cs="宋体"/>
          <w:color w:val="000000" w:themeColor="text1"/>
          <w:highlight w:val="none"/>
          <w:lang w:eastAsia="zh-CN"/>
          <w14:textFill>
            <w14:solidFill>
              <w14:schemeClr w14:val="tx1"/>
            </w14:solidFill>
          </w14:textFill>
        </w:rPr>
      </w:pPr>
    </w:p>
    <w:p w14:paraId="4A86F059">
      <w:pPr>
        <w:kinsoku/>
        <w:spacing w:line="186" w:lineRule="auto"/>
        <w:rPr>
          <w:rFonts w:ascii="宋体" w:hAnsi="宋体" w:eastAsia="宋体" w:cs="宋体"/>
          <w:color w:val="000000" w:themeColor="text1"/>
          <w:sz w:val="18"/>
          <w:szCs w:val="18"/>
          <w:highlight w:val="none"/>
          <w:lang w:eastAsia="zh-CN"/>
          <w14:textFill>
            <w14:solidFill>
              <w14:schemeClr w14:val="tx1"/>
            </w14:solidFill>
          </w14:textFill>
        </w:rPr>
        <w:sectPr>
          <w:headerReference r:id="rId17" w:type="default"/>
          <w:pgSz w:w="11907" w:h="16841"/>
          <w:pgMar w:top="1173" w:right="1238" w:bottom="1188" w:left="1476" w:header="862" w:footer="0" w:gutter="0"/>
          <w:cols w:space="720" w:num="1"/>
        </w:sectPr>
      </w:pPr>
    </w:p>
    <w:p w14:paraId="64143FE7">
      <w:pPr>
        <w:tabs>
          <w:tab w:val="left" w:pos="1436"/>
        </w:tabs>
        <w:kinsoku/>
        <w:spacing w:before="91" w:line="276" w:lineRule="auto"/>
        <w:ind w:left="3766" w:right="593" w:hanging="3306"/>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（项目名称）</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标段施工图设计第二个信封（报价文件）开标记录表</w:t>
      </w:r>
    </w:p>
    <w:p w14:paraId="0293281A">
      <w:pPr>
        <w:kinsoku/>
        <w:spacing w:before="76" w:line="220" w:lineRule="auto"/>
        <w:jc w:val="righ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开标时间：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日</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分</w:t>
      </w:r>
    </w:p>
    <w:p w14:paraId="4C517EE8">
      <w:pPr>
        <w:kinsoku/>
        <w:spacing w:line="100" w:lineRule="auto"/>
        <w:rPr>
          <w:rFonts w:ascii="宋体" w:hAnsi="宋体" w:eastAsia="宋体" w:cs="宋体"/>
          <w:color w:val="000000" w:themeColor="text1"/>
          <w:sz w:val="2"/>
          <w:highlight w:val="none"/>
          <w14:textFill>
            <w14:solidFill>
              <w14:schemeClr w14:val="tx1"/>
            </w14:solidFill>
          </w14:textFill>
        </w:rPr>
      </w:pPr>
    </w:p>
    <w:tbl>
      <w:tblPr>
        <w:tblStyle w:val="26"/>
        <w:tblW w:w="90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2"/>
        <w:gridCol w:w="1439"/>
        <w:gridCol w:w="1363"/>
        <w:gridCol w:w="1560"/>
        <w:gridCol w:w="1180"/>
        <w:gridCol w:w="1007"/>
        <w:gridCol w:w="1742"/>
      </w:tblGrid>
      <w:tr w14:paraId="74E95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trPr>
        <w:tc>
          <w:tcPr>
            <w:tcW w:w="712" w:type="dxa"/>
            <w:vAlign w:val="center"/>
          </w:tcPr>
          <w:p w14:paraId="04EE1086">
            <w:pPr>
              <w:kinsoku/>
              <w:spacing w:before="69" w:line="222"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439" w:type="dxa"/>
            <w:vAlign w:val="center"/>
          </w:tcPr>
          <w:p w14:paraId="6A5A852E">
            <w:pPr>
              <w:kinsoku/>
              <w:spacing w:before="68" w:line="221"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p>
        </w:tc>
        <w:tc>
          <w:tcPr>
            <w:tcW w:w="1363" w:type="dxa"/>
            <w:vAlign w:val="center"/>
          </w:tcPr>
          <w:p w14:paraId="384AD93D">
            <w:pPr>
              <w:kinsoku/>
              <w:spacing w:before="68" w:line="221"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密封情况</w:t>
            </w:r>
          </w:p>
        </w:tc>
        <w:tc>
          <w:tcPr>
            <w:tcW w:w="1560" w:type="dxa"/>
            <w:vAlign w:val="center"/>
          </w:tcPr>
          <w:p w14:paraId="2D0E5E04">
            <w:pPr>
              <w:kinsoku/>
              <w:spacing w:before="69" w:line="219"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投标报价（元）</w:t>
            </w:r>
          </w:p>
        </w:tc>
        <w:tc>
          <w:tcPr>
            <w:tcW w:w="1180" w:type="dxa"/>
            <w:vAlign w:val="center"/>
          </w:tcPr>
          <w:p w14:paraId="3CB692DB">
            <w:pPr>
              <w:kinsoku/>
              <w:spacing w:before="223" w:line="340" w:lineRule="auto"/>
              <w:ind w:left="-19" w:leftChars="-9" w:right="61"/>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是否超过最高投标限价</w:t>
            </w:r>
          </w:p>
        </w:tc>
        <w:tc>
          <w:tcPr>
            <w:tcW w:w="1007" w:type="dxa"/>
            <w:vAlign w:val="center"/>
          </w:tcPr>
          <w:p w14:paraId="392091DC">
            <w:pPr>
              <w:kinsoku/>
              <w:spacing w:before="69" w:line="222"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1742" w:type="dxa"/>
            <w:vAlign w:val="center"/>
          </w:tcPr>
          <w:p w14:paraId="10F7B8B5">
            <w:pPr>
              <w:kinsoku/>
              <w:spacing w:before="68" w:line="221"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投标人代表签名</w:t>
            </w:r>
          </w:p>
        </w:tc>
      </w:tr>
      <w:tr w14:paraId="71AD9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76D72FED">
            <w:pPr>
              <w:kinsoku/>
              <w:rPr>
                <w:rFonts w:ascii="宋体" w:hAnsi="宋体" w:eastAsia="宋体" w:cs="宋体"/>
                <w:color w:val="000000" w:themeColor="text1"/>
                <w:highlight w:val="none"/>
                <w14:textFill>
                  <w14:solidFill>
                    <w14:schemeClr w14:val="tx1"/>
                  </w14:solidFill>
                </w14:textFill>
              </w:rPr>
            </w:pPr>
          </w:p>
        </w:tc>
        <w:tc>
          <w:tcPr>
            <w:tcW w:w="1439" w:type="dxa"/>
          </w:tcPr>
          <w:p w14:paraId="4E320CDE">
            <w:pPr>
              <w:kinsoku/>
              <w:rPr>
                <w:rFonts w:ascii="宋体" w:hAnsi="宋体" w:eastAsia="宋体" w:cs="宋体"/>
                <w:color w:val="000000" w:themeColor="text1"/>
                <w:highlight w:val="none"/>
                <w14:textFill>
                  <w14:solidFill>
                    <w14:schemeClr w14:val="tx1"/>
                  </w14:solidFill>
                </w14:textFill>
              </w:rPr>
            </w:pPr>
          </w:p>
        </w:tc>
        <w:tc>
          <w:tcPr>
            <w:tcW w:w="1363" w:type="dxa"/>
          </w:tcPr>
          <w:p w14:paraId="5802CD90">
            <w:pPr>
              <w:kinsoku/>
              <w:rPr>
                <w:rFonts w:ascii="宋体" w:hAnsi="宋体" w:eastAsia="宋体" w:cs="宋体"/>
                <w:color w:val="000000" w:themeColor="text1"/>
                <w:highlight w:val="none"/>
                <w14:textFill>
                  <w14:solidFill>
                    <w14:schemeClr w14:val="tx1"/>
                  </w14:solidFill>
                </w14:textFill>
              </w:rPr>
            </w:pPr>
          </w:p>
        </w:tc>
        <w:tc>
          <w:tcPr>
            <w:tcW w:w="1560" w:type="dxa"/>
          </w:tcPr>
          <w:p w14:paraId="67CEF1B9">
            <w:pPr>
              <w:kinsoku/>
              <w:rPr>
                <w:rFonts w:ascii="宋体" w:hAnsi="宋体" w:eastAsia="宋体" w:cs="宋体"/>
                <w:color w:val="000000" w:themeColor="text1"/>
                <w:highlight w:val="none"/>
                <w14:textFill>
                  <w14:solidFill>
                    <w14:schemeClr w14:val="tx1"/>
                  </w14:solidFill>
                </w14:textFill>
              </w:rPr>
            </w:pPr>
          </w:p>
        </w:tc>
        <w:tc>
          <w:tcPr>
            <w:tcW w:w="1180" w:type="dxa"/>
          </w:tcPr>
          <w:p w14:paraId="6725ECB3">
            <w:pPr>
              <w:kinsoku/>
              <w:rPr>
                <w:rFonts w:ascii="宋体" w:hAnsi="宋体" w:eastAsia="宋体" w:cs="宋体"/>
                <w:color w:val="000000" w:themeColor="text1"/>
                <w:highlight w:val="none"/>
                <w14:textFill>
                  <w14:solidFill>
                    <w14:schemeClr w14:val="tx1"/>
                  </w14:solidFill>
                </w14:textFill>
              </w:rPr>
            </w:pPr>
          </w:p>
        </w:tc>
        <w:tc>
          <w:tcPr>
            <w:tcW w:w="1007" w:type="dxa"/>
          </w:tcPr>
          <w:p w14:paraId="281B6EFB">
            <w:pPr>
              <w:kinsoku/>
              <w:rPr>
                <w:rFonts w:ascii="宋体" w:hAnsi="宋体" w:eastAsia="宋体" w:cs="宋体"/>
                <w:color w:val="000000" w:themeColor="text1"/>
                <w:highlight w:val="none"/>
                <w14:textFill>
                  <w14:solidFill>
                    <w14:schemeClr w14:val="tx1"/>
                  </w14:solidFill>
                </w14:textFill>
              </w:rPr>
            </w:pPr>
          </w:p>
        </w:tc>
        <w:tc>
          <w:tcPr>
            <w:tcW w:w="1742" w:type="dxa"/>
          </w:tcPr>
          <w:p w14:paraId="01A407DD">
            <w:pPr>
              <w:kinsoku/>
              <w:rPr>
                <w:rFonts w:ascii="宋体" w:hAnsi="宋体" w:eastAsia="宋体" w:cs="宋体"/>
                <w:color w:val="000000" w:themeColor="text1"/>
                <w:highlight w:val="none"/>
                <w14:textFill>
                  <w14:solidFill>
                    <w14:schemeClr w14:val="tx1"/>
                  </w14:solidFill>
                </w14:textFill>
              </w:rPr>
            </w:pPr>
          </w:p>
        </w:tc>
      </w:tr>
      <w:tr w14:paraId="45F3C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2" w:type="dxa"/>
          </w:tcPr>
          <w:p w14:paraId="2357DBF5">
            <w:pPr>
              <w:kinsoku/>
              <w:rPr>
                <w:rFonts w:ascii="宋体" w:hAnsi="宋体" w:eastAsia="宋体" w:cs="宋体"/>
                <w:color w:val="000000" w:themeColor="text1"/>
                <w:highlight w:val="none"/>
                <w14:textFill>
                  <w14:solidFill>
                    <w14:schemeClr w14:val="tx1"/>
                  </w14:solidFill>
                </w14:textFill>
              </w:rPr>
            </w:pPr>
          </w:p>
        </w:tc>
        <w:tc>
          <w:tcPr>
            <w:tcW w:w="1439" w:type="dxa"/>
          </w:tcPr>
          <w:p w14:paraId="6F43FAB1">
            <w:pPr>
              <w:kinsoku/>
              <w:rPr>
                <w:rFonts w:ascii="宋体" w:hAnsi="宋体" w:eastAsia="宋体" w:cs="宋体"/>
                <w:color w:val="000000" w:themeColor="text1"/>
                <w:highlight w:val="none"/>
                <w14:textFill>
                  <w14:solidFill>
                    <w14:schemeClr w14:val="tx1"/>
                  </w14:solidFill>
                </w14:textFill>
              </w:rPr>
            </w:pPr>
          </w:p>
        </w:tc>
        <w:tc>
          <w:tcPr>
            <w:tcW w:w="1363" w:type="dxa"/>
          </w:tcPr>
          <w:p w14:paraId="482B8591">
            <w:pPr>
              <w:kinsoku/>
              <w:rPr>
                <w:rFonts w:ascii="宋体" w:hAnsi="宋体" w:eastAsia="宋体" w:cs="宋体"/>
                <w:color w:val="000000" w:themeColor="text1"/>
                <w:highlight w:val="none"/>
                <w14:textFill>
                  <w14:solidFill>
                    <w14:schemeClr w14:val="tx1"/>
                  </w14:solidFill>
                </w14:textFill>
              </w:rPr>
            </w:pPr>
          </w:p>
        </w:tc>
        <w:tc>
          <w:tcPr>
            <w:tcW w:w="1560" w:type="dxa"/>
          </w:tcPr>
          <w:p w14:paraId="07FAB59C">
            <w:pPr>
              <w:kinsoku/>
              <w:rPr>
                <w:rFonts w:ascii="宋体" w:hAnsi="宋体" w:eastAsia="宋体" w:cs="宋体"/>
                <w:color w:val="000000" w:themeColor="text1"/>
                <w:highlight w:val="none"/>
                <w14:textFill>
                  <w14:solidFill>
                    <w14:schemeClr w14:val="tx1"/>
                  </w14:solidFill>
                </w14:textFill>
              </w:rPr>
            </w:pPr>
          </w:p>
        </w:tc>
        <w:tc>
          <w:tcPr>
            <w:tcW w:w="1180" w:type="dxa"/>
          </w:tcPr>
          <w:p w14:paraId="41B12A59">
            <w:pPr>
              <w:kinsoku/>
              <w:rPr>
                <w:rFonts w:ascii="宋体" w:hAnsi="宋体" w:eastAsia="宋体" w:cs="宋体"/>
                <w:color w:val="000000" w:themeColor="text1"/>
                <w:highlight w:val="none"/>
                <w14:textFill>
                  <w14:solidFill>
                    <w14:schemeClr w14:val="tx1"/>
                  </w14:solidFill>
                </w14:textFill>
              </w:rPr>
            </w:pPr>
          </w:p>
        </w:tc>
        <w:tc>
          <w:tcPr>
            <w:tcW w:w="1007" w:type="dxa"/>
          </w:tcPr>
          <w:p w14:paraId="110C2202">
            <w:pPr>
              <w:kinsoku/>
              <w:rPr>
                <w:rFonts w:ascii="宋体" w:hAnsi="宋体" w:eastAsia="宋体" w:cs="宋体"/>
                <w:color w:val="000000" w:themeColor="text1"/>
                <w:highlight w:val="none"/>
                <w14:textFill>
                  <w14:solidFill>
                    <w14:schemeClr w14:val="tx1"/>
                  </w14:solidFill>
                </w14:textFill>
              </w:rPr>
            </w:pPr>
          </w:p>
        </w:tc>
        <w:tc>
          <w:tcPr>
            <w:tcW w:w="1742" w:type="dxa"/>
          </w:tcPr>
          <w:p w14:paraId="3F560CA7">
            <w:pPr>
              <w:kinsoku/>
              <w:rPr>
                <w:rFonts w:ascii="宋体" w:hAnsi="宋体" w:eastAsia="宋体" w:cs="宋体"/>
                <w:color w:val="000000" w:themeColor="text1"/>
                <w:highlight w:val="none"/>
                <w14:textFill>
                  <w14:solidFill>
                    <w14:schemeClr w14:val="tx1"/>
                  </w14:solidFill>
                </w14:textFill>
              </w:rPr>
            </w:pPr>
          </w:p>
        </w:tc>
      </w:tr>
      <w:tr w14:paraId="5E4A5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1BEA143A">
            <w:pPr>
              <w:kinsoku/>
              <w:rPr>
                <w:rFonts w:ascii="宋体" w:hAnsi="宋体" w:eastAsia="宋体" w:cs="宋体"/>
                <w:color w:val="000000" w:themeColor="text1"/>
                <w:highlight w:val="none"/>
                <w14:textFill>
                  <w14:solidFill>
                    <w14:schemeClr w14:val="tx1"/>
                  </w14:solidFill>
                </w14:textFill>
              </w:rPr>
            </w:pPr>
          </w:p>
        </w:tc>
        <w:tc>
          <w:tcPr>
            <w:tcW w:w="1439" w:type="dxa"/>
          </w:tcPr>
          <w:p w14:paraId="510D9B35">
            <w:pPr>
              <w:kinsoku/>
              <w:rPr>
                <w:rFonts w:ascii="宋体" w:hAnsi="宋体" w:eastAsia="宋体" w:cs="宋体"/>
                <w:color w:val="000000" w:themeColor="text1"/>
                <w:highlight w:val="none"/>
                <w14:textFill>
                  <w14:solidFill>
                    <w14:schemeClr w14:val="tx1"/>
                  </w14:solidFill>
                </w14:textFill>
              </w:rPr>
            </w:pPr>
          </w:p>
        </w:tc>
        <w:tc>
          <w:tcPr>
            <w:tcW w:w="1363" w:type="dxa"/>
          </w:tcPr>
          <w:p w14:paraId="5A152B8C">
            <w:pPr>
              <w:kinsoku/>
              <w:rPr>
                <w:rFonts w:ascii="宋体" w:hAnsi="宋体" w:eastAsia="宋体" w:cs="宋体"/>
                <w:color w:val="000000" w:themeColor="text1"/>
                <w:highlight w:val="none"/>
                <w14:textFill>
                  <w14:solidFill>
                    <w14:schemeClr w14:val="tx1"/>
                  </w14:solidFill>
                </w14:textFill>
              </w:rPr>
            </w:pPr>
          </w:p>
        </w:tc>
        <w:tc>
          <w:tcPr>
            <w:tcW w:w="1560" w:type="dxa"/>
          </w:tcPr>
          <w:p w14:paraId="3F801767">
            <w:pPr>
              <w:kinsoku/>
              <w:rPr>
                <w:rFonts w:ascii="宋体" w:hAnsi="宋体" w:eastAsia="宋体" w:cs="宋体"/>
                <w:color w:val="000000" w:themeColor="text1"/>
                <w:highlight w:val="none"/>
                <w14:textFill>
                  <w14:solidFill>
                    <w14:schemeClr w14:val="tx1"/>
                  </w14:solidFill>
                </w14:textFill>
              </w:rPr>
            </w:pPr>
          </w:p>
        </w:tc>
        <w:tc>
          <w:tcPr>
            <w:tcW w:w="1180" w:type="dxa"/>
          </w:tcPr>
          <w:p w14:paraId="6125E942">
            <w:pPr>
              <w:kinsoku/>
              <w:rPr>
                <w:rFonts w:ascii="宋体" w:hAnsi="宋体" w:eastAsia="宋体" w:cs="宋体"/>
                <w:color w:val="000000" w:themeColor="text1"/>
                <w:highlight w:val="none"/>
                <w14:textFill>
                  <w14:solidFill>
                    <w14:schemeClr w14:val="tx1"/>
                  </w14:solidFill>
                </w14:textFill>
              </w:rPr>
            </w:pPr>
          </w:p>
        </w:tc>
        <w:tc>
          <w:tcPr>
            <w:tcW w:w="1007" w:type="dxa"/>
          </w:tcPr>
          <w:p w14:paraId="51DECBE4">
            <w:pPr>
              <w:kinsoku/>
              <w:rPr>
                <w:rFonts w:ascii="宋体" w:hAnsi="宋体" w:eastAsia="宋体" w:cs="宋体"/>
                <w:color w:val="000000" w:themeColor="text1"/>
                <w:highlight w:val="none"/>
                <w14:textFill>
                  <w14:solidFill>
                    <w14:schemeClr w14:val="tx1"/>
                  </w14:solidFill>
                </w14:textFill>
              </w:rPr>
            </w:pPr>
          </w:p>
        </w:tc>
        <w:tc>
          <w:tcPr>
            <w:tcW w:w="1742" w:type="dxa"/>
          </w:tcPr>
          <w:p w14:paraId="2406ACAD">
            <w:pPr>
              <w:kinsoku/>
              <w:rPr>
                <w:rFonts w:ascii="宋体" w:hAnsi="宋体" w:eastAsia="宋体" w:cs="宋体"/>
                <w:color w:val="000000" w:themeColor="text1"/>
                <w:highlight w:val="none"/>
                <w14:textFill>
                  <w14:solidFill>
                    <w14:schemeClr w14:val="tx1"/>
                  </w14:solidFill>
                </w14:textFill>
              </w:rPr>
            </w:pPr>
          </w:p>
        </w:tc>
      </w:tr>
      <w:tr w14:paraId="1038C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12" w:type="dxa"/>
          </w:tcPr>
          <w:p w14:paraId="15CD0DEB">
            <w:pPr>
              <w:kinsoku/>
              <w:rPr>
                <w:rFonts w:ascii="宋体" w:hAnsi="宋体" w:eastAsia="宋体" w:cs="宋体"/>
                <w:color w:val="000000" w:themeColor="text1"/>
                <w:highlight w:val="none"/>
                <w14:textFill>
                  <w14:solidFill>
                    <w14:schemeClr w14:val="tx1"/>
                  </w14:solidFill>
                </w14:textFill>
              </w:rPr>
            </w:pPr>
          </w:p>
        </w:tc>
        <w:tc>
          <w:tcPr>
            <w:tcW w:w="1439" w:type="dxa"/>
          </w:tcPr>
          <w:p w14:paraId="34C6A2F6">
            <w:pPr>
              <w:kinsoku/>
              <w:rPr>
                <w:rFonts w:ascii="宋体" w:hAnsi="宋体" w:eastAsia="宋体" w:cs="宋体"/>
                <w:color w:val="000000" w:themeColor="text1"/>
                <w:highlight w:val="none"/>
                <w14:textFill>
                  <w14:solidFill>
                    <w14:schemeClr w14:val="tx1"/>
                  </w14:solidFill>
                </w14:textFill>
              </w:rPr>
            </w:pPr>
          </w:p>
        </w:tc>
        <w:tc>
          <w:tcPr>
            <w:tcW w:w="1363" w:type="dxa"/>
          </w:tcPr>
          <w:p w14:paraId="5ED3D16C">
            <w:pPr>
              <w:kinsoku/>
              <w:rPr>
                <w:rFonts w:ascii="宋体" w:hAnsi="宋体" w:eastAsia="宋体" w:cs="宋体"/>
                <w:color w:val="000000" w:themeColor="text1"/>
                <w:highlight w:val="none"/>
                <w14:textFill>
                  <w14:solidFill>
                    <w14:schemeClr w14:val="tx1"/>
                  </w14:solidFill>
                </w14:textFill>
              </w:rPr>
            </w:pPr>
          </w:p>
        </w:tc>
        <w:tc>
          <w:tcPr>
            <w:tcW w:w="1560" w:type="dxa"/>
          </w:tcPr>
          <w:p w14:paraId="16EA110E">
            <w:pPr>
              <w:kinsoku/>
              <w:rPr>
                <w:rFonts w:ascii="宋体" w:hAnsi="宋体" w:eastAsia="宋体" w:cs="宋体"/>
                <w:color w:val="000000" w:themeColor="text1"/>
                <w:highlight w:val="none"/>
                <w14:textFill>
                  <w14:solidFill>
                    <w14:schemeClr w14:val="tx1"/>
                  </w14:solidFill>
                </w14:textFill>
              </w:rPr>
            </w:pPr>
          </w:p>
        </w:tc>
        <w:tc>
          <w:tcPr>
            <w:tcW w:w="1180" w:type="dxa"/>
          </w:tcPr>
          <w:p w14:paraId="0FCEDD63">
            <w:pPr>
              <w:kinsoku/>
              <w:rPr>
                <w:rFonts w:ascii="宋体" w:hAnsi="宋体" w:eastAsia="宋体" w:cs="宋体"/>
                <w:color w:val="000000" w:themeColor="text1"/>
                <w:highlight w:val="none"/>
                <w14:textFill>
                  <w14:solidFill>
                    <w14:schemeClr w14:val="tx1"/>
                  </w14:solidFill>
                </w14:textFill>
              </w:rPr>
            </w:pPr>
          </w:p>
        </w:tc>
        <w:tc>
          <w:tcPr>
            <w:tcW w:w="1007" w:type="dxa"/>
          </w:tcPr>
          <w:p w14:paraId="375CCC81">
            <w:pPr>
              <w:kinsoku/>
              <w:rPr>
                <w:rFonts w:ascii="宋体" w:hAnsi="宋体" w:eastAsia="宋体" w:cs="宋体"/>
                <w:color w:val="000000" w:themeColor="text1"/>
                <w:highlight w:val="none"/>
                <w14:textFill>
                  <w14:solidFill>
                    <w14:schemeClr w14:val="tx1"/>
                  </w14:solidFill>
                </w14:textFill>
              </w:rPr>
            </w:pPr>
          </w:p>
        </w:tc>
        <w:tc>
          <w:tcPr>
            <w:tcW w:w="1742" w:type="dxa"/>
          </w:tcPr>
          <w:p w14:paraId="18814C93">
            <w:pPr>
              <w:kinsoku/>
              <w:rPr>
                <w:rFonts w:ascii="宋体" w:hAnsi="宋体" w:eastAsia="宋体" w:cs="宋体"/>
                <w:color w:val="000000" w:themeColor="text1"/>
                <w:highlight w:val="none"/>
                <w14:textFill>
                  <w14:solidFill>
                    <w14:schemeClr w14:val="tx1"/>
                  </w14:solidFill>
                </w14:textFill>
              </w:rPr>
            </w:pPr>
          </w:p>
        </w:tc>
      </w:tr>
      <w:tr w14:paraId="26483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728705D5">
            <w:pPr>
              <w:kinsoku/>
              <w:rPr>
                <w:rFonts w:ascii="宋体" w:hAnsi="宋体" w:eastAsia="宋体" w:cs="宋体"/>
                <w:color w:val="000000" w:themeColor="text1"/>
                <w:highlight w:val="none"/>
                <w14:textFill>
                  <w14:solidFill>
                    <w14:schemeClr w14:val="tx1"/>
                  </w14:solidFill>
                </w14:textFill>
              </w:rPr>
            </w:pPr>
          </w:p>
        </w:tc>
        <w:tc>
          <w:tcPr>
            <w:tcW w:w="1439" w:type="dxa"/>
          </w:tcPr>
          <w:p w14:paraId="5F180614">
            <w:pPr>
              <w:kinsoku/>
              <w:rPr>
                <w:rFonts w:ascii="宋体" w:hAnsi="宋体" w:eastAsia="宋体" w:cs="宋体"/>
                <w:color w:val="000000" w:themeColor="text1"/>
                <w:highlight w:val="none"/>
                <w14:textFill>
                  <w14:solidFill>
                    <w14:schemeClr w14:val="tx1"/>
                  </w14:solidFill>
                </w14:textFill>
              </w:rPr>
            </w:pPr>
          </w:p>
        </w:tc>
        <w:tc>
          <w:tcPr>
            <w:tcW w:w="1363" w:type="dxa"/>
          </w:tcPr>
          <w:p w14:paraId="024104F3">
            <w:pPr>
              <w:kinsoku/>
              <w:rPr>
                <w:rFonts w:ascii="宋体" w:hAnsi="宋体" w:eastAsia="宋体" w:cs="宋体"/>
                <w:color w:val="000000" w:themeColor="text1"/>
                <w:highlight w:val="none"/>
                <w14:textFill>
                  <w14:solidFill>
                    <w14:schemeClr w14:val="tx1"/>
                  </w14:solidFill>
                </w14:textFill>
              </w:rPr>
            </w:pPr>
          </w:p>
        </w:tc>
        <w:tc>
          <w:tcPr>
            <w:tcW w:w="1560" w:type="dxa"/>
          </w:tcPr>
          <w:p w14:paraId="69F540B7">
            <w:pPr>
              <w:kinsoku/>
              <w:rPr>
                <w:rFonts w:ascii="宋体" w:hAnsi="宋体" w:eastAsia="宋体" w:cs="宋体"/>
                <w:color w:val="000000" w:themeColor="text1"/>
                <w:highlight w:val="none"/>
                <w14:textFill>
                  <w14:solidFill>
                    <w14:schemeClr w14:val="tx1"/>
                  </w14:solidFill>
                </w14:textFill>
              </w:rPr>
            </w:pPr>
          </w:p>
        </w:tc>
        <w:tc>
          <w:tcPr>
            <w:tcW w:w="1180" w:type="dxa"/>
          </w:tcPr>
          <w:p w14:paraId="0FE342D8">
            <w:pPr>
              <w:kinsoku/>
              <w:rPr>
                <w:rFonts w:ascii="宋体" w:hAnsi="宋体" w:eastAsia="宋体" w:cs="宋体"/>
                <w:color w:val="000000" w:themeColor="text1"/>
                <w:highlight w:val="none"/>
                <w14:textFill>
                  <w14:solidFill>
                    <w14:schemeClr w14:val="tx1"/>
                  </w14:solidFill>
                </w14:textFill>
              </w:rPr>
            </w:pPr>
          </w:p>
        </w:tc>
        <w:tc>
          <w:tcPr>
            <w:tcW w:w="1007" w:type="dxa"/>
          </w:tcPr>
          <w:p w14:paraId="05659A94">
            <w:pPr>
              <w:kinsoku/>
              <w:rPr>
                <w:rFonts w:ascii="宋体" w:hAnsi="宋体" w:eastAsia="宋体" w:cs="宋体"/>
                <w:color w:val="000000" w:themeColor="text1"/>
                <w:highlight w:val="none"/>
                <w14:textFill>
                  <w14:solidFill>
                    <w14:schemeClr w14:val="tx1"/>
                  </w14:solidFill>
                </w14:textFill>
              </w:rPr>
            </w:pPr>
          </w:p>
        </w:tc>
        <w:tc>
          <w:tcPr>
            <w:tcW w:w="1742" w:type="dxa"/>
          </w:tcPr>
          <w:p w14:paraId="47D528C7">
            <w:pPr>
              <w:kinsoku/>
              <w:rPr>
                <w:rFonts w:ascii="宋体" w:hAnsi="宋体" w:eastAsia="宋体" w:cs="宋体"/>
                <w:color w:val="000000" w:themeColor="text1"/>
                <w:highlight w:val="none"/>
                <w14:textFill>
                  <w14:solidFill>
                    <w14:schemeClr w14:val="tx1"/>
                  </w14:solidFill>
                </w14:textFill>
              </w:rPr>
            </w:pPr>
          </w:p>
        </w:tc>
      </w:tr>
      <w:tr w14:paraId="24863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12" w:type="dxa"/>
          </w:tcPr>
          <w:p w14:paraId="3FA142EC">
            <w:pPr>
              <w:kinsoku/>
              <w:rPr>
                <w:rFonts w:ascii="宋体" w:hAnsi="宋体" w:eastAsia="宋体" w:cs="宋体"/>
                <w:color w:val="000000" w:themeColor="text1"/>
                <w:highlight w:val="none"/>
                <w14:textFill>
                  <w14:solidFill>
                    <w14:schemeClr w14:val="tx1"/>
                  </w14:solidFill>
                </w14:textFill>
              </w:rPr>
            </w:pPr>
          </w:p>
        </w:tc>
        <w:tc>
          <w:tcPr>
            <w:tcW w:w="1439" w:type="dxa"/>
          </w:tcPr>
          <w:p w14:paraId="2FC9E9D9">
            <w:pPr>
              <w:kinsoku/>
              <w:rPr>
                <w:rFonts w:ascii="宋体" w:hAnsi="宋体" w:eastAsia="宋体" w:cs="宋体"/>
                <w:color w:val="000000" w:themeColor="text1"/>
                <w:highlight w:val="none"/>
                <w14:textFill>
                  <w14:solidFill>
                    <w14:schemeClr w14:val="tx1"/>
                  </w14:solidFill>
                </w14:textFill>
              </w:rPr>
            </w:pPr>
          </w:p>
        </w:tc>
        <w:tc>
          <w:tcPr>
            <w:tcW w:w="1363" w:type="dxa"/>
          </w:tcPr>
          <w:p w14:paraId="02BBEFB0">
            <w:pPr>
              <w:kinsoku/>
              <w:rPr>
                <w:rFonts w:ascii="宋体" w:hAnsi="宋体" w:eastAsia="宋体" w:cs="宋体"/>
                <w:color w:val="000000" w:themeColor="text1"/>
                <w:highlight w:val="none"/>
                <w14:textFill>
                  <w14:solidFill>
                    <w14:schemeClr w14:val="tx1"/>
                  </w14:solidFill>
                </w14:textFill>
              </w:rPr>
            </w:pPr>
          </w:p>
        </w:tc>
        <w:tc>
          <w:tcPr>
            <w:tcW w:w="1560" w:type="dxa"/>
          </w:tcPr>
          <w:p w14:paraId="09BA3A61">
            <w:pPr>
              <w:kinsoku/>
              <w:rPr>
                <w:rFonts w:ascii="宋体" w:hAnsi="宋体" w:eastAsia="宋体" w:cs="宋体"/>
                <w:color w:val="000000" w:themeColor="text1"/>
                <w:highlight w:val="none"/>
                <w14:textFill>
                  <w14:solidFill>
                    <w14:schemeClr w14:val="tx1"/>
                  </w14:solidFill>
                </w14:textFill>
              </w:rPr>
            </w:pPr>
          </w:p>
        </w:tc>
        <w:tc>
          <w:tcPr>
            <w:tcW w:w="1180" w:type="dxa"/>
          </w:tcPr>
          <w:p w14:paraId="2318A0A1">
            <w:pPr>
              <w:kinsoku/>
              <w:rPr>
                <w:rFonts w:ascii="宋体" w:hAnsi="宋体" w:eastAsia="宋体" w:cs="宋体"/>
                <w:color w:val="000000" w:themeColor="text1"/>
                <w:highlight w:val="none"/>
                <w14:textFill>
                  <w14:solidFill>
                    <w14:schemeClr w14:val="tx1"/>
                  </w14:solidFill>
                </w14:textFill>
              </w:rPr>
            </w:pPr>
          </w:p>
        </w:tc>
        <w:tc>
          <w:tcPr>
            <w:tcW w:w="1007" w:type="dxa"/>
          </w:tcPr>
          <w:p w14:paraId="10B21E10">
            <w:pPr>
              <w:kinsoku/>
              <w:rPr>
                <w:rFonts w:ascii="宋体" w:hAnsi="宋体" w:eastAsia="宋体" w:cs="宋体"/>
                <w:color w:val="000000" w:themeColor="text1"/>
                <w:highlight w:val="none"/>
                <w14:textFill>
                  <w14:solidFill>
                    <w14:schemeClr w14:val="tx1"/>
                  </w14:solidFill>
                </w14:textFill>
              </w:rPr>
            </w:pPr>
          </w:p>
        </w:tc>
        <w:tc>
          <w:tcPr>
            <w:tcW w:w="1742" w:type="dxa"/>
          </w:tcPr>
          <w:p w14:paraId="75AF174C">
            <w:pPr>
              <w:kinsoku/>
              <w:rPr>
                <w:rFonts w:ascii="宋体" w:hAnsi="宋体" w:eastAsia="宋体" w:cs="宋体"/>
                <w:color w:val="000000" w:themeColor="text1"/>
                <w:highlight w:val="none"/>
                <w14:textFill>
                  <w14:solidFill>
                    <w14:schemeClr w14:val="tx1"/>
                  </w14:solidFill>
                </w14:textFill>
              </w:rPr>
            </w:pPr>
          </w:p>
        </w:tc>
      </w:tr>
      <w:tr w14:paraId="3555A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460332BE">
            <w:pPr>
              <w:kinsoku/>
              <w:rPr>
                <w:rFonts w:ascii="宋体" w:hAnsi="宋体" w:eastAsia="宋体" w:cs="宋体"/>
                <w:color w:val="000000" w:themeColor="text1"/>
                <w:highlight w:val="none"/>
                <w14:textFill>
                  <w14:solidFill>
                    <w14:schemeClr w14:val="tx1"/>
                  </w14:solidFill>
                </w14:textFill>
              </w:rPr>
            </w:pPr>
          </w:p>
        </w:tc>
        <w:tc>
          <w:tcPr>
            <w:tcW w:w="1439" w:type="dxa"/>
          </w:tcPr>
          <w:p w14:paraId="5C760FA4">
            <w:pPr>
              <w:kinsoku/>
              <w:rPr>
                <w:rFonts w:ascii="宋体" w:hAnsi="宋体" w:eastAsia="宋体" w:cs="宋体"/>
                <w:color w:val="000000" w:themeColor="text1"/>
                <w:highlight w:val="none"/>
                <w14:textFill>
                  <w14:solidFill>
                    <w14:schemeClr w14:val="tx1"/>
                  </w14:solidFill>
                </w14:textFill>
              </w:rPr>
            </w:pPr>
          </w:p>
        </w:tc>
        <w:tc>
          <w:tcPr>
            <w:tcW w:w="1363" w:type="dxa"/>
          </w:tcPr>
          <w:p w14:paraId="61D0DEC9">
            <w:pPr>
              <w:kinsoku/>
              <w:rPr>
                <w:rFonts w:ascii="宋体" w:hAnsi="宋体" w:eastAsia="宋体" w:cs="宋体"/>
                <w:color w:val="000000" w:themeColor="text1"/>
                <w:highlight w:val="none"/>
                <w14:textFill>
                  <w14:solidFill>
                    <w14:schemeClr w14:val="tx1"/>
                  </w14:solidFill>
                </w14:textFill>
              </w:rPr>
            </w:pPr>
          </w:p>
        </w:tc>
        <w:tc>
          <w:tcPr>
            <w:tcW w:w="1560" w:type="dxa"/>
          </w:tcPr>
          <w:p w14:paraId="73189BCB">
            <w:pPr>
              <w:kinsoku/>
              <w:rPr>
                <w:rFonts w:ascii="宋体" w:hAnsi="宋体" w:eastAsia="宋体" w:cs="宋体"/>
                <w:color w:val="000000" w:themeColor="text1"/>
                <w:highlight w:val="none"/>
                <w14:textFill>
                  <w14:solidFill>
                    <w14:schemeClr w14:val="tx1"/>
                  </w14:solidFill>
                </w14:textFill>
              </w:rPr>
            </w:pPr>
          </w:p>
        </w:tc>
        <w:tc>
          <w:tcPr>
            <w:tcW w:w="1180" w:type="dxa"/>
          </w:tcPr>
          <w:p w14:paraId="3A0DAAB5">
            <w:pPr>
              <w:kinsoku/>
              <w:rPr>
                <w:rFonts w:ascii="宋体" w:hAnsi="宋体" w:eastAsia="宋体" w:cs="宋体"/>
                <w:color w:val="000000" w:themeColor="text1"/>
                <w:highlight w:val="none"/>
                <w14:textFill>
                  <w14:solidFill>
                    <w14:schemeClr w14:val="tx1"/>
                  </w14:solidFill>
                </w14:textFill>
              </w:rPr>
            </w:pPr>
          </w:p>
        </w:tc>
        <w:tc>
          <w:tcPr>
            <w:tcW w:w="1007" w:type="dxa"/>
          </w:tcPr>
          <w:p w14:paraId="30BE492C">
            <w:pPr>
              <w:kinsoku/>
              <w:rPr>
                <w:rFonts w:ascii="宋体" w:hAnsi="宋体" w:eastAsia="宋体" w:cs="宋体"/>
                <w:color w:val="000000" w:themeColor="text1"/>
                <w:highlight w:val="none"/>
                <w14:textFill>
                  <w14:solidFill>
                    <w14:schemeClr w14:val="tx1"/>
                  </w14:solidFill>
                </w14:textFill>
              </w:rPr>
            </w:pPr>
          </w:p>
        </w:tc>
        <w:tc>
          <w:tcPr>
            <w:tcW w:w="1742" w:type="dxa"/>
          </w:tcPr>
          <w:p w14:paraId="53A12DD6">
            <w:pPr>
              <w:kinsoku/>
              <w:rPr>
                <w:rFonts w:ascii="宋体" w:hAnsi="宋体" w:eastAsia="宋体" w:cs="宋体"/>
                <w:color w:val="000000" w:themeColor="text1"/>
                <w:highlight w:val="none"/>
                <w14:textFill>
                  <w14:solidFill>
                    <w14:schemeClr w14:val="tx1"/>
                  </w14:solidFill>
                </w14:textFill>
              </w:rPr>
            </w:pPr>
          </w:p>
        </w:tc>
      </w:tr>
      <w:tr w14:paraId="3755B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2" w:type="dxa"/>
          </w:tcPr>
          <w:p w14:paraId="669DA9BE">
            <w:pPr>
              <w:kinsoku/>
              <w:rPr>
                <w:rFonts w:ascii="宋体" w:hAnsi="宋体" w:eastAsia="宋体" w:cs="宋体"/>
                <w:color w:val="000000" w:themeColor="text1"/>
                <w:highlight w:val="none"/>
                <w14:textFill>
                  <w14:solidFill>
                    <w14:schemeClr w14:val="tx1"/>
                  </w14:solidFill>
                </w14:textFill>
              </w:rPr>
            </w:pPr>
          </w:p>
        </w:tc>
        <w:tc>
          <w:tcPr>
            <w:tcW w:w="1439" w:type="dxa"/>
          </w:tcPr>
          <w:p w14:paraId="7EC5A1C0">
            <w:pPr>
              <w:kinsoku/>
              <w:rPr>
                <w:rFonts w:ascii="宋体" w:hAnsi="宋体" w:eastAsia="宋体" w:cs="宋体"/>
                <w:color w:val="000000" w:themeColor="text1"/>
                <w:highlight w:val="none"/>
                <w14:textFill>
                  <w14:solidFill>
                    <w14:schemeClr w14:val="tx1"/>
                  </w14:solidFill>
                </w14:textFill>
              </w:rPr>
            </w:pPr>
          </w:p>
        </w:tc>
        <w:tc>
          <w:tcPr>
            <w:tcW w:w="1363" w:type="dxa"/>
          </w:tcPr>
          <w:p w14:paraId="7A41F6D7">
            <w:pPr>
              <w:kinsoku/>
              <w:rPr>
                <w:rFonts w:ascii="宋体" w:hAnsi="宋体" w:eastAsia="宋体" w:cs="宋体"/>
                <w:color w:val="000000" w:themeColor="text1"/>
                <w:highlight w:val="none"/>
                <w14:textFill>
                  <w14:solidFill>
                    <w14:schemeClr w14:val="tx1"/>
                  </w14:solidFill>
                </w14:textFill>
              </w:rPr>
            </w:pPr>
          </w:p>
        </w:tc>
        <w:tc>
          <w:tcPr>
            <w:tcW w:w="1560" w:type="dxa"/>
          </w:tcPr>
          <w:p w14:paraId="31BDA4C5">
            <w:pPr>
              <w:kinsoku/>
              <w:rPr>
                <w:rFonts w:ascii="宋体" w:hAnsi="宋体" w:eastAsia="宋体" w:cs="宋体"/>
                <w:color w:val="000000" w:themeColor="text1"/>
                <w:highlight w:val="none"/>
                <w14:textFill>
                  <w14:solidFill>
                    <w14:schemeClr w14:val="tx1"/>
                  </w14:solidFill>
                </w14:textFill>
              </w:rPr>
            </w:pPr>
          </w:p>
        </w:tc>
        <w:tc>
          <w:tcPr>
            <w:tcW w:w="1180" w:type="dxa"/>
          </w:tcPr>
          <w:p w14:paraId="3A48BFC3">
            <w:pPr>
              <w:kinsoku/>
              <w:rPr>
                <w:rFonts w:ascii="宋体" w:hAnsi="宋体" w:eastAsia="宋体" w:cs="宋体"/>
                <w:color w:val="000000" w:themeColor="text1"/>
                <w:highlight w:val="none"/>
                <w14:textFill>
                  <w14:solidFill>
                    <w14:schemeClr w14:val="tx1"/>
                  </w14:solidFill>
                </w14:textFill>
              </w:rPr>
            </w:pPr>
          </w:p>
        </w:tc>
        <w:tc>
          <w:tcPr>
            <w:tcW w:w="1007" w:type="dxa"/>
          </w:tcPr>
          <w:p w14:paraId="7C50A28B">
            <w:pPr>
              <w:kinsoku/>
              <w:rPr>
                <w:rFonts w:ascii="宋体" w:hAnsi="宋体" w:eastAsia="宋体" w:cs="宋体"/>
                <w:color w:val="000000" w:themeColor="text1"/>
                <w:highlight w:val="none"/>
                <w14:textFill>
                  <w14:solidFill>
                    <w14:schemeClr w14:val="tx1"/>
                  </w14:solidFill>
                </w14:textFill>
              </w:rPr>
            </w:pPr>
          </w:p>
        </w:tc>
        <w:tc>
          <w:tcPr>
            <w:tcW w:w="1742" w:type="dxa"/>
          </w:tcPr>
          <w:p w14:paraId="410211DD">
            <w:pPr>
              <w:kinsoku/>
              <w:rPr>
                <w:rFonts w:ascii="宋体" w:hAnsi="宋体" w:eastAsia="宋体" w:cs="宋体"/>
                <w:color w:val="000000" w:themeColor="text1"/>
                <w:highlight w:val="none"/>
                <w14:textFill>
                  <w14:solidFill>
                    <w14:schemeClr w14:val="tx1"/>
                  </w14:solidFill>
                </w14:textFill>
              </w:rPr>
            </w:pPr>
          </w:p>
        </w:tc>
      </w:tr>
      <w:tr w14:paraId="1D9D5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6A9939F8">
            <w:pPr>
              <w:kinsoku/>
              <w:rPr>
                <w:rFonts w:ascii="宋体" w:hAnsi="宋体" w:eastAsia="宋体" w:cs="宋体"/>
                <w:color w:val="000000" w:themeColor="text1"/>
                <w:highlight w:val="none"/>
                <w14:textFill>
                  <w14:solidFill>
                    <w14:schemeClr w14:val="tx1"/>
                  </w14:solidFill>
                </w14:textFill>
              </w:rPr>
            </w:pPr>
          </w:p>
        </w:tc>
        <w:tc>
          <w:tcPr>
            <w:tcW w:w="1439" w:type="dxa"/>
          </w:tcPr>
          <w:p w14:paraId="3383810C">
            <w:pPr>
              <w:kinsoku/>
              <w:rPr>
                <w:rFonts w:ascii="宋体" w:hAnsi="宋体" w:eastAsia="宋体" w:cs="宋体"/>
                <w:color w:val="000000" w:themeColor="text1"/>
                <w:highlight w:val="none"/>
                <w14:textFill>
                  <w14:solidFill>
                    <w14:schemeClr w14:val="tx1"/>
                  </w14:solidFill>
                </w14:textFill>
              </w:rPr>
            </w:pPr>
          </w:p>
        </w:tc>
        <w:tc>
          <w:tcPr>
            <w:tcW w:w="1363" w:type="dxa"/>
          </w:tcPr>
          <w:p w14:paraId="4FCA56DE">
            <w:pPr>
              <w:kinsoku/>
              <w:rPr>
                <w:rFonts w:ascii="宋体" w:hAnsi="宋体" w:eastAsia="宋体" w:cs="宋体"/>
                <w:color w:val="000000" w:themeColor="text1"/>
                <w:highlight w:val="none"/>
                <w14:textFill>
                  <w14:solidFill>
                    <w14:schemeClr w14:val="tx1"/>
                  </w14:solidFill>
                </w14:textFill>
              </w:rPr>
            </w:pPr>
          </w:p>
        </w:tc>
        <w:tc>
          <w:tcPr>
            <w:tcW w:w="1560" w:type="dxa"/>
          </w:tcPr>
          <w:p w14:paraId="22608BB8">
            <w:pPr>
              <w:kinsoku/>
              <w:rPr>
                <w:rFonts w:ascii="宋体" w:hAnsi="宋体" w:eastAsia="宋体" w:cs="宋体"/>
                <w:color w:val="000000" w:themeColor="text1"/>
                <w:highlight w:val="none"/>
                <w14:textFill>
                  <w14:solidFill>
                    <w14:schemeClr w14:val="tx1"/>
                  </w14:solidFill>
                </w14:textFill>
              </w:rPr>
            </w:pPr>
          </w:p>
        </w:tc>
        <w:tc>
          <w:tcPr>
            <w:tcW w:w="1180" w:type="dxa"/>
          </w:tcPr>
          <w:p w14:paraId="43A736C0">
            <w:pPr>
              <w:kinsoku/>
              <w:rPr>
                <w:rFonts w:ascii="宋体" w:hAnsi="宋体" w:eastAsia="宋体" w:cs="宋体"/>
                <w:color w:val="000000" w:themeColor="text1"/>
                <w:highlight w:val="none"/>
                <w14:textFill>
                  <w14:solidFill>
                    <w14:schemeClr w14:val="tx1"/>
                  </w14:solidFill>
                </w14:textFill>
              </w:rPr>
            </w:pPr>
          </w:p>
        </w:tc>
        <w:tc>
          <w:tcPr>
            <w:tcW w:w="1007" w:type="dxa"/>
          </w:tcPr>
          <w:p w14:paraId="27CCE1A4">
            <w:pPr>
              <w:kinsoku/>
              <w:rPr>
                <w:rFonts w:ascii="宋体" w:hAnsi="宋体" w:eastAsia="宋体" w:cs="宋体"/>
                <w:color w:val="000000" w:themeColor="text1"/>
                <w:highlight w:val="none"/>
                <w14:textFill>
                  <w14:solidFill>
                    <w14:schemeClr w14:val="tx1"/>
                  </w14:solidFill>
                </w14:textFill>
              </w:rPr>
            </w:pPr>
          </w:p>
        </w:tc>
        <w:tc>
          <w:tcPr>
            <w:tcW w:w="1742" w:type="dxa"/>
          </w:tcPr>
          <w:p w14:paraId="220991AD">
            <w:pPr>
              <w:kinsoku/>
              <w:rPr>
                <w:rFonts w:ascii="宋体" w:hAnsi="宋体" w:eastAsia="宋体" w:cs="宋体"/>
                <w:color w:val="000000" w:themeColor="text1"/>
                <w:highlight w:val="none"/>
                <w14:textFill>
                  <w14:solidFill>
                    <w14:schemeClr w14:val="tx1"/>
                  </w14:solidFill>
                </w14:textFill>
              </w:rPr>
            </w:pPr>
          </w:p>
        </w:tc>
      </w:tr>
      <w:tr w14:paraId="703F2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2" w:type="dxa"/>
          </w:tcPr>
          <w:p w14:paraId="4FCF4CA3">
            <w:pPr>
              <w:kinsoku/>
              <w:rPr>
                <w:rFonts w:ascii="宋体" w:hAnsi="宋体" w:eastAsia="宋体" w:cs="宋体"/>
                <w:color w:val="000000" w:themeColor="text1"/>
                <w:highlight w:val="none"/>
                <w14:textFill>
                  <w14:solidFill>
                    <w14:schemeClr w14:val="tx1"/>
                  </w14:solidFill>
                </w14:textFill>
              </w:rPr>
            </w:pPr>
          </w:p>
        </w:tc>
        <w:tc>
          <w:tcPr>
            <w:tcW w:w="1439" w:type="dxa"/>
          </w:tcPr>
          <w:p w14:paraId="5667F079">
            <w:pPr>
              <w:kinsoku/>
              <w:rPr>
                <w:rFonts w:ascii="宋体" w:hAnsi="宋体" w:eastAsia="宋体" w:cs="宋体"/>
                <w:color w:val="000000" w:themeColor="text1"/>
                <w:highlight w:val="none"/>
                <w14:textFill>
                  <w14:solidFill>
                    <w14:schemeClr w14:val="tx1"/>
                  </w14:solidFill>
                </w14:textFill>
              </w:rPr>
            </w:pPr>
          </w:p>
        </w:tc>
        <w:tc>
          <w:tcPr>
            <w:tcW w:w="1363" w:type="dxa"/>
          </w:tcPr>
          <w:p w14:paraId="2EBEDF07">
            <w:pPr>
              <w:kinsoku/>
              <w:rPr>
                <w:rFonts w:ascii="宋体" w:hAnsi="宋体" w:eastAsia="宋体" w:cs="宋体"/>
                <w:color w:val="000000" w:themeColor="text1"/>
                <w:highlight w:val="none"/>
                <w14:textFill>
                  <w14:solidFill>
                    <w14:schemeClr w14:val="tx1"/>
                  </w14:solidFill>
                </w14:textFill>
              </w:rPr>
            </w:pPr>
          </w:p>
        </w:tc>
        <w:tc>
          <w:tcPr>
            <w:tcW w:w="1560" w:type="dxa"/>
          </w:tcPr>
          <w:p w14:paraId="67566460">
            <w:pPr>
              <w:kinsoku/>
              <w:rPr>
                <w:rFonts w:ascii="宋体" w:hAnsi="宋体" w:eastAsia="宋体" w:cs="宋体"/>
                <w:color w:val="000000" w:themeColor="text1"/>
                <w:highlight w:val="none"/>
                <w14:textFill>
                  <w14:solidFill>
                    <w14:schemeClr w14:val="tx1"/>
                  </w14:solidFill>
                </w14:textFill>
              </w:rPr>
            </w:pPr>
          </w:p>
        </w:tc>
        <w:tc>
          <w:tcPr>
            <w:tcW w:w="1180" w:type="dxa"/>
          </w:tcPr>
          <w:p w14:paraId="20B61DD0">
            <w:pPr>
              <w:kinsoku/>
              <w:rPr>
                <w:rFonts w:ascii="宋体" w:hAnsi="宋体" w:eastAsia="宋体" w:cs="宋体"/>
                <w:color w:val="000000" w:themeColor="text1"/>
                <w:highlight w:val="none"/>
                <w14:textFill>
                  <w14:solidFill>
                    <w14:schemeClr w14:val="tx1"/>
                  </w14:solidFill>
                </w14:textFill>
              </w:rPr>
            </w:pPr>
          </w:p>
        </w:tc>
        <w:tc>
          <w:tcPr>
            <w:tcW w:w="1007" w:type="dxa"/>
          </w:tcPr>
          <w:p w14:paraId="50445F68">
            <w:pPr>
              <w:kinsoku/>
              <w:rPr>
                <w:rFonts w:ascii="宋体" w:hAnsi="宋体" w:eastAsia="宋体" w:cs="宋体"/>
                <w:color w:val="000000" w:themeColor="text1"/>
                <w:highlight w:val="none"/>
                <w14:textFill>
                  <w14:solidFill>
                    <w14:schemeClr w14:val="tx1"/>
                  </w14:solidFill>
                </w14:textFill>
              </w:rPr>
            </w:pPr>
          </w:p>
        </w:tc>
        <w:tc>
          <w:tcPr>
            <w:tcW w:w="1742" w:type="dxa"/>
          </w:tcPr>
          <w:p w14:paraId="429ADA4E">
            <w:pPr>
              <w:kinsoku/>
              <w:rPr>
                <w:rFonts w:ascii="宋体" w:hAnsi="宋体" w:eastAsia="宋体" w:cs="宋体"/>
                <w:color w:val="000000" w:themeColor="text1"/>
                <w:highlight w:val="none"/>
                <w14:textFill>
                  <w14:solidFill>
                    <w14:schemeClr w14:val="tx1"/>
                  </w14:solidFill>
                </w14:textFill>
              </w:rPr>
            </w:pPr>
          </w:p>
        </w:tc>
      </w:tr>
      <w:tr w14:paraId="10CD1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38E99870">
            <w:pPr>
              <w:kinsoku/>
              <w:rPr>
                <w:rFonts w:ascii="宋体" w:hAnsi="宋体" w:eastAsia="宋体" w:cs="宋体"/>
                <w:color w:val="000000" w:themeColor="text1"/>
                <w:highlight w:val="none"/>
                <w14:textFill>
                  <w14:solidFill>
                    <w14:schemeClr w14:val="tx1"/>
                  </w14:solidFill>
                </w14:textFill>
              </w:rPr>
            </w:pPr>
          </w:p>
        </w:tc>
        <w:tc>
          <w:tcPr>
            <w:tcW w:w="1439" w:type="dxa"/>
          </w:tcPr>
          <w:p w14:paraId="1E5998BC">
            <w:pPr>
              <w:kinsoku/>
              <w:rPr>
                <w:rFonts w:ascii="宋体" w:hAnsi="宋体" w:eastAsia="宋体" w:cs="宋体"/>
                <w:color w:val="000000" w:themeColor="text1"/>
                <w:highlight w:val="none"/>
                <w14:textFill>
                  <w14:solidFill>
                    <w14:schemeClr w14:val="tx1"/>
                  </w14:solidFill>
                </w14:textFill>
              </w:rPr>
            </w:pPr>
          </w:p>
        </w:tc>
        <w:tc>
          <w:tcPr>
            <w:tcW w:w="1363" w:type="dxa"/>
          </w:tcPr>
          <w:p w14:paraId="74613307">
            <w:pPr>
              <w:kinsoku/>
              <w:rPr>
                <w:rFonts w:ascii="宋体" w:hAnsi="宋体" w:eastAsia="宋体" w:cs="宋体"/>
                <w:color w:val="000000" w:themeColor="text1"/>
                <w:highlight w:val="none"/>
                <w14:textFill>
                  <w14:solidFill>
                    <w14:schemeClr w14:val="tx1"/>
                  </w14:solidFill>
                </w14:textFill>
              </w:rPr>
            </w:pPr>
          </w:p>
        </w:tc>
        <w:tc>
          <w:tcPr>
            <w:tcW w:w="1560" w:type="dxa"/>
          </w:tcPr>
          <w:p w14:paraId="100E9B05">
            <w:pPr>
              <w:kinsoku/>
              <w:rPr>
                <w:rFonts w:ascii="宋体" w:hAnsi="宋体" w:eastAsia="宋体" w:cs="宋体"/>
                <w:color w:val="000000" w:themeColor="text1"/>
                <w:highlight w:val="none"/>
                <w14:textFill>
                  <w14:solidFill>
                    <w14:schemeClr w14:val="tx1"/>
                  </w14:solidFill>
                </w14:textFill>
              </w:rPr>
            </w:pPr>
          </w:p>
        </w:tc>
        <w:tc>
          <w:tcPr>
            <w:tcW w:w="1180" w:type="dxa"/>
          </w:tcPr>
          <w:p w14:paraId="2E4CB414">
            <w:pPr>
              <w:kinsoku/>
              <w:rPr>
                <w:rFonts w:ascii="宋体" w:hAnsi="宋体" w:eastAsia="宋体" w:cs="宋体"/>
                <w:color w:val="000000" w:themeColor="text1"/>
                <w:highlight w:val="none"/>
                <w14:textFill>
                  <w14:solidFill>
                    <w14:schemeClr w14:val="tx1"/>
                  </w14:solidFill>
                </w14:textFill>
              </w:rPr>
            </w:pPr>
          </w:p>
        </w:tc>
        <w:tc>
          <w:tcPr>
            <w:tcW w:w="1007" w:type="dxa"/>
          </w:tcPr>
          <w:p w14:paraId="429408E8">
            <w:pPr>
              <w:kinsoku/>
              <w:rPr>
                <w:rFonts w:ascii="宋体" w:hAnsi="宋体" w:eastAsia="宋体" w:cs="宋体"/>
                <w:color w:val="000000" w:themeColor="text1"/>
                <w:highlight w:val="none"/>
                <w14:textFill>
                  <w14:solidFill>
                    <w14:schemeClr w14:val="tx1"/>
                  </w14:solidFill>
                </w14:textFill>
              </w:rPr>
            </w:pPr>
          </w:p>
        </w:tc>
        <w:tc>
          <w:tcPr>
            <w:tcW w:w="1742" w:type="dxa"/>
          </w:tcPr>
          <w:p w14:paraId="48663FDE">
            <w:pPr>
              <w:kinsoku/>
              <w:rPr>
                <w:rFonts w:ascii="宋体" w:hAnsi="宋体" w:eastAsia="宋体" w:cs="宋体"/>
                <w:color w:val="000000" w:themeColor="text1"/>
                <w:highlight w:val="none"/>
                <w14:textFill>
                  <w14:solidFill>
                    <w14:schemeClr w14:val="tx1"/>
                  </w14:solidFill>
                </w14:textFill>
              </w:rPr>
            </w:pPr>
          </w:p>
        </w:tc>
      </w:tr>
      <w:tr w14:paraId="1A773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12" w:type="dxa"/>
          </w:tcPr>
          <w:p w14:paraId="130B22EC">
            <w:pPr>
              <w:kinsoku/>
              <w:rPr>
                <w:rFonts w:ascii="宋体" w:hAnsi="宋体" w:eastAsia="宋体" w:cs="宋体"/>
                <w:color w:val="000000" w:themeColor="text1"/>
                <w:highlight w:val="none"/>
                <w14:textFill>
                  <w14:solidFill>
                    <w14:schemeClr w14:val="tx1"/>
                  </w14:solidFill>
                </w14:textFill>
              </w:rPr>
            </w:pPr>
          </w:p>
        </w:tc>
        <w:tc>
          <w:tcPr>
            <w:tcW w:w="1439" w:type="dxa"/>
          </w:tcPr>
          <w:p w14:paraId="4D844514">
            <w:pPr>
              <w:kinsoku/>
              <w:rPr>
                <w:rFonts w:ascii="宋体" w:hAnsi="宋体" w:eastAsia="宋体" w:cs="宋体"/>
                <w:color w:val="000000" w:themeColor="text1"/>
                <w:highlight w:val="none"/>
                <w14:textFill>
                  <w14:solidFill>
                    <w14:schemeClr w14:val="tx1"/>
                  </w14:solidFill>
                </w14:textFill>
              </w:rPr>
            </w:pPr>
          </w:p>
        </w:tc>
        <w:tc>
          <w:tcPr>
            <w:tcW w:w="1363" w:type="dxa"/>
          </w:tcPr>
          <w:p w14:paraId="5C45E673">
            <w:pPr>
              <w:kinsoku/>
              <w:rPr>
                <w:rFonts w:ascii="宋体" w:hAnsi="宋体" w:eastAsia="宋体" w:cs="宋体"/>
                <w:color w:val="000000" w:themeColor="text1"/>
                <w:highlight w:val="none"/>
                <w14:textFill>
                  <w14:solidFill>
                    <w14:schemeClr w14:val="tx1"/>
                  </w14:solidFill>
                </w14:textFill>
              </w:rPr>
            </w:pPr>
          </w:p>
        </w:tc>
        <w:tc>
          <w:tcPr>
            <w:tcW w:w="1560" w:type="dxa"/>
          </w:tcPr>
          <w:p w14:paraId="09A14DDF">
            <w:pPr>
              <w:kinsoku/>
              <w:rPr>
                <w:rFonts w:ascii="宋体" w:hAnsi="宋体" w:eastAsia="宋体" w:cs="宋体"/>
                <w:color w:val="000000" w:themeColor="text1"/>
                <w:highlight w:val="none"/>
                <w14:textFill>
                  <w14:solidFill>
                    <w14:schemeClr w14:val="tx1"/>
                  </w14:solidFill>
                </w14:textFill>
              </w:rPr>
            </w:pPr>
          </w:p>
        </w:tc>
        <w:tc>
          <w:tcPr>
            <w:tcW w:w="1180" w:type="dxa"/>
          </w:tcPr>
          <w:p w14:paraId="1CFA10CA">
            <w:pPr>
              <w:kinsoku/>
              <w:rPr>
                <w:rFonts w:ascii="宋体" w:hAnsi="宋体" w:eastAsia="宋体" w:cs="宋体"/>
                <w:color w:val="000000" w:themeColor="text1"/>
                <w:highlight w:val="none"/>
                <w14:textFill>
                  <w14:solidFill>
                    <w14:schemeClr w14:val="tx1"/>
                  </w14:solidFill>
                </w14:textFill>
              </w:rPr>
            </w:pPr>
          </w:p>
        </w:tc>
        <w:tc>
          <w:tcPr>
            <w:tcW w:w="1007" w:type="dxa"/>
          </w:tcPr>
          <w:p w14:paraId="4CE233C5">
            <w:pPr>
              <w:kinsoku/>
              <w:rPr>
                <w:rFonts w:ascii="宋体" w:hAnsi="宋体" w:eastAsia="宋体" w:cs="宋体"/>
                <w:color w:val="000000" w:themeColor="text1"/>
                <w:highlight w:val="none"/>
                <w14:textFill>
                  <w14:solidFill>
                    <w14:schemeClr w14:val="tx1"/>
                  </w14:solidFill>
                </w14:textFill>
              </w:rPr>
            </w:pPr>
          </w:p>
        </w:tc>
        <w:tc>
          <w:tcPr>
            <w:tcW w:w="1742" w:type="dxa"/>
          </w:tcPr>
          <w:p w14:paraId="2174ADAD">
            <w:pPr>
              <w:kinsoku/>
              <w:rPr>
                <w:rFonts w:ascii="宋体" w:hAnsi="宋体" w:eastAsia="宋体" w:cs="宋体"/>
                <w:color w:val="000000" w:themeColor="text1"/>
                <w:highlight w:val="none"/>
                <w14:textFill>
                  <w14:solidFill>
                    <w14:schemeClr w14:val="tx1"/>
                  </w14:solidFill>
                </w14:textFill>
              </w:rPr>
            </w:pPr>
          </w:p>
        </w:tc>
      </w:tr>
      <w:tr w14:paraId="40691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3514" w:type="dxa"/>
            <w:gridSpan w:val="3"/>
          </w:tcPr>
          <w:p w14:paraId="6DCF1EBF">
            <w:pPr>
              <w:kinsoku/>
              <w:spacing w:before="299" w:line="219" w:lineRule="auto"/>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招标人编制的最高投标限价（如有）</w:t>
            </w:r>
          </w:p>
        </w:tc>
        <w:tc>
          <w:tcPr>
            <w:tcW w:w="5489" w:type="dxa"/>
            <w:gridSpan w:val="4"/>
          </w:tcPr>
          <w:p w14:paraId="3C11560D">
            <w:pPr>
              <w:kinsoku/>
              <w:rPr>
                <w:rFonts w:ascii="宋体" w:hAnsi="宋体" w:eastAsia="宋体" w:cs="宋体"/>
                <w:color w:val="000000" w:themeColor="text1"/>
                <w:highlight w:val="none"/>
                <w:lang w:eastAsia="zh-CN"/>
                <w14:textFill>
                  <w14:solidFill>
                    <w14:schemeClr w14:val="tx1"/>
                  </w14:solidFill>
                </w14:textFill>
              </w:rPr>
            </w:pPr>
          </w:p>
        </w:tc>
      </w:tr>
    </w:tbl>
    <w:p w14:paraId="6B8C496B">
      <w:pPr>
        <w:kinsoku/>
        <w:spacing w:line="340" w:lineRule="auto"/>
        <w:rPr>
          <w:rFonts w:ascii="宋体" w:hAnsi="宋体" w:eastAsia="宋体" w:cs="宋体"/>
          <w:color w:val="000000" w:themeColor="text1"/>
          <w:highlight w:val="none"/>
          <w:lang w:eastAsia="zh-CN"/>
          <w14:textFill>
            <w14:solidFill>
              <w14:schemeClr w14:val="tx1"/>
            </w14:solidFill>
          </w14:textFill>
        </w:rPr>
      </w:pPr>
    </w:p>
    <w:p w14:paraId="660ED1F5">
      <w:pPr>
        <w:kinsoku/>
        <w:spacing w:line="341" w:lineRule="auto"/>
        <w:rPr>
          <w:rFonts w:ascii="宋体" w:hAnsi="宋体" w:eastAsia="宋体" w:cs="宋体"/>
          <w:color w:val="000000" w:themeColor="text1"/>
          <w:highlight w:val="none"/>
          <w:lang w:eastAsia="zh-CN"/>
          <w14:textFill>
            <w14:solidFill>
              <w14:schemeClr w14:val="tx1"/>
            </w14:solidFill>
          </w14:textFill>
        </w:rPr>
      </w:pPr>
    </w:p>
    <w:p w14:paraId="5A7B8683">
      <w:pPr>
        <w:kinsoku/>
        <w:spacing w:before="68" w:line="221" w:lineRule="auto"/>
        <w:ind w:left="1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招标人代表：</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记录人：</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p>
    <w:p w14:paraId="23474DCE">
      <w:pPr>
        <w:kinsoku/>
        <w:spacing w:line="265" w:lineRule="auto"/>
        <w:rPr>
          <w:rFonts w:ascii="宋体" w:hAnsi="宋体" w:eastAsia="宋体" w:cs="宋体"/>
          <w:color w:val="000000" w:themeColor="text1"/>
          <w:highlight w:val="none"/>
          <w:lang w:eastAsia="zh-CN"/>
          <w14:textFill>
            <w14:solidFill>
              <w14:schemeClr w14:val="tx1"/>
            </w14:solidFill>
          </w14:textFill>
        </w:rPr>
      </w:pPr>
    </w:p>
    <w:p w14:paraId="65B3B581">
      <w:pPr>
        <w:tabs>
          <w:tab w:val="left" w:pos="6750"/>
        </w:tabs>
        <w:kinsoku/>
        <w:spacing w:before="78" w:line="220" w:lineRule="auto"/>
        <w:ind w:left="61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756FB295">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headerReference r:id="rId18" w:type="default"/>
          <w:footerReference r:id="rId19" w:type="default"/>
          <w:pgSz w:w="11907" w:h="16841"/>
          <w:pgMar w:top="1173" w:right="1366" w:bottom="1254" w:left="1531" w:header="862" w:footer="1093" w:gutter="0"/>
          <w:cols w:space="720" w:num="1"/>
        </w:sectPr>
      </w:pPr>
    </w:p>
    <w:p w14:paraId="0D5DA572">
      <w:pPr>
        <w:kinsoku/>
        <w:spacing w:before="78" w:line="224" w:lineRule="auto"/>
        <w:ind w:left="135"/>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288" w:name="bookmark172"/>
      <w:bookmarkEnd w:id="288"/>
      <w:bookmarkStart w:id="289" w:name="_Toc9103"/>
      <w:bookmarkStart w:id="290" w:name="_Toc16485"/>
      <w:r>
        <w:rPr>
          <w:rFonts w:hint="eastAsia" w:ascii="宋体" w:hAnsi="宋体" w:eastAsia="宋体" w:cs="宋体"/>
          <w:color w:val="000000" w:themeColor="text1"/>
          <w:sz w:val="24"/>
          <w:szCs w:val="24"/>
          <w:highlight w:val="none"/>
          <w:lang w:eastAsia="zh-CN"/>
          <w14:textFill>
            <w14:solidFill>
              <w14:schemeClr w14:val="tx1"/>
            </w14:solidFill>
          </w14:textFill>
        </w:rPr>
        <w:t>附件二 问题澄清通知</w:t>
      </w:r>
      <w:bookmarkEnd w:id="289"/>
      <w:bookmarkEnd w:id="290"/>
    </w:p>
    <w:p w14:paraId="237337E4">
      <w:pPr>
        <w:kinsoku/>
        <w:spacing w:line="449" w:lineRule="auto"/>
        <w:rPr>
          <w:rFonts w:ascii="宋体" w:hAnsi="宋体" w:eastAsia="宋体" w:cs="宋体"/>
          <w:color w:val="000000" w:themeColor="text1"/>
          <w:highlight w:val="none"/>
          <w:lang w:eastAsia="zh-CN"/>
          <w14:textFill>
            <w14:solidFill>
              <w14:schemeClr w14:val="tx1"/>
            </w14:solidFill>
          </w14:textFill>
        </w:rPr>
      </w:pPr>
    </w:p>
    <w:p w14:paraId="0B343199">
      <w:pPr>
        <w:kinsoku/>
        <w:spacing w:before="91" w:line="220" w:lineRule="auto"/>
        <w:ind w:left="3552"/>
        <w:rPr>
          <w:rFonts w:ascii="宋体" w:hAnsi="宋体" w:eastAsia="宋体" w:cs="宋体"/>
          <w:color w:val="000000" w:themeColor="text1"/>
          <w:sz w:val="28"/>
          <w:szCs w:val="28"/>
          <w:highlight w:val="none"/>
          <w:lang w:eastAsia="zh-CN"/>
          <w14:textFill>
            <w14:solidFill>
              <w14:schemeClr w14:val="tx1"/>
            </w14:solidFill>
          </w14:textFill>
        </w:rPr>
      </w:pPr>
      <w:bookmarkStart w:id="291" w:name="bookmark173"/>
      <w:bookmarkEnd w:id="291"/>
      <w:r>
        <w:rPr>
          <w:rFonts w:hint="eastAsia" w:ascii="宋体" w:hAnsi="宋体" w:eastAsia="宋体" w:cs="宋体"/>
          <w:color w:val="000000" w:themeColor="text1"/>
          <w:sz w:val="28"/>
          <w:szCs w:val="28"/>
          <w:highlight w:val="none"/>
          <w:lang w:eastAsia="zh-CN"/>
          <w14:textFill>
            <w14:solidFill>
              <w14:schemeClr w14:val="tx1"/>
            </w14:solidFill>
          </w14:textFill>
        </w:rPr>
        <w:t>问题澄清通知</w:t>
      </w:r>
    </w:p>
    <w:p w14:paraId="2C2BE852">
      <w:pPr>
        <w:kinsoku/>
        <w:spacing w:before="164" w:line="221" w:lineRule="auto"/>
        <w:ind w:left="280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（编号：</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w:t>
      </w:r>
    </w:p>
    <w:p w14:paraId="2463627D">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1A9FEEF8">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4A8CD195">
      <w:pPr>
        <w:tabs>
          <w:tab w:val="left" w:pos="1828"/>
        </w:tabs>
        <w:kinsoku/>
        <w:spacing w:before="78" w:line="220" w:lineRule="auto"/>
        <w:ind w:left="2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（投标人名称）：</w:t>
      </w:r>
    </w:p>
    <w:p w14:paraId="53756D5D">
      <w:pPr>
        <w:kinsoku/>
        <w:spacing w:line="255" w:lineRule="auto"/>
        <w:rPr>
          <w:rFonts w:ascii="宋体" w:hAnsi="宋体" w:eastAsia="宋体" w:cs="宋体"/>
          <w:color w:val="000000" w:themeColor="text1"/>
          <w:highlight w:val="none"/>
          <w:lang w:eastAsia="zh-CN"/>
          <w14:textFill>
            <w14:solidFill>
              <w14:schemeClr w14:val="tx1"/>
            </w14:solidFill>
          </w14:textFill>
        </w:rPr>
      </w:pPr>
    </w:p>
    <w:p w14:paraId="57A47CF5">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2FF284FB">
      <w:pPr>
        <w:tabs>
          <w:tab w:val="left" w:pos="2548"/>
        </w:tabs>
        <w:kinsoku/>
        <w:spacing w:before="78" w:line="330" w:lineRule="auto"/>
        <w:ind w:left="39" w:right="31" w:firstLine="70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标段设计招标的评标委员会，对你方的投标文件进行了仔细的审查，现需你方对下列问题以书面形式予以澄清或说明：</w:t>
      </w:r>
    </w:p>
    <w:p w14:paraId="4EC8EAA1">
      <w:pPr>
        <w:kinsoku/>
        <w:spacing w:line="447" w:lineRule="auto"/>
        <w:rPr>
          <w:rFonts w:ascii="宋体" w:hAnsi="宋体" w:eastAsia="宋体" w:cs="宋体"/>
          <w:color w:val="000000" w:themeColor="text1"/>
          <w:highlight w:val="none"/>
          <w:lang w:eastAsia="zh-CN"/>
          <w14:textFill>
            <w14:solidFill>
              <w14:schemeClr w14:val="tx1"/>
            </w14:solidFill>
          </w14:textFill>
        </w:rPr>
      </w:pPr>
    </w:p>
    <w:p w14:paraId="2651FF54">
      <w:pPr>
        <w:kinsoku/>
        <w:spacing w:before="70" w:line="379" w:lineRule="auto"/>
        <w:ind w:left="513" w:right="8046" w:firstLine="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p>
    <w:p w14:paraId="7C0E0099">
      <w:pPr>
        <w:kinsoku/>
        <w:spacing w:before="70" w:line="379" w:lineRule="auto"/>
        <w:ind w:left="513" w:right="8046" w:firstLine="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p>
    <w:p w14:paraId="5B350810">
      <w:pPr>
        <w:kinsoku/>
        <w:spacing w:before="146" w:line="74" w:lineRule="exact"/>
        <w:ind w:left="64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1A3ACA84">
      <w:pPr>
        <w:kinsoku/>
        <w:spacing w:line="269" w:lineRule="auto"/>
        <w:rPr>
          <w:rFonts w:ascii="宋体" w:hAnsi="宋体" w:eastAsia="宋体" w:cs="宋体"/>
          <w:color w:val="000000" w:themeColor="text1"/>
          <w:highlight w:val="none"/>
          <w:lang w:eastAsia="zh-CN"/>
          <w14:textFill>
            <w14:solidFill>
              <w14:schemeClr w14:val="tx1"/>
            </w14:solidFill>
          </w14:textFill>
        </w:rPr>
      </w:pPr>
    </w:p>
    <w:p w14:paraId="31E7F044">
      <w:pPr>
        <w:kinsoku/>
        <w:spacing w:line="270" w:lineRule="auto"/>
        <w:rPr>
          <w:rFonts w:ascii="宋体" w:hAnsi="宋体" w:eastAsia="宋体" w:cs="宋体"/>
          <w:color w:val="000000" w:themeColor="text1"/>
          <w:highlight w:val="none"/>
          <w:lang w:eastAsia="zh-CN"/>
          <w14:textFill>
            <w14:solidFill>
              <w14:schemeClr w14:val="tx1"/>
            </w14:solidFill>
          </w14:textFill>
        </w:rPr>
      </w:pPr>
    </w:p>
    <w:p w14:paraId="48E4FFDD">
      <w:pPr>
        <w:kinsoku/>
        <w:spacing w:before="79" w:line="333" w:lineRule="auto"/>
        <w:ind w:left="36" w:right="28"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请将上述问题的澄清或说明于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时</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分前递交至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（详细地址）或传真至</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（传真号码）或通过下载招标文件的电子招标交易平台上传。采用传真方式的，应在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时</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分前将原件递交至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（详细地址）。</w:t>
      </w:r>
    </w:p>
    <w:p w14:paraId="3A540EB4">
      <w:pPr>
        <w:kinsoku/>
        <w:spacing w:line="276" w:lineRule="auto"/>
        <w:rPr>
          <w:rFonts w:ascii="宋体" w:hAnsi="宋体" w:eastAsia="宋体" w:cs="宋体"/>
          <w:color w:val="000000" w:themeColor="text1"/>
          <w:highlight w:val="none"/>
          <w:lang w:eastAsia="zh-CN"/>
          <w14:textFill>
            <w14:solidFill>
              <w14:schemeClr w14:val="tx1"/>
            </w14:solidFill>
          </w14:textFill>
        </w:rPr>
      </w:pPr>
    </w:p>
    <w:p w14:paraId="7F486ADD">
      <w:pPr>
        <w:kinsoku/>
        <w:spacing w:line="276" w:lineRule="auto"/>
        <w:rPr>
          <w:rFonts w:ascii="宋体" w:hAnsi="宋体" w:eastAsia="宋体" w:cs="宋体"/>
          <w:color w:val="000000" w:themeColor="text1"/>
          <w:highlight w:val="none"/>
          <w:lang w:eastAsia="zh-CN"/>
          <w14:textFill>
            <w14:solidFill>
              <w14:schemeClr w14:val="tx1"/>
            </w14:solidFill>
          </w14:textFill>
        </w:rPr>
      </w:pPr>
    </w:p>
    <w:p w14:paraId="4F2734B3">
      <w:pPr>
        <w:kinsoku/>
        <w:spacing w:line="276" w:lineRule="auto"/>
        <w:rPr>
          <w:rFonts w:ascii="宋体" w:hAnsi="宋体" w:eastAsia="宋体" w:cs="宋体"/>
          <w:color w:val="000000" w:themeColor="text1"/>
          <w:highlight w:val="none"/>
          <w:lang w:eastAsia="zh-CN"/>
          <w14:textFill>
            <w14:solidFill>
              <w14:schemeClr w14:val="tx1"/>
            </w14:solidFill>
          </w14:textFill>
        </w:rPr>
      </w:pPr>
    </w:p>
    <w:p w14:paraId="2C32B2D0">
      <w:pPr>
        <w:kinsoku/>
        <w:spacing w:before="78" w:line="219" w:lineRule="auto"/>
        <w:ind w:right="36"/>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评标委员会授权的招标人或招标代理机构：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（签字或盖单位章）</w:t>
      </w:r>
    </w:p>
    <w:p w14:paraId="5F15EA0A">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1B920DE4">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57AAA547">
      <w:pPr>
        <w:tabs>
          <w:tab w:val="left" w:pos="5985"/>
        </w:tabs>
        <w:kinsoku/>
        <w:spacing w:before="78" w:line="220" w:lineRule="auto"/>
        <w:ind w:left="50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660DC928">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headerReference r:id="rId20" w:type="default"/>
          <w:footerReference r:id="rId21" w:type="default"/>
          <w:pgSz w:w="11907" w:h="16841"/>
          <w:pgMar w:top="1173" w:right="1555" w:bottom="1254" w:left="1615" w:header="862" w:footer="1093" w:gutter="0"/>
          <w:cols w:space="720" w:num="1"/>
        </w:sectPr>
      </w:pPr>
    </w:p>
    <w:p w14:paraId="08E9D553">
      <w:pPr>
        <w:kinsoku/>
        <w:spacing w:before="78" w:line="220" w:lineRule="auto"/>
        <w:ind w:left="51"/>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292" w:name="bookmark174"/>
      <w:bookmarkEnd w:id="292"/>
      <w:bookmarkStart w:id="293" w:name="_Toc31658"/>
      <w:bookmarkStart w:id="294" w:name="_Toc26765"/>
      <w:r>
        <w:rPr>
          <w:rFonts w:hint="eastAsia" w:ascii="宋体" w:hAnsi="宋体" w:eastAsia="宋体" w:cs="宋体"/>
          <w:color w:val="000000" w:themeColor="text1"/>
          <w:sz w:val="24"/>
          <w:szCs w:val="24"/>
          <w:highlight w:val="none"/>
          <w:lang w:eastAsia="zh-CN"/>
          <w14:textFill>
            <w14:solidFill>
              <w14:schemeClr w14:val="tx1"/>
            </w14:solidFill>
          </w14:textFill>
        </w:rPr>
        <w:t>附件三 问题的澄清</w:t>
      </w:r>
      <w:bookmarkEnd w:id="293"/>
      <w:bookmarkEnd w:id="294"/>
    </w:p>
    <w:p w14:paraId="2BC3F8DC">
      <w:pPr>
        <w:kinsoku/>
        <w:spacing w:before="102" w:line="220" w:lineRule="auto"/>
        <w:ind w:left="3694"/>
        <w:rPr>
          <w:rFonts w:ascii="宋体" w:hAnsi="宋体" w:eastAsia="宋体" w:cs="宋体"/>
          <w:color w:val="000000" w:themeColor="text1"/>
          <w:sz w:val="28"/>
          <w:szCs w:val="28"/>
          <w:highlight w:val="none"/>
          <w:lang w:eastAsia="zh-CN"/>
          <w14:textFill>
            <w14:solidFill>
              <w14:schemeClr w14:val="tx1"/>
            </w14:solidFill>
          </w14:textFill>
        </w:rPr>
      </w:pPr>
      <w:bookmarkStart w:id="295" w:name="bookmark175"/>
      <w:bookmarkEnd w:id="295"/>
      <w:r>
        <w:rPr>
          <w:rFonts w:hint="eastAsia" w:ascii="宋体" w:hAnsi="宋体" w:eastAsia="宋体" w:cs="宋体"/>
          <w:color w:val="000000" w:themeColor="text1"/>
          <w:sz w:val="28"/>
          <w:szCs w:val="28"/>
          <w:highlight w:val="none"/>
          <w:lang w:eastAsia="zh-CN"/>
          <w14:textFill>
            <w14:solidFill>
              <w14:schemeClr w14:val="tx1"/>
            </w14:solidFill>
          </w14:textFill>
        </w:rPr>
        <w:t>问题的澄清</w:t>
      </w:r>
    </w:p>
    <w:p w14:paraId="07BB59FA">
      <w:pPr>
        <w:kinsoku/>
        <w:spacing w:before="167" w:line="221" w:lineRule="auto"/>
        <w:ind w:left="308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（编号：</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w:t>
      </w:r>
    </w:p>
    <w:p w14:paraId="4C3BB33C">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52733B5F">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230DA570">
      <w:pPr>
        <w:tabs>
          <w:tab w:val="left" w:pos="2325"/>
        </w:tabs>
        <w:kinsoku/>
        <w:spacing w:before="78" w:line="219" w:lineRule="auto"/>
        <w:ind w:left="2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标段施工图设计招标评标委员会：</w:t>
      </w:r>
    </w:p>
    <w:p w14:paraId="673B5600">
      <w:pPr>
        <w:kinsoku/>
        <w:spacing w:line="317" w:lineRule="auto"/>
        <w:rPr>
          <w:rFonts w:ascii="宋体" w:hAnsi="宋体" w:eastAsia="宋体" w:cs="宋体"/>
          <w:color w:val="000000" w:themeColor="text1"/>
          <w:highlight w:val="none"/>
          <w:lang w:eastAsia="zh-CN"/>
          <w14:textFill>
            <w14:solidFill>
              <w14:schemeClr w14:val="tx1"/>
            </w14:solidFill>
          </w14:textFill>
        </w:rPr>
      </w:pPr>
    </w:p>
    <w:p w14:paraId="57370268">
      <w:pPr>
        <w:kinsoku/>
        <w:spacing w:line="317" w:lineRule="auto"/>
        <w:rPr>
          <w:rFonts w:ascii="宋体" w:hAnsi="宋体" w:eastAsia="宋体" w:cs="宋体"/>
          <w:color w:val="000000" w:themeColor="text1"/>
          <w:highlight w:val="none"/>
          <w:lang w:eastAsia="zh-CN"/>
          <w14:textFill>
            <w14:solidFill>
              <w14:schemeClr w14:val="tx1"/>
            </w14:solidFill>
          </w14:textFill>
        </w:rPr>
      </w:pPr>
    </w:p>
    <w:p w14:paraId="02C7C06F">
      <w:pPr>
        <w:kinsoku/>
        <w:spacing w:line="317" w:lineRule="auto"/>
        <w:rPr>
          <w:rFonts w:ascii="宋体" w:hAnsi="宋体" w:eastAsia="宋体" w:cs="宋体"/>
          <w:color w:val="000000" w:themeColor="text1"/>
          <w:highlight w:val="none"/>
          <w:lang w:eastAsia="zh-CN"/>
          <w14:textFill>
            <w14:solidFill>
              <w14:schemeClr w14:val="tx1"/>
            </w14:solidFill>
          </w14:textFill>
        </w:rPr>
      </w:pPr>
    </w:p>
    <w:p w14:paraId="4DC6B04B">
      <w:pPr>
        <w:kinsoku/>
        <w:spacing w:before="78" w:line="220" w:lineRule="auto"/>
        <w:ind w:left="54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问题澄清通知（编号：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）已收悉，现澄清、说明如下：</w:t>
      </w:r>
    </w:p>
    <w:p w14:paraId="3C414C46">
      <w:pPr>
        <w:kinsoku/>
        <w:spacing w:before="200" w:line="379" w:lineRule="auto"/>
        <w:ind w:left="873" w:right="7686" w:firstLine="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p>
    <w:p w14:paraId="5667A642">
      <w:pPr>
        <w:kinsoku/>
        <w:spacing w:before="200" w:line="379" w:lineRule="auto"/>
        <w:ind w:left="873" w:right="7686" w:firstLine="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p>
    <w:p w14:paraId="45117B80">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08ADBFDD">
      <w:pPr>
        <w:kinsoku/>
        <w:spacing w:line="258" w:lineRule="auto"/>
        <w:rPr>
          <w:rFonts w:ascii="宋体" w:hAnsi="宋体" w:eastAsia="宋体" w:cs="宋体"/>
          <w:color w:val="000000" w:themeColor="text1"/>
          <w:highlight w:val="none"/>
          <w:lang w:eastAsia="zh-CN"/>
          <w14:textFill>
            <w14:solidFill>
              <w14:schemeClr w14:val="tx1"/>
            </w14:solidFill>
          </w14:textFill>
        </w:rPr>
      </w:pPr>
    </w:p>
    <w:p w14:paraId="5D5749AA">
      <w:pPr>
        <w:kinsoku/>
        <w:spacing w:before="69" w:line="75" w:lineRule="exact"/>
        <w:ind w:left="76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00B93A2A">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4A658C56">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6E9F7FAC">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589F1086">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3A790819">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71881D2F">
      <w:pPr>
        <w:kinsoku/>
        <w:spacing w:before="78" w:line="325" w:lineRule="auto"/>
        <w:ind w:left="57" w:right="36" w:firstLine="46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上述问题澄清或说明，不改变我方投标文件的实质性内容，构成我方投标文件的组成部分。</w:t>
      </w:r>
    </w:p>
    <w:p w14:paraId="4E9B8903">
      <w:pPr>
        <w:kinsoku/>
        <w:spacing w:line="275" w:lineRule="auto"/>
        <w:rPr>
          <w:rFonts w:ascii="宋体" w:hAnsi="宋体" w:eastAsia="宋体" w:cs="宋体"/>
          <w:color w:val="000000" w:themeColor="text1"/>
          <w:highlight w:val="none"/>
          <w:lang w:eastAsia="zh-CN"/>
          <w14:textFill>
            <w14:solidFill>
              <w14:schemeClr w14:val="tx1"/>
            </w14:solidFill>
          </w14:textFill>
        </w:rPr>
      </w:pPr>
    </w:p>
    <w:p w14:paraId="512A8060">
      <w:pPr>
        <w:kinsoku/>
        <w:spacing w:line="275" w:lineRule="auto"/>
        <w:rPr>
          <w:rFonts w:ascii="宋体" w:hAnsi="宋体" w:eastAsia="宋体" w:cs="宋体"/>
          <w:color w:val="000000" w:themeColor="text1"/>
          <w:highlight w:val="none"/>
          <w:lang w:eastAsia="zh-CN"/>
          <w14:textFill>
            <w14:solidFill>
              <w14:schemeClr w14:val="tx1"/>
            </w14:solidFill>
          </w14:textFill>
        </w:rPr>
      </w:pPr>
    </w:p>
    <w:p w14:paraId="18D337CB">
      <w:pPr>
        <w:kinsoku/>
        <w:spacing w:line="275" w:lineRule="auto"/>
        <w:rPr>
          <w:rFonts w:ascii="宋体" w:hAnsi="宋体" w:eastAsia="宋体" w:cs="宋体"/>
          <w:color w:val="000000" w:themeColor="text1"/>
          <w:highlight w:val="none"/>
          <w:lang w:eastAsia="zh-CN"/>
          <w14:textFill>
            <w14:solidFill>
              <w14:schemeClr w14:val="tx1"/>
            </w14:solidFill>
          </w14:textFill>
        </w:rPr>
      </w:pPr>
    </w:p>
    <w:p w14:paraId="4C70EABB">
      <w:pPr>
        <w:kinsoku/>
        <w:spacing w:before="79" w:line="327" w:lineRule="auto"/>
        <w:ind w:left="3639" w:right="28" w:firstLine="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09CB142">
      <w:pPr>
        <w:kinsoku/>
        <w:spacing w:before="79" w:line="327" w:lineRule="auto"/>
        <w:ind w:left="3639" w:right="28" w:firstLine="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1E32A237">
      <w:pPr>
        <w:kinsoku/>
        <w:spacing w:line="395" w:lineRule="auto"/>
        <w:rPr>
          <w:rFonts w:ascii="宋体" w:hAnsi="宋体" w:eastAsia="宋体" w:cs="宋体"/>
          <w:color w:val="000000" w:themeColor="text1"/>
          <w:highlight w:val="none"/>
          <w:lang w:eastAsia="zh-CN"/>
          <w14:textFill>
            <w14:solidFill>
              <w14:schemeClr w14:val="tx1"/>
            </w14:solidFill>
          </w14:textFill>
        </w:rPr>
      </w:pPr>
    </w:p>
    <w:p w14:paraId="23D95437">
      <w:pPr>
        <w:tabs>
          <w:tab w:val="left" w:pos="5909"/>
        </w:tabs>
        <w:kinsoku/>
        <w:spacing w:before="79" w:line="220" w:lineRule="auto"/>
        <w:ind w:left="49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30FA11D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73989764">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585FD8AA">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AF0AAAC">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1B1637F4">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604CAED7">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161D0044">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163D23B1">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0E405300">
      <w:pPr>
        <w:kinsoku/>
        <w:spacing w:line="368" w:lineRule="auto"/>
        <w:rPr>
          <w:rFonts w:ascii="宋体" w:hAnsi="宋体" w:eastAsia="宋体" w:cs="宋体"/>
          <w:color w:val="000000" w:themeColor="text1"/>
          <w:highlight w:val="none"/>
          <w:lang w:eastAsia="zh-CN"/>
          <w14:textFill>
            <w14:solidFill>
              <w14:schemeClr w14:val="tx1"/>
            </w14:solidFill>
          </w14:textFill>
        </w:rPr>
      </w:pPr>
    </w:p>
    <w:p w14:paraId="07C18D8F">
      <w:pPr>
        <w:kinsoku/>
        <w:rPr>
          <w:rFonts w:ascii="宋体" w:hAnsi="宋体" w:eastAsia="宋体" w:cs="宋体"/>
          <w:color w:val="000000" w:themeColor="text1"/>
          <w:sz w:val="24"/>
          <w:szCs w:val="24"/>
          <w:highlight w:val="none"/>
          <w:lang w:eastAsia="zh-CN"/>
          <w14:textFill>
            <w14:solidFill>
              <w14:schemeClr w14:val="tx1"/>
            </w14:solidFill>
          </w14:textFill>
        </w:rPr>
      </w:pPr>
      <w:bookmarkStart w:id="296" w:name="bookmark176"/>
      <w:bookmarkEnd w:id="296"/>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0AE178F1">
      <w:pPr>
        <w:kinsoku/>
        <w:spacing w:before="78" w:line="220" w:lineRule="auto"/>
        <w:ind w:left="51"/>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297" w:name="_Toc21820"/>
      <w:bookmarkStart w:id="298" w:name="_Toc6628"/>
      <w:r>
        <w:rPr>
          <w:rFonts w:hint="eastAsia" w:ascii="宋体" w:hAnsi="宋体" w:eastAsia="宋体" w:cs="宋体"/>
          <w:color w:val="000000" w:themeColor="text1"/>
          <w:sz w:val="24"/>
          <w:szCs w:val="24"/>
          <w:highlight w:val="none"/>
          <w:lang w:eastAsia="zh-CN"/>
          <w14:textFill>
            <w14:solidFill>
              <w14:schemeClr w14:val="tx1"/>
            </w14:solidFill>
          </w14:textFill>
        </w:rPr>
        <w:t>附件四 中标通知书</w:t>
      </w:r>
      <w:bookmarkEnd w:id="297"/>
      <w:bookmarkEnd w:id="298"/>
    </w:p>
    <w:p w14:paraId="5DE89A1D">
      <w:pPr>
        <w:kinsoku/>
        <w:spacing w:line="449" w:lineRule="auto"/>
        <w:rPr>
          <w:rFonts w:ascii="宋体" w:hAnsi="宋体" w:eastAsia="宋体" w:cs="宋体"/>
          <w:color w:val="000000" w:themeColor="text1"/>
          <w:highlight w:val="none"/>
          <w:lang w:eastAsia="zh-CN"/>
          <w14:textFill>
            <w14:solidFill>
              <w14:schemeClr w14:val="tx1"/>
            </w14:solidFill>
          </w14:textFill>
        </w:rPr>
      </w:pPr>
    </w:p>
    <w:p w14:paraId="0980D21F">
      <w:pPr>
        <w:kinsoku/>
        <w:spacing w:before="91" w:line="220" w:lineRule="auto"/>
        <w:ind w:left="3702"/>
        <w:rPr>
          <w:rFonts w:ascii="宋体" w:hAnsi="宋体" w:eastAsia="宋体" w:cs="宋体"/>
          <w:color w:val="000000" w:themeColor="text1"/>
          <w:sz w:val="28"/>
          <w:szCs w:val="28"/>
          <w:highlight w:val="none"/>
          <w:lang w:eastAsia="zh-CN"/>
          <w14:textFill>
            <w14:solidFill>
              <w14:schemeClr w14:val="tx1"/>
            </w14:solidFill>
          </w14:textFill>
        </w:rPr>
      </w:pPr>
      <w:bookmarkStart w:id="299" w:name="bookmark177"/>
      <w:bookmarkEnd w:id="299"/>
      <w:r>
        <w:rPr>
          <w:rFonts w:hint="eastAsia" w:ascii="宋体" w:hAnsi="宋体" w:eastAsia="宋体" w:cs="宋体"/>
          <w:color w:val="000000" w:themeColor="text1"/>
          <w:sz w:val="28"/>
          <w:szCs w:val="28"/>
          <w:highlight w:val="none"/>
          <w:lang w:eastAsia="zh-CN"/>
          <w14:textFill>
            <w14:solidFill>
              <w14:schemeClr w14:val="tx1"/>
            </w14:solidFill>
          </w14:textFill>
        </w:rPr>
        <w:t>中标通知书</w:t>
      </w:r>
    </w:p>
    <w:p w14:paraId="1B7ED75F">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23B14603">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9F14AAD">
      <w:pPr>
        <w:tabs>
          <w:tab w:val="left" w:pos="5765"/>
        </w:tabs>
        <w:kinsoku/>
        <w:spacing w:before="34" w:line="220" w:lineRule="auto"/>
        <w:jc w:val="center"/>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采用韶关市公共资源交易中心发出的格式</w:t>
      </w:r>
    </w:p>
    <w:p w14:paraId="1CDFB25D">
      <w:pPr>
        <w:pStyle w:val="4"/>
        <w:rPr>
          <w:color w:val="000000" w:themeColor="text1"/>
          <w:highlight w:val="none"/>
          <w:lang w:eastAsia="zh-CN"/>
          <w14:textFill>
            <w14:solidFill>
              <w14:schemeClr w14:val="tx1"/>
            </w14:solidFill>
          </w14:textFill>
        </w:rPr>
      </w:pPr>
    </w:p>
    <w:p w14:paraId="62A2CA03">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22" w:type="default"/>
          <w:pgSz w:w="11907" w:h="16841"/>
          <w:pgMar w:top="1173" w:right="1482" w:bottom="1254" w:left="1615" w:header="862" w:footer="1093" w:gutter="0"/>
          <w:cols w:space="720" w:num="1"/>
        </w:sectPr>
      </w:pPr>
    </w:p>
    <w:p w14:paraId="77DC478D">
      <w:pPr>
        <w:kinsoku/>
        <w:spacing w:before="78" w:line="220" w:lineRule="auto"/>
        <w:ind w:left="51"/>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300" w:name="bookmark178"/>
      <w:bookmarkEnd w:id="300"/>
      <w:bookmarkStart w:id="301" w:name="_Toc12870"/>
      <w:bookmarkStart w:id="302" w:name="_Toc21936"/>
      <w:r>
        <w:rPr>
          <w:rFonts w:hint="eastAsia" w:ascii="宋体" w:hAnsi="宋体" w:eastAsia="宋体" w:cs="宋体"/>
          <w:color w:val="000000" w:themeColor="text1"/>
          <w:sz w:val="24"/>
          <w:szCs w:val="24"/>
          <w:highlight w:val="none"/>
          <w:lang w:eastAsia="zh-CN"/>
          <w14:textFill>
            <w14:solidFill>
              <w14:schemeClr w14:val="tx1"/>
            </w14:solidFill>
          </w14:textFill>
        </w:rPr>
        <w:t>附件五 中标结果通知书</w:t>
      </w:r>
      <w:bookmarkEnd w:id="301"/>
      <w:bookmarkEnd w:id="302"/>
    </w:p>
    <w:p w14:paraId="2D190157">
      <w:pPr>
        <w:kinsoku/>
        <w:spacing w:before="102" w:line="220" w:lineRule="auto"/>
        <w:ind w:left="3419"/>
        <w:rPr>
          <w:rFonts w:ascii="宋体" w:hAnsi="宋体" w:eastAsia="宋体" w:cs="宋体"/>
          <w:color w:val="000000" w:themeColor="text1"/>
          <w:sz w:val="28"/>
          <w:szCs w:val="28"/>
          <w:highlight w:val="none"/>
          <w:lang w:eastAsia="zh-CN"/>
          <w14:textFill>
            <w14:solidFill>
              <w14:schemeClr w14:val="tx1"/>
            </w14:solidFill>
          </w14:textFill>
        </w:rPr>
      </w:pPr>
      <w:bookmarkStart w:id="303" w:name="bookmark179"/>
      <w:bookmarkEnd w:id="303"/>
      <w:r>
        <w:rPr>
          <w:rFonts w:hint="eastAsia" w:ascii="宋体" w:hAnsi="宋体" w:eastAsia="宋体" w:cs="宋体"/>
          <w:color w:val="000000" w:themeColor="text1"/>
          <w:sz w:val="28"/>
          <w:szCs w:val="28"/>
          <w:highlight w:val="none"/>
          <w:lang w:eastAsia="zh-CN"/>
          <w14:textFill>
            <w14:solidFill>
              <w14:schemeClr w14:val="tx1"/>
            </w14:solidFill>
          </w14:textFill>
        </w:rPr>
        <w:t>中标结果通知书</w:t>
      </w:r>
    </w:p>
    <w:p w14:paraId="64881E0E">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453E51B0">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2200A07B">
      <w:pPr>
        <w:tabs>
          <w:tab w:val="left" w:pos="2308"/>
        </w:tabs>
        <w:kinsoku/>
        <w:spacing w:before="78" w:line="220" w:lineRule="auto"/>
        <w:ind w:left="14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（未中标人名称）：</w:t>
      </w:r>
    </w:p>
    <w:p w14:paraId="64887875">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59756ADA">
      <w:pPr>
        <w:kinsoku/>
        <w:spacing w:line="258" w:lineRule="auto"/>
        <w:rPr>
          <w:rFonts w:ascii="宋体" w:hAnsi="宋体" w:eastAsia="宋体" w:cs="宋体"/>
          <w:color w:val="000000" w:themeColor="text1"/>
          <w:highlight w:val="none"/>
          <w:lang w:eastAsia="zh-CN"/>
          <w14:textFill>
            <w14:solidFill>
              <w14:schemeClr w14:val="tx1"/>
            </w14:solidFill>
          </w14:textFill>
        </w:rPr>
      </w:pPr>
    </w:p>
    <w:p w14:paraId="57E63F63">
      <w:pPr>
        <w:kinsoku/>
        <w:spacing w:before="78" w:line="329" w:lineRule="auto"/>
        <w:ind w:left="39" w:right="99" w:firstLine="48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我方已接受</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（中标人名称）于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（投标日期）所递交的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标段施工图设计投标文件，确定</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（中标人名称）为中标人。</w:t>
      </w:r>
    </w:p>
    <w:p w14:paraId="62FA1E10">
      <w:pPr>
        <w:kinsoku/>
        <w:spacing w:line="394" w:lineRule="auto"/>
        <w:rPr>
          <w:rFonts w:ascii="宋体" w:hAnsi="宋体" w:eastAsia="宋体" w:cs="宋体"/>
          <w:color w:val="000000" w:themeColor="text1"/>
          <w:highlight w:val="none"/>
          <w:lang w:eastAsia="zh-CN"/>
          <w14:textFill>
            <w14:solidFill>
              <w14:schemeClr w14:val="tx1"/>
            </w14:solidFill>
          </w14:textFill>
        </w:rPr>
      </w:pPr>
    </w:p>
    <w:p w14:paraId="1DA6EC33">
      <w:pPr>
        <w:kinsoku/>
        <w:spacing w:before="78" w:line="220"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感谢你单位对招标项目的参与！</w:t>
      </w:r>
    </w:p>
    <w:p w14:paraId="75A9A997">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43393D5B">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4B9CC7F8">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5AA5A438">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2A96181">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35CC07D9">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230A9C53">
      <w:pPr>
        <w:kinsoku/>
        <w:spacing w:before="78" w:line="448" w:lineRule="auto"/>
        <w:ind w:left="374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F5389B2">
      <w:pPr>
        <w:kinsoku/>
        <w:spacing w:before="78" w:line="448" w:lineRule="auto"/>
        <w:ind w:left="374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招标代理机构：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FCD58BC">
      <w:pPr>
        <w:tabs>
          <w:tab w:val="left" w:pos="6029"/>
        </w:tabs>
        <w:kinsoku/>
        <w:spacing w:before="34" w:line="220" w:lineRule="auto"/>
        <w:ind w:left="506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0B93549A">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23" w:type="default"/>
          <w:pgSz w:w="11907" w:h="16841"/>
          <w:pgMar w:top="1173" w:right="1482" w:bottom="1254" w:left="1615" w:header="862" w:footer="1093" w:gutter="0"/>
          <w:cols w:space="720" w:num="1"/>
        </w:sectPr>
      </w:pPr>
    </w:p>
    <w:p w14:paraId="29CFB3E1">
      <w:pPr>
        <w:kinsoku/>
        <w:spacing w:before="78" w:line="219" w:lineRule="auto"/>
        <w:ind w:left="51"/>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304" w:name="bookmark180"/>
      <w:bookmarkEnd w:id="304"/>
      <w:bookmarkStart w:id="305" w:name="_Toc7130"/>
      <w:bookmarkStart w:id="306" w:name="_Toc24318"/>
      <w:r>
        <w:rPr>
          <w:rFonts w:hint="eastAsia" w:ascii="宋体" w:hAnsi="宋体" w:eastAsia="宋体" w:cs="宋体"/>
          <w:color w:val="000000" w:themeColor="text1"/>
          <w:sz w:val="24"/>
          <w:szCs w:val="24"/>
          <w:highlight w:val="none"/>
          <w:lang w:eastAsia="zh-CN"/>
          <w14:textFill>
            <w14:solidFill>
              <w14:schemeClr w14:val="tx1"/>
            </w14:solidFill>
          </w14:textFill>
        </w:rPr>
        <w:t>附件六 确认通知</w:t>
      </w:r>
      <w:bookmarkEnd w:id="305"/>
      <w:bookmarkEnd w:id="306"/>
    </w:p>
    <w:p w14:paraId="390FD9A7">
      <w:pPr>
        <w:kinsoku/>
        <w:spacing w:before="103" w:line="219" w:lineRule="auto"/>
        <w:ind w:left="3604"/>
        <w:rPr>
          <w:rFonts w:ascii="宋体" w:hAnsi="宋体" w:eastAsia="宋体" w:cs="宋体"/>
          <w:color w:val="000000" w:themeColor="text1"/>
          <w:sz w:val="28"/>
          <w:szCs w:val="28"/>
          <w:highlight w:val="none"/>
          <w:lang w:eastAsia="zh-CN"/>
          <w14:textFill>
            <w14:solidFill>
              <w14:schemeClr w14:val="tx1"/>
            </w14:solidFill>
          </w14:textFill>
        </w:rPr>
      </w:pPr>
      <w:bookmarkStart w:id="307" w:name="bookmark181"/>
      <w:bookmarkEnd w:id="307"/>
      <w:r>
        <w:rPr>
          <w:rFonts w:hint="eastAsia" w:ascii="宋体" w:hAnsi="宋体" w:eastAsia="宋体" w:cs="宋体"/>
          <w:color w:val="000000" w:themeColor="text1"/>
          <w:sz w:val="28"/>
          <w:szCs w:val="28"/>
          <w:highlight w:val="none"/>
          <w:lang w:eastAsia="zh-CN"/>
          <w14:textFill>
            <w14:solidFill>
              <w14:schemeClr w14:val="tx1"/>
            </w14:solidFill>
          </w14:textFill>
        </w:rPr>
        <w:t>确 认 通 知</w:t>
      </w:r>
    </w:p>
    <w:p w14:paraId="7D7E75C2">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4B41C967">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492CDA25">
      <w:pPr>
        <w:tabs>
          <w:tab w:val="left" w:pos="1468"/>
        </w:tabs>
        <w:kinsoku/>
        <w:spacing w:before="78" w:line="220" w:lineRule="auto"/>
        <w:ind w:left="2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（招标人名称）：</w:t>
      </w:r>
    </w:p>
    <w:p w14:paraId="0B9845B0">
      <w:pPr>
        <w:kinsoku/>
        <w:spacing w:line="344" w:lineRule="auto"/>
        <w:rPr>
          <w:rFonts w:ascii="宋体" w:hAnsi="宋体" w:eastAsia="宋体" w:cs="宋体"/>
          <w:color w:val="000000" w:themeColor="text1"/>
          <w:highlight w:val="none"/>
          <w:lang w:eastAsia="zh-CN"/>
          <w14:textFill>
            <w14:solidFill>
              <w14:schemeClr w14:val="tx1"/>
            </w14:solidFill>
          </w14:textFill>
        </w:rPr>
      </w:pPr>
    </w:p>
    <w:p w14:paraId="55AA0CD5">
      <w:pPr>
        <w:kinsoku/>
        <w:spacing w:line="345" w:lineRule="auto"/>
        <w:rPr>
          <w:rFonts w:ascii="宋体" w:hAnsi="宋体" w:eastAsia="宋体" w:cs="宋体"/>
          <w:color w:val="000000" w:themeColor="text1"/>
          <w:highlight w:val="none"/>
          <w:lang w:eastAsia="zh-CN"/>
          <w14:textFill>
            <w14:solidFill>
              <w14:schemeClr w14:val="tx1"/>
            </w14:solidFill>
          </w14:textFill>
        </w:rPr>
      </w:pPr>
    </w:p>
    <w:p w14:paraId="01102C01">
      <w:pPr>
        <w:kinsoku/>
        <w:spacing w:before="78" w:line="402" w:lineRule="auto"/>
        <w:ind w:left="39" w:right="33"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你方于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日发出的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标段施工图设计招标关于招标文件澄清/修改的通知（第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号补遗书，正文共</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页），我方已于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日收到。</w:t>
      </w:r>
    </w:p>
    <w:p w14:paraId="4A95A4D4">
      <w:pPr>
        <w:kinsoku/>
        <w:spacing w:before="52"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特此确认。</w:t>
      </w:r>
    </w:p>
    <w:p w14:paraId="6EFA3B88">
      <w:pPr>
        <w:kinsoku/>
        <w:spacing w:line="281" w:lineRule="auto"/>
        <w:rPr>
          <w:rFonts w:ascii="宋体" w:hAnsi="宋体" w:eastAsia="宋体" w:cs="宋体"/>
          <w:color w:val="000000" w:themeColor="text1"/>
          <w:highlight w:val="none"/>
          <w:lang w:eastAsia="zh-CN"/>
          <w14:textFill>
            <w14:solidFill>
              <w14:schemeClr w14:val="tx1"/>
            </w14:solidFill>
          </w14:textFill>
        </w:rPr>
      </w:pPr>
    </w:p>
    <w:p w14:paraId="6664154E">
      <w:pPr>
        <w:kinsoku/>
        <w:spacing w:line="281" w:lineRule="auto"/>
        <w:rPr>
          <w:rFonts w:ascii="宋体" w:hAnsi="宋体" w:eastAsia="宋体" w:cs="宋体"/>
          <w:color w:val="000000" w:themeColor="text1"/>
          <w:highlight w:val="none"/>
          <w:lang w:eastAsia="zh-CN"/>
          <w14:textFill>
            <w14:solidFill>
              <w14:schemeClr w14:val="tx1"/>
            </w14:solidFill>
          </w14:textFill>
        </w:rPr>
      </w:pPr>
    </w:p>
    <w:p w14:paraId="6E13AA73">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3D172B44">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4FAFA0DC">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54408976">
      <w:pPr>
        <w:kinsoku/>
        <w:spacing w:before="78" w:line="219" w:lineRule="auto"/>
        <w:ind w:left="36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47BE7421">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5CDEE88A">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3E7DFB47">
      <w:pPr>
        <w:tabs>
          <w:tab w:val="left" w:pos="5549"/>
        </w:tabs>
        <w:kinsoku/>
        <w:spacing w:before="79" w:line="220" w:lineRule="auto"/>
        <w:ind w:left="458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546659E1">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headerReference r:id="rId24" w:type="default"/>
          <w:footerReference r:id="rId25" w:type="default"/>
          <w:pgSz w:w="11907" w:h="16841"/>
          <w:pgMar w:top="1173" w:right="1555" w:bottom="1254" w:left="1615" w:header="862" w:footer="1093" w:gutter="0"/>
          <w:cols w:space="720" w:num="1"/>
        </w:sectPr>
      </w:pPr>
    </w:p>
    <w:p w14:paraId="22C7B959">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672D011D">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4DBB1E0B">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2A5CF328">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0136A95">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392989C4">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39AF9D7">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498D4440">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260CAB2F">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1C2C9D4">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6A2A34C">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85EFCF1">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E6431AB">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3A04CED9">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46E339A">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4B46848C">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76424F0">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6A39274D">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2CECF4F">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2BCAFFDE">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9BFB66B">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9B4C915">
      <w:pPr>
        <w:kinsoku/>
        <w:spacing w:before="178" w:line="221" w:lineRule="auto"/>
        <w:jc w:val="center"/>
        <w:rPr>
          <w:rFonts w:ascii="宋体" w:hAnsi="宋体" w:eastAsia="宋体" w:cs="宋体"/>
          <w:color w:val="000000" w:themeColor="text1"/>
          <w:sz w:val="55"/>
          <w:szCs w:val="55"/>
          <w:highlight w:val="none"/>
          <w:lang w:eastAsia="zh-CN"/>
          <w14:textFill>
            <w14:solidFill>
              <w14:schemeClr w14:val="tx1"/>
            </w14:solidFill>
          </w14:textFill>
        </w:rPr>
      </w:pPr>
      <w:r>
        <w:rPr>
          <w:rFonts w:hint="eastAsia" w:ascii="宋体" w:hAnsi="宋体" w:eastAsia="宋体" w:cs="宋体"/>
          <w:color w:val="000000" w:themeColor="text1"/>
          <w:sz w:val="55"/>
          <w:szCs w:val="55"/>
          <w:highlight w:val="none"/>
          <w:lang w:eastAsia="zh-CN"/>
          <w14:textFill>
            <w14:solidFill>
              <w14:schemeClr w14:val="tx1"/>
            </w14:solidFill>
          </w14:textFill>
        </w:rPr>
        <w:t>第三章  评标和定标办法</w:t>
      </w:r>
    </w:p>
    <w:p w14:paraId="6A7E16D4">
      <w:pPr>
        <w:kinsoku/>
        <w:spacing w:line="221" w:lineRule="auto"/>
        <w:rPr>
          <w:rFonts w:ascii="宋体" w:hAnsi="宋体" w:eastAsia="宋体" w:cs="宋体"/>
          <w:color w:val="000000" w:themeColor="text1"/>
          <w:sz w:val="55"/>
          <w:szCs w:val="55"/>
          <w:highlight w:val="none"/>
          <w:lang w:eastAsia="zh-CN"/>
          <w14:textFill>
            <w14:solidFill>
              <w14:schemeClr w14:val="tx1"/>
            </w14:solidFill>
          </w14:textFill>
        </w:rPr>
        <w:sectPr>
          <w:footerReference r:id="rId26" w:type="default"/>
          <w:pgSz w:w="11907" w:h="16841"/>
          <w:pgMar w:top="1173" w:right="1555" w:bottom="1254" w:left="1615" w:header="862" w:footer="1093" w:gutter="0"/>
          <w:cols w:space="720" w:num="1"/>
        </w:sectPr>
      </w:pPr>
    </w:p>
    <w:p w14:paraId="1B4E6952">
      <w:pPr>
        <w:kinsoku/>
        <w:spacing w:before="139" w:line="222" w:lineRule="auto"/>
        <w:ind w:left="1166"/>
        <w:outlineLvl w:val="0"/>
        <w:rPr>
          <w:rFonts w:ascii="宋体" w:hAnsi="宋体" w:eastAsia="宋体" w:cs="宋体"/>
          <w:color w:val="000000" w:themeColor="text1"/>
          <w:sz w:val="43"/>
          <w:szCs w:val="43"/>
          <w:highlight w:val="none"/>
          <w:lang w:eastAsia="zh-CN"/>
          <w14:textFill>
            <w14:solidFill>
              <w14:schemeClr w14:val="tx1"/>
            </w14:solidFill>
          </w14:textFill>
        </w:rPr>
      </w:pPr>
      <w:bookmarkStart w:id="308" w:name="bookmark182"/>
      <w:bookmarkEnd w:id="308"/>
      <w:bookmarkStart w:id="309" w:name="bookmark185"/>
      <w:bookmarkEnd w:id="309"/>
      <w:bookmarkStart w:id="310" w:name="bookmark183"/>
      <w:bookmarkEnd w:id="310"/>
      <w:bookmarkStart w:id="311" w:name="_Toc18563"/>
      <w:bookmarkStart w:id="312" w:name="_Toc25379"/>
      <w:r>
        <w:rPr>
          <w:rFonts w:hint="eastAsia" w:ascii="宋体" w:hAnsi="宋体" w:eastAsia="宋体" w:cs="宋体"/>
          <w:color w:val="000000" w:themeColor="text1"/>
          <w:sz w:val="43"/>
          <w:szCs w:val="43"/>
          <w:highlight w:val="none"/>
          <w:lang w:eastAsia="zh-CN"/>
          <w14:textFill>
            <w14:solidFill>
              <w14:schemeClr w14:val="tx1"/>
            </w14:solidFill>
          </w14:textFill>
        </w:rPr>
        <w:t>（一）评标办法（综合评估法）</w:t>
      </w:r>
      <w:bookmarkEnd w:id="311"/>
      <w:bookmarkEnd w:id="312"/>
    </w:p>
    <w:p w14:paraId="5F2FF3E1">
      <w:pPr>
        <w:kinsoku/>
        <w:spacing w:before="78" w:line="326" w:lineRule="exact"/>
        <w:ind w:left="121"/>
        <w:outlineLvl w:val="1"/>
        <w:rPr>
          <w:rFonts w:ascii="宋体" w:hAnsi="宋体" w:eastAsia="宋体" w:cs="宋体"/>
          <w:color w:val="000000" w:themeColor="text1"/>
          <w:sz w:val="13"/>
          <w:szCs w:val="13"/>
          <w:highlight w:val="none"/>
          <w14:textFill>
            <w14:solidFill>
              <w14:schemeClr w14:val="tx1"/>
            </w14:solidFill>
          </w14:textFill>
        </w:rPr>
      </w:pPr>
      <w:bookmarkStart w:id="313" w:name="bookmark184"/>
      <w:bookmarkEnd w:id="313"/>
      <w:bookmarkStart w:id="314" w:name="_Toc27819"/>
      <w:bookmarkStart w:id="315" w:name="_Toc19284"/>
      <w:r>
        <w:rPr>
          <w:rFonts w:hint="eastAsia" w:ascii="宋体" w:hAnsi="宋体" w:eastAsia="宋体" w:cs="宋体"/>
          <w:color w:val="000000" w:themeColor="text1"/>
          <w:sz w:val="24"/>
          <w:szCs w:val="24"/>
          <w:highlight w:val="none"/>
          <w14:textFill>
            <w14:solidFill>
              <w14:schemeClr w14:val="tx1"/>
            </w14:solidFill>
          </w14:textFill>
        </w:rPr>
        <w:t>评标办法前附表</w:t>
      </w:r>
      <w:bookmarkEnd w:id="314"/>
      <w:bookmarkEnd w:id="315"/>
    </w:p>
    <w:tbl>
      <w:tblPr>
        <w:tblStyle w:val="26"/>
        <w:tblW w:w="89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98"/>
        <w:gridCol w:w="43"/>
        <w:gridCol w:w="46"/>
        <w:gridCol w:w="1069"/>
        <w:gridCol w:w="121"/>
        <w:gridCol w:w="254"/>
        <w:gridCol w:w="1287"/>
        <w:gridCol w:w="200"/>
        <w:gridCol w:w="575"/>
        <w:gridCol w:w="4376"/>
      </w:tblGrid>
      <w:tr w14:paraId="5ACF6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272" w:type="dxa"/>
            <w:gridSpan w:val="6"/>
            <w:tcBorders>
              <w:right w:val="single" w:color="000000" w:sz="4" w:space="0"/>
            </w:tcBorders>
          </w:tcPr>
          <w:p w14:paraId="2BBC7225">
            <w:pPr>
              <w:kinsoku/>
              <w:spacing w:before="142" w:line="207" w:lineRule="auto"/>
              <w:ind w:left="825"/>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条款号</w:t>
            </w:r>
          </w:p>
        </w:tc>
        <w:tc>
          <w:tcPr>
            <w:tcW w:w="6692" w:type="dxa"/>
            <w:gridSpan w:val="5"/>
            <w:tcBorders>
              <w:left w:val="single" w:color="000000" w:sz="4" w:space="0"/>
            </w:tcBorders>
          </w:tcPr>
          <w:p w14:paraId="73641F0C">
            <w:pPr>
              <w:kinsoku/>
              <w:spacing w:before="142" w:line="207" w:lineRule="auto"/>
              <w:ind w:left="2326"/>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评审因素与评审标准</w:t>
            </w:r>
          </w:p>
        </w:tc>
      </w:tr>
      <w:tr w14:paraId="7EC42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7A75A46C">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279" w:type="dxa"/>
            <w:gridSpan w:val="4"/>
            <w:tcBorders>
              <w:right w:val="single" w:color="000000" w:sz="4" w:space="0"/>
            </w:tcBorders>
            <w:vAlign w:val="center"/>
          </w:tcPr>
          <w:p w14:paraId="355484E5">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评标方法</w:t>
            </w:r>
          </w:p>
        </w:tc>
        <w:tc>
          <w:tcPr>
            <w:tcW w:w="6692" w:type="dxa"/>
            <w:gridSpan w:val="5"/>
            <w:tcBorders>
              <w:left w:val="single" w:color="000000" w:sz="4" w:space="0"/>
            </w:tcBorders>
            <w:vAlign w:val="top"/>
          </w:tcPr>
          <w:p w14:paraId="2329C445">
            <w:pPr>
              <w:kinsoku/>
              <w:spacing w:before="118" w:line="304" w:lineRule="auto"/>
              <w:ind w:left="111" w:right="105" w:firstLine="4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综合评分相等时，评标委员会依次按照以下优先顺序推荐</w:t>
            </w:r>
            <w:r>
              <w:rPr>
                <w:rFonts w:hint="eastAsia" w:ascii="宋体" w:hAnsi="宋体" w:eastAsia="宋体" w:cs="宋体"/>
                <w:color w:val="000000" w:themeColor="text1"/>
                <w:highlight w:val="none"/>
                <w:lang w:val="en-US" w:eastAsia="zh-CN"/>
                <w14:textFill>
                  <w14:solidFill>
                    <w14:schemeClr w14:val="tx1"/>
                  </w14:solidFill>
                </w14:textFill>
              </w:rPr>
              <w:t>定</w:t>
            </w:r>
            <w:r>
              <w:rPr>
                <w:rFonts w:hint="eastAsia" w:ascii="宋体" w:hAnsi="宋体" w:eastAsia="宋体" w:cs="宋体"/>
                <w:color w:val="000000" w:themeColor="text1"/>
                <w:highlight w:val="none"/>
                <w:lang w:eastAsia="zh-CN"/>
                <w14:textFill>
                  <w14:solidFill>
                    <w14:schemeClr w14:val="tx1"/>
                  </w14:solidFill>
                </w14:textFill>
              </w:rPr>
              <w:t>标候选人：</w:t>
            </w:r>
          </w:p>
          <w:p w14:paraId="7404BE82">
            <w:pPr>
              <w:kinsoku/>
              <w:spacing w:before="29" w:line="219"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（1）评标价低的投标人优先；</w:t>
            </w:r>
          </w:p>
          <w:p w14:paraId="27EA597A">
            <w:pPr>
              <w:kinsoku/>
              <w:spacing w:before="118" w:line="304" w:lineRule="auto"/>
              <w:ind w:left="111" w:right="105" w:firstLine="4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按招标文件规定被认定为广东省交通运输厅最新年度发布的广东省公路工程从业单位信用等级（设计单位）较高的投标人优先（采用如下的优先顺序：承诺使用的AA级投标人、不承诺使用的AA级投标人、承诺使用的A级投标人、不承诺使用的A级投标人、B级投标人、未参评且被确定为B级投标人）；</w:t>
            </w:r>
          </w:p>
          <w:p w14:paraId="3418788E">
            <w:pPr>
              <w:kinsoku/>
              <w:spacing w:before="108"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（3）商务和技术得分较高的投标人优先；</w:t>
            </w:r>
          </w:p>
          <w:p w14:paraId="22951220">
            <w:pPr>
              <w:kinsoku/>
              <w:spacing w:before="109" w:line="206" w:lineRule="auto"/>
              <w:ind w:left="536" w:leftChars="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（4）评标委员会视投标人情况综合比较，投票确定其名次。</w:t>
            </w:r>
          </w:p>
        </w:tc>
      </w:tr>
      <w:tr w14:paraId="61C4C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0B2A2D5B">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2.1.1</w:t>
            </w:r>
          </w:p>
          <w:p w14:paraId="552600FE">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2.1.3</w:t>
            </w:r>
          </w:p>
        </w:tc>
        <w:tc>
          <w:tcPr>
            <w:tcW w:w="1279" w:type="dxa"/>
            <w:gridSpan w:val="4"/>
            <w:tcBorders>
              <w:right w:val="single" w:color="000000" w:sz="4" w:space="0"/>
            </w:tcBorders>
            <w:vAlign w:val="center"/>
          </w:tcPr>
          <w:p w14:paraId="3F858A3F">
            <w:pPr>
              <w:kinsoku/>
              <w:spacing w:before="61"/>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形式评审与响应性评审标准</w:t>
            </w:r>
          </w:p>
        </w:tc>
        <w:tc>
          <w:tcPr>
            <w:tcW w:w="6692" w:type="dxa"/>
            <w:gridSpan w:val="5"/>
            <w:tcBorders>
              <w:left w:val="single" w:color="000000" w:sz="4" w:space="0"/>
            </w:tcBorders>
          </w:tcPr>
          <w:p w14:paraId="7C8EA853">
            <w:pPr>
              <w:kinsoku/>
              <w:spacing w:before="122" w:line="221" w:lineRule="auto"/>
              <w:ind w:left="53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第一个信封（商务及技术文件）评审标准：</w:t>
            </w:r>
          </w:p>
          <w:p w14:paraId="44280AFA">
            <w:pPr>
              <w:kinsoku/>
              <w:spacing w:before="109" w:line="303" w:lineRule="auto"/>
              <w:ind w:left="110" w:right="105" w:firstLine="42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（1）投标文件按照招标文件规定的格式、内容填写，字迹清晰可辨：</w:t>
            </w:r>
          </w:p>
          <w:p w14:paraId="2C167EAE">
            <w:pPr>
              <w:kinsoku/>
              <w:spacing w:before="31" w:line="293" w:lineRule="auto"/>
              <w:ind w:left="110" w:right="107" w:firstLine="41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a.投标函按招标文件规定填报了项目名称、标段号（</w:t>
            </w:r>
            <w:r>
              <w:rPr>
                <w:rFonts w:hint="eastAsia" w:ascii="宋体" w:hAnsi="宋体" w:eastAsia="宋体" w:cs="宋体"/>
                <w:color w:val="000000" w:themeColor="text1"/>
                <w:highlight w:val="none"/>
                <w:lang w:val="en-US" w:eastAsia="zh-CN"/>
                <w14:textFill>
                  <w14:solidFill>
                    <w14:schemeClr w14:val="tx1"/>
                  </w14:solidFill>
                </w14:textFill>
              </w:rPr>
              <w:t>如有）</w:t>
            </w:r>
            <w:r>
              <w:rPr>
                <w:rFonts w:hint="eastAsia" w:ascii="宋体" w:hAnsi="宋体" w:eastAsia="宋体" w:cs="宋体"/>
                <w:color w:val="000000" w:themeColor="text1"/>
                <w:highlight w:val="none"/>
                <w:lang w:eastAsia="zh-CN"/>
                <w14:textFill>
                  <w14:solidFill>
                    <w14:schemeClr w14:val="tx1"/>
                  </w14:solidFill>
                </w14:textFill>
              </w:rPr>
              <w:t>、设计服务期限、质量要求及安全目标；</w:t>
            </w:r>
          </w:p>
          <w:p w14:paraId="58FE0C5E">
            <w:pPr>
              <w:kinsoku/>
              <w:spacing w:before="53" w:line="234" w:lineRule="auto"/>
              <w:ind w:left="5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b.投标文件组成齐全完整，内容均按规定填写。</w:t>
            </w:r>
          </w:p>
          <w:p w14:paraId="3368F66A">
            <w:pPr>
              <w:kinsoku/>
              <w:spacing w:before="93" w:line="268" w:lineRule="auto"/>
              <w:ind w:left="110" w:right="105" w:firstLine="42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（2）投标文件上法定代表人或其委托代理人的签字、投标人的单位章盖章齐全，符合招标文件规定。</w:t>
            </w:r>
          </w:p>
          <w:p w14:paraId="6122CB4E">
            <w:pPr>
              <w:kinsoku/>
              <w:spacing w:before="53" w:line="220"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（3）投标人按照招标文件的规定提供了投标保证金：</w:t>
            </w:r>
          </w:p>
          <w:p w14:paraId="362AB471">
            <w:pPr>
              <w:kinsoku/>
              <w:spacing w:before="110" w:line="262" w:lineRule="auto"/>
              <w:ind w:left="113" w:right="107" w:firstLine="41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a.投标保证金金额符合招标文件规定的金额，且投标保证金有效期不少于投标有效期；</w:t>
            </w:r>
          </w:p>
          <w:p w14:paraId="465D920C">
            <w:pPr>
              <w:kinsoku/>
              <w:spacing w:before="98" w:line="287" w:lineRule="auto"/>
              <w:ind w:left="109" w:right="105" w:firstLine="412"/>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b.若投标保证金采用现金或支票形式提交，投标人应在招标文件规定的投标保证金递交截止时间之前，将投标保证金由投标人的基本账户转入招标人指定账户</w:t>
            </w:r>
            <w:r>
              <w:rPr>
                <w:rFonts w:hint="eastAsia" w:ascii="宋体" w:hAnsi="宋体"/>
                <w:color w:val="000000" w:themeColor="text1"/>
                <w:highlight w:val="none"/>
                <w:lang w:eastAsia="zh-CN"/>
                <w14:textFill>
                  <w14:solidFill>
                    <w14:schemeClr w14:val="tx1"/>
                  </w14:solidFill>
                </w14:textFill>
              </w:rPr>
              <w:t>；</w:t>
            </w:r>
          </w:p>
          <w:p w14:paraId="6CFCD623">
            <w:pPr>
              <w:kinsoku/>
              <w:spacing w:before="43" w:line="286" w:lineRule="auto"/>
              <w:ind w:left="111" w:right="105" w:firstLine="417"/>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c.</w:t>
            </w:r>
            <w:r>
              <w:rPr>
                <w:color w:val="000000" w:themeColor="text1"/>
                <w:spacing w:val="8"/>
                <w:highlight w:val="none"/>
                <w14:textFill>
                  <w14:solidFill>
                    <w14:schemeClr w14:val="tx1"/>
                  </w14:solidFill>
                </w14:textFill>
              </w:rPr>
              <w:t>若投标保证金采用银行保函或投标人须知前附表</w:t>
            </w:r>
            <w:r>
              <w:rPr>
                <w:color w:val="000000" w:themeColor="text1"/>
                <w:spacing w:val="-25"/>
                <w:highlight w:val="none"/>
                <w14:textFill>
                  <w14:solidFill>
                    <w14:schemeClr w14:val="tx1"/>
                  </w14:solidFill>
                </w14:textFill>
              </w:rPr>
              <w:t xml:space="preserve"> </w:t>
            </w:r>
            <w:r>
              <w:rPr>
                <w:rFonts w:ascii="Times New Roman" w:hAnsi="Times New Roman" w:eastAsia="Times New Roman" w:cs="Times New Roman"/>
                <w:color w:val="000000" w:themeColor="text1"/>
                <w:spacing w:val="8"/>
                <w:highlight w:val="none"/>
                <w14:textFill>
                  <w14:solidFill>
                    <w14:schemeClr w14:val="tx1"/>
                  </w14:solidFill>
                </w14:textFill>
              </w:rPr>
              <w:t>3.4.</w:t>
            </w:r>
            <w:r>
              <w:rPr>
                <w:rFonts w:ascii="Times New Roman" w:hAnsi="Times New Roman" w:eastAsia="Times New Roman" w:cs="Times New Roman"/>
                <w:color w:val="000000" w:themeColor="text1"/>
                <w:spacing w:val="-25"/>
                <w:highlight w:val="none"/>
                <w14:textFill>
                  <w14:solidFill>
                    <w14:schemeClr w14:val="tx1"/>
                  </w14:solidFill>
                </w14:textFill>
              </w:rPr>
              <w:t xml:space="preserve"> </w:t>
            </w:r>
            <w:r>
              <w:rPr>
                <w:rFonts w:ascii="Times New Roman" w:hAnsi="Times New Roman" w:eastAsia="Times New Roman" w:cs="Times New Roman"/>
                <w:color w:val="000000" w:themeColor="text1"/>
                <w:spacing w:val="8"/>
                <w:highlight w:val="none"/>
                <w14:textFill>
                  <w14:solidFill>
                    <w14:schemeClr w14:val="tx1"/>
                  </w14:solidFill>
                </w14:textFill>
              </w:rPr>
              <w:t xml:space="preserve">1 </w:t>
            </w:r>
            <w:r>
              <w:rPr>
                <w:color w:val="000000" w:themeColor="text1"/>
                <w:spacing w:val="8"/>
                <w:highlight w:val="none"/>
                <w14:textFill>
                  <w14:solidFill>
                    <w14:schemeClr w14:val="tx1"/>
                  </w14:solidFill>
                </w14:textFill>
              </w:rPr>
              <w:t>项规定</w:t>
            </w:r>
            <w:r>
              <w:rPr>
                <w:color w:val="000000" w:themeColor="text1"/>
                <w:spacing w:val="7"/>
                <w:highlight w:val="none"/>
                <w14:textFill>
                  <w14:solidFill>
                    <w14:schemeClr w14:val="tx1"/>
                  </w14:solidFill>
                </w14:textFill>
              </w:rPr>
              <w:t>的其他形式提交，</w:t>
            </w:r>
            <w:r>
              <w:rPr>
                <w:rFonts w:hint="eastAsia" w:eastAsia="宋体"/>
                <w:color w:val="000000" w:themeColor="text1"/>
                <w:spacing w:val="7"/>
                <w:highlight w:val="none"/>
                <w:lang w:val="en-US" w:eastAsia="zh-CN"/>
                <w14:textFill>
                  <w14:solidFill>
                    <w14:schemeClr w14:val="tx1"/>
                  </w14:solidFill>
                </w14:textFill>
              </w:rPr>
              <w:t>应</w:t>
            </w:r>
            <w:r>
              <w:rPr>
                <w:color w:val="000000" w:themeColor="text1"/>
                <w:spacing w:val="7"/>
                <w:highlight w:val="none"/>
                <w14:textFill>
                  <w14:solidFill>
                    <w14:schemeClr w14:val="tx1"/>
                  </w14:solidFill>
                </w14:textFill>
              </w:rPr>
              <w:t>满足招标文件要求</w:t>
            </w:r>
            <w:r>
              <w:rPr>
                <w:rFonts w:hint="eastAsia" w:ascii="宋体" w:hAnsi="宋体" w:eastAsia="宋体" w:cs="宋体"/>
                <w:color w:val="000000" w:themeColor="text1"/>
                <w:highlight w:val="none"/>
                <w:lang w:eastAsia="zh-CN"/>
                <w14:textFill>
                  <w14:solidFill>
                    <w14:schemeClr w14:val="tx1"/>
                  </w14:solidFill>
                </w14:textFill>
              </w:rPr>
              <w:t>。</w:t>
            </w:r>
          </w:p>
          <w:p w14:paraId="3941382A">
            <w:pPr>
              <w:kinsoku/>
              <w:spacing w:before="44" w:line="272" w:lineRule="auto"/>
              <w:ind w:left="109" w:right="31" w:firstLine="4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（4）投标人法定代表人授权委托代理人签署投标文件的，需提交授权委托书，且授权人和被授权人均在授权委托书上使用个人电子签名章进行签名或亲笔签名。</w:t>
            </w:r>
          </w:p>
          <w:p w14:paraId="3910A992">
            <w:pPr>
              <w:kinsoku/>
              <w:spacing w:before="91" w:line="272" w:lineRule="auto"/>
              <w:ind w:left="110" w:right="33" w:firstLine="42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（5）投标人法定代表人亲自签署投标文件的，提供了法定代表人身份证明，且法定代表人在法定代表人身份证明上使用个人电子签名章进行签名或亲笔签名。</w:t>
            </w:r>
          </w:p>
          <w:p w14:paraId="07279CF7">
            <w:pPr>
              <w:kinsoku/>
              <w:spacing w:before="33" w:line="259" w:lineRule="auto"/>
              <w:ind w:left="111" w:right="105" w:firstLine="42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（6）同一投标人未提交两个以上不同的投标文件，但招标文件要求提交备选投标的除外。</w:t>
            </w:r>
          </w:p>
          <w:p w14:paraId="099D1CF8">
            <w:pPr>
              <w:kinsoku/>
              <w:spacing w:before="90" w:line="219"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（7）投标文件中未出现有关投标报价的内容。</w:t>
            </w:r>
          </w:p>
          <w:p w14:paraId="3FBDED4F">
            <w:pPr>
              <w:kinsoku/>
              <w:spacing w:before="90" w:line="260" w:lineRule="auto"/>
              <w:ind w:left="124" w:right="105" w:firstLine="41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（8）投标文件载明的招标项目完成期限未超过招标文件规定的时限。</w:t>
            </w:r>
          </w:p>
          <w:p w14:paraId="20250529">
            <w:pPr>
              <w:kinsoku/>
              <w:spacing w:before="89"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（9）投标文件对招标文件的实质性要求和条件作出响应。</w:t>
            </w:r>
          </w:p>
          <w:p w14:paraId="53BDEE5C">
            <w:pPr>
              <w:kinsoku/>
              <w:spacing w:before="89"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（10）权利义务符合招标文件规定：</w:t>
            </w:r>
          </w:p>
          <w:p w14:paraId="1142A344">
            <w:pPr>
              <w:kinsoku/>
              <w:spacing w:before="87" w:line="277" w:lineRule="auto"/>
              <w:ind w:left="112" w:right="107" w:firstLine="4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a.投标人应接受招标文件规定的风险划分原则，未提出新的风险划分办法；</w:t>
            </w:r>
          </w:p>
          <w:p w14:paraId="1A88A5C0">
            <w:pPr>
              <w:kinsoku/>
              <w:spacing w:before="53" w:line="234" w:lineRule="auto"/>
              <w:ind w:left="5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b.投标人未增加发包人的责任范围，或减少投标人义务；</w:t>
            </w:r>
          </w:p>
          <w:p w14:paraId="0AA52707">
            <w:pPr>
              <w:kinsoku/>
              <w:spacing w:before="72" w:line="234" w:lineRule="auto"/>
              <w:ind w:left="52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c.投标人未提出不同的支付办法；</w:t>
            </w:r>
          </w:p>
          <w:p w14:paraId="0A3ABAC1">
            <w:pPr>
              <w:kinsoku/>
              <w:spacing w:before="72" w:line="234" w:lineRule="auto"/>
              <w:ind w:left="52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d.投标人对合同纠纷、事故处理办法未提出异议；</w:t>
            </w:r>
          </w:p>
          <w:p w14:paraId="0C5DDC00">
            <w:pPr>
              <w:kinsoku/>
              <w:spacing w:before="72" w:line="234" w:lineRule="auto"/>
              <w:ind w:left="52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e.投标人在投标活动中无欺诈行为；</w:t>
            </w:r>
          </w:p>
          <w:p w14:paraId="7F19A62F">
            <w:pPr>
              <w:kinsoku/>
              <w:spacing w:before="87" w:line="277" w:lineRule="auto"/>
              <w:ind w:left="112" w:right="107" w:firstLine="4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f.投标人未对合同条款有重要保留。</w:t>
            </w:r>
          </w:p>
          <w:p w14:paraId="41648A21">
            <w:pPr>
              <w:kinsoku/>
              <w:spacing w:before="69" w:line="219" w:lineRule="auto"/>
              <w:ind w:left="532"/>
              <w:rPr>
                <w:rFonts w:hint="eastAsia" w:ascii="宋体" w:hAnsi="宋体" w:eastAsia="宋体" w:cs="宋体"/>
                <w:b/>
                <w:bCs/>
                <w:color w:val="000000" w:themeColor="text1"/>
                <w:highlight w:val="none"/>
                <w:lang w:eastAsia="zh-CN"/>
                <w14:textFill>
                  <w14:solidFill>
                    <w14:schemeClr w14:val="tx1"/>
                  </w14:solidFill>
                </w14:textFill>
              </w:rPr>
            </w:pPr>
          </w:p>
          <w:p w14:paraId="37CB9B02">
            <w:pPr>
              <w:kinsoku/>
              <w:spacing w:before="69" w:line="219" w:lineRule="auto"/>
              <w:ind w:left="53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第二个信封（报价文件）评审标准：</w:t>
            </w:r>
          </w:p>
          <w:p w14:paraId="5DBCC9AB">
            <w:pPr>
              <w:kinsoku/>
              <w:spacing w:before="91" w:line="286" w:lineRule="auto"/>
              <w:ind w:left="110" w:right="105" w:firstLine="42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（1）投标文件按照招标文件规定的格式、内容填写，字迹清晰可辨：</w:t>
            </w:r>
          </w:p>
          <w:p w14:paraId="5F836085">
            <w:pPr>
              <w:kinsoku/>
              <w:spacing w:before="28" w:line="276" w:lineRule="auto"/>
              <w:ind w:left="110" w:right="107" w:firstLine="41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a.投标函按招标文件规定填报了项目名称、标段号（</w:t>
            </w:r>
            <w:r>
              <w:rPr>
                <w:rFonts w:hint="eastAsia" w:ascii="宋体" w:hAnsi="宋体" w:eastAsia="宋体" w:cs="宋体"/>
                <w:color w:val="000000" w:themeColor="text1"/>
                <w:highlight w:val="none"/>
                <w:lang w:val="en-US" w:eastAsia="zh-CN"/>
                <w14:textFill>
                  <w14:solidFill>
                    <w14:schemeClr w14:val="tx1"/>
                  </w14:solidFill>
                </w14:textFill>
              </w:rPr>
              <w:t>如有）</w:t>
            </w:r>
            <w:r>
              <w:rPr>
                <w:rFonts w:hint="eastAsia" w:ascii="宋体" w:hAnsi="宋体" w:eastAsia="宋体" w:cs="宋体"/>
                <w:color w:val="000000" w:themeColor="text1"/>
                <w:highlight w:val="none"/>
                <w:lang w:eastAsia="zh-CN"/>
                <w14:textFill>
                  <w14:solidFill>
                    <w14:schemeClr w14:val="tx1"/>
                  </w14:solidFill>
                </w14:textFill>
              </w:rPr>
              <w:t>、投标</w:t>
            </w:r>
            <w:r>
              <w:rPr>
                <w:rFonts w:hint="eastAsia" w:ascii="宋体" w:hAnsi="宋体" w:eastAsia="宋体" w:cs="宋体"/>
                <w:color w:val="000000" w:themeColor="text1"/>
                <w:highlight w:val="none"/>
                <w:lang w:val="en-US" w:eastAsia="zh-CN"/>
                <w14:textFill>
                  <w14:solidFill>
                    <w14:schemeClr w14:val="tx1"/>
                  </w14:solidFill>
                </w14:textFill>
              </w:rPr>
              <w:t>总报</w:t>
            </w:r>
            <w:r>
              <w:rPr>
                <w:rFonts w:hint="eastAsia" w:ascii="宋体" w:hAnsi="宋体" w:eastAsia="宋体" w:cs="宋体"/>
                <w:color w:val="000000" w:themeColor="text1"/>
                <w:highlight w:val="none"/>
                <w:lang w:eastAsia="zh-CN"/>
                <w14:textFill>
                  <w14:solidFill>
                    <w14:schemeClr w14:val="tx1"/>
                  </w14:solidFill>
                </w14:textFill>
              </w:rPr>
              <w:t>价（包括大写金额和小写金额）；</w:t>
            </w:r>
          </w:p>
          <w:p w14:paraId="3993F2D2">
            <w:pPr>
              <w:kinsoku/>
              <w:spacing w:before="53" w:line="275" w:lineRule="auto"/>
              <w:ind w:left="117" w:right="105" w:firstLine="40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b.已标价报价清单说明文字与招标文件规定一致，未进行实质性修改和删减；</w:t>
            </w:r>
          </w:p>
          <w:p w14:paraId="3505C002">
            <w:pPr>
              <w:kinsoku/>
              <w:spacing w:before="54" w:line="234" w:lineRule="auto"/>
              <w:ind w:left="52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c.投标文件组成齐全完整，内容均按规定填写。</w:t>
            </w:r>
          </w:p>
          <w:p w14:paraId="15E0B64E">
            <w:pPr>
              <w:kinsoku/>
              <w:spacing w:before="73" w:line="259" w:lineRule="auto"/>
              <w:ind w:left="110" w:right="105" w:firstLine="42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（2）投标文件上法定代表人或其委托代理人的签字、投标人的单位章盖章齐全，符合招标文件规定。</w:t>
            </w:r>
          </w:p>
          <w:p w14:paraId="2D1E95E7">
            <w:pPr>
              <w:kinsoku/>
              <w:spacing w:before="91" w:line="219"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（3）投标</w:t>
            </w:r>
            <w:r>
              <w:rPr>
                <w:rFonts w:hint="eastAsia" w:ascii="宋体" w:hAnsi="宋体" w:eastAsia="宋体" w:cs="宋体"/>
                <w:color w:val="000000" w:themeColor="text1"/>
                <w:highlight w:val="none"/>
                <w:lang w:val="en-US" w:eastAsia="zh-CN"/>
                <w14:textFill>
                  <w14:solidFill>
                    <w14:schemeClr w14:val="tx1"/>
                  </w14:solidFill>
                </w14:textFill>
              </w:rPr>
              <w:t>总</w:t>
            </w:r>
            <w:r>
              <w:rPr>
                <w:rFonts w:hint="eastAsia" w:ascii="宋体" w:hAnsi="宋体" w:eastAsia="宋体" w:cs="宋体"/>
                <w:color w:val="000000" w:themeColor="text1"/>
                <w:highlight w:val="none"/>
                <w:lang w:eastAsia="zh-CN"/>
                <w14:textFill>
                  <w14:solidFill>
                    <w14:schemeClr w14:val="tx1"/>
                  </w14:solidFill>
                </w14:textFill>
              </w:rPr>
              <w:t>报价未超过招标文件设定的最高投标限价（如有）。</w:t>
            </w:r>
          </w:p>
          <w:p w14:paraId="2A96E82C">
            <w:pPr>
              <w:kinsoku/>
              <w:spacing w:before="92" w:line="219"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（4）投标</w:t>
            </w:r>
            <w:r>
              <w:rPr>
                <w:rFonts w:hint="eastAsia" w:ascii="宋体" w:hAnsi="宋体" w:eastAsia="宋体" w:cs="宋体"/>
                <w:color w:val="000000" w:themeColor="text1"/>
                <w:highlight w:val="none"/>
                <w:lang w:val="en-US" w:eastAsia="zh-CN"/>
                <w14:textFill>
                  <w14:solidFill>
                    <w14:schemeClr w14:val="tx1"/>
                  </w14:solidFill>
                </w14:textFill>
              </w:rPr>
              <w:t>总</w:t>
            </w:r>
            <w:r>
              <w:rPr>
                <w:rFonts w:hint="eastAsia" w:ascii="宋体" w:hAnsi="宋体" w:eastAsia="宋体" w:cs="宋体"/>
                <w:color w:val="000000" w:themeColor="text1"/>
                <w:highlight w:val="none"/>
                <w:lang w:eastAsia="zh-CN"/>
                <w14:textFill>
                  <w14:solidFill>
                    <w14:schemeClr w14:val="tx1"/>
                  </w14:solidFill>
                </w14:textFill>
              </w:rPr>
              <w:t>报价的大写金额能够确定具体数值。</w:t>
            </w:r>
          </w:p>
          <w:p w14:paraId="4BE2302A">
            <w:pPr>
              <w:kinsoku/>
              <w:spacing w:before="89" w:line="260" w:lineRule="auto"/>
              <w:ind w:left="111" w:right="105" w:firstLine="424"/>
              <w:rPr>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（5）同一投标人未提交两个以上不同的投标报价，但招标文件要求提交备选投标的除外。</w:t>
            </w:r>
          </w:p>
        </w:tc>
      </w:tr>
      <w:tr w14:paraId="65351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5F5F566D">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2.1.2</w:t>
            </w:r>
          </w:p>
        </w:tc>
        <w:tc>
          <w:tcPr>
            <w:tcW w:w="1279" w:type="dxa"/>
            <w:gridSpan w:val="4"/>
            <w:tcBorders>
              <w:right w:val="single" w:color="000000" w:sz="4" w:space="0"/>
            </w:tcBorders>
            <w:vAlign w:val="center"/>
          </w:tcPr>
          <w:p w14:paraId="6CD4C204">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资格评审标准</w:t>
            </w:r>
          </w:p>
        </w:tc>
        <w:tc>
          <w:tcPr>
            <w:tcW w:w="6692" w:type="dxa"/>
            <w:gridSpan w:val="5"/>
            <w:tcBorders>
              <w:left w:val="single" w:color="000000" w:sz="4" w:space="0"/>
            </w:tcBorders>
          </w:tcPr>
          <w:p w14:paraId="2AB79A42">
            <w:pPr>
              <w:kinsoku/>
              <w:spacing w:before="99" w:line="259" w:lineRule="auto"/>
              <w:ind w:left="114" w:right="105" w:firstLine="4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人具备有效的营业执照、设计资质证书和基本账户开户许可证（如企业所在地已取消企业银行账户许可而无法提供开户许可证的，则需附上开户银行出具的“基本存款账户信息”或“人民银行账户管理系统查询的基本账户信息截图”）</w:t>
            </w:r>
            <w:r>
              <w:rPr>
                <w:rFonts w:hint="eastAsia" w:ascii="宋体" w:hAnsi="宋体"/>
                <w:color w:val="000000" w:themeColor="text1"/>
                <w:highlight w:val="none"/>
                <w:lang w:eastAsia="zh-CN"/>
                <w14:textFill>
                  <w14:solidFill>
                    <w14:schemeClr w14:val="tx1"/>
                  </w14:solidFill>
                </w14:textFill>
              </w:rPr>
              <w:t>。</w:t>
            </w:r>
          </w:p>
          <w:p w14:paraId="420D4FFD">
            <w:pPr>
              <w:kinsoku/>
              <w:spacing w:before="90"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（2）投标人的资质等级符合招标文件规定。</w:t>
            </w:r>
          </w:p>
          <w:p w14:paraId="5C395155">
            <w:pPr>
              <w:kinsoku/>
              <w:spacing w:before="89"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（3）投标人的业绩符合招标文件规定。</w:t>
            </w:r>
          </w:p>
          <w:p w14:paraId="1E14C540">
            <w:pPr>
              <w:kinsoku/>
              <w:spacing w:before="87" w:line="220"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（4）投标人的信誉符合招标文件规定。</w:t>
            </w:r>
          </w:p>
          <w:p w14:paraId="0000F9A5">
            <w:pPr>
              <w:kinsoku/>
              <w:spacing w:before="90"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（5）投标人的项目负责人资格符合招标文件规定。</w:t>
            </w:r>
          </w:p>
          <w:p w14:paraId="68B6DDB9">
            <w:pPr>
              <w:kinsoku/>
              <w:spacing w:before="75" w:line="233" w:lineRule="auto"/>
              <w:ind w:left="536"/>
              <w:rPr>
                <w:rFonts w:ascii="宋体" w:hAnsi="宋体" w:eastAsia="宋体" w:cs="宋体"/>
                <w:color w:val="000000" w:themeColor="text1"/>
                <w:sz w:val="11"/>
                <w:szCs w:val="1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（6）投标人的其他要求符合招标文件规定。</w:t>
            </w:r>
          </w:p>
          <w:p w14:paraId="7B9C4D76">
            <w:pPr>
              <w:kinsoku/>
              <w:spacing w:before="88" w:line="260" w:lineRule="auto"/>
              <w:ind w:left="115" w:right="107" w:firstLine="4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（7）投标人不存在第二章“投标人须知”第1.4.3项或第1.4.4项规定的任何一种情形。</w:t>
            </w:r>
          </w:p>
          <w:p w14:paraId="13CD464E">
            <w:pPr>
              <w:kinsoku/>
              <w:spacing w:before="76" w:line="232"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（8）投标人符合第二章“投标人须知”第1.4.5项规定。</w:t>
            </w:r>
          </w:p>
        </w:tc>
      </w:tr>
      <w:tr w14:paraId="72A4F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2312AA38">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2.2.1</w:t>
            </w:r>
          </w:p>
        </w:tc>
        <w:tc>
          <w:tcPr>
            <w:tcW w:w="1279" w:type="dxa"/>
            <w:gridSpan w:val="4"/>
            <w:vAlign w:val="center"/>
          </w:tcPr>
          <w:p w14:paraId="3B0DF712">
            <w:pPr>
              <w:kinsoku/>
              <w:spacing w:before="6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分值构成（总分100分）</w:t>
            </w:r>
          </w:p>
        </w:tc>
        <w:tc>
          <w:tcPr>
            <w:tcW w:w="6692" w:type="dxa"/>
            <w:gridSpan w:val="5"/>
          </w:tcPr>
          <w:p w14:paraId="59E0E955">
            <w:pPr>
              <w:kinsoku/>
              <w:spacing w:before="82" w:line="276" w:lineRule="auto"/>
              <w:ind w:left="534"/>
              <w:rPr>
                <w:rFonts w:ascii="宋体" w:hAnsi="宋体" w:eastAsia="宋体" w:cs="宋体"/>
                <w:color w:val="000000" w:themeColor="text1"/>
                <w:sz w:val="11"/>
                <w:szCs w:val="1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第一个信封（商务及技术文件）评分分值构成：</w:t>
            </w:r>
          </w:p>
          <w:p w14:paraId="03B74138">
            <w:pPr>
              <w:kinsoku/>
              <w:spacing w:before="88" w:line="276" w:lineRule="auto"/>
              <w:ind w:left="533" w:right="395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技术建议书：</w:t>
            </w:r>
            <w:r>
              <w:rPr>
                <w:rFonts w:hint="eastAsia" w:ascii="宋体" w:hAnsi="宋体" w:eastAsia="宋体" w:cs="宋体"/>
                <w:color w:val="000000" w:themeColor="text1"/>
                <w:highlight w:val="none"/>
                <w:u w:val="single"/>
                <w:lang w:eastAsia="zh-CN"/>
                <w14:textFill>
                  <w14:solidFill>
                    <w14:schemeClr w14:val="tx1"/>
                  </w14:solidFill>
                </w14:textFill>
              </w:rPr>
              <w:t xml:space="preserve"> 3</w:t>
            </w:r>
            <w:r>
              <w:rPr>
                <w:rFonts w:hint="eastAsia" w:ascii="宋体" w:hAnsi="宋体" w:eastAsia="宋体" w:cs="宋体"/>
                <w:color w:val="000000" w:themeColor="text1"/>
                <w:highlight w:val="none"/>
                <w:u w:val="single"/>
                <w:lang w:val="en-US" w:eastAsia="zh-CN"/>
                <w14:textFill>
                  <w14:solidFill>
                    <w14:schemeClr w14:val="tx1"/>
                  </w14:solidFill>
                </w14:textFill>
              </w:rPr>
              <w:t>0</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分</w:t>
            </w:r>
          </w:p>
          <w:p w14:paraId="58D0F170">
            <w:pPr>
              <w:kinsoku/>
              <w:spacing w:before="88" w:line="276" w:lineRule="auto"/>
              <w:ind w:left="533" w:right="395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主要人员：</w:t>
            </w:r>
            <w:r>
              <w:rPr>
                <w:rFonts w:hint="eastAsia" w:ascii="宋体" w:hAnsi="宋体" w:eastAsia="宋体" w:cs="宋体"/>
                <w:color w:val="000000" w:themeColor="text1"/>
                <w:highlight w:val="none"/>
                <w:u w:val="single"/>
                <w:lang w:eastAsia="zh-CN"/>
                <w14:textFill>
                  <w14:solidFill>
                    <w14:schemeClr w14:val="tx1"/>
                  </w14:solidFill>
                </w14:textFill>
              </w:rPr>
              <w:t xml:space="preserve"> 20 </w:t>
            </w:r>
            <w:r>
              <w:rPr>
                <w:rFonts w:hint="eastAsia" w:ascii="宋体" w:hAnsi="宋体" w:eastAsia="宋体" w:cs="宋体"/>
                <w:color w:val="000000" w:themeColor="text1"/>
                <w:highlight w:val="none"/>
                <w:lang w:eastAsia="zh-CN"/>
                <w14:textFill>
                  <w14:solidFill>
                    <w14:schemeClr w14:val="tx1"/>
                  </w14:solidFill>
                </w14:textFill>
              </w:rPr>
              <w:t>分</w:t>
            </w:r>
          </w:p>
          <w:p w14:paraId="03E3A499">
            <w:pPr>
              <w:kinsoku/>
              <w:spacing w:before="88" w:line="276" w:lineRule="auto"/>
              <w:ind w:left="533" w:right="395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业绩：</w:t>
            </w:r>
            <w:r>
              <w:rPr>
                <w:rFonts w:hint="eastAsia" w:ascii="宋体" w:hAnsi="宋体" w:eastAsia="宋体" w:cs="宋体"/>
                <w:color w:val="000000" w:themeColor="text1"/>
                <w:highlight w:val="none"/>
                <w:u w:val="single"/>
                <w:lang w:eastAsia="zh-CN"/>
                <w14:textFill>
                  <w14:solidFill>
                    <w14:schemeClr w14:val="tx1"/>
                  </w14:solidFill>
                </w14:textFill>
              </w:rPr>
              <w:t xml:space="preserve"> 25 </w:t>
            </w:r>
            <w:r>
              <w:rPr>
                <w:rFonts w:hint="eastAsia" w:ascii="宋体" w:hAnsi="宋体" w:eastAsia="宋体" w:cs="宋体"/>
                <w:color w:val="000000" w:themeColor="text1"/>
                <w:highlight w:val="none"/>
                <w:lang w:eastAsia="zh-CN"/>
                <w14:textFill>
                  <w14:solidFill>
                    <w14:schemeClr w14:val="tx1"/>
                  </w14:solidFill>
                </w14:textFill>
              </w:rPr>
              <w:t>分</w:t>
            </w:r>
          </w:p>
          <w:p w14:paraId="6D8E3F80">
            <w:pPr>
              <w:kinsoku/>
              <w:spacing w:before="88" w:line="276" w:lineRule="auto"/>
              <w:ind w:left="533" w:right="395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履约信誉：</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15</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分</w:t>
            </w:r>
          </w:p>
          <w:p w14:paraId="24B023C9">
            <w:pPr>
              <w:kinsoku/>
              <w:spacing w:before="88" w:line="276" w:lineRule="auto"/>
              <w:ind w:left="533" w:right="102"/>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第二个信封（报价文件）评分分值构成：</w:t>
            </w:r>
          </w:p>
          <w:p w14:paraId="63C7650B">
            <w:pPr>
              <w:kinsoku/>
              <w:spacing w:before="88" w:line="276" w:lineRule="auto"/>
              <w:ind w:left="533" w:right="10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评标价</w:t>
            </w:r>
            <w:r>
              <w:rPr>
                <w:rFonts w:hint="eastAsia" w:ascii="宋体" w:hAnsi="宋体" w:eastAsia="宋体" w:cs="宋体"/>
                <w:color w:val="000000" w:themeColor="text1"/>
                <w:sz w:val="11"/>
                <w:szCs w:val="11"/>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eastAsia="zh-CN"/>
                <w14:textFill>
                  <w14:solidFill>
                    <w14:schemeClr w14:val="tx1"/>
                  </w14:solidFill>
                </w14:textFill>
              </w:rPr>
              <w:t>10</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分</w:t>
            </w:r>
          </w:p>
        </w:tc>
      </w:tr>
      <w:tr w14:paraId="76DF7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520B8C5B">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2.2.2</w:t>
            </w:r>
          </w:p>
        </w:tc>
        <w:tc>
          <w:tcPr>
            <w:tcW w:w="1279" w:type="dxa"/>
            <w:gridSpan w:val="4"/>
            <w:vAlign w:val="center"/>
          </w:tcPr>
          <w:p w14:paraId="650E1365">
            <w:pPr>
              <w:kinsoku/>
              <w:spacing w:before="6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评标基准价计 算方法</w:t>
            </w:r>
          </w:p>
        </w:tc>
        <w:tc>
          <w:tcPr>
            <w:tcW w:w="6692" w:type="dxa"/>
            <w:gridSpan w:val="5"/>
          </w:tcPr>
          <w:p w14:paraId="0D5B3B06">
            <w:pPr>
              <w:kinsoku/>
              <w:spacing w:before="108" w:line="219" w:lineRule="auto"/>
              <w:ind w:left="53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评标基准价的计算：</w:t>
            </w:r>
          </w:p>
          <w:p w14:paraId="031CDB18">
            <w:pPr>
              <w:kinsoku/>
              <w:spacing w:before="108" w:line="219" w:lineRule="auto"/>
              <w:ind w:left="53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在开标现场，招标人将当场计算并宣布评标基准价。</w:t>
            </w:r>
          </w:p>
          <w:p w14:paraId="5543D31B">
            <w:pPr>
              <w:kinsoku/>
              <w:spacing w:before="108" w:line="219" w:lineRule="auto"/>
              <w:ind w:left="53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（1）评标价的确定：</w:t>
            </w:r>
          </w:p>
          <w:p w14:paraId="62324D08">
            <w:pPr>
              <w:kinsoku/>
              <w:spacing w:before="108" w:line="219" w:lineRule="auto"/>
              <w:ind w:left="53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评标价＝投标函文字报价</w:t>
            </w:r>
          </w:p>
          <w:p w14:paraId="2DD890CA">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（2）最高评标限价的确定：</w:t>
            </w:r>
          </w:p>
          <w:p w14:paraId="743677E9">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①最高投标限价下浮率的确定</w:t>
            </w:r>
          </w:p>
          <w:p w14:paraId="707B1771">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下浮率在开标前在开标现场采取摇珠方式确定。摇珠操作办法如下：以0.1%为一档次增序确定摇珠号码，不少于31个球，一次性摇出3个球（摇出的珠不放回），摇出3个球对应的下浮率的算术平均值即为本标段招标的下浮率（注：下浮率摇珠浮动区间为0%至3%，摇出3个下浮率的算术平均值四舍五入取整到0.001</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w:t>
            </w:r>
          </w:p>
          <w:p w14:paraId="2A5F4E27">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②最高评标限价=最高投标限价×（1-</w:t>
            </w:r>
            <w:r>
              <w:rPr>
                <w:rFonts w:hint="eastAsia" w:ascii="宋体" w:hAnsi="宋体" w:cs="宋体"/>
                <w:color w:val="000000" w:themeColor="text1"/>
                <w:highlight w:val="none"/>
                <w:lang w:eastAsia="zh-CN"/>
                <w14:textFill>
                  <w14:solidFill>
                    <w14:schemeClr w14:val="tx1"/>
                  </w14:solidFill>
                </w14:textFill>
              </w:rPr>
              <w:t>最高投标限价下浮率</w:t>
            </w:r>
            <w:r>
              <w:rPr>
                <w:rFonts w:hint="eastAsia" w:ascii="宋体" w:hAnsi="宋体" w:cs="宋体"/>
                <w:color w:val="000000" w:themeColor="text1"/>
                <w:highlight w:val="none"/>
                <w:lang w:eastAsia="zh-CN"/>
                <w14:textFill>
                  <w14:solidFill>
                    <w14:schemeClr w14:val="tx1"/>
                  </w14:solidFill>
                </w14:textFill>
              </w:rPr>
              <w:t>）</w:t>
            </w:r>
          </w:p>
          <w:p w14:paraId="0A6F17C9">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有效评标价范围：不大于最高评标限价的评标价为有效评标价。若大于最高评标限价的评标价，其评标价得分为0分。</w:t>
            </w:r>
          </w:p>
          <w:p w14:paraId="576293CD">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（3）评标基准价的确定：</w:t>
            </w:r>
          </w:p>
          <w:p w14:paraId="7800A72C">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将最高评标限价下浮</w:t>
            </w: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cs="宋体"/>
                <w:color w:val="000000" w:themeColor="text1"/>
                <w:highlight w:val="none"/>
                <w:lang w:eastAsia="zh-CN"/>
                <w14:textFill>
                  <w14:solidFill>
                    <w14:schemeClr w14:val="tx1"/>
                  </w14:solidFill>
                </w14:textFill>
              </w:rPr>
              <w:t>%，作为评标基准价。</w:t>
            </w:r>
          </w:p>
          <w:p w14:paraId="392A8CD6">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在评标过程中，评标委员会应对招标人计算的评标基准价进行复核，存在计算错误的应予以修正并在评标报告中作出说明。除此之外，评标基准价在整个评标期间保持不变，不随任何因素发生变化。</w:t>
            </w:r>
          </w:p>
          <w:p w14:paraId="4F309D86">
            <w:pPr>
              <w:kinsoku/>
              <w:spacing w:before="92" w:line="285" w:lineRule="auto"/>
              <w:ind w:left="111" w:right="160" w:firstLine="421"/>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注：评标价平均值、最高评标限价、评标基准价的计算均四舍五入至个位整数。</w:t>
            </w:r>
          </w:p>
        </w:tc>
      </w:tr>
      <w:tr w14:paraId="3188D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tcBorders>
              <w:bottom w:val="single" w:color="auto" w:sz="4" w:space="0"/>
            </w:tcBorders>
            <w:vAlign w:val="center"/>
          </w:tcPr>
          <w:p w14:paraId="52270ED4">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2.2.3</w:t>
            </w:r>
          </w:p>
        </w:tc>
        <w:tc>
          <w:tcPr>
            <w:tcW w:w="1279" w:type="dxa"/>
            <w:gridSpan w:val="4"/>
            <w:tcBorders>
              <w:bottom w:val="single" w:color="auto" w:sz="4" w:space="0"/>
            </w:tcBorders>
            <w:vAlign w:val="center"/>
          </w:tcPr>
          <w:p w14:paraId="1E587B03">
            <w:pPr>
              <w:kinsoku/>
              <w:spacing w:before="61"/>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评标价的偏差率计算公式</w:t>
            </w:r>
          </w:p>
        </w:tc>
        <w:tc>
          <w:tcPr>
            <w:tcW w:w="6692" w:type="dxa"/>
            <w:gridSpan w:val="5"/>
            <w:tcBorders>
              <w:bottom w:val="single" w:color="auto" w:sz="4" w:space="0"/>
            </w:tcBorders>
          </w:tcPr>
          <w:p w14:paraId="4567ED1E">
            <w:pPr>
              <w:kinsoku/>
              <w:spacing w:before="118" w:line="263" w:lineRule="auto"/>
              <w:ind w:right="597"/>
              <w:rPr>
                <w:rFonts w:ascii="宋体" w:hAnsi="宋体" w:eastAsia="宋体" w:cs="宋体"/>
                <w:color w:val="000000" w:themeColor="text1"/>
                <w:highlight w:val="none"/>
                <w:lang w:eastAsia="zh-CN"/>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偏差率=100% ×（投标人评标价－评标基准价）/评标基准价</w:t>
            </w:r>
          </w:p>
          <w:p w14:paraId="656E256F">
            <w:pPr>
              <w:kinsoku/>
              <w:spacing w:before="118" w:line="263" w:lineRule="auto"/>
              <w:ind w:right="597"/>
              <w:rPr>
                <w:rFonts w:ascii="宋体" w:hAnsi="宋体" w:eastAsia="宋体" w:cs="宋体"/>
                <w:color w:val="000000" w:themeColor="text1"/>
                <w:highlight w:val="none"/>
                <w:lang w:eastAsia="zh-CN"/>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注：偏差率计算保留小数点后四位，小数点后第五位“ 四舍五入 ” 。</w:t>
            </w:r>
          </w:p>
        </w:tc>
      </w:tr>
      <w:tr w14:paraId="210C4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restart"/>
            <w:tcBorders>
              <w:top w:val="single" w:color="auto" w:sz="4" w:space="0"/>
              <w:left w:val="single" w:color="auto" w:sz="4" w:space="0"/>
              <w:bottom w:val="single" w:color="auto" w:sz="4" w:space="0"/>
              <w:right w:val="single" w:color="auto" w:sz="4" w:space="0"/>
            </w:tcBorders>
            <w:vAlign w:val="center"/>
          </w:tcPr>
          <w:p w14:paraId="3A3D669B">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条款号</w:t>
            </w:r>
          </w:p>
        </w:tc>
        <w:tc>
          <w:tcPr>
            <w:tcW w:w="3993" w:type="dxa"/>
            <w:gridSpan w:val="9"/>
            <w:tcBorders>
              <w:top w:val="single" w:color="auto" w:sz="4" w:space="0"/>
              <w:left w:val="single" w:color="auto" w:sz="4" w:space="0"/>
              <w:bottom w:val="single" w:color="auto" w:sz="4" w:space="0"/>
              <w:right w:val="single" w:color="auto" w:sz="4" w:space="0"/>
            </w:tcBorders>
            <w:vAlign w:val="center"/>
          </w:tcPr>
          <w:p w14:paraId="3F5BBBAD">
            <w:pPr>
              <w:kinsoku/>
              <w:spacing w:before="128" w:line="276" w:lineRule="auto"/>
              <w:jc w:val="center"/>
              <w:rPr>
                <w:rFonts w:ascii="宋体" w:hAnsi="宋体" w:eastAsia="宋体" w:cs="宋体"/>
                <w:color w:val="000000" w:themeColor="text1"/>
                <w:sz w:val="11"/>
                <w:szCs w:val="1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评分因素与权重分值</w:t>
            </w:r>
          </w:p>
        </w:tc>
        <w:tc>
          <w:tcPr>
            <w:tcW w:w="4376" w:type="dxa"/>
            <w:vMerge w:val="restart"/>
            <w:tcBorders>
              <w:top w:val="single" w:color="auto" w:sz="4" w:space="0"/>
              <w:left w:val="single" w:color="auto" w:sz="4" w:space="0"/>
              <w:bottom w:val="single" w:color="auto" w:sz="4" w:space="0"/>
              <w:right w:val="single" w:color="auto" w:sz="4" w:space="0"/>
            </w:tcBorders>
            <w:vAlign w:val="center"/>
          </w:tcPr>
          <w:p w14:paraId="17EB0625">
            <w:pPr>
              <w:kinsoku/>
              <w:spacing w:before="68" w:line="276" w:lineRule="auto"/>
              <w:jc w:val="center"/>
              <w:rPr>
                <w:rFonts w:ascii="宋体" w:hAnsi="宋体" w:eastAsia="宋体" w:cs="宋体"/>
                <w:color w:val="000000" w:themeColor="text1"/>
                <w:sz w:val="11"/>
                <w:szCs w:val="1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评分标准</w:t>
            </w:r>
          </w:p>
        </w:tc>
      </w:tr>
      <w:tr w14:paraId="74E1C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single" w:color="auto" w:sz="4" w:space="0"/>
              <w:left w:val="single" w:color="auto" w:sz="4" w:space="0"/>
            </w:tcBorders>
            <w:vAlign w:val="center"/>
          </w:tcPr>
          <w:p w14:paraId="605F0A46">
            <w:pPr>
              <w:kinsoku/>
              <w:spacing w:line="276" w:lineRule="auto"/>
              <w:jc w:val="center"/>
              <w:rPr>
                <w:rFonts w:ascii="宋体" w:hAnsi="宋体" w:eastAsia="宋体" w:cs="宋体"/>
                <w:color w:val="000000" w:themeColor="text1"/>
                <w:highlight w:val="none"/>
                <w14:textFill>
                  <w14:solidFill>
                    <w14:schemeClr w14:val="tx1"/>
                  </w14:solidFill>
                </w14:textFill>
              </w:rPr>
            </w:pPr>
          </w:p>
        </w:tc>
        <w:tc>
          <w:tcPr>
            <w:tcW w:w="1556" w:type="dxa"/>
            <w:gridSpan w:val="4"/>
            <w:tcBorders>
              <w:top w:val="single" w:color="auto" w:sz="4" w:space="0"/>
            </w:tcBorders>
            <w:vAlign w:val="center"/>
          </w:tcPr>
          <w:p w14:paraId="0C8291BA">
            <w:pPr>
              <w:kinsoku/>
              <w:spacing w:before="68"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评分因素</w:t>
            </w:r>
          </w:p>
        </w:tc>
        <w:tc>
          <w:tcPr>
            <w:tcW w:w="375" w:type="dxa"/>
            <w:gridSpan w:val="2"/>
            <w:tcBorders>
              <w:top w:val="single" w:color="auto" w:sz="4" w:space="0"/>
            </w:tcBorders>
            <w:vAlign w:val="center"/>
          </w:tcPr>
          <w:p w14:paraId="42ACA50F">
            <w:pPr>
              <w:kinsoku/>
              <w:spacing w:before="68"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评分因素权重分值</w:t>
            </w:r>
          </w:p>
        </w:tc>
        <w:tc>
          <w:tcPr>
            <w:tcW w:w="1287" w:type="dxa"/>
            <w:tcBorders>
              <w:top w:val="single" w:color="auto" w:sz="4" w:space="0"/>
            </w:tcBorders>
            <w:vAlign w:val="center"/>
          </w:tcPr>
          <w:p w14:paraId="3D54B8AB">
            <w:pPr>
              <w:kinsoku/>
              <w:spacing w:before="68"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各评分因素细分项</w:t>
            </w:r>
          </w:p>
        </w:tc>
        <w:tc>
          <w:tcPr>
            <w:tcW w:w="775" w:type="dxa"/>
            <w:gridSpan w:val="2"/>
            <w:tcBorders>
              <w:top w:val="single" w:color="auto" w:sz="4" w:space="0"/>
            </w:tcBorders>
            <w:vAlign w:val="center"/>
          </w:tcPr>
          <w:p w14:paraId="0CDD6E8A">
            <w:pPr>
              <w:kinsoku/>
              <w:spacing w:before="68"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分值</w:t>
            </w:r>
          </w:p>
        </w:tc>
        <w:tc>
          <w:tcPr>
            <w:tcW w:w="4376" w:type="dxa"/>
            <w:vMerge w:val="continue"/>
            <w:tcBorders>
              <w:top w:val="single" w:color="auto" w:sz="4" w:space="0"/>
              <w:right w:val="single" w:color="auto" w:sz="4" w:space="0"/>
            </w:tcBorders>
            <w:vAlign w:val="center"/>
          </w:tcPr>
          <w:p w14:paraId="59A59E3B">
            <w:pPr>
              <w:kinsoku/>
              <w:spacing w:line="276" w:lineRule="auto"/>
              <w:jc w:val="center"/>
              <w:rPr>
                <w:rFonts w:ascii="宋体" w:hAnsi="宋体" w:eastAsia="宋体" w:cs="宋体"/>
                <w:color w:val="000000" w:themeColor="text1"/>
                <w:highlight w:val="none"/>
                <w14:textFill>
                  <w14:solidFill>
                    <w14:schemeClr w14:val="tx1"/>
                  </w14:solidFill>
                </w14:textFill>
              </w:rPr>
            </w:pPr>
          </w:p>
        </w:tc>
      </w:tr>
      <w:tr w14:paraId="75D88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restart"/>
            <w:tcBorders>
              <w:bottom w:val="nil"/>
            </w:tcBorders>
            <w:vAlign w:val="center"/>
          </w:tcPr>
          <w:p w14:paraId="0CECC83B">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2.2.4（1）</w:t>
            </w:r>
          </w:p>
        </w:tc>
        <w:tc>
          <w:tcPr>
            <w:tcW w:w="1556" w:type="dxa"/>
            <w:gridSpan w:val="4"/>
            <w:vMerge w:val="restart"/>
            <w:tcBorders>
              <w:bottom w:val="nil"/>
            </w:tcBorders>
            <w:vAlign w:val="center"/>
          </w:tcPr>
          <w:p w14:paraId="4F2B68B6">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技术建议书</w:t>
            </w:r>
          </w:p>
        </w:tc>
        <w:tc>
          <w:tcPr>
            <w:tcW w:w="375" w:type="dxa"/>
            <w:gridSpan w:val="2"/>
            <w:vMerge w:val="restart"/>
            <w:tcBorders>
              <w:bottom w:val="nil"/>
            </w:tcBorders>
            <w:vAlign w:val="center"/>
          </w:tcPr>
          <w:p w14:paraId="09117FE1">
            <w:pPr>
              <w:tabs>
                <w:tab w:val="left" w:pos="663"/>
              </w:tabs>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w:t>
            </w:r>
            <w:r>
              <w:rPr>
                <w:rFonts w:hint="eastAsia" w:ascii="宋体" w:hAnsi="宋体" w:eastAsia="宋体" w:cs="宋体"/>
                <w:color w:val="000000" w:themeColor="text1"/>
                <w:highlight w:val="none"/>
                <w:lang w:val="en-US" w:eastAsia="zh-CN"/>
                <w14:textFill>
                  <w14:solidFill>
                    <w14:schemeClr w14:val="tx1"/>
                  </w14:solidFill>
                </w14:textFill>
              </w:rPr>
              <w:t>0</w:t>
            </w:r>
            <w:r>
              <w:rPr>
                <w:rFonts w:hint="eastAsia" w:ascii="宋体" w:hAnsi="宋体" w:eastAsia="宋体" w:cs="宋体"/>
                <w:color w:val="000000" w:themeColor="text1"/>
                <w:highlight w:val="none"/>
                <w14:textFill>
                  <w14:solidFill>
                    <w14:schemeClr w14:val="tx1"/>
                  </w14:solidFill>
                </w14:textFill>
              </w:rPr>
              <w:t>分</w:t>
            </w:r>
          </w:p>
        </w:tc>
        <w:tc>
          <w:tcPr>
            <w:tcW w:w="1287" w:type="dxa"/>
            <w:vAlign w:val="center"/>
          </w:tcPr>
          <w:p w14:paraId="1EC87452">
            <w:pPr>
              <w:kinsoku/>
              <w:spacing w:before="137" w:line="276" w:lineRule="auto"/>
              <w:ind w:left="114" w:right="99" w:hanging="2"/>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对招标项目设计的理解和总体设计思路</w:t>
            </w:r>
          </w:p>
        </w:tc>
        <w:tc>
          <w:tcPr>
            <w:tcW w:w="775" w:type="dxa"/>
            <w:gridSpan w:val="2"/>
            <w:vAlign w:val="center"/>
          </w:tcPr>
          <w:p w14:paraId="3C8ADF77">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分</w:t>
            </w:r>
          </w:p>
        </w:tc>
        <w:tc>
          <w:tcPr>
            <w:tcW w:w="4376" w:type="dxa"/>
            <w:vAlign w:val="center"/>
          </w:tcPr>
          <w:p w14:paraId="66F23E8E">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highlight w:val="none"/>
                <w:lang w:eastAsia="zh-CN"/>
                <w14:textFill>
                  <w14:solidFill>
                    <w14:schemeClr w14:val="tx1"/>
                  </w14:solidFill>
                </w14:textFill>
              </w:rPr>
              <w:t>1）对设计工作范围和任务描述一般准确、总体设计思路一般清晰，得</w:t>
            </w:r>
            <w:r>
              <w:rPr>
                <w:rFonts w:cs="宋体" w:asciiTheme="minorEastAsia" w:hAnsiTheme="minorEastAsia" w:eastAsiaTheme="minorEastAsia"/>
                <w:color w:val="000000" w:themeColor="text1"/>
                <w:highlight w:val="none"/>
                <w:lang w:eastAsia="zh-CN"/>
                <w14:textFill>
                  <w14:solidFill>
                    <w14:schemeClr w14:val="tx1"/>
                  </w14:solidFill>
                </w14:textFill>
              </w:rPr>
              <w:t>6.0-7.2</w:t>
            </w:r>
            <w:r>
              <w:rPr>
                <w:rFonts w:hint="eastAsia" w:cs="宋体" w:asciiTheme="minorEastAsia" w:hAnsiTheme="minorEastAsia" w:eastAsiaTheme="minorEastAsia"/>
                <w:color w:val="000000" w:themeColor="text1"/>
                <w:highlight w:val="none"/>
                <w:lang w:eastAsia="zh-CN"/>
                <w14:textFill>
                  <w14:solidFill>
                    <w14:schemeClr w14:val="tx1"/>
                  </w14:solidFill>
                </w14:textFill>
              </w:rPr>
              <w:t>分；</w:t>
            </w:r>
          </w:p>
          <w:p w14:paraId="61192CB0">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宋体" w:asciiTheme="minorEastAsia" w:hAnsiTheme="minorEastAsia" w:eastAsiaTheme="minorEastAsia"/>
                <w:color w:val="000000" w:themeColor="text1"/>
                <w:highlight w:val="none"/>
                <w:lang w:eastAsia="zh-CN"/>
                <w14:textFill>
                  <w14:solidFill>
                    <w14:schemeClr w14:val="tx1"/>
                  </w14:solidFill>
                </w14:textFill>
              </w:rPr>
              <w:t>（2）对设计工作范围和任务描述比较准确、总体设计思路比较清晰，得</w:t>
            </w:r>
            <w:r>
              <w:rPr>
                <w:rFonts w:cs="宋体" w:asciiTheme="minorEastAsia" w:hAnsiTheme="minorEastAsia" w:eastAsiaTheme="minorEastAsia"/>
                <w:color w:val="000000" w:themeColor="text1"/>
                <w:highlight w:val="none"/>
                <w:lang w:eastAsia="zh-CN"/>
                <w14:textFill>
                  <w14:solidFill>
                    <w14:schemeClr w14:val="tx1"/>
                  </w14:solidFill>
                </w14:textFill>
              </w:rPr>
              <w:t>7.3-8.5</w:t>
            </w:r>
            <w:r>
              <w:rPr>
                <w:rFonts w:hint="eastAsia" w:cs="宋体" w:asciiTheme="minorEastAsia" w:hAnsiTheme="minorEastAsia" w:eastAsiaTheme="minorEastAsia"/>
                <w:color w:val="000000" w:themeColor="text1"/>
                <w:highlight w:val="none"/>
                <w:lang w:eastAsia="zh-CN"/>
                <w14:textFill>
                  <w14:solidFill>
                    <w14:schemeClr w14:val="tx1"/>
                  </w14:solidFill>
                </w14:textFill>
              </w:rPr>
              <w:t>分；</w:t>
            </w:r>
          </w:p>
          <w:p w14:paraId="5B6FC444">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）对设计工作范围和任务描述准确、总体设计思路清晰，得</w:t>
            </w:r>
            <w:r>
              <w:rPr>
                <w:rFonts w:cs="宋体" w:asciiTheme="minorEastAsia" w:hAnsiTheme="minorEastAsia" w:eastAsiaTheme="minorEastAsia"/>
                <w:color w:val="000000" w:themeColor="text1"/>
                <w:highlight w:val="none"/>
                <w:lang w:eastAsia="zh-CN"/>
                <w14:textFill>
                  <w14:solidFill>
                    <w14:schemeClr w14:val="tx1"/>
                  </w14:solidFill>
                </w14:textFill>
              </w:rPr>
              <w:t>8.6-10.0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p>
        </w:tc>
      </w:tr>
      <w:tr w14:paraId="12511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nil"/>
              <w:bottom w:val="nil"/>
            </w:tcBorders>
          </w:tcPr>
          <w:p w14:paraId="71C98A16">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556" w:type="dxa"/>
            <w:gridSpan w:val="4"/>
            <w:vMerge w:val="continue"/>
            <w:tcBorders>
              <w:top w:val="nil"/>
              <w:bottom w:val="nil"/>
            </w:tcBorders>
          </w:tcPr>
          <w:p w14:paraId="1E4A67AF">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top w:val="nil"/>
              <w:bottom w:val="nil"/>
            </w:tcBorders>
          </w:tcPr>
          <w:p w14:paraId="5EDF6D50">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287" w:type="dxa"/>
            <w:vAlign w:val="center"/>
          </w:tcPr>
          <w:p w14:paraId="5797B741">
            <w:pPr>
              <w:kinsoku/>
              <w:spacing w:before="135" w:line="276" w:lineRule="auto"/>
              <w:ind w:left="114" w:right="107"/>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对招标项目设计的特点、关键性技术问题的认识及其对策措施</w:t>
            </w:r>
          </w:p>
        </w:tc>
        <w:tc>
          <w:tcPr>
            <w:tcW w:w="775" w:type="dxa"/>
            <w:gridSpan w:val="2"/>
            <w:vAlign w:val="center"/>
          </w:tcPr>
          <w:p w14:paraId="6F208123">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分</w:t>
            </w:r>
          </w:p>
        </w:tc>
        <w:tc>
          <w:tcPr>
            <w:tcW w:w="4376" w:type="dxa"/>
            <w:vAlign w:val="center"/>
          </w:tcPr>
          <w:p w14:paraId="23208AF4">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宋体"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1</w:t>
            </w:r>
            <w:r>
              <w:rPr>
                <w:rFonts w:hint="eastAsia" w:cs="宋体" w:asciiTheme="minorEastAsia" w:hAnsiTheme="minorEastAsia" w:eastAsiaTheme="minorEastAsia"/>
                <w:color w:val="000000" w:themeColor="text1"/>
                <w:highlight w:val="none"/>
                <w:lang w:eastAsia="zh-CN"/>
                <w14:textFill>
                  <w14:solidFill>
                    <w14:schemeClr w14:val="tx1"/>
                  </w14:solidFill>
                </w14:textFill>
              </w:rPr>
              <w:t>）对项目设计特点、关键技术问题的认识一般全面深刻及其对策措施一般具体、针对性一般强的得分为</w:t>
            </w:r>
            <w:r>
              <w:rPr>
                <w:rFonts w:cs="宋体" w:asciiTheme="minorEastAsia" w:hAnsiTheme="minorEastAsia" w:eastAsiaTheme="minorEastAsia"/>
                <w:color w:val="000000" w:themeColor="text1"/>
                <w:highlight w:val="none"/>
                <w:lang w:eastAsia="zh-CN"/>
                <w14:textFill>
                  <w14:solidFill>
                    <w14:schemeClr w14:val="tx1"/>
                  </w14:solidFill>
                </w14:textFill>
              </w:rPr>
              <w:t>3.0-3.5</w:t>
            </w:r>
            <w:r>
              <w:rPr>
                <w:rFonts w:hint="eastAsia" w:cs="宋体" w:asciiTheme="minorEastAsia" w:hAnsiTheme="minorEastAsia" w:eastAsiaTheme="minorEastAsia"/>
                <w:color w:val="000000" w:themeColor="text1"/>
                <w:highlight w:val="none"/>
                <w:lang w:eastAsia="zh-CN"/>
                <w14:textFill>
                  <w14:solidFill>
                    <w14:schemeClr w14:val="tx1"/>
                  </w14:solidFill>
                </w14:textFill>
              </w:rPr>
              <w:t>分；</w:t>
            </w:r>
          </w:p>
          <w:p w14:paraId="3E442A56">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（2）对项目设计特点、关键技术问题的认识比较全面深刻及其对策措施比较具体、针对性比较强的得分为3.6-4.2分；</w:t>
            </w:r>
          </w:p>
          <w:p w14:paraId="4F26A292">
            <w:pPr>
              <w:kinsoku/>
              <w:spacing w:line="276" w:lineRule="auto"/>
              <w:ind w:left="40" w:leftChars="19" w:right="36" w:rightChars="17"/>
              <w:jc w:val="both"/>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）对项目设计特点、关键技术问题的认识全面深刻及其对策措施具体、针对性强的得分为</w:t>
            </w:r>
            <w:r>
              <w:rPr>
                <w:rFonts w:cs="宋体" w:asciiTheme="minorEastAsia" w:hAnsiTheme="minorEastAsia" w:eastAsiaTheme="minorEastAsia"/>
                <w:color w:val="000000" w:themeColor="text1"/>
                <w:highlight w:val="none"/>
                <w:lang w:eastAsia="zh-CN"/>
                <w14:textFill>
                  <w14:solidFill>
                    <w14:schemeClr w14:val="tx1"/>
                  </w14:solidFill>
                </w14:textFill>
              </w:rPr>
              <w:t>4.3-5.0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r>
              <w:rPr>
                <w:rFonts w:hint="eastAsia" w:cs="宋体" w:asciiTheme="minorEastAsia" w:hAnsiTheme="minorEastAsia" w:eastAsiaTheme="minorEastAsia"/>
                <w:color w:val="000000" w:themeColor="text1"/>
                <w:highlight w:val="none"/>
                <w:lang w:eastAsia="zh-CN"/>
                <w14:textFill>
                  <w14:solidFill>
                    <w14:schemeClr w14:val="tx1"/>
                  </w14:solidFill>
                </w14:textFill>
              </w:rPr>
              <w:t>。</w:t>
            </w:r>
          </w:p>
        </w:tc>
      </w:tr>
      <w:tr w14:paraId="7C5EB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nil"/>
              <w:bottom w:val="nil"/>
            </w:tcBorders>
          </w:tcPr>
          <w:p w14:paraId="52EB9236">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556" w:type="dxa"/>
            <w:gridSpan w:val="4"/>
            <w:vMerge w:val="continue"/>
            <w:tcBorders>
              <w:top w:val="nil"/>
              <w:bottom w:val="nil"/>
            </w:tcBorders>
          </w:tcPr>
          <w:p w14:paraId="25563CF4">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top w:val="nil"/>
              <w:bottom w:val="nil"/>
            </w:tcBorders>
          </w:tcPr>
          <w:p w14:paraId="5BBDBC3C">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287" w:type="dxa"/>
            <w:vAlign w:val="center"/>
          </w:tcPr>
          <w:p w14:paraId="6B3C6CDF">
            <w:pPr>
              <w:kinsoku/>
              <w:spacing w:before="135" w:line="276" w:lineRule="auto"/>
              <w:ind w:left="114" w:right="107"/>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设计工作量及计划安排</w:t>
            </w:r>
          </w:p>
        </w:tc>
        <w:tc>
          <w:tcPr>
            <w:tcW w:w="775" w:type="dxa"/>
            <w:gridSpan w:val="2"/>
            <w:vAlign w:val="center"/>
          </w:tcPr>
          <w:p w14:paraId="54A8FAEC">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5分</w:t>
            </w:r>
          </w:p>
        </w:tc>
        <w:tc>
          <w:tcPr>
            <w:tcW w:w="4376" w:type="dxa"/>
            <w:vAlign w:val="center"/>
          </w:tcPr>
          <w:p w14:paraId="7F6F9AAB">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（1）对项目设计的工作量及计划安排不够具体、切合实际的得分为3.0-3.5分；</w:t>
            </w:r>
          </w:p>
          <w:p w14:paraId="710ACBDE">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（2）对项目设计的工作量及计划安排比较具体、切合实际的得分为3.6-4.2分；</w:t>
            </w:r>
          </w:p>
          <w:p w14:paraId="325A4A5F">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）对项目设计的工作量及计划安排具体、切合实际的得分为</w:t>
            </w:r>
            <w:r>
              <w:rPr>
                <w:rFonts w:cs="宋体" w:asciiTheme="minorEastAsia" w:hAnsiTheme="minorEastAsia" w:eastAsiaTheme="minorEastAsia"/>
                <w:color w:val="000000" w:themeColor="text1"/>
                <w:highlight w:val="none"/>
                <w:lang w:eastAsia="zh-CN"/>
                <w14:textFill>
                  <w14:solidFill>
                    <w14:schemeClr w14:val="tx1"/>
                  </w14:solidFill>
                </w14:textFill>
              </w:rPr>
              <w:t>4.3-5.0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p>
        </w:tc>
      </w:tr>
      <w:tr w14:paraId="63D3D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nil"/>
              <w:bottom w:val="nil"/>
            </w:tcBorders>
          </w:tcPr>
          <w:p w14:paraId="2837B2B8">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556" w:type="dxa"/>
            <w:gridSpan w:val="4"/>
            <w:vMerge w:val="continue"/>
            <w:tcBorders>
              <w:top w:val="nil"/>
              <w:bottom w:val="nil"/>
            </w:tcBorders>
          </w:tcPr>
          <w:p w14:paraId="0E4380CC">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top w:val="nil"/>
              <w:bottom w:val="nil"/>
            </w:tcBorders>
          </w:tcPr>
          <w:p w14:paraId="729D0F01">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287" w:type="dxa"/>
            <w:vAlign w:val="center"/>
          </w:tcPr>
          <w:p w14:paraId="3CC12BF6">
            <w:pPr>
              <w:kinsoku/>
              <w:spacing w:before="135" w:line="276" w:lineRule="auto"/>
              <w:ind w:left="114" w:right="107"/>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设计的质量保证措施、进度保证措施、安全保证措施</w:t>
            </w:r>
          </w:p>
        </w:tc>
        <w:tc>
          <w:tcPr>
            <w:tcW w:w="775" w:type="dxa"/>
            <w:gridSpan w:val="2"/>
            <w:vAlign w:val="center"/>
          </w:tcPr>
          <w:p w14:paraId="586781A5">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分</w:t>
            </w:r>
          </w:p>
        </w:tc>
        <w:tc>
          <w:tcPr>
            <w:tcW w:w="4376" w:type="dxa"/>
            <w:vAlign w:val="center"/>
          </w:tcPr>
          <w:p w14:paraId="5A5B3A9C">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（1）对项目设计的质量保证措施、进度保证措施不够具体、针对性不够强的得分为3.0-3.5分；</w:t>
            </w:r>
          </w:p>
          <w:p w14:paraId="1F16E1F5">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（2）对项目设计的质量保证措施、进度保证措施比较具体、针对性比较强的得分为3.6-4.2分；</w:t>
            </w:r>
          </w:p>
          <w:p w14:paraId="7EA6A41D">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）对项目设计的质量保证措施、进度保证措施具体、针对性强的得分为</w:t>
            </w:r>
            <w:r>
              <w:rPr>
                <w:rFonts w:cs="宋体" w:asciiTheme="minorEastAsia" w:hAnsiTheme="minorEastAsia" w:eastAsiaTheme="minorEastAsia"/>
                <w:color w:val="000000" w:themeColor="text1"/>
                <w:highlight w:val="none"/>
                <w:lang w:eastAsia="zh-CN"/>
                <w14:textFill>
                  <w14:solidFill>
                    <w14:schemeClr w14:val="tx1"/>
                  </w14:solidFill>
                </w14:textFill>
              </w:rPr>
              <w:t>4.3-5.0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p>
        </w:tc>
      </w:tr>
      <w:tr w14:paraId="4EEED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nil"/>
              <w:bottom w:val="single" w:color="auto" w:sz="4" w:space="0"/>
            </w:tcBorders>
          </w:tcPr>
          <w:p w14:paraId="4D1CD176">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556" w:type="dxa"/>
            <w:gridSpan w:val="4"/>
            <w:vMerge w:val="continue"/>
            <w:tcBorders>
              <w:top w:val="nil"/>
              <w:bottom w:val="single" w:color="auto" w:sz="4" w:space="0"/>
            </w:tcBorders>
          </w:tcPr>
          <w:p w14:paraId="5581B99A">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top w:val="nil"/>
              <w:bottom w:val="single" w:color="auto" w:sz="4" w:space="0"/>
            </w:tcBorders>
          </w:tcPr>
          <w:p w14:paraId="6278B88F">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287" w:type="dxa"/>
            <w:tcBorders>
              <w:bottom w:val="single" w:color="auto" w:sz="4" w:space="0"/>
            </w:tcBorders>
            <w:vAlign w:val="center"/>
          </w:tcPr>
          <w:p w14:paraId="348E2D56">
            <w:pPr>
              <w:kinsoku/>
              <w:spacing w:before="135" w:line="276" w:lineRule="auto"/>
              <w:ind w:left="114" w:right="107"/>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后续服务的安排及保证措施</w:t>
            </w:r>
          </w:p>
        </w:tc>
        <w:tc>
          <w:tcPr>
            <w:tcW w:w="775" w:type="dxa"/>
            <w:gridSpan w:val="2"/>
            <w:vAlign w:val="center"/>
          </w:tcPr>
          <w:p w14:paraId="5FD372CE">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5分</w:t>
            </w:r>
          </w:p>
        </w:tc>
        <w:tc>
          <w:tcPr>
            <w:tcW w:w="4376" w:type="dxa"/>
            <w:vAlign w:val="center"/>
          </w:tcPr>
          <w:p w14:paraId="2FC7F101">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（1）对项目设计的后续服务的安排及保证措施不够具体、针对性不够的得分为3.0-3.5分；</w:t>
            </w:r>
          </w:p>
          <w:p w14:paraId="5C8128CB">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（2）对项目设计的后续服务的安排及保证措施比较具体、针对性较强的得分为3.6-4.2分；</w:t>
            </w:r>
          </w:p>
          <w:p w14:paraId="04166798">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）对项目设计的后续服务的安排及保证措施具体、针对性强的得分为</w:t>
            </w:r>
            <w:r>
              <w:rPr>
                <w:rFonts w:cs="宋体" w:asciiTheme="minorEastAsia" w:hAnsiTheme="minorEastAsia" w:eastAsiaTheme="minorEastAsia"/>
                <w:color w:val="000000" w:themeColor="text1"/>
                <w:highlight w:val="none"/>
                <w:lang w:eastAsia="zh-CN"/>
                <w14:textFill>
                  <w14:solidFill>
                    <w14:schemeClr w14:val="tx1"/>
                  </w14:solidFill>
                </w14:textFill>
              </w:rPr>
              <w:t>4.3-5.0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p>
        </w:tc>
      </w:tr>
      <w:tr w14:paraId="101BF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7" w:hRule="atLeast"/>
        </w:trPr>
        <w:tc>
          <w:tcPr>
            <w:tcW w:w="595" w:type="dxa"/>
            <w:tcBorders>
              <w:top w:val="single" w:color="auto" w:sz="4" w:space="0"/>
              <w:left w:val="single" w:color="auto" w:sz="4" w:space="0"/>
              <w:right w:val="single" w:color="auto" w:sz="4" w:space="0"/>
            </w:tcBorders>
            <w:vAlign w:val="center"/>
          </w:tcPr>
          <w:p w14:paraId="150297A5">
            <w:pPr>
              <w:tabs>
                <w:tab w:val="left" w:pos="420"/>
              </w:tabs>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2.2.4（2）</w:t>
            </w:r>
          </w:p>
        </w:tc>
        <w:tc>
          <w:tcPr>
            <w:tcW w:w="1556" w:type="dxa"/>
            <w:gridSpan w:val="4"/>
            <w:tcBorders>
              <w:top w:val="single" w:color="auto" w:sz="4" w:space="0"/>
              <w:left w:val="single" w:color="auto" w:sz="4" w:space="0"/>
              <w:right w:val="single" w:color="auto" w:sz="4" w:space="0"/>
            </w:tcBorders>
            <w:vAlign w:val="center"/>
          </w:tcPr>
          <w:p w14:paraId="54A3B589">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主要人员</w:t>
            </w:r>
          </w:p>
        </w:tc>
        <w:tc>
          <w:tcPr>
            <w:tcW w:w="375" w:type="dxa"/>
            <w:gridSpan w:val="2"/>
            <w:tcBorders>
              <w:top w:val="single" w:color="auto" w:sz="4" w:space="0"/>
              <w:left w:val="single" w:color="auto" w:sz="4" w:space="0"/>
              <w:right w:val="single" w:color="auto" w:sz="4" w:space="0"/>
            </w:tcBorders>
            <w:vAlign w:val="center"/>
          </w:tcPr>
          <w:p w14:paraId="479786FA">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20</w:t>
            </w:r>
            <w:r>
              <w:rPr>
                <w:rFonts w:hint="eastAsia" w:ascii="宋体" w:hAnsi="宋体" w:eastAsia="宋体" w:cs="宋体"/>
                <w:color w:val="000000" w:themeColor="text1"/>
                <w:highlight w:val="none"/>
                <w14:textFill>
                  <w14:solidFill>
                    <w14:schemeClr w14:val="tx1"/>
                  </w14:solidFill>
                </w14:textFill>
              </w:rPr>
              <w:t>分</w:t>
            </w:r>
          </w:p>
        </w:tc>
        <w:tc>
          <w:tcPr>
            <w:tcW w:w="1287" w:type="dxa"/>
            <w:tcBorders>
              <w:top w:val="single" w:color="auto" w:sz="4" w:space="0"/>
              <w:left w:val="single" w:color="auto" w:sz="4" w:space="0"/>
              <w:right w:val="single" w:color="auto" w:sz="4" w:space="0"/>
            </w:tcBorders>
            <w:vAlign w:val="center"/>
          </w:tcPr>
          <w:p w14:paraId="0EF8D7DB">
            <w:pPr>
              <w:kinsoku/>
              <w:spacing w:before="132" w:line="276" w:lineRule="auto"/>
              <w:ind w:left="20"/>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项目负责人任职资格与业绩</w:t>
            </w:r>
          </w:p>
        </w:tc>
        <w:tc>
          <w:tcPr>
            <w:tcW w:w="775" w:type="dxa"/>
            <w:gridSpan w:val="2"/>
            <w:tcBorders>
              <w:left w:val="single" w:color="auto" w:sz="4" w:space="0"/>
            </w:tcBorders>
            <w:vAlign w:val="center"/>
          </w:tcPr>
          <w:p w14:paraId="47C462E9">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20</w:t>
            </w:r>
            <w:r>
              <w:rPr>
                <w:rFonts w:hint="eastAsia" w:ascii="宋体" w:hAnsi="宋体" w:eastAsia="宋体" w:cs="宋体"/>
                <w:color w:val="000000" w:themeColor="text1"/>
                <w:highlight w:val="none"/>
                <w14:textFill>
                  <w14:solidFill>
                    <w14:schemeClr w14:val="tx1"/>
                  </w14:solidFill>
                </w14:textFill>
              </w:rPr>
              <w:t>分</w:t>
            </w:r>
          </w:p>
        </w:tc>
        <w:tc>
          <w:tcPr>
            <w:tcW w:w="4376" w:type="dxa"/>
            <w:vAlign w:val="center"/>
          </w:tcPr>
          <w:p w14:paraId="261FFA59">
            <w:pPr>
              <w:kinsoku/>
              <w:spacing w:line="300"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满足资格审查条件（项目负责人最低要求）得满分。</w:t>
            </w:r>
          </w:p>
        </w:tc>
      </w:tr>
      <w:tr w14:paraId="093AD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Align w:val="center"/>
          </w:tcPr>
          <w:p w14:paraId="00D63BFE">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2.2.4（3）</w:t>
            </w:r>
          </w:p>
        </w:tc>
        <w:tc>
          <w:tcPr>
            <w:tcW w:w="1556" w:type="dxa"/>
            <w:gridSpan w:val="4"/>
            <w:tcBorders>
              <w:bottom w:val="single" w:color="auto" w:sz="4" w:space="0"/>
            </w:tcBorders>
            <w:vAlign w:val="center"/>
          </w:tcPr>
          <w:p w14:paraId="163CCDB4">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评标价</w:t>
            </w:r>
          </w:p>
        </w:tc>
        <w:tc>
          <w:tcPr>
            <w:tcW w:w="375" w:type="dxa"/>
            <w:gridSpan w:val="2"/>
            <w:vAlign w:val="center"/>
          </w:tcPr>
          <w:p w14:paraId="7A40F052">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10分</w:t>
            </w:r>
          </w:p>
        </w:tc>
        <w:tc>
          <w:tcPr>
            <w:tcW w:w="6438" w:type="dxa"/>
            <w:gridSpan w:val="4"/>
          </w:tcPr>
          <w:p w14:paraId="381B6B7E">
            <w:pPr>
              <w:kinsoku/>
              <w:spacing w:line="276" w:lineRule="auto"/>
              <w:ind w:left="59" w:leftChars="2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评标价得分计算公式示例：</w:t>
            </w:r>
          </w:p>
          <w:p w14:paraId="5A4141C7">
            <w:pPr>
              <w:kinsoku/>
              <w:spacing w:line="276" w:lineRule="auto"/>
              <w:ind w:left="59" w:leftChars="28" w:right="107"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（1）如果投标人的评标价＞评标基准价，则评标价得分=F－偏差率×100×E</w:t>
            </w:r>
            <w:r>
              <w:rPr>
                <w:rFonts w:hint="eastAsia" w:ascii="宋体" w:hAnsi="宋体" w:eastAsia="宋体" w:cs="宋体"/>
                <w:color w:val="000000" w:themeColor="text1"/>
                <w:sz w:val="13"/>
                <w:szCs w:val="13"/>
                <w:highlight w:val="none"/>
                <w:lang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w:t>
            </w:r>
          </w:p>
          <w:p w14:paraId="5C673837">
            <w:pPr>
              <w:kinsoku/>
              <w:spacing w:line="276" w:lineRule="auto"/>
              <w:ind w:left="59" w:leftChars="28" w:right="107"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（2）如果投标人的评标价≤评标基准价，则评标价得分=F＋偏差率×100×E</w:t>
            </w:r>
            <w:r>
              <w:rPr>
                <w:rFonts w:hint="eastAsia" w:ascii="宋体" w:hAnsi="宋体" w:eastAsia="宋体" w:cs="宋体"/>
                <w:color w:val="000000" w:themeColor="text1"/>
                <w:sz w:val="13"/>
                <w:szCs w:val="13"/>
                <w:highlight w:val="none"/>
                <w:lang w:eastAsia="zh-CN"/>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w:t>
            </w:r>
          </w:p>
          <w:p w14:paraId="7FB34FE7">
            <w:pPr>
              <w:kinsoku/>
              <w:spacing w:line="276" w:lineRule="auto"/>
              <w:ind w:left="59" w:leftChars="28" w:right="107"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其中：F是评标价所占的权重分值，E</w:t>
            </w:r>
            <w:r>
              <w:rPr>
                <w:rFonts w:hint="eastAsia" w:ascii="宋体" w:hAnsi="宋体" w:eastAsia="宋体" w:cs="宋体"/>
                <w:color w:val="000000" w:themeColor="text1"/>
                <w:sz w:val="13"/>
                <w:szCs w:val="13"/>
                <w:highlight w:val="none"/>
                <w:lang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是评标价每高于评标基准价一个百分点的扣分值，E</w:t>
            </w:r>
            <w:r>
              <w:rPr>
                <w:rFonts w:hint="eastAsia" w:ascii="宋体" w:hAnsi="宋体" w:eastAsia="宋体" w:cs="宋体"/>
                <w:color w:val="000000" w:themeColor="text1"/>
                <w:sz w:val="13"/>
                <w:szCs w:val="13"/>
                <w:highlight w:val="none"/>
                <w:lang w:eastAsia="zh-CN"/>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是评标价每低于评标基准价一个百分点的扣分值；E1=0.6、E2=0.</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w:t>
            </w:r>
          </w:p>
          <w:p w14:paraId="2833F893">
            <w:pPr>
              <w:kinsoku/>
              <w:spacing w:line="276" w:lineRule="auto"/>
              <w:ind w:left="59" w:leftChars="28" w:right="107" w:firstLine="420" w:firstLineChars="200"/>
              <w:jc w:val="both"/>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评标价得分四舍五入至小数点后四位。</w:t>
            </w:r>
          </w:p>
        </w:tc>
      </w:tr>
      <w:tr w14:paraId="0A605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restart"/>
            <w:tcBorders>
              <w:top w:val="single" w:color="auto" w:sz="4" w:space="0"/>
              <w:right w:val="single" w:color="auto" w:sz="4" w:space="0"/>
            </w:tcBorders>
            <w:vAlign w:val="center"/>
          </w:tcPr>
          <w:p w14:paraId="463A9854">
            <w:pPr>
              <w:kinsoku/>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2.2.4（4）</w:t>
            </w:r>
          </w:p>
        </w:tc>
        <w:tc>
          <w:tcPr>
            <w:tcW w:w="487" w:type="dxa"/>
            <w:gridSpan w:val="3"/>
            <w:vMerge w:val="restart"/>
            <w:tcBorders>
              <w:top w:val="single" w:color="auto" w:sz="4" w:space="0"/>
              <w:left w:val="single" w:color="auto" w:sz="4" w:space="0"/>
              <w:bottom w:val="single" w:color="auto" w:sz="4" w:space="0"/>
              <w:right w:val="single" w:color="auto" w:sz="4" w:space="0"/>
            </w:tcBorders>
            <w:vAlign w:val="center"/>
          </w:tcPr>
          <w:p w14:paraId="1ABC65CE">
            <w:pPr>
              <w:kinsoku/>
              <w:spacing w:before="69" w:line="233"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其他</w:t>
            </w:r>
            <w:r>
              <w:rPr>
                <w:rFonts w:hint="eastAsia" w:ascii="宋体" w:hAnsi="宋体" w:eastAsia="宋体" w:cs="宋体"/>
                <w:color w:val="000000" w:themeColor="text1"/>
                <w:highlight w:val="none"/>
                <w14:textFill>
                  <w14:solidFill>
                    <w14:schemeClr w14:val="tx1"/>
                  </w14:solidFill>
                </w14:textFill>
              </w:rPr>
              <w:t>因素</w:t>
            </w:r>
          </w:p>
        </w:tc>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14:paraId="725FAB1B">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业绩</w:t>
            </w:r>
          </w:p>
        </w:tc>
        <w:tc>
          <w:tcPr>
            <w:tcW w:w="375" w:type="dxa"/>
            <w:gridSpan w:val="2"/>
            <w:tcBorders>
              <w:top w:val="single" w:color="auto" w:sz="4" w:space="0"/>
              <w:left w:val="single" w:color="auto" w:sz="4" w:space="0"/>
              <w:bottom w:val="single" w:color="auto" w:sz="4" w:space="0"/>
              <w:right w:val="single" w:color="auto" w:sz="4" w:space="0"/>
            </w:tcBorders>
            <w:vAlign w:val="center"/>
          </w:tcPr>
          <w:p w14:paraId="4DB0275B">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分</w:t>
            </w:r>
          </w:p>
        </w:tc>
        <w:tc>
          <w:tcPr>
            <w:tcW w:w="1487" w:type="dxa"/>
            <w:gridSpan w:val="2"/>
            <w:tcBorders>
              <w:top w:val="single" w:color="auto" w:sz="4" w:space="0"/>
              <w:left w:val="single" w:color="auto" w:sz="4" w:space="0"/>
              <w:bottom w:val="single" w:color="auto" w:sz="4" w:space="0"/>
              <w:right w:val="single" w:color="auto" w:sz="4" w:space="0"/>
            </w:tcBorders>
            <w:vAlign w:val="center"/>
          </w:tcPr>
          <w:p w14:paraId="47B61950">
            <w:pPr>
              <w:kinsoku/>
              <w:jc w:val="center"/>
              <w:rPr>
                <w:rFonts w:ascii="宋体" w:hAnsi="宋体" w:cs="宋体"/>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类似工程设计项目业绩</w:t>
            </w:r>
          </w:p>
        </w:tc>
        <w:tc>
          <w:tcPr>
            <w:tcW w:w="575" w:type="dxa"/>
            <w:tcBorders>
              <w:left w:val="single" w:color="auto" w:sz="4" w:space="0"/>
            </w:tcBorders>
            <w:vAlign w:val="center"/>
          </w:tcPr>
          <w:p w14:paraId="32CCCD0B">
            <w:pPr>
              <w:kinsoku/>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25分</w:t>
            </w:r>
          </w:p>
        </w:tc>
        <w:tc>
          <w:tcPr>
            <w:tcW w:w="4376" w:type="dxa"/>
            <w:vAlign w:val="center"/>
          </w:tcPr>
          <w:p w14:paraId="780EAD90">
            <w:pPr>
              <w:keepNext w:val="0"/>
              <w:keepLines w:val="0"/>
              <w:pageBreakBefore w:val="0"/>
              <w:widowControl/>
              <w:kinsoku/>
              <w:wordWrap w:val="0"/>
              <w:overflowPunct/>
              <w:topLinePunct w:val="0"/>
              <w:autoSpaceDE w:val="0"/>
              <w:autoSpaceDN w:val="0"/>
              <w:bidi w:val="0"/>
              <w:adjustRightInd w:val="0"/>
              <w:snapToGrid w:val="0"/>
              <w:spacing w:before="60" w:line="340" w:lineRule="exact"/>
              <w:ind w:left="59" w:leftChars="28" w:right="55" w:rightChars="26" w:firstLine="420" w:firstLineChars="200"/>
              <w:jc w:val="both"/>
              <w:textAlignment w:val="baseline"/>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满足资格审查条件（业绩最低要求）得基本分</w:t>
            </w:r>
            <w:r>
              <w:rPr>
                <w:rFonts w:hint="eastAsia" w:ascii="宋体" w:hAnsi="宋体" w:eastAsia="宋体" w:cs="宋体"/>
                <w:color w:val="000000" w:themeColor="text1"/>
                <w:highlight w:val="none"/>
                <w:lang w:val="en-US" w:eastAsia="zh-CN"/>
                <w14:textFill>
                  <w14:solidFill>
                    <w14:schemeClr w14:val="tx1"/>
                  </w14:solidFill>
                </w14:textFill>
              </w:rPr>
              <w:t>20</w:t>
            </w:r>
            <w:r>
              <w:rPr>
                <w:rFonts w:hint="eastAsia" w:ascii="宋体" w:hAnsi="宋体" w:eastAsia="宋体" w:cs="宋体"/>
                <w:color w:val="000000" w:themeColor="text1"/>
                <w:highlight w:val="none"/>
                <w:lang w:eastAsia="zh-CN"/>
                <w14:textFill>
                  <w14:solidFill>
                    <w14:schemeClr w14:val="tx1"/>
                  </w14:solidFill>
                </w14:textFill>
              </w:rPr>
              <w:t>分；</w:t>
            </w:r>
          </w:p>
          <w:p w14:paraId="6A21BDAF">
            <w:pPr>
              <w:pStyle w:val="5"/>
              <w:keepNext w:val="0"/>
              <w:keepLines w:val="0"/>
              <w:pageBreakBefore w:val="0"/>
              <w:widowControl/>
              <w:overflowPunct/>
              <w:topLinePunct w:val="0"/>
              <w:autoSpaceDE w:val="0"/>
              <w:autoSpaceDN w:val="0"/>
              <w:bidi w:val="0"/>
              <w:adjustRightInd w:val="0"/>
              <w:snapToGrid w:val="0"/>
              <w:spacing w:line="340" w:lineRule="exact"/>
              <w:textAlignment w:val="baseline"/>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在此基础上，近5年内（自202</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年</w:t>
            </w: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eastAsia="zh-CN"/>
                <w14:textFill>
                  <w14:solidFill>
                    <w14:schemeClr w14:val="tx1"/>
                  </w14:solidFill>
                </w14:textFill>
              </w:rPr>
              <w:t>月1日</w:t>
            </w:r>
            <w:r>
              <w:rPr>
                <w:rFonts w:hint="eastAsia" w:ascii="宋体" w:hAnsi="宋体" w:eastAsia="宋体" w:cs="宋体"/>
                <w:color w:val="000000" w:themeColor="text1"/>
                <w:highlight w:val="none"/>
                <w:lang w:eastAsia="zh-CN"/>
                <w14:textFill>
                  <w14:solidFill>
                    <w14:schemeClr w14:val="tx1"/>
                  </w14:solidFill>
                </w14:textFill>
              </w:rPr>
              <w:t>至投标文件递交截止之日止）累计完成</w:t>
            </w:r>
            <w:r>
              <w:rPr>
                <w:rFonts w:hint="eastAsia" w:eastAsia="宋体"/>
                <w:strike w:val="0"/>
                <w:dstrike w:val="0"/>
                <w:color w:val="000000" w:themeColor="text1"/>
                <w:sz w:val="21"/>
                <w:highlight w:val="none"/>
                <w:lang w:val="en-US" w:eastAsia="zh-CN"/>
                <w14:textFill>
                  <w14:solidFill>
                    <w14:schemeClr w14:val="tx1"/>
                  </w14:solidFill>
                </w14:textFill>
              </w:rPr>
              <w:t>每个类似业绩设计内容包括电子警察设置</w:t>
            </w:r>
            <w:r>
              <w:rPr>
                <w:rFonts w:hint="eastAsia" w:ascii="宋体" w:hAnsi="宋体" w:eastAsia="宋体" w:cs="宋体"/>
                <w:strike w:val="0"/>
                <w:dstrike w:val="0"/>
                <w:color w:val="000000" w:themeColor="text1"/>
                <w:sz w:val="21"/>
                <w:highlight w:val="none"/>
                <w:lang w:eastAsia="zh-CN"/>
                <w14:textFill>
                  <w14:solidFill>
                    <w14:schemeClr w14:val="tx1"/>
                  </w14:solidFill>
                </w14:textFill>
              </w:rPr>
              <w:t>的</w:t>
            </w:r>
            <w:r>
              <w:rPr>
                <w:rFonts w:hint="eastAsia" w:ascii="宋体" w:hAnsi="宋体" w:eastAsia="宋体" w:cs="宋体"/>
                <w:color w:val="000000" w:themeColor="text1"/>
                <w:highlight w:val="none"/>
                <w:lang w:eastAsia="zh-CN"/>
                <w14:textFill>
                  <w14:solidFill>
                    <w14:schemeClr w14:val="tx1"/>
                  </w14:solidFill>
                </w14:textFill>
              </w:rPr>
              <w:t>加5分，最多加5分；</w:t>
            </w:r>
          </w:p>
          <w:p w14:paraId="64B722E6">
            <w:pPr>
              <w:keepNext w:val="0"/>
              <w:keepLines w:val="0"/>
              <w:pageBreakBefore w:val="0"/>
              <w:widowControl/>
              <w:kinsoku/>
              <w:wordWrap w:val="0"/>
              <w:overflowPunct/>
              <w:topLinePunct w:val="0"/>
              <w:autoSpaceDE w:val="0"/>
              <w:autoSpaceDN w:val="0"/>
              <w:bidi w:val="0"/>
              <w:adjustRightInd w:val="0"/>
              <w:snapToGrid w:val="0"/>
              <w:spacing w:before="60" w:line="340" w:lineRule="exact"/>
              <w:ind w:left="59" w:leftChars="28" w:right="55" w:rightChars="26" w:firstLine="420" w:firstLineChars="200"/>
              <w:jc w:val="both"/>
              <w:textAlignment w:val="baseline"/>
              <w:rPr>
                <w:rFonts w:ascii="Arial" w:hAnsi="Arial" w:eastAsia="Arial" w:cs="Arial"/>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如果一个项目同时满足上述多个业绩评分要求的，可以按业绩评分标准分别计算得分。</w:t>
            </w:r>
          </w:p>
        </w:tc>
      </w:tr>
      <w:tr w14:paraId="36FA9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95" w:type="dxa"/>
            <w:vMerge w:val="continue"/>
            <w:tcBorders>
              <w:right w:val="single" w:color="auto" w:sz="4" w:space="0"/>
            </w:tcBorders>
            <w:vAlign w:val="center"/>
          </w:tcPr>
          <w:p w14:paraId="621DD234">
            <w:pPr>
              <w:kinsoku/>
              <w:jc w:val="center"/>
              <w:rPr>
                <w:rFonts w:hint="eastAsia" w:ascii="宋体" w:hAnsi="宋体" w:eastAsia="宋体" w:cs="宋体"/>
                <w:color w:val="000000" w:themeColor="text1"/>
                <w:highlight w:val="none"/>
                <w14:textFill>
                  <w14:solidFill>
                    <w14:schemeClr w14:val="tx1"/>
                  </w14:solidFill>
                </w14:textFill>
              </w:rPr>
            </w:pPr>
          </w:p>
        </w:tc>
        <w:tc>
          <w:tcPr>
            <w:tcW w:w="487" w:type="dxa"/>
            <w:gridSpan w:val="3"/>
            <w:vMerge w:val="continue"/>
            <w:tcBorders>
              <w:left w:val="single" w:color="auto" w:sz="4" w:space="0"/>
              <w:right w:val="single" w:color="auto" w:sz="4" w:space="0"/>
            </w:tcBorders>
            <w:vAlign w:val="center"/>
          </w:tcPr>
          <w:p w14:paraId="1AD215C1">
            <w:pPr>
              <w:kinsoku/>
              <w:spacing w:before="69" w:line="233" w:lineRule="auto"/>
              <w:jc w:val="center"/>
              <w:rPr>
                <w:rFonts w:hint="eastAsia" w:ascii="宋体" w:hAnsi="宋体" w:eastAsia="宋体" w:cs="宋体"/>
                <w:color w:val="000000" w:themeColor="text1"/>
                <w:highlight w:val="none"/>
                <w:lang w:eastAsia="zh-CN"/>
                <w14:textFill>
                  <w14:solidFill>
                    <w14:schemeClr w14:val="tx1"/>
                  </w14:solidFill>
                </w14:textFill>
              </w:rPr>
            </w:pPr>
          </w:p>
        </w:tc>
        <w:tc>
          <w:tcPr>
            <w:tcW w:w="1069" w:type="dxa"/>
            <w:vMerge w:val="restart"/>
            <w:tcBorders>
              <w:top w:val="single" w:color="auto" w:sz="4" w:space="0"/>
              <w:left w:val="single" w:color="auto" w:sz="4" w:space="0"/>
              <w:right w:val="single" w:color="auto" w:sz="4" w:space="0"/>
            </w:tcBorders>
            <w:shd w:val="clear" w:color="auto" w:fill="auto"/>
            <w:vAlign w:val="center"/>
          </w:tcPr>
          <w:p w14:paraId="2BA96402">
            <w:pPr>
              <w:kinsoku/>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履约信誉</w:t>
            </w:r>
          </w:p>
        </w:tc>
        <w:tc>
          <w:tcPr>
            <w:tcW w:w="375" w:type="dxa"/>
            <w:gridSpan w:val="2"/>
            <w:vMerge w:val="restart"/>
            <w:tcBorders>
              <w:top w:val="single" w:color="auto" w:sz="4" w:space="0"/>
              <w:left w:val="single" w:color="auto" w:sz="4" w:space="0"/>
              <w:right w:val="single" w:color="auto" w:sz="4" w:space="0"/>
            </w:tcBorders>
            <w:vAlign w:val="center"/>
          </w:tcPr>
          <w:p w14:paraId="2F609021">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15</w:t>
            </w:r>
            <w:r>
              <w:rPr>
                <w:rFonts w:hint="eastAsia" w:ascii="宋体" w:hAnsi="宋体" w:cs="宋体"/>
                <w:color w:val="000000" w:themeColor="text1"/>
                <w:highlight w:val="none"/>
                <w:lang w:eastAsia="zh-CN"/>
                <w14:textFill>
                  <w14:solidFill>
                    <w14:schemeClr w14:val="tx1"/>
                  </w14:solidFill>
                </w14:textFill>
              </w:rPr>
              <w:t>分</w:t>
            </w:r>
          </w:p>
        </w:tc>
        <w:tc>
          <w:tcPr>
            <w:tcW w:w="1487" w:type="dxa"/>
            <w:gridSpan w:val="2"/>
            <w:tcBorders>
              <w:top w:val="single" w:color="auto" w:sz="4" w:space="0"/>
              <w:left w:val="single" w:color="auto" w:sz="4" w:space="0"/>
              <w:bottom w:val="single" w:color="auto" w:sz="4" w:space="0"/>
              <w:right w:val="single" w:color="auto" w:sz="4" w:space="0"/>
            </w:tcBorders>
            <w:vAlign w:val="center"/>
          </w:tcPr>
          <w:p w14:paraId="370A3FEA">
            <w:pPr>
              <w:kinsoku/>
              <w:spacing w:line="233" w:lineRule="auto"/>
              <w:jc w:val="center"/>
              <w:rPr>
                <w:rFonts w:ascii="宋体" w:hAnsi="宋体" w:eastAsia="宋体" w:cs="宋体"/>
                <w:color w:val="000000" w:themeColor="text1"/>
                <w:spacing w:val="0"/>
                <w:sz w:val="24"/>
                <w:szCs w:val="24"/>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信用评价</w:t>
            </w:r>
          </w:p>
        </w:tc>
        <w:tc>
          <w:tcPr>
            <w:tcW w:w="575" w:type="dxa"/>
            <w:tcBorders>
              <w:left w:val="single" w:color="auto" w:sz="4" w:space="0"/>
            </w:tcBorders>
            <w:vAlign w:val="center"/>
          </w:tcPr>
          <w:p w14:paraId="0CFFA608">
            <w:pPr>
              <w:kinsoku/>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5分</w:t>
            </w:r>
          </w:p>
        </w:tc>
        <w:tc>
          <w:tcPr>
            <w:tcW w:w="4376" w:type="dxa"/>
            <w:vAlign w:val="top"/>
          </w:tcPr>
          <w:p w14:paraId="70DDB428">
            <w:pPr>
              <w:kinsoku/>
              <w:spacing w:before="60"/>
              <w:ind w:left="59" w:leftChars="28" w:right="55" w:rightChars="26"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信用等级为AA、A、B、C级单位的得分分别为5</w:t>
            </w:r>
            <w:r>
              <w:rPr>
                <w:rFonts w:hint="eastAsia" w:ascii="宋体" w:hAnsi="宋体" w:eastAsia="宋体" w:cs="宋体"/>
                <w:color w:val="000000" w:themeColor="text1"/>
                <w:highlight w:val="none"/>
                <w:lang w:val="en-US" w:eastAsia="zh-CN"/>
                <w14:textFill>
                  <w14:solidFill>
                    <w14:schemeClr w14:val="tx1"/>
                  </w14:solidFill>
                </w14:textFill>
              </w:rPr>
              <w:t>.00</w:t>
            </w:r>
            <w:r>
              <w:rPr>
                <w:rFonts w:hint="eastAsia" w:ascii="宋体" w:hAnsi="宋体" w:eastAsia="宋体" w:cs="宋体"/>
                <w:color w:val="000000" w:themeColor="text1"/>
                <w:highlight w:val="none"/>
                <w:lang w:eastAsia="zh-CN"/>
                <w14:textFill>
                  <w14:solidFill>
                    <w14:schemeClr w14:val="tx1"/>
                  </w14:solidFill>
                </w14:textFill>
              </w:rPr>
              <w:t>、4.75、4.45、3.65。</w:t>
            </w:r>
          </w:p>
          <w:p w14:paraId="7F694BB5">
            <w:pPr>
              <w:kinsoku/>
              <w:spacing w:before="60"/>
              <w:ind w:left="59" w:leftChars="28" w:right="55" w:rightChars="26" w:firstLine="420" w:firstLineChars="200"/>
              <w:jc w:val="both"/>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注：信用等级的确定原则遵循投标人须知前附表10.2款的规定。</w:t>
            </w:r>
          </w:p>
        </w:tc>
      </w:tr>
      <w:tr w14:paraId="75378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single" w:color="auto" w:sz="4" w:space="0"/>
              <w:bottom w:val="single" w:color="auto" w:sz="4" w:space="0"/>
              <w:right w:val="single" w:color="auto" w:sz="4" w:space="0"/>
            </w:tcBorders>
          </w:tcPr>
          <w:p w14:paraId="0DDB121E">
            <w:pPr>
              <w:kinsoku/>
              <w:rPr>
                <w:rFonts w:ascii="宋体" w:hAnsi="宋体" w:eastAsia="宋体" w:cs="宋体"/>
                <w:color w:val="000000" w:themeColor="text1"/>
                <w:highlight w:val="none"/>
                <w:lang w:eastAsia="zh-CN"/>
                <w14:textFill>
                  <w14:solidFill>
                    <w14:schemeClr w14:val="tx1"/>
                  </w14:solidFill>
                </w14:textFill>
              </w:rPr>
            </w:pPr>
          </w:p>
        </w:tc>
        <w:tc>
          <w:tcPr>
            <w:tcW w:w="487" w:type="dxa"/>
            <w:gridSpan w:val="3"/>
            <w:vMerge w:val="continue"/>
            <w:tcBorders>
              <w:top w:val="single" w:color="auto" w:sz="4" w:space="0"/>
              <w:left w:val="single" w:color="auto" w:sz="4" w:space="0"/>
              <w:bottom w:val="single" w:color="auto" w:sz="4" w:space="0"/>
              <w:right w:val="single" w:color="auto" w:sz="4" w:space="0"/>
            </w:tcBorders>
            <w:textDirection w:val="tbRlV"/>
          </w:tcPr>
          <w:p w14:paraId="0A950995">
            <w:pPr>
              <w:kinsoku/>
              <w:rPr>
                <w:rFonts w:ascii="宋体" w:hAnsi="宋体" w:eastAsia="宋体" w:cs="宋体"/>
                <w:color w:val="000000" w:themeColor="text1"/>
                <w:highlight w:val="none"/>
                <w:lang w:eastAsia="zh-CN"/>
                <w14:textFill>
                  <w14:solidFill>
                    <w14:schemeClr w14:val="tx1"/>
                  </w14:solidFill>
                </w14:textFill>
              </w:rPr>
            </w:pPr>
          </w:p>
        </w:tc>
        <w:tc>
          <w:tcPr>
            <w:tcW w:w="1069" w:type="dxa"/>
            <w:vMerge w:val="continue"/>
            <w:tcBorders>
              <w:left w:val="single" w:color="auto" w:sz="4" w:space="0"/>
              <w:right w:val="single" w:color="auto" w:sz="4" w:space="0"/>
            </w:tcBorders>
            <w:shd w:val="clear" w:color="auto" w:fill="auto"/>
            <w:vAlign w:val="center"/>
          </w:tcPr>
          <w:p w14:paraId="45A13C68">
            <w:pPr>
              <w:kinsoku/>
              <w:jc w:val="center"/>
              <w:rPr>
                <w:rFonts w:ascii="宋体" w:hAnsi="宋体" w:cs="宋体"/>
                <w:color w:val="000000" w:themeColor="text1"/>
                <w:highlight w:val="none"/>
                <w14:textFill>
                  <w14:solidFill>
                    <w14:schemeClr w14:val="tx1"/>
                  </w14:solidFill>
                </w14:textFill>
              </w:rPr>
            </w:pPr>
          </w:p>
        </w:tc>
        <w:tc>
          <w:tcPr>
            <w:tcW w:w="375" w:type="dxa"/>
            <w:gridSpan w:val="2"/>
            <w:vMerge w:val="continue"/>
            <w:tcBorders>
              <w:left w:val="single" w:color="auto" w:sz="4" w:space="0"/>
              <w:right w:val="single" w:color="auto" w:sz="4" w:space="0"/>
            </w:tcBorders>
            <w:vAlign w:val="center"/>
          </w:tcPr>
          <w:p w14:paraId="09E3B26C">
            <w:pPr>
              <w:kinsoku/>
              <w:jc w:val="center"/>
              <w:rPr>
                <w:rFonts w:ascii="宋体" w:hAnsi="宋体" w:cs="宋体"/>
                <w:color w:val="000000" w:themeColor="text1"/>
                <w:highlight w:val="none"/>
                <w:lang w:eastAsia="zh-CN"/>
                <w14:textFill>
                  <w14:solidFill>
                    <w14:schemeClr w14:val="tx1"/>
                  </w14:solidFill>
                </w14:textFill>
              </w:rPr>
            </w:pPr>
          </w:p>
        </w:tc>
        <w:tc>
          <w:tcPr>
            <w:tcW w:w="1487" w:type="dxa"/>
            <w:gridSpan w:val="2"/>
            <w:tcBorders>
              <w:top w:val="single" w:color="auto" w:sz="4" w:space="0"/>
              <w:left w:val="single" w:color="auto" w:sz="4" w:space="0"/>
              <w:bottom w:val="single" w:color="auto" w:sz="4" w:space="0"/>
            </w:tcBorders>
            <w:vAlign w:val="center"/>
          </w:tcPr>
          <w:p w14:paraId="6E0048D4">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履约情况</w:t>
            </w:r>
          </w:p>
        </w:tc>
        <w:tc>
          <w:tcPr>
            <w:tcW w:w="575" w:type="dxa"/>
            <w:vAlign w:val="center"/>
          </w:tcPr>
          <w:p w14:paraId="403C3F98">
            <w:pPr>
              <w:kinsoku/>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5分</w:t>
            </w:r>
          </w:p>
        </w:tc>
        <w:tc>
          <w:tcPr>
            <w:tcW w:w="4376" w:type="dxa"/>
          </w:tcPr>
          <w:p w14:paraId="5C2607BE">
            <w:pPr>
              <w:kinsoku/>
              <w:wordWrap w:val="0"/>
              <w:spacing w:before="60"/>
              <w:ind w:left="59" w:leftChars="28" w:right="55" w:rightChars="26"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若没出现下述情形得满分；</w:t>
            </w:r>
          </w:p>
          <w:p w14:paraId="2D9C7F26">
            <w:pPr>
              <w:kinsoku/>
              <w:wordWrap w:val="0"/>
              <w:spacing w:before="60"/>
              <w:ind w:left="59" w:leftChars="28" w:right="55" w:rightChars="26"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投标文件递交截止日前 1 年内，投标人因公路工程（含附属设施）质量、安全事故被：</w:t>
            </w:r>
          </w:p>
          <w:p w14:paraId="10973BD5">
            <w:pPr>
              <w:kinsoku/>
              <w:wordWrap w:val="0"/>
              <w:spacing w:before="60"/>
              <w:ind w:left="59" w:leftChars="28" w:right="55" w:rightChars="26"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（1）交通运输部行政处罚、且在处罚信息公示期内的，扣2分/次。</w:t>
            </w:r>
          </w:p>
          <w:p w14:paraId="436808B3">
            <w:pPr>
              <w:kinsoku/>
              <w:wordWrap w:val="0"/>
              <w:spacing w:before="60"/>
              <w:ind w:left="59" w:leftChars="28" w:right="55" w:rightChars="26" w:firstLine="420" w:firstLineChars="200"/>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（2）广东省交通运输厅行政处罚、且在处罚信息公示期内的，扣1分/次。</w:t>
            </w:r>
          </w:p>
          <w:p w14:paraId="7BBCA382">
            <w:pPr>
              <w:kinsoku/>
              <w:wordWrap w:val="0"/>
              <w:spacing w:before="60"/>
              <w:ind w:left="59" w:leftChars="28" w:right="55" w:rightChars="26" w:firstLine="420" w:firstLineChars="200"/>
              <w:jc w:val="both"/>
              <w:rPr>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项目所在地地市级交通运输局行政处罚、且在处罚信息公示期内的，扣 0.5 分/次。如该项目涉及多个地级以上市的均应扣分。</w:t>
            </w:r>
          </w:p>
          <w:p w14:paraId="63A77452">
            <w:pPr>
              <w:kinsoku/>
              <w:wordWrap w:val="0"/>
              <w:spacing w:before="60"/>
              <w:ind w:left="59" w:leftChars="28" w:right="55" w:rightChars="26" w:firstLine="420" w:firstLineChars="200"/>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1.处罚信息公示期，是指行政机关将行政处罚决定信息通过信用中国向社会公开的期限；以投标文件递交截止日0时是否位于处罚信息公示期，来判定是否影响相关投标人的履约情况得分，投标文件递交截止日0时在处罚信息公示期内应予以扣分、否则不予扣分。</w:t>
            </w:r>
          </w:p>
          <w:p w14:paraId="3B0F8B3A">
            <w:pPr>
              <w:numPr>
                <w:ilvl w:val="0"/>
                <w:numId w:val="0"/>
              </w:numPr>
              <w:kinsoku/>
              <w:wordWrap w:val="0"/>
              <w:spacing w:before="60"/>
              <w:ind w:left="0" w:leftChars="0" w:right="55" w:rightChars="26" w:firstLine="420" w:firstLineChars="200"/>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2.同一事项同时被多个部门行政处罚只按最高的扣分计算1次</w:t>
            </w:r>
            <w:r>
              <w:rPr>
                <w:rFonts w:hint="eastAsia" w:ascii="宋体" w:hAnsi="宋体" w:eastAsia="宋体" w:cs="宋体"/>
                <w:color w:val="000000" w:themeColor="text1"/>
                <w:highlight w:val="none"/>
                <w:lang w:eastAsia="zh-CN"/>
                <w14:textFill>
                  <w14:solidFill>
                    <w14:schemeClr w14:val="tx1"/>
                  </w14:solidFill>
                </w14:textFill>
              </w:rPr>
              <w:t>。</w:t>
            </w:r>
          </w:p>
          <w:p w14:paraId="129BE234">
            <w:pPr>
              <w:numPr>
                <w:ilvl w:val="0"/>
                <w:numId w:val="0"/>
              </w:numPr>
              <w:kinsoku/>
              <w:wordWrap w:val="0"/>
              <w:spacing w:before="60"/>
              <w:ind w:left="0" w:leftChars="0" w:right="55" w:rightChars="26" w:firstLine="420" w:firstLineChars="200"/>
              <w:jc w:val="both"/>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3.如果扣完本项分值，可以从总分中扣。</w:t>
            </w:r>
          </w:p>
        </w:tc>
      </w:tr>
      <w:tr w14:paraId="62EA1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single" w:color="auto" w:sz="4" w:space="0"/>
              <w:bottom w:val="single" w:color="auto" w:sz="4" w:space="0"/>
              <w:right w:val="single" w:color="auto" w:sz="4" w:space="0"/>
            </w:tcBorders>
          </w:tcPr>
          <w:p w14:paraId="2C0E7B52">
            <w:pPr>
              <w:kinsoku/>
              <w:rPr>
                <w:rFonts w:ascii="宋体" w:hAnsi="宋体" w:eastAsia="宋体" w:cs="宋体"/>
                <w:color w:val="000000" w:themeColor="text1"/>
                <w:highlight w:val="none"/>
                <w:lang w:eastAsia="zh-CN"/>
                <w14:textFill>
                  <w14:solidFill>
                    <w14:schemeClr w14:val="tx1"/>
                  </w14:solidFill>
                </w14:textFill>
              </w:rPr>
            </w:pPr>
          </w:p>
        </w:tc>
        <w:tc>
          <w:tcPr>
            <w:tcW w:w="487" w:type="dxa"/>
            <w:gridSpan w:val="3"/>
            <w:vMerge w:val="continue"/>
            <w:tcBorders>
              <w:top w:val="single" w:color="auto" w:sz="4" w:space="0"/>
              <w:left w:val="single" w:color="auto" w:sz="4" w:space="0"/>
              <w:bottom w:val="single" w:color="auto" w:sz="4" w:space="0"/>
              <w:right w:val="single" w:color="auto" w:sz="4" w:space="0"/>
            </w:tcBorders>
            <w:textDirection w:val="tbRlV"/>
          </w:tcPr>
          <w:p w14:paraId="375A2F93">
            <w:pPr>
              <w:kinsoku/>
              <w:rPr>
                <w:rFonts w:ascii="宋体" w:hAnsi="宋体" w:eastAsia="宋体" w:cs="宋体"/>
                <w:color w:val="000000" w:themeColor="text1"/>
                <w:highlight w:val="none"/>
                <w:lang w:eastAsia="zh-CN"/>
                <w14:textFill>
                  <w14:solidFill>
                    <w14:schemeClr w14:val="tx1"/>
                  </w14:solidFill>
                </w14:textFill>
              </w:rPr>
            </w:pPr>
          </w:p>
        </w:tc>
        <w:tc>
          <w:tcPr>
            <w:tcW w:w="1069" w:type="dxa"/>
            <w:vMerge w:val="continue"/>
            <w:tcBorders>
              <w:left w:val="single" w:color="auto" w:sz="4" w:space="0"/>
              <w:bottom w:val="single" w:color="auto" w:sz="4" w:space="0"/>
              <w:right w:val="single" w:color="auto" w:sz="4" w:space="0"/>
            </w:tcBorders>
            <w:vAlign w:val="center"/>
          </w:tcPr>
          <w:p w14:paraId="340E6ECB">
            <w:pPr>
              <w:kinsoku/>
              <w:spacing w:before="69" w:line="233" w:lineRule="auto"/>
              <w:jc w:val="center"/>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left w:val="single" w:color="auto" w:sz="4" w:space="0"/>
              <w:bottom w:val="single" w:color="auto" w:sz="4" w:space="0"/>
              <w:right w:val="single" w:color="auto" w:sz="4" w:space="0"/>
            </w:tcBorders>
            <w:vAlign w:val="center"/>
          </w:tcPr>
          <w:p w14:paraId="68B5DCC6">
            <w:pPr>
              <w:kinsoku/>
              <w:spacing w:before="69" w:line="233" w:lineRule="auto"/>
              <w:jc w:val="center"/>
              <w:rPr>
                <w:rFonts w:ascii="宋体" w:hAnsi="宋体" w:eastAsia="宋体" w:cs="宋体"/>
                <w:color w:val="000000" w:themeColor="text1"/>
                <w:highlight w:val="none"/>
                <w:lang w:eastAsia="zh-CN"/>
                <w14:textFill>
                  <w14:solidFill>
                    <w14:schemeClr w14:val="tx1"/>
                  </w14:solidFill>
                </w14:textFill>
              </w:rPr>
            </w:pPr>
          </w:p>
        </w:tc>
        <w:tc>
          <w:tcPr>
            <w:tcW w:w="1487" w:type="dxa"/>
            <w:gridSpan w:val="2"/>
            <w:tcBorders>
              <w:top w:val="single" w:color="auto" w:sz="4" w:space="0"/>
              <w:left w:val="single" w:color="auto" w:sz="4" w:space="0"/>
              <w:bottom w:val="single" w:color="auto" w:sz="4" w:space="0"/>
            </w:tcBorders>
            <w:vAlign w:val="center"/>
          </w:tcPr>
          <w:p w14:paraId="2D294B0D">
            <w:pPr>
              <w:kinsoku/>
              <w:jc w:val="center"/>
              <w:rPr>
                <w:rFonts w:ascii="宋体" w:hAnsi="宋体" w:eastAsia="宋体" w:cs="宋体"/>
                <w:color w:val="000000" w:themeColor="text1"/>
                <w:highlight w:val="none"/>
                <w:lang w:eastAsia="zh-CN"/>
                <w14:textFill>
                  <w14:solidFill>
                    <w14:schemeClr w14:val="tx1"/>
                  </w14:solidFill>
                </w14:textFill>
              </w:rPr>
            </w:pPr>
            <w:r>
              <w:rPr>
                <w:rFonts w:ascii="宋体" w:hAnsi="宋体" w:eastAsia="宋体" w:cs="宋体"/>
                <w:color w:val="000000" w:themeColor="text1"/>
                <w:spacing w:val="0"/>
                <w:sz w:val="24"/>
                <w:szCs w:val="24"/>
                <w:highlight w:val="none"/>
                <w14:textFill>
                  <w14:solidFill>
                    <w14:schemeClr w14:val="tx1"/>
                  </w14:solidFill>
                </w14:textFill>
              </w:rPr>
              <w:t>企业管理体系认证</w:t>
            </w:r>
          </w:p>
        </w:tc>
        <w:tc>
          <w:tcPr>
            <w:tcW w:w="575" w:type="dxa"/>
            <w:vAlign w:val="center"/>
          </w:tcPr>
          <w:p w14:paraId="56061820">
            <w:pPr>
              <w:kinsoku/>
              <w:jc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5分</w:t>
            </w:r>
          </w:p>
        </w:tc>
        <w:tc>
          <w:tcPr>
            <w:tcW w:w="4376" w:type="dxa"/>
            <w:vAlign w:val="center"/>
          </w:tcPr>
          <w:p w14:paraId="579AF9B3">
            <w:pPr>
              <w:keepNext w:val="0"/>
              <w:keepLines w:val="0"/>
              <w:pageBreakBefore w:val="0"/>
              <w:widowControl/>
              <w:kinsoku/>
              <w:wordWrap w:val="0"/>
              <w:overflowPunct/>
              <w:topLinePunct w:val="0"/>
              <w:autoSpaceDE w:val="0"/>
              <w:autoSpaceDN w:val="0"/>
              <w:bidi w:val="0"/>
              <w:adjustRightInd w:val="0"/>
              <w:snapToGrid w:val="0"/>
              <w:spacing w:before="60" w:line="340" w:lineRule="exact"/>
              <w:ind w:left="59" w:leftChars="28" w:right="55" w:rightChars="26" w:firstLine="420" w:firstLineChars="200"/>
              <w:jc w:val="both"/>
              <w:textAlignment w:val="baseline"/>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w:t>
            </w:r>
            <w:r>
              <w:rPr>
                <w:rFonts w:hint="eastAsia" w:ascii="宋体" w:hAnsi="宋体" w:eastAsia="宋体" w:cs="宋体"/>
                <w:color w:val="000000" w:themeColor="text1"/>
                <w:kern w:val="0"/>
                <w:szCs w:val="21"/>
                <w:highlight w:val="none"/>
                <w:lang w:val="en-US" w:eastAsia="zh-CN"/>
                <w14:textFill>
                  <w14:solidFill>
                    <w14:schemeClr w14:val="tx1"/>
                  </w14:solidFill>
                </w14:textFill>
              </w:rPr>
              <w:t>人</w:t>
            </w:r>
            <w:r>
              <w:rPr>
                <w:rFonts w:hint="eastAsia" w:ascii="宋体" w:hAnsi="宋体" w:cs="宋体"/>
                <w:color w:val="000000" w:themeColor="text1"/>
                <w:kern w:val="0"/>
                <w:szCs w:val="21"/>
                <w:highlight w:val="none"/>
                <w14:textFill>
                  <w14:solidFill>
                    <w14:schemeClr w14:val="tx1"/>
                  </w14:solidFill>
                </w14:textFill>
              </w:rPr>
              <w:t>具有有效期内的质量管理体系认证证书、环境管理体系认证证书、职业健康安全管理体系认证证书</w:t>
            </w:r>
            <w:r>
              <w:rPr>
                <w:rFonts w:hint="eastAsia" w:ascii="宋体" w:hAnsi="宋体" w:eastAsia="宋体" w:cs="宋体"/>
                <w:color w:val="000000" w:themeColor="text1"/>
                <w:kern w:val="0"/>
                <w:szCs w:val="21"/>
                <w:highlight w:val="none"/>
                <w:lang w:val="en-US" w:eastAsia="zh-CN"/>
                <w14:textFill>
                  <w14:solidFill>
                    <w14:schemeClr w14:val="tx1"/>
                  </w14:solidFill>
                </w14:textFill>
              </w:rPr>
              <w:t>得3分</w:t>
            </w:r>
            <w:r>
              <w:rPr>
                <w:rFonts w:hint="eastAsia" w:ascii="宋体" w:hAnsi="宋体" w:cs="宋体"/>
                <w:color w:val="000000" w:themeColor="text1"/>
                <w:kern w:val="0"/>
                <w:szCs w:val="21"/>
                <w:highlight w:val="none"/>
                <w14:textFill>
                  <w14:solidFill>
                    <w14:schemeClr w14:val="tx1"/>
                  </w14:solidFill>
                </w14:textFill>
              </w:rPr>
              <w:t>；同时具有有效期内的工程勘察设计行业AAA级质量管理体系升级版认证证书</w:t>
            </w:r>
            <w:r>
              <w:rPr>
                <w:rFonts w:hint="eastAsia" w:ascii="宋体" w:hAnsi="宋体" w:eastAsia="宋体" w:cs="宋体"/>
                <w:color w:val="000000" w:themeColor="text1"/>
                <w:kern w:val="0"/>
                <w:szCs w:val="21"/>
                <w:highlight w:val="none"/>
                <w:lang w:val="en-US" w:eastAsia="zh-CN"/>
                <w14:textFill>
                  <w14:solidFill>
                    <w14:schemeClr w14:val="tx1"/>
                  </w14:solidFill>
                </w14:textFill>
              </w:rPr>
              <w:t>加2分</w:t>
            </w:r>
            <w:r>
              <w:rPr>
                <w:rFonts w:hint="eastAsia" w:ascii="宋体" w:hAnsi="宋体" w:cs="宋体"/>
                <w:color w:val="000000" w:themeColor="text1"/>
                <w:kern w:val="0"/>
                <w:szCs w:val="21"/>
                <w:highlight w:val="none"/>
                <w14:textFill>
                  <w14:solidFill>
                    <w14:schemeClr w14:val="tx1"/>
                  </w14:solidFill>
                </w14:textFill>
              </w:rPr>
              <w:t>。</w:t>
            </w:r>
          </w:p>
        </w:tc>
      </w:tr>
      <w:tr w14:paraId="52F80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64" w:type="dxa"/>
            <w:gridSpan w:val="11"/>
          </w:tcPr>
          <w:p w14:paraId="7E438BC0">
            <w:pPr>
              <w:kinsoku/>
              <w:spacing w:before="149" w:line="221"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需要补充的其他内容：</w:t>
            </w:r>
          </w:p>
        </w:tc>
      </w:tr>
      <w:tr w14:paraId="159DE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36" w:type="dxa"/>
            <w:gridSpan w:val="3"/>
          </w:tcPr>
          <w:p w14:paraId="477C0736">
            <w:pPr>
              <w:kinsoku/>
              <w:spacing w:before="149" w:line="221" w:lineRule="auto"/>
              <w:jc w:val="center"/>
              <w:rPr>
                <w:rFonts w:ascii="宋体" w:hAnsi="宋体" w:eastAsia="宋体" w:cs="宋体"/>
                <w:color w:val="000000" w:themeColor="text1"/>
                <w:highlight w:val="none"/>
                <w14:textFill>
                  <w14:solidFill>
                    <w14:schemeClr w14:val="tx1"/>
                  </w14:solidFill>
                </w14:textFill>
              </w:rPr>
            </w:pPr>
            <w:r>
              <w:rPr>
                <w:rFonts w:hint="eastAsia" w:asciiTheme="majorEastAsia" w:hAnsiTheme="majorEastAsia" w:eastAsiaTheme="majorEastAsia" w:cstheme="majorEastAsia"/>
                <w:b/>
                <w:color w:val="000000" w:themeColor="text1"/>
                <w:highlight w:val="none"/>
                <w14:textFill>
                  <w14:solidFill>
                    <w14:schemeClr w14:val="tx1"/>
                  </w14:solidFill>
                </w14:textFill>
              </w:rPr>
              <w:t>条款号</w:t>
            </w:r>
          </w:p>
        </w:tc>
        <w:tc>
          <w:tcPr>
            <w:tcW w:w="7928" w:type="dxa"/>
            <w:gridSpan w:val="8"/>
          </w:tcPr>
          <w:p w14:paraId="4AC77F11">
            <w:pPr>
              <w:kinsoku/>
              <w:spacing w:before="149" w:line="221" w:lineRule="auto"/>
              <w:ind w:left="127"/>
              <w:jc w:val="center"/>
              <w:rPr>
                <w:rFonts w:ascii="宋体" w:hAnsi="宋体" w:eastAsia="宋体" w:cs="宋体"/>
                <w:color w:val="000000" w:themeColor="text1"/>
                <w:highlight w:val="none"/>
                <w14:textFill>
                  <w14:solidFill>
                    <w14:schemeClr w14:val="tx1"/>
                  </w14:solidFill>
                </w14:textFill>
              </w:rPr>
            </w:pPr>
            <w:r>
              <w:rPr>
                <w:rFonts w:hint="eastAsia" w:asciiTheme="majorEastAsia" w:hAnsiTheme="majorEastAsia" w:eastAsiaTheme="majorEastAsia" w:cstheme="majorEastAsia"/>
                <w:b/>
                <w:color w:val="000000" w:themeColor="text1"/>
                <w:highlight w:val="none"/>
                <w14:textFill>
                  <w14:solidFill>
                    <w14:schemeClr w14:val="tx1"/>
                  </w14:solidFill>
                </w14:textFill>
              </w:rPr>
              <w:t>补充或修改的内容</w:t>
            </w:r>
          </w:p>
        </w:tc>
      </w:tr>
      <w:tr w14:paraId="47891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36" w:type="dxa"/>
            <w:gridSpan w:val="3"/>
            <w:vAlign w:val="center"/>
          </w:tcPr>
          <w:p w14:paraId="73E3A538">
            <w:pPr>
              <w:spacing w:line="360" w:lineRule="exact"/>
              <w:jc w:val="center"/>
              <w:rPr>
                <w:rFonts w:ascii="宋体" w:hAnsi="宋体" w:eastAsia="宋体" w:cs="宋体"/>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14:textFill>
                  <w14:solidFill>
                    <w14:schemeClr w14:val="tx1"/>
                  </w14:solidFill>
                </w14:textFill>
              </w:rPr>
              <w:t>3.2.3</w:t>
            </w:r>
          </w:p>
        </w:tc>
        <w:tc>
          <w:tcPr>
            <w:tcW w:w="7928" w:type="dxa"/>
            <w:gridSpan w:val="8"/>
            <w:vAlign w:val="center"/>
          </w:tcPr>
          <w:p w14:paraId="62B23D70">
            <w:pPr>
              <w:kinsoku/>
              <w:wordWrap w:val="0"/>
              <w:topLinePunct/>
              <w:autoSpaceDE/>
              <w:autoSpaceDN/>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将评标办法范本原文第3.2.3款细化如下：</w:t>
            </w:r>
          </w:p>
          <w:p w14:paraId="6F54B50D">
            <w:pPr>
              <w:kinsoku/>
              <w:wordWrap w:val="0"/>
              <w:topLinePunct/>
              <w:autoSpaceDE/>
              <w:autoSpaceDN/>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投标人的商务和技术得分=A+B+D。</w:t>
            </w:r>
          </w:p>
          <w:p w14:paraId="43FF2A23">
            <w:pPr>
              <w:kinsoku/>
              <w:wordWrap w:val="0"/>
              <w:topLinePunct/>
              <w:autoSpaceDE/>
              <w:autoSpaceDN/>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各评分因素（评标价、履约信誉评分项除外）及其各评审因素细分项的得分一般不得低于其权重分值的60%，评分低于上述权重分值百分比的，评标委员会成员应当在评标报告中作出说明。</w:t>
            </w:r>
          </w:p>
          <w:p w14:paraId="6D969BE8">
            <w:pPr>
              <w:kinsoku/>
              <w:wordWrap w:val="0"/>
              <w:topLinePunct/>
              <w:autoSpaceDE/>
              <w:autoSpaceDN/>
              <w:spacing w:line="360" w:lineRule="exact"/>
              <w:ind w:firstLine="420" w:firstLineChars="200"/>
              <w:rPr>
                <w:rFonts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评标委员会人数数量为 7 人的，计算投标人技术得分时：对各评分因素细分项中取消一个最高、一个最低分后计算算术平均值的和为投标人的最终技术得分，平均值计算保留小数点后四位，小数点后第五位“四舍五入 ”。</w:t>
            </w:r>
          </w:p>
        </w:tc>
      </w:tr>
      <w:tr w14:paraId="397FF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36" w:type="dxa"/>
            <w:gridSpan w:val="3"/>
            <w:vAlign w:val="center"/>
          </w:tcPr>
          <w:p w14:paraId="3EF9A7F8">
            <w:pPr>
              <w:spacing w:line="360" w:lineRule="exact"/>
              <w:jc w:val="center"/>
              <w:rPr>
                <w:rFonts w:asciiTheme="majorEastAsia" w:hAnsiTheme="majorEastAsia" w:eastAsiaTheme="majorEastAsia" w:cstheme="majorEastAsia"/>
                <w:color w:val="000000" w:themeColor="text1"/>
                <w:highlight w:val="none"/>
                <w14:textFill>
                  <w14:solidFill>
                    <w14:schemeClr w14:val="tx1"/>
                  </w14:solidFill>
                </w14:textFill>
              </w:rPr>
            </w:pPr>
            <w:r>
              <w:rPr>
                <w:rFonts w:hint="eastAsia" w:asciiTheme="majorEastAsia" w:hAnsiTheme="majorEastAsia" w:eastAsiaTheme="majorEastAsia" w:cstheme="majorEastAsia"/>
                <w:color w:val="000000" w:themeColor="text1"/>
                <w:highlight w:val="none"/>
                <w14:textFill>
                  <w14:solidFill>
                    <w14:schemeClr w14:val="tx1"/>
                  </w14:solidFill>
                </w14:textFill>
              </w:rPr>
              <w:t>3.6</w:t>
            </w:r>
          </w:p>
        </w:tc>
        <w:tc>
          <w:tcPr>
            <w:tcW w:w="7928" w:type="dxa"/>
            <w:gridSpan w:val="8"/>
            <w:vAlign w:val="center"/>
          </w:tcPr>
          <w:p w14:paraId="4A1B44BE">
            <w:pPr>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评标办法范本原文增加3.6.3款：</w:t>
            </w:r>
          </w:p>
          <w:p w14:paraId="77DED6E0">
            <w:pPr>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3.6.3 依法必须进行招标的项目，除第一中标候选人或者中标人以外的其他投标人存在串通投标、弄虚作假、行贿情形且在评标过程中未被发现的，视为对中标结果没有造成实质性影响，招标人可以依法继续开展招标活动。投标人的违法行为由行政监督部门依法处理。</w:t>
            </w:r>
          </w:p>
        </w:tc>
      </w:tr>
    </w:tbl>
    <w:p w14:paraId="7DC0E9B4">
      <w:pPr>
        <w:kinsoku/>
        <w:rPr>
          <w:rFonts w:ascii="宋体" w:hAnsi="宋体" w:eastAsia="宋体" w:cs="宋体"/>
          <w:color w:val="000000" w:themeColor="text1"/>
          <w:sz w:val="28"/>
          <w:szCs w:val="28"/>
          <w:highlight w:val="none"/>
          <w:lang w:eastAsia="zh-CN"/>
          <w14:textFill>
            <w14:solidFill>
              <w14:schemeClr w14:val="tx1"/>
            </w14:solidFill>
          </w14:textFill>
        </w:rPr>
      </w:pPr>
      <w:bookmarkStart w:id="316" w:name="bookmark186"/>
      <w:bookmarkEnd w:id="316"/>
      <w:bookmarkStart w:id="317" w:name="bookmark187"/>
      <w:bookmarkEnd w:id="317"/>
    </w:p>
    <w:p w14:paraId="186A6DE0">
      <w:pPr>
        <w:kinsoku/>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724FF860">
      <w:pPr>
        <w:kinsoku/>
        <w:spacing w:before="91" w:line="360" w:lineRule="auto"/>
        <w:ind w:left="54"/>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318" w:name="_Toc21940"/>
      <w:bookmarkStart w:id="319" w:name="_Toc12185"/>
      <w:r>
        <w:rPr>
          <w:rFonts w:hint="eastAsia" w:ascii="宋体" w:hAnsi="宋体" w:eastAsia="宋体" w:cs="宋体"/>
          <w:b/>
          <w:bCs/>
          <w:color w:val="000000" w:themeColor="text1"/>
          <w:sz w:val="28"/>
          <w:szCs w:val="28"/>
          <w:highlight w:val="none"/>
          <w:lang w:eastAsia="zh-CN"/>
          <w14:textFill>
            <w14:solidFill>
              <w14:schemeClr w14:val="tx1"/>
            </w14:solidFill>
          </w14:textFill>
        </w:rPr>
        <w:t>1.评标方法</w:t>
      </w:r>
      <w:bookmarkEnd w:id="318"/>
      <w:bookmarkEnd w:id="319"/>
      <w:r>
        <w:rPr>
          <w:rFonts w:hint="eastAsia" w:ascii="宋体" w:hAnsi="宋体" w:eastAsia="宋体" w:cs="宋体"/>
          <w:b/>
          <w:bCs/>
          <w:color w:val="000000" w:themeColor="text1"/>
          <w:sz w:val="28"/>
          <w:szCs w:val="28"/>
          <w:highlight w:val="none"/>
          <w:lang w:eastAsia="zh-CN"/>
          <w14:textFill>
            <w14:solidFill>
              <w14:schemeClr w14:val="tx1"/>
            </w14:solidFill>
          </w14:textFill>
        </w:rPr>
        <w:t>、组织及工作程序</w:t>
      </w:r>
    </w:p>
    <w:p w14:paraId="618ED922">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1.1评标方法</w:t>
      </w:r>
    </w:p>
    <w:p w14:paraId="3705EA3B">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本次评标采用综合评估法。评标委员会对满足招标文件实质性要求的投标文件，按照本章第2.2款规定的评分标准进行打分，</w:t>
      </w:r>
      <w:r>
        <w:rPr>
          <w:rFonts w:hint="eastAsia" w:ascii="宋体" w:hAnsi="宋体" w:eastAsia="宋体" w:cs="宋体"/>
          <w:color w:val="000000" w:themeColor="text1"/>
          <w:sz w:val="24"/>
          <w:szCs w:val="24"/>
          <w:highlight w:val="none"/>
          <w:lang w:eastAsia="zh-CN"/>
          <w14:textFill>
            <w14:solidFill>
              <w14:schemeClr w14:val="tx1"/>
            </w14:solidFill>
          </w14:textFill>
        </w:rPr>
        <w:t>将得分前5名不排序（按企业统一社会信用代码后4位大小排位）的投标人作为定标候选人推荐给招标人。定标候选人得分只作为评标委员会的推荐依据，不作为定标委员会对中标候选人排序的依据。</w:t>
      </w:r>
      <w:r>
        <w:rPr>
          <w:rFonts w:hint="eastAsia" w:ascii="宋体" w:hAnsi="宋体" w:eastAsia="宋体" w:cs="宋体"/>
          <w:color w:val="000000" w:themeColor="text1"/>
          <w:sz w:val="24"/>
          <w:szCs w:val="24"/>
          <w:highlight w:val="none"/>
          <w:lang w:val="en-US" w:eastAsia="zh-CN"/>
          <w14:textFill>
            <w14:solidFill>
              <w14:schemeClr w14:val="tx1"/>
            </w14:solidFill>
          </w14:textFill>
        </w:rPr>
        <w:t>当有效投标人数量不足5名但满足法定要求时，所有通过评审的有效投标人均应作为定标候选人。</w:t>
      </w:r>
      <w:r>
        <w:rPr>
          <w:rFonts w:hint="eastAsia" w:ascii="宋体" w:hAnsi="宋体" w:eastAsia="宋体" w:cs="宋体"/>
          <w:color w:val="000000" w:themeColor="text1"/>
          <w:sz w:val="24"/>
          <w:szCs w:val="24"/>
          <w:highlight w:val="none"/>
          <w:lang w:eastAsia="zh-CN"/>
          <w14:textFill>
            <w14:solidFill>
              <w14:schemeClr w14:val="tx1"/>
            </w14:solidFill>
          </w14:textFill>
        </w:rPr>
        <w:t>综合评分相等时，评标委员会应按照评标办法前附表规定的优先次序推荐</w:t>
      </w:r>
      <w:r>
        <w:rPr>
          <w:rFonts w:hint="eastAsia" w:ascii="宋体" w:hAnsi="宋体" w:eastAsia="宋体" w:cs="宋体"/>
          <w:color w:val="000000" w:themeColor="text1"/>
          <w:sz w:val="24"/>
          <w:szCs w:val="24"/>
          <w:highlight w:val="none"/>
          <w:lang w:val="en-US" w:eastAsia="zh-CN"/>
          <w14:textFill>
            <w14:solidFill>
              <w14:schemeClr w14:val="tx1"/>
            </w14:solidFill>
          </w14:textFill>
        </w:rPr>
        <w:t>定</w:t>
      </w:r>
      <w:r>
        <w:rPr>
          <w:rFonts w:hint="eastAsia" w:ascii="宋体" w:hAnsi="宋体" w:eastAsia="宋体" w:cs="宋体"/>
          <w:color w:val="000000" w:themeColor="text1"/>
          <w:sz w:val="24"/>
          <w:szCs w:val="24"/>
          <w:highlight w:val="none"/>
          <w:lang w:eastAsia="zh-CN"/>
          <w14:textFill>
            <w14:solidFill>
              <w14:schemeClr w14:val="tx1"/>
            </w14:solidFill>
          </w14:textFill>
        </w:rPr>
        <w:t>标候选人。</w:t>
      </w:r>
    </w:p>
    <w:p w14:paraId="5C843439">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1.2评标组织</w:t>
      </w:r>
    </w:p>
    <w:p w14:paraId="63D5CB6D">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1.2.1协助工作组</w:t>
      </w:r>
    </w:p>
    <w:p w14:paraId="3E9F29B4">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视情况需要可在评标工作开始前成立协助工作组，选派熟悉招标工作、政治素质高的人员组成，协助评标委员会工作。协助工作组人员的具体数量由招标人视评标工作量确定，若招标人没有成立协助工作组的，相关工作由评标委员会负责。</w:t>
      </w:r>
    </w:p>
    <w:p w14:paraId="2ADE1712">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招标人可以协助评标委员会开展下列工作并提供相关信息：</w:t>
      </w:r>
    </w:p>
    <w:p w14:paraId="55704604">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（1）根据招标文件，编制评标使用的相应表格；</w:t>
      </w:r>
    </w:p>
    <w:p w14:paraId="0433DBB1">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（2）对投标报价进行算术性校核（如采用固化工程量清单，本步骤省略）；</w:t>
      </w:r>
    </w:p>
    <w:p w14:paraId="1FA6B7BC">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（3）以评标标准和方法为依据，列出投标文件相对于招标文件的所有偏差，并进行归类汇总；</w:t>
      </w:r>
    </w:p>
    <w:p w14:paraId="4E225AC6">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（4）查询全国公路建设市场监督管理系统，对投标人的资质、业绩、信用等级进行核实。</w:t>
      </w:r>
      <w:r>
        <w:rPr>
          <w:rFonts w:hint="eastAsia" w:ascii="宋体" w:hAnsi="宋体" w:eastAsia="宋体" w:cs="宋体"/>
          <w:color w:val="000000" w:themeColor="text1"/>
          <w:sz w:val="24"/>
          <w:szCs w:val="24"/>
          <w:highlight w:val="none"/>
          <w:lang w:eastAsia="zh-CN"/>
          <w14:textFill>
            <w14:solidFill>
              <w14:schemeClr w14:val="tx1"/>
            </w14:solidFill>
          </w14:textFill>
        </w:rPr>
        <w:t>投标截止当天查询投标人在信用中国中的行政处罚公示信息，并提交评标委员会。</w:t>
      </w:r>
    </w:p>
    <w:p w14:paraId="54BA0C79">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招标人不得对投标文件作出任何评价，不得故意遗漏或者片面摘录，不得在评标委员会对所有偏差定性之前透露存有偏差的投标人名称。</w:t>
      </w:r>
    </w:p>
    <w:p w14:paraId="0888A028">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1.2.2评标委员会</w:t>
      </w:r>
    </w:p>
    <w:p w14:paraId="33BDAFB3">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评标委员会的组建按投标人须知第6.1.1项执行。评标委员会的主要工作内容包括：</w:t>
      </w:r>
    </w:p>
    <w:p w14:paraId="5E9A0F6A">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（1）评标委员会开始评标工作之前，首先听取招标人、协助工作组关于工程情况和辅助工作的说明，并认真研读招标文件，获取评标所需的重要信息和数据；</w:t>
      </w:r>
    </w:p>
    <w:p w14:paraId="6E8BAC1F">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（2）对协助工作组提供的评标工作用表和评标内容进行核查。</w:t>
      </w:r>
    </w:p>
    <w:p w14:paraId="168A6FED">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（3）按照评标程序进行各项评审工作。</w:t>
      </w:r>
    </w:p>
    <w:p w14:paraId="023B40CB">
      <w:pPr>
        <w:kinsoku/>
        <w:spacing w:before="309" w:line="360" w:lineRule="auto"/>
        <w:ind w:left="37"/>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320" w:name="bookmark188"/>
      <w:bookmarkEnd w:id="320"/>
      <w:bookmarkStart w:id="321" w:name="bookmark191"/>
      <w:bookmarkEnd w:id="321"/>
      <w:bookmarkStart w:id="322" w:name="bookmark189"/>
      <w:bookmarkEnd w:id="322"/>
      <w:bookmarkStart w:id="323" w:name="_Toc19279"/>
      <w:bookmarkStart w:id="324" w:name="_Toc3889"/>
      <w:r>
        <w:rPr>
          <w:rFonts w:hint="eastAsia" w:ascii="宋体" w:hAnsi="宋体" w:eastAsia="宋体" w:cs="宋体"/>
          <w:b/>
          <w:bCs/>
          <w:color w:val="000000" w:themeColor="text1"/>
          <w:sz w:val="28"/>
          <w:szCs w:val="28"/>
          <w:highlight w:val="none"/>
          <w:lang w:eastAsia="zh-CN"/>
          <w14:textFill>
            <w14:solidFill>
              <w14:schemeClr w14:val="tx1"/>
            </w14:solidFill>
          </w14:textFill>
        </w:rPr>
        <w:t>2.评审标准</w:t>
      </w:r>
      <w:bookmarkEnd w:id="323"/>
      <w:bookmarkEnd w:id="324"/>
    </w:p>
    <w:p w14:paraId="2DAD0B9E">
      <w:pPr>
        <w:kinsoku/>
        <w:spacing w:before="266" w:line="360" w:lineRule="auto"/>
        <w:ind w:left="36"/>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25" w:name="bookmark190"/>
      <w:bookmarkEnd w:id="325"/>
      <w:bookmarkStart w:id="326" w:name="_Toc25205"/>
      <w:bookmarkStart w:id="327" w:name="_Toc1210"/>
      <w:r>
        <w:rPr>
          <w:rFonts w:hint="eastAsia" w:ascii="宋体" w:hAnsi="宋体" w:eastAsia="宋体" w:cs="宋体"/>
          <w:b/>
          <w:bCs/>
          <w:color w:val="000000" w:themeColor="text1"/>
          <w:sz w:val="24"/>
          <w:szCs w:val="24"/>
          <w:highlight w:val="none"/>
          <w:lang w:eastAsia="zh-CN"/>
          <w14:textFill>
            <w14:solidFill>
              <w14:schemeClr w14:val="tx1"/>
            </w14:solidFill>
          </w14:textFill>
        </w:rPr>
        <w:t>2.1 初步评审标准</w:t>
      </w:r>
      <w:bookmarkEnd w:id="326"/>
      <w:bookmarkEnd w:id="327"/>
    </w:p>
    <w:p w14:paraId="61CF606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2.1.1形式评审标准：见评标办法前附表。</w:t>
      </w:r>
    </w:p>
    <w:p w14:paraId="658AB93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2.1.2资格评审标准：见评标办法前附表。</w:t>
      </w:r>
    </w:p>
    <w:p w14:paraId="105DDB8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bookmarkStart w:id="328" w:name="bookmark193"/>
      <w:bookmarkEnd w:id="328"/>
      <w:r>
        <w:rPr>
          <w:rFonts w:hint="eastAsia" w:ascii="宋体" w:hAnsi="宋体" w:eastAsia="宋体" w:cs="宋体"/>
          <w:color w:val="000000" w:themeColor="text1"/>
          <w:sz w:val="24"/>
          <w:szCs w:val="24"/>
          <w:highlight w:val="none"/>
          <w:lang w:eastAsia="zh-CN"/>
          <w14:textFill>
            <w14:solidFill>
              <w14:schemeClr w14:val="tx1"/>
            </w14:solidFill>
          </w14:textFill>
        </w:rPr>
        <w:t>2.1.3响应性评审标准：见评标办法前附表。</w:t>
      </w:r>
    </w:p>
    <w:p w14:paraId="5E901733">
      <w:pPr>
        <w:kinsoku/>
        <w:spacing w:before="267" w:line="360" w:lineRule="auto"/>
        <w:ind w:left="36"/>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29" w:name="bookmark192"/>
      <w:bookmarkEnd w:id="329"/>
      <w:bookmarkStart w:id="330" w:name="_Toc16496"/>
      <w:bookmarkStart w:id="331" w:name="_Toc4337"/>
      <w:r>
        <w:rPr>
          <w:rFonts w:hint="eastAsia" w:ascii="宋体" w:hAnsi="宋体" w:eastAsia="宋体" w:cs="宋体"/>
          <w:b/>
          <w:bCs/>
          <w:color w:val="000000" w:themeColor="text1"/>
          <w:sz w:val="24"/>
          <w:szCs w:val="24"/>
          <w:highlight w:val="none"/>
          <w:lang w:eastAsia="zh-CN"/>
          <w14:textFill>
            <w14:solidFill>
              <w14:schemeClr w14:val="tx1"/>
            </w14:solidFill>
          </w14:textFill>
        </w:rPr>
        <w:t>2.2 分值构成与评分标准</w:t>
      </w:r>
      <w:bookmarkEnd w:id="330"/>
      <w:bookmarkEnd w:id="331"/>
    </w:p>
    <w:p w14:paraId="4C21C55E">
      <w:pPr>
        <w:kinsoku/>
        <w:spacing w:before="79" w:line="360" w:lineRule="auto"/>
        <w:ind w:left="513"/>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2.2.1分值构成</w:t>
      </w:r>
    </w:p>
    <w:p w14:paraId="7C60EF5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（1）技术建议书：见评标办法前附表；</w:t>
      </w:r>
    </w:p>
    <w:p w14:paraId="2022ED9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（2）主要人员：见评标办法前附表；</w:t>
      </w:r>
    </w:p>
    <w:p w14:paraId="0F1CEC2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（3）评标价：见评标办法前附表；</w:t>
      </w:r>
    </w:p>
    <w:p w14:paraId="60F4569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（4）其他评分因素：见评标办法前附表。</w:t>
      </w:r>
    </w:p>
    <w:p w14:paraId="4118B847">
      <w:pPr>
        <w:kinsoku/>
        <w:spacing w:before="117" w:line="360" w:lineRule="auto"/>
        <w:ind w:left="513"/>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2.2.2评标基准价计算</w:t>
      </w:r>
    </w:p>
    <w:p w14:paraId="36231EB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评标基准价计算方法：见评标办法前附表。</w:t>
      </w:r>
    </w:p>
    <w:p w14:paraId="56F068B3">
      <w:pPr>
        <w:kinsoku/>
        <w:spacing w:before="117" w:line="360" w:lineRule="auto"/>
        <w:ind w:left="513"/>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2.2.3评标价的偏差率计算</w:t>
      </w:r>
    </w:p>
    <w:p w14:paraId="209154B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评标价的偏差率计算公式：见评标办法前附表。</w:t>
      </w:r>
    </w:p>
    <w:p w14:paraId="23128CAB">
      <w:pPr>
        <w:kinsoku/>
        <w:spacing w:before="115" w:line="360" w:lineRule="auto"/>
        <w:ind w:left="51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2.2.4评分标准</w:t>
      </w:r>
    </w:p>
    <w:p w14:paraId="1CA5EB8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（1）技术建议书评分标准：见评标办法前附表；</w:t>
      </w:r>
    </w:p>
    <w:p w14:paraId="2BF29C0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（2）主要人员评分标准：见评标办法前附表；</w:t>
      </w:r>
    </w:p>
    <w:p w14:paraId="4CF9F2F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（3）评标价评分标准：见评标办法前附表；</w:t>
      </w:r>
    </w:p>
    <w:p w14:paraId="54E3A32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（4）其他因素评分标准：见评标办法前附表。</w:t>
      </w:r>
    </w:p>
    <w:p w14:paraId="78740E04">
      <w:pPr>
        <w:kinsoku/>
        <w:spacing w:before="91" w:line="219" w:lineRule="auto"/>
        <w:ind w:left="56"/>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332" w:name="bookmark194"/>
      <w:bookmarkEnd w:id="332"/>
      <w:bookmarkStart w:id="333" w:name="bookmark197"/>
      <w:bookmarkEnd w:id="333"/>
      <w:bookmarkStart w:id="334" w:name="bookmark195"/>
      <w:bookmarkEnd w:id="334"/>
      <w:bookmarkStart w:id="335" w:name="_Toc20819"/>
      <w:bookmarkStart w:id="336" w:name="_Toc29019"/>
      <w:r>
        <w:rPr>
          <w:rFonts w:hint="eastAsia" w:ascii="宋体" w:hAnsi="宋体" w:eastAsia="宋体" w:cs="宋体"/>
          <w:b/>
          <w:bCs/>
          <w:color w:val="000000" w:themeColor="text1"/>
          <w:sz w:val="28"/>
          <w:szCs w:val="28"/>
          <w:highlight w:val="none"/>
          <w:lang w:eastAsia="zh-CN"/>
          <w14:textFill>
            <w14:solidFill>
              <w14:schemeClr w14:val="tx1"/>
            </w14:solidFill>
          </w14:textFill>
        </w:rPr>
        <w:t>3.评标程序</w:t>
      </w:r>
      <w:bookmarkEnd w:id="335"/>
      <w:bookmarkEnd w:id="336"/>
    </w:p>
    <w:p w14:paraId="1FA1CCB9">
      <w:pPr>
        <w:kinsoku/>
        <w:spacing w:before="263" w:line="219" w:lineRule="auto"/>
        <w:ind w:left="54"/>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37" w:name="bookmark196"/>
      <w:bookmarkEnd w:id="337"/>
      <w:bookmarkStart w:id="338" w:name="_Toc7840"/>
      <w:bookmarkStart w:id="339" w:name="_Toc7843"/>
      <w:r>
        <w:rPr>
          <w:rFonts w:hint="eastAsia" w:ascii="宋体" w:hAnsi="宋体" w:eastAsia="宋体" w:cs="宋体"/>
          <w:b/>
          <w:bCs/>
          <w:color w:val="000000" w:themeColor="text1"/>
          <w:sz w:val="24"/>
          <w:szCs w:val="24"/>
          <w:highlight w:val="none"/>
          <w:lang w:eastAsia="zh-CN"/>
          <w14:textFill>
            <w14:solidFill>
              <w14:schemeClr w14:val="tx1"/>
            </w14:solidFill>
          </w14:textFill>
        </w:rPr>
        <w:t>3.1 第一个信封初步评审</w:t>
      </w:r>
      <w:bookmarkEnd w:id="338"/>
      <w:bookmarkEnd w:id="339"/>
    </w:p>
    <w:p w14:paraId="407C00B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3.1.1评标委员会可以要求投标人提交第二章“投标人须知”第3.5.1项至第3.5.5项规定的有关证明和证件的原件，以便核验。评标委员会依据本章第2.1款规定的标准对投标文件第一个信封（商务及技术文件）进行初步评审。有一项不符合评审标准的，评标委员会应否决其投标。</w:t>
      </w:r>
    </w:p>
    <w:p w14:paraId="124CDDA2">
      <w:pPr>
        <w:kinsoku/>
        <w:spacing w:before="267" w:line="360" w:lineRule="auto"/>
        <w:ind w:left="54"/>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40" w:name="bookmark198"/>
      <w:bookmarkEnd w:id="340"/>
      <w:bookmarkStart w:id="341" w:name="bookmark199"/>
      <w:bookmarkEnd w:id="341"/>
      <w:bookmarkStart w:id="342" w:name="_Toc30091"/>
      <w:bookmarkStart w:id="343" w:name="_Toc21027"/>
      <w:r>
        <w:rPr>
          <w:rFonts w:hint="eastAsia" w:ascii="宋体" w:hAnsi="宋体" w:eastAsia="宋体" w:cs="宋体"/>
          <w:b/>
          <w:bCs/>
          <w:color w:val="000000" w:themeColor="text1"/>
          <w:sz w:val="24"/>
          <w:szCs w:val="24"/>
          <w:highlight w:val="none"/>
          <w:lang w:eastAsia="zh-CN"/>
          <w14:textFill>
            <w14:solidFill>
              <w14:schemeClr w14:val="tx1"/>
            </w14:solidFill>
          </w14:textFill>
        </w:rPr>
        <w:t>3.2 第一个信封详细评审</w:t>
      </w:r>
      <w:bookmarkEnd w:id="342"/>
      <w:bookmarkEnd w:id="343"/>
    </w:p>
    <w:p w14:paraId="38193CD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3.2.1评标委员会按本章第2.2款规定的量化因素和分值进行打分，并计算出各投标人的商务和技术得分。</w:t>
      </w:r>
    </w:p>
    <w:p w14:paraId="559C67B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（1）按本章第2.2.4项（1）目规定的评审因素和分值对技术建议书部分计算出得分A；</w:t>
      </w:r>
    </w:p>
    <w:p w14:paraId="5B5C224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（2）按本章第2.2.4项（2）目规定的评审因素和分值对主要人员部分计算出得分B；</w:t>
      </w:r>
    </w:p>
    <w:p w14:paraId="430B642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（3）按本章第2.2.4项（4）目规定的评审因素和分值对其他部分计算出得分D。</w:t>
      </w:r>
    </w:p>
    <w:p w14:paraId="2FB82AE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3.2.2投标人的商务和技术得分分值计算保留小数点后四位，小数点后第五位“ 四舍五入”。</w:t>
      </w:r>
    </w:p>
    <w:p w14:paraId="1CEB0D8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bookmarkStart w:id="344" w:name="bookmark201"/>
      <w:bookmarkEnd w:id="344"/>
      <w:r>
        <w:rPr>
          <w:rFonts w:hint="eastAsia" w:ascii="宋体" w:hAnsi="宋体" w:eastAsia="宋体" w:cs="宋体"/>
          <w:color w:val="000000" w:themeColor="text1"/>
          <w:sz w:val="24"/>
          <w:szCs w:val="24"/>
          <w:highlight w:val="none"/>
          <w:lang w:eastAsia="zh-CN"/>
          <w14:textFill>
            <w14:solidFill>
              <w14:schemeClr w14:val="tx1"/>
            </w14:solidFill>
          </w14:textFill>
        </w:rPr>
        <w:t>3.2.3投标人的商务和技术得分=A+B+D。</w:t>
      </w:r>
    </w:p>
    <w:p w14:paraId="1DDC2352">
      <w:pPr>
        <w:kinsoku/>
        <w:spacing w:before="265" w:line="219" w:lineRule="auto"/>
        <w:ind w:left="54"/>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45" w:name="bookmark200"/>
      <w:bookmarkEnd w:id="345"/>
      <w:bookmarkStart w:id="346" w:name="_Toc21323"/>
      <w:bookmarkStart w:id="347" w:name="_Toc13766"/>
      <w:r>
        <w:rPr>
          <w:rFonts w:hint="eastAsia" w:ascii="宋体" w:hAnsi="宋体" w:eastAsia="宋体" w:cs="宋体"/>
          <w:b/>
          <w:bCs/>
          <w:color w:val="000000" w:themeColor="text1"/>
          <w:sz w:val="24"/>
          <w:szCs w:val="24"/>
          <w:highlight w:val="none"/>
          <w:lang w:eastAsia="zh-CN"/>
          <w14:textFill>
            <w14:solidFill>
              <w14:schemeClr w14:val="tx1"/>
            </w14:solidFill>
          </w14:textFill>
        </w:rPr>
        <w:t>3.3 第二个信封开标</w:t>
      </w:r>
      <w:bookmarkEnd w:id="346"/>
      <w:bookmarkEnd w:id="347"/>
    </w:p>
    <w:p w14:paraId="0EA54CC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第一个信封（商务及技术文件）评审结束后，招标人将按照第二章“投标人须知”第5.1款规定的时间和地点对通过投标文件第一个信封（商务及技术文件）评审的</w:t>
      </w:r>
      <w:bookmarkStart w:id="348" w:name="bookmark203"/>
      <w:bookmarkEnd w:id="348"/>
      <w:r>
        <w:rPr>
          <w:rFonts w:hint="eastAsia" w:ascii="宋体" w:hAnsi="宋体" w:eastAsia="宋体" w:cs="宋体"/>
          <w:color w:val="000000" w:themeColor="text1"/>
          <w:sz w:val="24"/>
          <w:szCs w:val="24"/>
          <w:highlight w:val="none"/>
          <w:lang w:eastAsia="zh-CN"/>
          <w14:textFill>
            <w14:solidFill>
              <w14:schemeClr w14:val="tx1"/>
            </w14:solidFill>
          </w14:textFill>
        </w:rPr>
        <w:t>投标文件第二个信封（报价文件）进行开标。</w:t>
      </w:r>
    </w:p>
    <w:p w14:paraId="7CFA2939">
      <w:pPr>
        <w:kinsoku/>
        <w:spacing w:before="188" w:line="360" w:lineRule="auto"/>
        <w:ind w:left="54"/>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49" w:name="bookmark202"/>
      <w:bookmarkEnd w:id="349"/>
      <w:bookmarkStart w:id="350" w:name="_Toc21449"/>
      <w:bookmarkStart w:id="351" w:name="_Toc25044"/>
      <w:r>
        <w:rPr>
          <w:rFonts w:hint="eastAsia" w:ascii="宋体" w:hAnsi="宋体" w:eastAsia="宋体" w:cs="宋体"/>
          <w:b/>
          <w:bCs/>
          <w:color w:val="000000" w:themeColor="text1"/>
          <w:sz w:val="24"/>
          <w:szCs w:val="24"/>
          <w:highlight w:val="none"/>
          <w:lang w:eastAsia="zh-CN"/>
          <w14:textFill>
            <w14:solidFill>
              <w14:schemeClr w14:val="tx1"/>
            </w14:solidFill>
          </w14:textFill>
        </w:rPr>
        <w:t>3.4 第二个信封初步评审</w:t>
      </w:r>
      <w:bookmarkEnd w:id="350"/>
      <w:bookmarkEnd w:id="351"/>
    </w:p>
    <w:p w14:paraId="161566A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3.4.1评标委员会依据本章第2.1.1项、第2.1.3项规定的评审标准对投标文件第二个信封（报价文件）进行初步评审。有一项不符合评审标准的，评标委员会应否决其投标。</w:t>
      </w:r>
    </w:p>
    <w:p w14:paraId="5B42D20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3.4.2投标报价有算术错误的，评标委员会按以下原则对投标报价进行修正，修正的价格经投标人书面确认后具有约束力。投标人不接受修正价格的，评标委员会应否决其投标。</w:t>
      </w:r>
    </w:p>
    <w:p w14:paraId="6C339A7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（1）投标文件中的大写金额与小写金额不一致的，以大写金额为准；</w:t>
      </w:r>
    </w:p>
    <w:p w14:paraId="0B93D06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（2）总价金额与依据单价计算出的结果不一致的，以单价金额为准修正总价，但单价金额小数点有明显错误的除外；</w:t>
      </w:r>
    </w:p>
    <w:p w14:paraId="08B910D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（3）当单价与数量相乘不等于合价时，以单价计算为准，如果单价有明显的小数点位置差错，应以标出的合价为准，同时对单价予以修正；</w:t>
      </w:r>
    </w:p>
    <w:p w14:paraId="2D4E25B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（4）当各子目的合价累计不等于总价时，应以各子目合价累计数为准，修正总价。</w:t>
      </w:r>
    </w:p>
    <w:p w14:paraId="5880E3D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3.4.3修正后的最终投标报价若超过最高投标限价（如有），评标委员会应否决其投标。</w:t>
      </w:r>
    </w:p>
    <w:p w14:paraId="0A8BF5B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3.4.4修正后的最终投标报价仅作为签订合同的一个依据，不参与评标价得分的</w:t>
      </w:r>
      <w:bookmarkStart w:id="352" w:name="bookmark205"/>
      <w:bookmarkEnd w:id="352"/>
      <w:r>
        <w:rPr>
          <w:rFonts w:hint="eastAsia" w:ascii="宋体" w:hAnsi="宋体" w:eastAsia="宋体" w:cs="宋体"/>
          <w:color w:val="000000" w:themeColor="text1"/>
          <w:sz w:val="24"/>
          <w:szCs w:val="24"/>
          <w:highlight w:val="none"/>
          <w:lang w:eastAsia="zh-CN"/>
          <w14:textFill>
            <w14:solidFill>
              <w14:schemeClr w14:val="tx1"/>
            </w14:solidFill>
          </w14:textFill>
        </w:rPr>
        <w:t>计算。</w:t>
      </w:r>
    </w:p>
    <w:p w14:paraId="3E61E747">
      <w:pPr>
        <w:kinsoku/>
        <w:spacing w:before="264"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53" w:name="bookmark204"/>
      <w:bookmarkEnd w:id="353"/>
      <w:bookmarkStart w:id="354" w:name="_Toc415"/>
      <w:bookmarkStart w:id="355" w:name="_Toc9310"/>
      <w:r>
        <w:rPr>
          <w:rFonts w:hint="eastAsia" w:ascii="宋体" w:hAnsi="宋体" w:eastAsia="宋体" w:cs="宋体"/>
          <w:b/>
          <w:bCs/>
          <w:color w:val="000000" w:themeColor="text1"/>
          <w:sz w:val="24"/>
          <w:szCs w:val="24"/>
          <w:highlight w:val="none"/>
          <w:lang w:eastAsia="zh-CN"/>
          <w14:textFill>
            <w14:solidFill>
              <w14:schemeClr w14:val="tx1"/>
            </w14:solidFill>
          </w14:textFill>
        </w:rPr>
        <w:t>3.5 第二个信封详细评审</w:t>
      </w:r>
      <w:bookmarkEnd w:id="354"/>
      <w:bookmarkEnd w:id="355"/>
    </w:p>
    <w:p w14:paraId="6B1F266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3.5.1评标委员会按本章第2.2.4项（3）目规定的评审因素和分值对评标价计算出得分C。评标价得分分值计算保留小数点后四位，小数点后第五位“ 四舍五入”。</w:t>
      </w:r>
    </w:p>
    <w:p w14:paraId="57E9A72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3.5.2投标人综合得分=投标人的商务和技术得分+C。（计算保留小数点后四位，小数点后第五位“四舍五入”）</w:t>
      </w:r>
    </w:p>
    <w:p w14:paraId="0E06FC3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w:t>
      </w:r>
      <w:bookmarkStart w:id="356" w:name="bookmark207"/>
      <w:bookmarkEnd w:id="356"/>
      <w:r>
        <w:rPr>
          <w:rFonts w:hint="eastAsia" w:ascii="宋体" w:hAnsi="宋体" w:eastAsia="宋体" w:cs="宋体"/>
          <w:color w:val="000000" w:themeColor="text1"/>
          <w:sz w:val="24"/>
          <w:szCs w:val="24"/>
          <w:highlight w:val="none"/>
          <w:lang w:eastAsia="zh-CN"/>
          <w14:textFill>
            <w14:solidFill>
              <w14:schemeClr w14:val="tx1"/>
            </w14:solidFill>
          </w14:textFill>
        </w:rPr>
        <w:t>本报价竞标，并否决其投标。</w:t>
      </w:r>
    </w:p>
    <w:p w14:paraId="0AC615C1">
      <w:pPr>
        <w:kinsoku/>
        <w:spacing w:before="269"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57" w:name="bookmark206"/>
      <w:bookmarkEnd w:id="357"/>
      <w:bookmarkStart w:id="358" w:name="_Toc30876"/>
      <w:bookmarkStart w:id="359" w:name="_Toc8658"/>
      <w:r>
        <w:rPr>
          <w:rFonts w:hint="eastAsia" w:ascii="宋体" w:hAnsi="宋体" w:eastAsia="宋体" w:cs="宋体"/>
          <w:b/>
          <w:bCs/>
          <w:color w:val="000000" w:themeColor="text1"/>
          <w:sz w:val="24"/>
          <w:szCs w:val="24"/>
          <w:highlight w:val="none"/>
          <w:lang w:eastAsia="zh-CN"/>
          <w14:textFill>
            <w14:solidFill>
              <w14:schemeClr w14:val="tx1"/>
            </w14:solidFill>
          </w14:textFill>
        </w:rPr>
        <w:t>3.6 投标文件相关信息的核查</w:t>
      </w:r>
      <w:bookmarkEnd w:id="358"/>
      <w:bookmarkEnd w:id="359"/>
    </w:p>
    <w:p w14:paraId="55EDAF5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3.6.1在评标过程中，评标委员会应查询交通运输主管部门“全国公路建设市场监督管理系统”，对投标人的资质、业绩、主要人员资历和目前在岗情况、信用等级等信息进行核实。若投标文件载明的信息与交通运输主管部门“全国公路建设市场监督管理系统”发布的信息不符，使得投标人的资格条件不符合招标文件规定的，评标委员会应否决其投标。</w:t>
      </w:r>
    </w:p>
    <w:p w14:paraId="496A9A0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0E4CD54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（1）有下列情形之一的，属于投标人相互串通投标：</w:t>
      </w:r>
    </w:p>
    <w:p w14:paraId="5B828A0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a.投标人之间协商投标报价等投标文件的实质性内容；</w:t>
      </w:r>
    </w:p>
    <w:p w14:paraId="3A58CCE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b.投标人之间约定中标人；</w:t>
      </w:r>
    </w:p>
    <w:p w14:paraId="7A81ABC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c.投标人之间约定部分投标人放弃投标或中标；</w:t>
      </w:r>
    </w:p>
    <w:p w14:paraId="5505D38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d.属于同一集团、协会、商会等组织成员的投标人按照该组织要求协同投标；</w:t>
      </w:r>
    </w:p>
    <w:p w14:paraId="05E5C5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e.投标人之间为谋取中标或排斥特定投标人而采取的其他联合行动。</w:t>
      </w:r>
    </w:p>
    <w:p w14:paraId="0475F46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（2）有下列情形之一的，视为投标人相互串通投标：</w:t>
      </w:r>
    </w:p>
    <w:p w14:paraId="302CB37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a.不同投标人的投标文件由同一单位或个人编制；</w:t>
      </w:r>
    </w:p>
    <w:p w14:paraId="531E49A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b.不同投标人委托同一单位或个人办理投标事宜；</w:t>
      </w:r>
    </w:p>
    <w:p w14:paraId="1635C3C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c.不同投标人的投标文件载明的项目管理成员为同一人；</w:t>
      </w:r>
    </w:p>
    <w:p w14:paraId="0D6A12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d.不同投标人的投标文件异常一致或投标报价呈规律性差异；</w:t>
      </w:r>
    </w:p>
    <w:p w14:paraId="6606809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e.不同投标人的投标文件相互混装；</w:t>
      </w:r>
    </w:p>
    <w:p w14:paraId="6E6C850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f.不同投标人的投标保证金从同一单位或个人的账户转出。</w:t>
      </w:r>
    </w:p>
    <w:p w14:paraId="47B7198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（3）有下列情形之一的，属于招标人与投标人串通投标：</w:t>
      </w:r>
    </w:p>
    <w:p w14:paraId="245D1D9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a.招标人在开标前开启投标文件并将有关信息泄露给其他投标人；</w:t>
      </w:r>
    </w:p>
    <w:p w14:paraId="64E7081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b.招标人直接或间接向投标人泄露标底、评标委员会成员等信息；</w:t>
      </w:r>
    </w:p>
    <w:p w14:paraId="71A0CCF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c.招标人明示或暗示投标人压低或抬高投标报价；</w:t>
      </w:r>
    </w:p>
    <w:p w14:paraId="008C12A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d.招标人授意投标人撤换、修改投标文件；</w:t>
      </w:r>
    </w:p>
    <w:p w14:paraId="522A1C7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e.招标人明示或暗示投标人为特定投标人中标提供方便；</w:t>
      </w:r>
    </w:p>
    <w:p w14:paraId="0E40DFF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f.招标人与投标人为谋求特定投标人中标而采取的其他串通行为。</w:t>
      </w:r>
    </w:p>
    <w:p w14:paraId="450C01C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（4）投标人有下列情形之一的，属于弄虚作假的行为：</w:t>
      </w:r>
    </w:p>
    <w:p w14:paraId="4F17A1C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a.使用通过受让或租借等方式获取的资格、资质证书投标；</w:t>
      </w:r>
    </w:p>
    <w:p w14:paraId="62A0155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b.使用伪造、变造的许可证件；</w:t>
      </w:r>
    </w:p>
    <w:p w14:paraId="7D47A6F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c.提供虚假的业绩；</w:t>
      </w:r>
    </w:p>
    <w:p w14:paraId="0DEAFB0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d.提供虚假的项目负责人或主要技术人员简历、劳动关系证明；</w:t>
      </w:r>
    </w:p>
    <w:p w14:paraId="7B2358F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e.提供虚假的信用状况；</w:t>
      </w:r>
    </w:p>
    <w:p w14:paraId="666402E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bookmarkStart w:id="360" w:name="bookmark209"/>
      <w:bookmarkEnd w:id="360"/>
      <w:r>
        <w:rPr>
          <w:rFonts w:hint="eastAsia" w:ascii="宋体" w:hAnsi="宋体" w:eastAsia="宋体" w:cs="宋体"/>
          <w:color w:val="000000" w:themeColor="text1"/>
          <w:sz w:val="24"/>
          <w:szCs w:val="24"/>
          <w:highlight w:val="none"/>
          <w:lang w:eastAsia="zh-CN"/>
          <w14:textFill>
            <w14:solidFill>
              <w14:schemeClr w14:val="tx1"/>
            </w14:solidFill>
          </w14:textFill>
        </w:rPr>
        <w:t>f.其他弄虚作假的行为。</w:t>
      </w:r>
    </w:p>
    <w:p w14:paraId="05828217">
      <w:pPr>
        <w:kinsoku/>
        <w:spacing w:before="78"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61" w:name="bookmark208"/>
      <w:bookmarkEnd w:id="361"/>
      <w:bookmarkStart w:id="362" w:name="_Toc9947"/>
      <w:bookmarkStart w:id="363" w:name="_Toc20142"/>
      <w:r>
        <w:rPr>
          <w:rFonts w:hint="eastAsia" w:ascii="宋体" w:hAnsi="宋体" w:eastAsia="宋体" w:cs="宋体"/>
          <w:b/>
          <w:bCs/>
          <w:color w:val="000000" w:themeColor="text1"/>
          <w:sz w:val="24"/>
          <w:szCs w:val="24"/>
          <w:highlight w:val="none"/>
          <w:lang w:eastAsia="zh-CN"/>
          <w14:textFill>
            <w14:solidFill>
              <w14:schemeClr w14:val="tx1"/>
            </w14:solidFill>
          </w14:textFill>
        </w:rPr>
        <w:t>3.7 投标文件的澄清和说明</w:t>
      </w:r>
      <w:bookmarkEnd w:id="362"/>
      <w:bookmarkEnd w:id="363"/>
    </w:p>
    <w:p w14:paraId="493B3E8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3.7.1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6C3E9C8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3.7.2澄清和说明不得超出投标文件的范围或改变投标文件的实质性内容（算术性错误的修正除外）。投标人的书面澄清、说明属于投标文件的组成部分。</w:t>
      </w:r>
    </w:p>
    <w:p w14:paraId="0312613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3.7.3评标委员会不得暗示或诱导投标人作出澄清、说明，对投标人提交的澄清、说明有疑问的，可以要求投标人进一步澄清或说明，直至满足评标委员会的要求。</w:t>
      </w:r>
    </w:p>
    <w:p w14:paraId="1087587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3.7.4凡超出招标文件规定的或给发包人带来未曾要求的利益的变化、偏差或其</w:t>
      </w:r>
      <w:bookmarkStart w:id="364" w:name="bookmark211"/>
      <w:bookmarkEnd w:id="364"/>
      <w:r>
        <w:rPr>
          <w:rFonts w:hint="eastAsia" w:ascii="宋体" w:hAnsi="宋体" w:eastAsia="宋体" w:cs="宋体"/>
          <w:color w:val="000000" w:themeColor="text1"/>
          <w:sz w:val="24"/>
          <w:szCs w:val="24"/>
          <w:highlight w:val="none"/>
          <w:lang w:eastAsia="zh-CN"/>
          <w14:textFill>
            <w14:solidFill>
              <w14:schemeClr w14:val="tx1"/>
            </w14:solidFill>
          </w14:textFill>
        </w:rPr>
        <w:t>他因素在评标时不予考虑。</w:t>
      </w:r>
    </w:p>
    <w:p w14:paraId="189E3502">
      <w:pPr>
        <w:kinsoku/>
        <w:spacing w:before="274"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65" w:name="bookmark210"/>
      <w:bookmarkEnd w:id="365"/>
      <w:bookmarkStart w:id="366" w:name="_Toc25703"/>
      <w:bookmarkStart w:id="367" w:name="_Toc15135"/>
      <w:r>
        <w:rPr>
          <w:rFonts w:hint="eastAsia" w:ascii="宋体" w:hAnsi="宋体" w:eastAsia="宋体" w:cs="宋体"/>
          <w:b/>
          <w:bCs/>
          <w:color w:val="000000" w:themeColor="text1"/>
          <w:sz w:val="24"/>
          <w:szCs w:val="24"/>
          <w:highlight w:val="none"/>
          <w:lang w:eastAsia="zh-CN"/>
          <w14:textFill>
            <w14:solidFill>
              <w14:schemeClr w14:val="tx1"/>
            </w14:solidFill>
          </w14:textFill>
        </w:rPr>
        <w:t>3.8 不得否决投标的情形</w:t>
      </w:r>
      <w:bookmarkEnd w:id="366"/>
      <w:bookmarkEnd w:id="367"/>
    </w:p>
    <w:p w14:paraId="3F13B59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投标文件存在第二章“投标人须知”第1.12.3项所列情形的，均视为细微偏差，评标委员会不得否决投标人的投标，应按照第二章“投标人须知”第1.12.4项规定</w:t>
      </w:r>
      <w:bookmarkStart w:id="368" w:name="bookmark213"/>
      <w:bookmarkEnd w:id="368"/>
      <w:r>
        <w:rPr>
          <w:rFonts w:hint="eastAsia" w:ascii="宋体" w:hAnsi="宋体" w:eastAsia="宋体" w:cs="宋体"/>
          <w:color w:val="000000" w:themeColor="text1"/>
          <w:sz w:val="24"/>
          <w:szCs w:val="24"/>
          <w:highlight w:val="none"/>
          <w:lang w:eastAsia="zh-CN"/>
          <w14:textFill>
            <w14:solidFill>
              <w14:schemeClr w14:val="tx1"/>
            </w14:solidFill>
          </w14:textFill>
        </w:rPr>
        <w:t>的原则处理。</w:t>
      </w:r>
    </w:p>
    <w:p w14:paraId="76AF2227">
      <w:pPr>
        <w:kinsoku/>
        <w:spacing w:before="182"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369" w:name="bookmark212"/>
      <w:bookmarkEnd w:id="369"/>
      <w:bookmarkStart w:id="370" w:name="_Toc3353"/>
      <w:bookmarkStart w:id="371" w:name="_Toc13485"/>
      <w:r>
        <w:rPr>
          <w:rFonts w:hint="eastAsia" w:ascii="宋体" w:hAnsi="宋体" w:eastAsia="宋体" w:cs="宋体"/>
          <w:b/>
          <w:bCs/>
          <w:color w:val="000000" w:themeColor="text1"/>
          <w:sz w:val="24"/>
          <w:szCs w:val="24"/>
          <w:highlight w:val="none"/>
          <w:lang w:eastAsia="zh-CN"/>
          <w14:textFill>
            <w14:solidFill>
              <w14:schemeClr w14:val="tx1"/>
            </w14:solidFill>
          </w14:textFill>
        </w:rPr>
        <w:t>3.9 评标结果</w:t>
      </w:r>
      <w:bookmarkEnd w:id="370"/>
      <w:bookmarkEnd w:id="371"/>
    </w:p>
    <w:p w14:paraId="4C2B7BAF">
      <w:pPr>
        <w:kinsoku/>
        <w:spacing w:before="113" w:line="286" w:lineRule="auto"/>
        <w:ind w:left="37" w:right="204" w:firstLine="48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3.9.1</w:t>
      </w:r>
      <w:r>
        <w:rPr>
          <w:rFonts w:hint="eastAsia" w:ascii="宋体" w:hAnsi="宋体" w:eastAsia="宋体" w:cs="宋体"/>
          <w:color w:val="000000" w:themeColor="text1"/>
          <w:sz w:val="24"/>
          <w:szCs w:val="24"/>
          <w:highlight w:val="none"/>
          <w:lang w:eastAsia="zh-CN"/>
          <w14:textFill>
            <w14:solidFill>
              <w14:schemeClr w14:val="tx1"/>
            </w14:solidFill>
          </w14:textFill>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w:t>
      </w:r>
    </w:p>
    <w:p w14:paraId="6EA7500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定标候选人得分只作为评标委员会的推荐依据，不作为定标委员会对中标候选人排序的依据。</w:t>
      </w:r>
      <w:r>
        <w:rPr>
          <w:rFonts w:hint="eastAsia" w:ascii="宋体" w:hAnsi="宋体" w:eastAsia="宋体" w:cs="宋体"/>
          <w:color w:val="000000" w:themeColor="text1"/>
          <w:sz w:val="24"/>
          <w:szCs w:val="24"/>
          <w:highlight w:val="none"/>
          <w:lang w:val="en-US" w:eastAsia="zh-CN"/>
          <w14:textFill>
            <w14:solidFill>
              <w14:schemeClr w14:val="tx1"/>
            </w14:solidFill>
          </w14:textFill>
        </w:rPr>
        <w:t>当有效投标人数量不足5名但满足法定要求时，所有通过评审的有效投标人均应作为定标候选人。</w:t>
      </w:r>
    </w:p>
    <w:p w14:paraId="2FED6574">
      <w:pPr>
        <w:wordWrap w:val="0"/>
        <w:adjustRightInd w:val="0"/>
        <w:snapToGrid w:val="0"/>
        <w:spacing w:line="44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3.9.2评标委员会完成评标后，应向招标人提交书面评标报告。</w:t>
      </w:r>
    </w:p>
    <w:p w14:paraId="6F48B4EC">
      <w:pPr>
        <w:pStyle w:val="2"/>
        <w:shd w:val="clear" w:color="auto" w:fill="auto"/>
        <w:wordWrap w:val="0"/>
        <w:autoSpaceDE/>
        <w:autoSpaceDN/>
        <w:snapToGrid w:val="0"/>
        <w:spacing w:before="260" w:after="260" w:line="440" w:lineRule="exact"/>
        <w:jc w:val="both"/>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372" w:name="_Toc914"/>
      <w:r>
        <w:rPr>
          <w:rFonts w:hint="eastAsia" w:ascii="宋体" w:hAnsi="宋体" w:eastAsia="宋体" w:cs="宋体"/>
          <w:color w:val="000000" w:themeColor="text1"/>
          <w:sz w:val="24"/>
          <w:szCs w:val="24"/>
          <w:highlight w:val="none"/>
          <w:lang w:eastAsia="zh-CN"/>
          <w14:textFill>
            <w14:solidFill>
              <w14:schemeClr w14:val="tx1"/>
            </w14:solidFill>
          </w14:textFill>
        </w:rPr>
        <w:t>注：</w:t>
      </w:r>
      <w:r>
        <w:rPr>
          <w:rFonts w:hint="eastAsia" w:ascii="宋体" w:hAnsi="宋体" w:eastAsia="宋体" w:cs="宋体"/>
          <w:color w:val="000000" w:themeColor="text1"/>
          <w:sz w:val="24"/>
          <w:szCs w:val="24"/>
          <w:highlight w:val="none"/>
          <w:lang w:val="en-US" w:eastAsia="zh-CN"/>
          <w14:textFill>
            <w14:solidFill>
              <w14:schemeClr w14:val="tx1"/>
            </w14:solidFill>
          </w14:textFill>
        </w:rPr>
        <w:t>编写评标报告时，定标候选人不排序，按</w:t>
      </w:r>
      <w:r>
        <w:rPr>
          <w:rFonts w:hint="eastAsia" w:ascii="宋体" w:hAnsi="宋体" w:eastAsia="宋体" w:cs="宋体"/>
          <w:color w:val="000000" w:themeColor="text1"/>
          <w:sz w:val="24"/>
          <w:szCs w:val="24"/>
          <w:highlight w:val="none"/>
          <w:lang w:eastAsia="zh-CN"/>
          <w14:textFill>
            <w14:solidFill>
              <w14:schemeClr w14:val="tx1"/>
            </w14:solidFill>
          </w14:textFill>
        </w:rPr>
        <w:t>企业</w:t>
      </w: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统一社会信用代码后4位大小排位，如统一社会信用代码后4位出现字母情况的，字母以“0”进行代替大小排位，如出现后4位大小一致的，则随机排位</w:t>
      </w:r>
      <w:r>
        <w:rPr>
          <w:rFonts w:hint="eastAsia" w:ascii="宋体" w:hAnsi="宋体" w:eastAsia="宋体" w:cs="宋体"/>
          <w:color w:val="000000" w:themeColor="text1"/>
          <w:sz w:val="24"/>
          <w:szCs w:val="24"/>
          <w:highlight w:val="none"/>
          <w:lang w:eastAsia="zh-CN"/>
          <w14:textFill>
            <w14:solidFill>
              <w14:schemeClr w14:val="tx1"/>
            </w14:solidFill>
          </w14:textFill>
        </w:rPr>
        <w:t>。</w:t>
      </w:r>
      <w:bookmarkEnd w:id="372"/>
      <w:bookmarkStart w:id="373" w:name="_Toc8252"/>
    </w:p>
    <w:p w14:paraId="090EE137">
      <w:pP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27C51739">
      <w:pPr>
        <w:pStyle w:val="2"/>
        <w:shd w:val="clear" w:color="auto" w:fill="auto"/>
        <w:wordWrap w:val="0"/>
        <w:autoSpaceDE/>
        <w:autoSpaceDN/>
        <w:snapToGrid w:val="0"/>
        <w:spacing w:before="260" w:after="260" w:line="440" w:lineRule="exact"/>
        <w:jc w:val="center"/>
        <w:rPr>
          <w:rFonts w:hint="eastAsia" w:ascii="Times New Roman"/>
          <w:b/>
          <w:snapToGrid w:val="0"/>
          <w:color w:val="000000" w:themeColor="text1"/>
          <w:kern w:val="0"/>
          <w:highlight w:val="none"/>
          <w14:textFill>
            <w14:solidFill>
              <w14:schemeClr w14:val="tx1"/>
            </w14:solidFill>
          </w14:textFill>
        </w:rPr>
      </w:pPr>
      <w:bookmarkStart w:id="374" w:name="_Toc15269"/>
      <w:r>
        <w:rPr>
          <w:rFonts w:hint="eastAsia" w:ascii="Times New Roman" w:eastAsia="宋体"/>
          <w:b/>
          <w:snapToGrid w:val="0"/>
          <w:color w:val="000000" w:themeColor="text1"/>
          <w:highlight w:val="none"/>
          <w:lang w:eastAsia="zh-CN"/>
          <w14:textFill>
            <w14:solidFill>
              <w14:schemeClr w14:val="tx1"/>
            </w14:solidFill>
          </w14:textFill>
        </w:rPr>
        <w:t>（二）</w:t>
      </w:r>
      <w:r>
        <w:rPr>
          <w:rFonts w:hint="eastAsia" w:ascii="宋体" w:hAnsi="宋体" w:eastAsia="宋体" w:cs="宋体"/>
          <w:b/>
          <w:color w:val="000000" w:themeColor="text1"/>
          <w:sz w:val="44"/>
          <w:szCs w:val="44"/>
          <w:highlight w:val="none"/>
          <w:lang w:eastAsia="zh-CN"/>
          <w14:textFill>
            <w14:solidFill>
              <w14:schemeClr w14:val="tx1"/>
            </w14:solidFill>
          </w14:textFill>
        </w:rPr>
        <w:t>定标办法</w:t>
      </w:r>
      <w:bookmarkEnd w:id="373"/>
      <w:bookmarkEnd w:id="374"/>
    </w:p>
    <w:p w14:paraId="38F01B9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 定标规定</w:t>
      </w:r>
    </w:p>
    <w:p w14:paraId="6E38713E">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Times New Roman" w:eastAsia="宋体"/>
          <w:b/>
          <w:snapToGrid w:val="0"/>
          <w:color w:val="000000" w:themeColor="text1"/>
          <w:kern w:val="0"/>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1.1 确定定</w:t>
      </w:r>
      <w:r>
        <w:rPr>
          <w:rFonts w:hint="eastAsia" w:ascii="宋体" w:hAnsi="宋体" w:eastAsia="宋体" w:cs="宋体"/>
          <w:b/>
          <w:bCs/>
          <w:color w:val="000000" w:themeColor="text1"/>
          <w:sz w:val="24"/>
          <w:szCs w:val="24"/>
          <w:highlight w:val="none"/>
          <w:u w:val="none"/>
          <w14:textFill>
            <w14:solidFill>
              <w14:schemeClr w14:val="tx1"/>
            </w14:solidFill>
          </w14:textFill>
        </w:rPr>
        <w:t>标时间</w:t>
      </w:r>
    </w:p>
    <w:p w14:paraId="4B341E3B">
      <w:pPr>
        <w:shd w:val="clear" w:color="auto" w:fill="auto"/>
        <w:wordWrap w:val="0"/>
        <w:adjustRightInd w:val="0"/>
        <w:snapToGrid w:val="0"/>
        <w:spacing w:line="400" w:lineRule="exact"/>
        <w:ind w:firstLine="480" w:firstLineChars="200"/>
        <w:rPr>
          <w:rFonts w:hint="eastAsia" w:ascii="Times New Roman"/>
          <w:b/>
          <w:snapToGrid w:val="0"/>
          <w:color w:val="000000" w:themeColor="text1"/>
          <w:kern w:val="0"/>
          <w:highlight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招标人</w:t>
      </w:r>
      <w:r>
        <w:rPr>
          <w:rFonts w:hint="eastAsia" w:ascii="宋体" w:hAnsi="宋体" w:eastAsia="宋体" w:cs="宋体"/>
          <w:color w:val="000000" w:themeColor="text1"/>
          <w:sz w:val="24"/>
          <w:szCs w:val="24"/>
          <w:highlight w:val="none"/>
          <w:u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u w:val="none"/>
          <w14:textFill>
            <w14:solidFill>
              <w14:schemeClr w14:val="tx1"/>
            </w14:solidFill>
          </w14:textFill>
        </w:rPr>
        <w:t>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定标候选人</w:t>
      </w:r>
      <w:r>
        <w:rPr>
          <w:rFonts w:hint="eastAsia" w:ascii="宋体" w:hAnsi="宋体" w:eastAsia="宋体" w:cs="宋体"/>
          <w:color w:val="000000" w:themeColor="text1"/>
          <w:sz w:val="24"/>
          <w:szCs w:val="24"/>
          <w:highlight w:val="none"/>
          <w:u w:val="none"/>
          <w14:textFill>
            <w14:solidFill>
              <w14:schemeClr w14:val="tx1"/>
            </w14:solidFill>
          </w14:textFill>
        </w:rPr>
        <w:t>公示期满后</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14:textFill>
            <w14:solidFill>
              <w14:schemeClr w14:val="tx1"/>
            </w14:solidFill>
          </w14:textFill>
        </w:rPr>
        <w:t>个工作日内进入公共资源交易平台（与评标阶段公共资源交易平台相同）进行定标。定标会议全过程录音录像。招标人需要延期定标的，</w:t>
      </w:r>
      <w:r>
        <w:rPr>
          <w:rFonts w:hint="eastAsia" w:ascii="宋体" w:hAnsi="宋体" w:eastAsia="宋体" w:cs="宋体"/>
          <w:color w:val="000000" w:themeColor="text1"/>
          <w:sz w:val="24"/>
          <w:szCs w:val="24"/>
          <w:highlight w:val="none"/>
          <w:u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u w:val="none"/>
          <w14:textFill>
            <w14:solidFill>
              <w14:schemeClr w14:val="tx1"/>
            </w14:solidFill>
          </w14:textFill>
        </w:rPr>
        <w:t>通过公共资源交易平台公布延期原因和定标时间。</w:t>
      </w:r>
    </w:p>
    <w:p w14:paraId="5B405B67">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1.2 </w:t>
      </w:r>
      <w:r>
        <w:rPr>
          <w:rFonts w:hint="eastAsia" w:ascii="宋体" w:hAnsi="宋体" w:eastAsia="宋体" w:cs="宋体"/>
          <w:b/>
          <w:color w:val="000000" w:themeColor="text1"/>
          <w:sz w:val="24"/>
          <w:highlight w:val="none"/>
          <w:lang w:eastAsia="zh-CN"/>
          <w14:textFill>
            <w14:solidFill>
              <w14:schemeClr w14:val="tx1"/>
            </w14:solidFill>
          </w14:textFill>
        </w:rPr>
        <w:t>定标委员会</w:t>
      </w:r>
    </w:p>
    <w:p w14:paraId="03DFFCD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00" w:lineRule="exact"/>
        <w:ind w:left="0" w:leftChars="0" w:firstLine="480" w:firstLineChars="200"/>
        <w:jc w:val="both"/>
        <w:textAlignment w:val="auto"/>
        <w:outlineLvl w:val="9"/>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招标人负责组建定标委员会，定标委员会成员数量为7人。</w:t>
      </w:r>
    </w:p>
    <w:p w14:paraId="3FEEF6D9">
      <w:pPr>
        <w:pStyle w:val="5"/>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firstLine="482" w:firstLineChars="200"/>
        <w:jc w:val="both"/>
        <w:textAlignment w:val="auto"/>
        <w:outlineLvl w:val="9"/>
        <w:rPr>
          <w:rFonts w:hint="eastAsia" w:ascii="宋体" w:hAnsi="宋体" w:eastAsia="宋体" w:cs="宋体"/>
          <w:strike w:val="0"/>
          <w:dstrike w:val="0"/>
          <w:color w:val="000000" w:themeColor="text1"/>
          <w:kern w:val="2"/>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1.3</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strike w:val="0"/>
          <w:dstrike w:val="0"/>
          <w:color w:val="000000" w:themeColor="text1"/>
          <w:kern w:val="2"/>
          <w:sz w:val="24"/>
          <w:szCs w:val="24"/>
          <w:highlight w:val="none"/>
          <w:u w:val="none"/>
          <w:lang w:val="en-US" w:eastAsia="zh-CN"/>
          <w14:textFill>
            <w14:solidFill>
              <w14:schemeClr w14:val="tx1"/>
            </w14:solidFill>
          </w14:textFill>
        </w:rPr>
        <w:t>组建招标监督小组</w:t>
      </w:r>
    </w:p>
    <w:p w14:paraId="3EAAA4B5">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jc w:val="both"/>
        <w:textAlignment w:val="auto"/>
        <w:outlineLvl w:val="9"/>
        <w:rPr>
          <w:rFonts w:hint="eastAsia" w:ascii="宋体" w:hAnsi="宋体" w:eastAsia="宋体" w:cs="宋体"/>
          <w:strike w:val="0"/>
          <w:dstrike w:val="0"/>
          <w:color w:val="000000" w:themeColor="text1"/>
          <w:kern w:val="2"/>
          <w:sz w:val="24"/>
          <w:szCs w:val="24"/>
          <w:highlight w:val="none"/>
          <w:u w:val="none"/>
          <w:lang w:val="en-US" w:eastAsia="zh-CN"/>
          <w14:textFill>
            <w14:solidFill>
              <w14:schemeClr w14:val="tx1"/>
            </w14:solidFill>
          </w14:textFill>
        </w:rPr>
      </w:pPr>
      <w:r>
        <w:rPr>
          <w:rFonts w:hint="eastAsia" w:ascii="宋体" w:hAnsi="宋体" w:eastAsia="宋体" w:cs="宋体"/>
          <w:strike w:val="0"/>
          <w:dstrike w:val="0"/>
          <w:color w:val="000000" w:themeColor="text1"/>
          <w:kern w:val="2"/>
          <w:sz w:val="24"/>
          <w:szCs w:val="24"/>
          <w:highlight w:val="none"/>
          <w:u w:val="none"/>
          <w:lang w:val="en-US" w:eastAsia="zh-CN"/>
          <w14:textFill>
            <w14:solidFill>
              <w14:schemeClr w14:val="tx1"/>
            </w14:solidFill>
          </w14:textFill>
        </w:rPr>
        <w:t>招标人应组建招标监督小组，对招标投标活动全过程进行监督。</w:t>
      </w:r>
    </w:p>
    <w:p w14:paraId="636D2E67">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jc w:val="both"/>
        <w:textAlignment w:val="auto"/>
        <w:outlineLvl w:val="9"/>
        <w:rPr>
          <w:rFonts w:hint="eastAsia" w:ascii="宋体" w:hAnsi="宋体" w:eastAsia="宋体" w:cs="宋体"/>
          <w:strike w:val="0"/>
          <w:dstrike w:val="0"/>
          <w:color w:val="000000" w:themeColor="text1"/>
          <w:kern w:val="2"/>
          <w:sz w:val="24"/>
          <w:szCs w:val="24"/>
          <w:highlight w:val="none"/>
          <w:u w:val="none"/>
          <w:lang w:val="en-US" w:eastAsia="zh-CN"/>
          <w14:textFill>
            <w14:solidFill>
              <w14:schemeClr w14:val="tx1"/>
            </w14:solidFill>
          </w14:textFill>
        </w:rPr>
      </w:pPr>
    </w:p>
    <w:p w14:paraId="52211DE1">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2</w:t>
      </w:r>
      <w:r>
        <w:rPr>
          <w:rFonts w:hint="eastAsia" w:ascii="宋体" w:hAnsi="宋体" w:eastAsia="宋体" w:cs="宋体"/>
          <w:b/>
          <w:color w:val="000000" w:themeColor="text1"/>
          <w:sz w:val="24"/>
          <w:highlight w:val="none"/>
          <w14:textFill>
            <w14:solidFill>
              <w14:schemeClr w14:val="tx1"/>
            </w14:solidFill>
          </w14:textFill>
        </w:rPr>
        <w:t>.</w:t>
      </w:r>
      <w:r>
        <w:rPr>
          <w:rFonts w:hint="eastAsia" w:ascii="宋体" w:hAnsi="宋体" w:eastAsia="宋体" w:cs="宋体"/>
          <w:b/>
          <w:color w:val="000000" w:themeColor="text1"/>
          <w:sz w:val="24"/>
          <w:highlight w:val="none"/>
          <w:lang w:eastAsia="zh-CN"/>
          <w14:textFill>
            <w14:solidFill>
              <w14:schemeClr w14:val="tx1"/>
            </w14:solidFill>
          </w14:textFill>
        </w:rPr>
        <w:t>定标办法</w:t>
      </w:r>
    </w:p>
    <w:p w14:paraId="044543FB">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t>本项目定标办法由招标人按本投标人须知前附表的规定确定（只能选定其中一种定标办法）。</w:t>
      </w:r>
    </w:p>
    <w:p w14:paraId="7FDC22E6">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票决数量法</w:t>
      </w:r>
    </w:p>
    <w:p w14:paraId="5F10AE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本项目采用票决数量法定标。</w:t>
      </w:r>
    </w:p>
    <w:p w14:paraId="732599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一、票决数量法程序</w:t>
      </w:r>
    </w:p>
    <w:p w14:paraId="2142E8F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定标委员会根据定标因素对定标候选人进行评审比较后，每名定标委员会成员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有且仅有投出1票的权利，1票只能投1名定标候选人，</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进行票决排名确定排序的中标候选人。即各定标委员会成员对定标候选人进行投票，按得票高低推荐排序的前三名中标候选人。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若第一轮投票中前三名中标候选人有</w:t>
      </w:r>
      <w:r>
        <w:rPr>
          <w:rFonts w:hint="eastAsia" w:ascii="宋体" w:hAnsi="宋体" w:eastAsia="宋体" w:cs="宋体"/>
          <w:color w:val="000000" w:themeColor="text1"/>
          <w:sz w:val="24"/>
          <w:szCs w:val="24"/>
          <w:highlight w:val="none"/>
          <w:u w:val="none"/>
          <w:shd w:val="clear" w:color="auto" w:fill="FFFFFF"/>
          <w:lang w:val="en-US" w:eastAsia="zh-CN"/>
          <w14:textFill>
            <w14:solidFill>
              <w14:schemeClr w14:val="tx1"/>
            </w14:solidFill>
          </w14:textFill>
        </w:rPr>
        <w:t>得票相同且影响中标候选人排序确定的，由定标委员会对总票数相同的单位进行再次票决确定排序,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直至决出排序的前三名中标候选人。若定标候选人中没有符合评审要求的三名中标候选人，则宣告本次招标失败。</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票决采用记名方式并注明投票理由。</w:t>
      </w:r>
    </w:p>
    <w:p w14:paraId="6C4DBCF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项目情况介绍</w:t>
      </w:r>
    </w:p>
    <w:p w14:paraId="6E02FF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招标人代表介绍项目的概况及招标要求，以及定标方法与定标工作规则，不得发表具有倾向性的言论。</w:t>
      </w:r>
    </w:p>
    <w:p w14:paraId="40DE1C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审阅定标资料</w:t>
      </w:r>
    </w:p>
    <w:p w14:paraId="21431F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定标委员会成员对各定标候选人的投标文件进行审阅，审阅内容主要是定标工作规则所规定的定标因素，</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聚焦于项目需求与候选人能力的匹配度</w:t>
      </w:r>
      <w:r>
        <w:rPr>
          <w:rFonts w:hint="eastAsia" w:ascii="宋体" w:hAnsi="宋体" w:eastAsia="宋体" w:cs="宋体"/>
          <w:color w:val="000000" w:themeColor="text1"/>
          <w:sz w:val="24"/>
          <w:szCs w:val="24"/>
          <w:highlight w:val="none"/>
          <w:u w:val="none"/>
          <w:shd w:val="clear" w:color="auto" w:fill="FFFFFF"/>
          <w:lang w:eastAsia="zh-CN"/>
          <w14:textFill>
            <w14:solidFill>
              <w14:schemeClr w14:val="tx1"/>
            </w14:solidFill>
          </w14:textFill>
        </w:rPr>
        <w:t>。</w:t>
      </w:r>
    </w:p>
    <w:p w14:paraId="21D015D4">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（3）</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疑问澄清</w:t>
      </w:r>
    </w:p>
    <w:p w14:paraId="24E598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shd w:val="clear" w:color="auto" w:fill="FFFFFF"/>
          <w14:textFill>
            <w14:solidFill>
              <w14:schemeClr w14:val="tx1"/>
            </w14:solidFill>
          </w14:textFill>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1D31B10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（4）</w:t>
      </w: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投票，收票，点票和汇总</w:t>
      </w:r>
    </w:p>
    <w:p w14:paraId="7BDC242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E4BA2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w:t>
      </w: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公布结果和出具定标报告</w:t>
      </w:r>
    </w:p>
    <w:p w14:paraId="6CE0FE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点票工作完成后，定标委员会组长汇总定标结果，编制定标报告，确定中标候选人，全体成员签名。</w:t>
      </w:r>
    </w:p>
    <w:p w14:paraId="5925F1F0">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全程监督</w:t>
      </w:r>
    </w:p>
    <w:p w14:paraId="291D4FC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招标监督小组对集体议定的全过程进行监督，确保程序合规、讨论充分、记录完整，结论形成过程公正、透明。</w:t>
      </w:r>
    </w:p>
    <w:p w14:paraId="2F7CAD9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二、定标因素</w:t>
      </w:r>
    </w:p>
    <w:p w14:paraId="7A85D0D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在同等条件下，择优的定标因素和相对标准有以下几个方面：</w:t>
      </w:r>
    </w:p>
    <w:p w14:paraId="532710E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（1）履约评价</w:t>
      </w:r>
    </w:p>
    <w:p w14:paraId="054763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相对标准：履约记录良好的定标候选人优于没有履约记录或有不良履约记录的定标候选人。</w:t>
      </w:r>
    </w:p>
    <w:p w14:paraId="403559A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（2）企业信誉</w:t>
      </w:r>
    </w:p>
    <w:p w14:paraId="7647647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相对标准：企业信誉评价好的定标候选人优于企业信誉评价一般的定标候选人。</w:t>
      </w:r>
    </w:p>
    <w:p w14:paraId="711D86C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工程业绩</w:t>
      </w:r>
    </w:p>
    <w:p w14:paraId="50272D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相对标准：完成与招标项目规模、技术要求相匹配的同类工程业绩情况，完成同类工程</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业绩多的定标候选人优于完成同类工程业绩少的定标候选人（不超过三项)，工程业绩技术复杂，难度大、完成质量好的定标候选人优于工程业绩技术相对简单、难度较小、完成质量差的定标候选人。同类工程业绩项目规模、技术要求(指标)设定不高于招标项目规模、技术要求(指标)，不低于招标项目规模、技术要求(指标)的80%。完成同类工程业绩时间不少于近五年内。</w:t>
      </w:r>
    </w:p>
    <w:p w14:paraId="77247E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（4）设计方案</w:t>
      </w:r>
    </w:p>
    <w:p w14:paraId="1A3A7D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相对标准：设计方案优良的定标候选人优于设计方案较差的定标候选人。（设计方案</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对保证措施、施工计划和技术、工艺及工程项目实施的重点、难点分析和解决方案、安全文明施工措施、新技术应用、质量保证和违约责任承诺等的充分考虑，</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设计方案</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合理性、科学性、表述清晰、完整、具体、有效并实施可行。）</w:t>
      </w:r>
    </w:p>
    <w:p w14:paraId="337197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（5）评标报告</w:t>
      </w:r>
    </w:p>
    <w:p w14:paraId="3A6027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相对标准：评标委员会评审意见为具有优势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低</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的定标候选人优于评标委员会评审意见为没有优势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定标候选人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综合考虑评标委员会的评审意见，对各定标候选人</w:t>
      </w:r>
      <w:r>
        <w:rPr>
          <w:rFonts w:hint="eastAsia" w:ascii="宋体" w:hAnsi="宋体" w:eastAsia="宋体" w:cs="宋体"/>
          <w:color w:val="000000" w:themeColor="text1"/>
          <w:sz w:val="24"/>
          <w:szCs w:val="24"/>
          <w:highlight w:val="none"/>
          <w14:textFill>
            <w14:solidFill>
              <w14:schemeClr w14:val="tx1"/>
            </w14:solidFill>
          </w14:textFill>
        </w:rPr>
        <w:t>的优势、风险等评审情况</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进行评审比较</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w:t>
      </w:r>
    </w:p>
    <w:p w14:paraId="06AB439B">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Chars="200"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（6）企业实力</w:t>
      </w:r>
    </w:p>
    <w:p w14:paraId="1DF31728">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相对标准：企业实力包括企业规模较大、行业主管部门的行业排名比较靠前（如有）、资质等级较高、专业技术人员规模较大、</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按时按质完成项目的能力</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较强</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、施工期间现场服务及时性</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较强的定标候选人</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优于</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企业实力包括企业规模较小、行业主管部门的行业排名比较靠后（如有）、资质等级较低、专业技术人员规模较小、</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按时按质完成项目的能力</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较弱</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、施工期间现场服务及时性</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较弱的定标候选人。</w:t>
      </w:r>
    </w:p>
    <w:p w14:paraId="2F4FB466">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（7）项目团队人员配备</w:t>
      </w:r>
    </w:p>
    <w:p w14:paraId="01CC8422">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相对标准：拟派项目团队人员实力状况好的定标候选人优于团队实力状况差的定标候选人。</w:t>
      </w:r>
    </w:p>
    <w:p w14:paraId="06BD04CA">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（8）获得荣誉</w:t>
      </w:r>
    </w:p>
    <w:p w14:paraId="2C114C72">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获得各级权威性荣誉奖项等级高的定标候选人优于等级低的定标候选人，获得荣誉奖项多的定标候选人优于获得荣誉奖项少的定标候选人(同类荣誉奖项分别不超过三项)。荣誉奖项设置仅限于各行业主管部门和各级行业协会授予和颁发的荣誉奖项，获得荣誉奖项时间不少于近五年内。</w:t>
      </w:r>
    </w:p>
    <w:p w14:paraId="25659FB5">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（9）不良记录</w:t>
      </w:r>
    </w:p>
    <w:p w14:paraId="23989077">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近三年内无不良行为记录或通报的定标候选人优于有不良行为记录或通报的定标候选人，不良行为记录或通报较轻的定标候选人优于不良行为记录或通报较重的定标候选人，不良行为记录或通报少的定标候选人优于不良行为记录或通报多的定标候选人。</w:t>
      </w:r>
    </w:p>
    <w:p w14:paraId="17E2463C">
      <w:pPr>
        <w:keepNext w:val="0"/>
        <w:keepLines w:val="0"/>
        <w:pageBreakBefore w:val="0"/>
        <w:widowControl w:val="0"/>
        <w:kinsoku/>
        <w:wordWrap/>
        <w:overflowPunct/>
        <w:topLinePunct w:val="0"/>
        <w:autoSpaceDE/>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w:t>
      </w:r>
      <w:r>
        <w:rPr>
          <w:rFonts w:hint="eastAsia" w:ascii="宋体" w:hAnsi="宋体" w:eastAsia="宋体" w:cs="宋体"/>
          <w:b/>
          <w:color w:val="000000" w:themeColor="text1"/>
          <w:sz w:val="24"/>
          <w:highlight w:val="none"/>
          <w:lang w:val="en-US" w:eastAsia="zh-CN"/>
          <w14:textFill>
            <w14:solidFill>
              <w14:schemeClr w14:val="tx1"/>
            </w14:solidFill>
          </w14:textFill>
        </w:rPr>
        <w:t>定标结果</w:t>
      </w:r>
      <w:r>
        <w:rPr>
          <w:rFonts w:hint="eastAsia" w:ascii="宋体" w:hAnsi="宋体" w:eastAsia="宋体" w:cs="宋体"/>
          <w:b/>
          <w:color w:val="000000" w:themeColor="text1"/>
          <w:sz w:val="24"/>
          <w:highlight w:val="none"/>
          <w14:textFill>
            <w14:solidFill>
              <w14:schemeClr w14:val="tx1"/>
            </w14:solidFill>
          </w14:textFill>
        </w:rPr>
        <w:t>公示</w:t>
      </w:r>
    </w:p>
    <w:p w14:paraId="3D64DE18">
      <w:pPr>
        <w:shd w:val="clear" w:color="auto" w:fill="auto"/>
        <w:wordWrap w:val="0"/>
        <w:adjustRightInd w:val="0"/>
        <w:snapToGrid w:val="0"/>
        <w:spacing w:line="400" w:lineRule="exact"/>
        <w:ind w:firstLine="480" w:firstLineChars="200"/>
        <w:rPr>
          <w:rFonts w:hint="eastAsia"/>
          <w:color w:val="000000" w:themeColor="text1"/>
          <w:highlight w:val="none"/>
          <w14:textFill>
            <w14:solidFill>
              <w14:schemeClr w14:val="tx1"/>
            </w14:solidFill>
          </w14:textFill>
        </w:rPr>
      </w:pPr>
      <w:r>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t>定标委员会完成定标后，招标人应于定标会结束后3个工作日内将中标候选人和定标情况在广东省招标投标监管网和全国公共资源交易平台（广东省·韶关市）网上公示，公示时间不少于3个工作日。公示主要内容包括：定标报告（定标成员信息除外）、中标人名单、中标价和拟投入本项目的项目负责人、技术负责人及各专业负责人（如有）等内容。</w:t>
      </w:r>
    </w:p>
    <w:p w14:paraId="525D37F2">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p>
    <w:p w14:paraId="0185DDFF">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4</w:t>
      </w:r>
      <w:r>
        <w:rPr>
          <w:rFonts w:hint="eastAsia" w:ascii="宋体" w:hAnsi="宋体" w:eastAsia="宋体" w:cs="宋体"/>
          <w:b/>
          <w:color w:val="000000" w:themeColor="text1"/>
          <w:sz w:val="24"/>
          <w:highlight w:val="none"/>
          <w14:textFill>
            <w14:solidFill>
              <w14:schemeClr w14:val="tx1"/>
            </w14:solidFill>
          </w14:textFill>
        </w:rPr>
        <w:t>.中标人确定</w:t>
      </w:r>
    </w:p>
    <w:p w14:paraId="0365CBE7">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.1 中标</w:t>
      </w:r>
      <w:r>
        <w:rPr>
          <w:rFonts w:hint="eastAsia" w:ascii="宋体" w:hAnsi="宋体" w:eastAsia="宋体" w:cs="宋体"/>
          <w:color w:val="000000" w:themeColor="text1"/>
          <w:sz w:val="24"/>
          <w:highlight w:val="none"/>
          <w:lang w:eastAsia="zh-CN"/>
          <w14:textFill>
            <w14:solidFill>
              <w14:schemeClr w14:val="tx1"/>
            </w14:solidFill>
          </w14:textFill>
        </w:rPr>
        <w:t>候选人</w:t>
      </w:r>
      <w:r>
        <w:rPr>
          <w:rFonts w:hint="eastAsia" w:ascii="宋体" w:hAnsi="宋体" w:eastAsia="宋体" w:cs="宋体"/>
          <w:color w:val="000000" w:themeColor="text1"/>
          <w:sz w:val="24"/>
          <w:highlight w:val="none"/>
          <w14:textFill>
            <w14:solidFill>
              <w14:schemeClr w14:val="tx1"/>
            </w14:solidFill>
          </w14:textFill>
        </w:rPr>
        <w:t>公示期满无异议的，招标人确认</w:t>
      </w:r>
      <w:r>
        <w:rPr>
          <w:rFonts w:hint="eastAsia" w:ascii="宋体" w:hAnsi="宋体" w:eastAsia="宋体" w:cs="宋体"/>
          <w:strike w:val="0"/>
          <w:dstrike w:val="0"/>
          <w:color w:val="000000" w:themeColor="text1"/>
          <w:sz w:val="24"/>
          <w:highlight w:val="none"/>
          <w14:textFill>
            <w14:solidFill>
              <w14:schemeClr w14:val="tx1"/>
            </w14:solidFill>
          </w14:textFill>
        </w:rPr>
        <w:t>排名第一的</w:t>
      </w:r>
      <w:r>
        <w:rPr>
          <w:rFonts w:hint="eastAsia" w:ascii="宋体" w:hAnsi="宋体" w:eastAsia="宋体" w:cs="宋体"/>
          <w:color w:val="000000" w:themeColor="text1"/>
          <w:sz w:val="24"/>
          <w:highlight w:val="none"/>
          <w14:textFill>
            <w14:solidFill>
              <w14:schemeClr w14:val="tx1"/>
            </w14:solidFill>
          </w14:textFill>
        </w:rPr>
        <w:t>中标候选人为中标人，中标人的投标报价即为中标价。</w:t>
      </w:r>
    </w:p>
    <w:p w14:paraId="7C202C01">
      <w:pPr>
        <w:pStyle w:val="41"/>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firstLine="480" w:firstLineChars="200"/>
        <w:jc w:val="both"/>
        <w:textAlignment w:val="auto"/>
        <w:outlineLvl w:val="9"/>
        <w:rPr>
          <w:rFonts w:hint="eastAsia" w:ascii="宋体" w:hAnsi="宋体" w:eastAsia="宋体" w:cs="宋体"/>
          <w:color w:val="000000" w:themeColor="text1"/>
          <w:kern w:val="2"/>
          <w:highlight w:val="none"/>
          <w:u w:val="none"/>
          <w14:textFill>
            <w14:solidFill>
              <w14:schemeClr w14:val="tx1"/>
            </w14:solidFill>
          </w14:textFill>
        </w:rPr>
      </w:pPr>
    </w:p>
    <w:p w14:paraId="6DD71F2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eastAsia="zh-CN"/>
          <w14:textFill>
            <w14:solidFill>
              <w14:schemeClr w14:val="tx1"/>
            </w14:solidFill>
          </w14:textFill>
        </w:rPr>
        <w:t>异议和投诉</w:t>
      </w:r>
    </w:p>
    <w:p w14:paraId="503FF514">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投标人或者其他利害关系人对招标项目的</w:t>
      </w:r>
      <w:r>
        <w:rPr>
          <w:rFonts w:hint="eastAsia" w:ascii="宋体" w:hAnsi="宋体" w:eastAsia="宋体" w:cs="宋体"/>
          <w:color w:val="000000" w:themeColor="text1"/>
          <w:sz w:val="24"/>
          <w:highlight w:val="none"/>
          <w:lang w:eastAsia="zh-CN"/>
          <w14:textFill>
            <w14:solidFill>
              <w14:schemeClr w14:val="tx1"/>
            </w14:solidFill>
          </w14:textFill>
        </w:rPr>
        <w:t>评</w:t>
      </w:r>
      <w:r>
        <w:rPr>
          <w:rFonts w:hint="eastAsia" w:ascii="宋体" w:hAnsi="宋体" w:eastAsia="宋体" w:cs="宋体"/>
          <w:color w:val="000000" w:themeColor="text1"/>
          <w:sz w:val="24"/>
          <w:highlight w:val="none"/>
          <w14:textFill>
            <w14:solidFill>
              <w14:schemeClr w14:val="tx1"/>
            </w14:solidFill>
          </w14:textFill>
        </w:rPr>
        <w:t>标</w:t>
      </w:r>
      <w:r>
        <w:rPr>
          <w:rFonts w:hint="eastAsia" w:ascii="宋体" w:hAnsi="宋体" w:eastAsia="宋体" w:cs="宋体"/>
          <w:color w:val="000000" w:themeColor="text1"/>
          <w:sz w:val="24"/>
          <w:highlight w:val="none"/>
          <w:lang w:eastAsia="zh-CN"/>
          <w14:textFill>
            <w14:solidFill>
              <w14:schemeClr w14:val="tx1"/>
            </w14:solidFill>
          </w14:textFill>
        </w:rPr>
        <w:t>和中标</w:t>
      </w:r>
      <w:r>
        <w:rPr>
          <w:rFonts w:hint="eastAsia" w:ascii="宋体" w:hAnsi="宋体" w:eastAsia="宋体" w:cs="宋体"/>
          <w:color w:val="000000" w:themeColor="text1"/>
          <w:sz w:val="24"/>
          <w:highlight w:val="none"/>
          <w14:textFill>
            <w14:solidFill>
              <w14:schemeClr w14:val="tx1"/>
            </w14:solidFill>
          </w14:textFill>
        </w:rPr>
        <w:t>结果有异议的，应当在</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定标候选人和中标候选人</w:t>
      </w:r>
      <w:r>
        <w:rPr>
          <w:rFonts w:hint="eastAsia" w:ascii="宋体" w:hAnsi="宋体" w:eastAsia="宋体" w:cs="宋体"/>
          <w:color w:val="000000" w:themeColor="text1"/>
          <w:sz w:val="24"/>
          <w:highlight w:val="none"/>
          <w14:textFill>
            <w14:solidFill>
              <w14:schemeClr w14:val="tx1"/>
            </w14:solidFill>
          </w14:textFill>
        </w:rPr>
        <w:t>公示期</w:t>
      </w:r>
      <w:r>
        <w:rPr>
          <w:rFonts w:hint="eastAsia" w:ascii="宋体" w:hAnsi="宋体" w:eastAsia="宋体" w:cs="宋体"/>
          <w:color w:val="000000" w:themeColor="text1"/>
          <w:sz w:val="24"/>
          <w:highlight w:val="none"/>
          <w:lang w:eastAsia="zh-CN"/>
          <w14:textFill>
            <w14:solidFill>
              <w14:schemeClr w14:val="tx1"/>
            </w14:solidFill>
          </w14:textFill>
        </w:rPr>
        <w:t>间按规定</w:t>
      </w:r>
      <w:r>
        <w:rPr>
          <w:rFonts w:hint="eastAsia" w:ascii="宋体" w:hAnsi="宋体" w:eastAsia="宋体" w:cs="宋体"/>
          <w:color w:val="000000" w:themeColor="text1"/>
          <w:sz w:val="24"/>
          <w:highlight w:val="none"/>
          <w14:textFill>
            <w14:solidFill>
              <w14:schemeClr w14:val="tx1"/>
            </w14:solidFill>
          </w14:textFill>
        </w:rPr>
        <w:t>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283FBF5D">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p>
    <w:p w14:paraId="1BD9F848">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在</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定标候选人和中标候选人</w:t>
      </w:r>
      <w:r>
        <w:rPr>
          <w:rFonts w:hint="eastAsia" w:ascii="宋体" w:hAnsi="宋体" w:eastAsia="宋体" w:cs="宋体"/>
          <w:color w:val="000000" w:themeColor="text1"/>
          <w:kern w:val="0"/>
          <w:sz w:val="24"/>
          <w:szCs w:val="24"/>
          <w:highlight w:val="none"/>
          <w14:textFill>
            <w14:solidFill>
              <w14:schemeClr w14:val="tx1"/>
            </w14:solidFill>
          </w14:textFill>
        </w:rPr>
        <w:t>公示期间有关评标结果的异议成立的，招标人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原则上</w:t>
      </w:r>
      <w:r>
        <w:rPr>
          <w:rFonts w:hint="eastAsia" w:ascii="宋体" w:hAnsi="宋体" w:eastAsia="宋体" w:cs="宋体"/>
          <w:color w:val="000000" w:themeColor="text1"/>
          <w:kern w:val="0"/>
          <w:sz w:val="24"/>
          <w:szCs w:val="24"/>
          <w:highlight w:val="none"/>
          <w14:textFill>
            <w14:solidFill>
              <w14:schemeClr w14:val="tx1"/>
            </w14:solidFill>
          </w14:textFill>
        </w:rPr>
        <w:t>应当组织原评标委员会</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和原定标委员会</w:t>
      </w:r>
      <w:r>
        <w:rPr>
          <w:rFonts w:hint="eastAsia" w:ascii="宋体" w:hAnsi="宋体" w:eastAsia="宋体" w:cs="宋体"/>
          <w:color w:val="000000" w:themeColor="text1"/>
          <w:kern w:val="0"/>
          <w:sz w:val="24"/>
          <w:szCs w:val="24"/>
          <w:highlight w:val="none"/>
          <w14:textFill>
            <w14:solidFill>
              <w14:schemeClr w14:val="tx1"/>
            </w14:solidFill>
          </w14:textFill>
        </w:rPr>
        <w:t>对有关的问题予以纠正，问题纠正后再公示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定标候选人和</w:t>
      </w:r>
      <w:r>
        <w:rPr>
          <w:rFonts w:hint="eastAsia" w:ascii="宋体" w:hAnsi="宋体" w:eastAsia="宋体" w:cs="宋体"/>
          <w:color w:val="000000" w:themeColor="text1"/>
          <w:kern w:val="0"/>
          <w:sz w:val="24"/>
          <w:szCs w:val="24"/>
          <w:highlight w:val="none"/>
          <w14:textFill>
            <w14:solidFill>
              <w14:schemeClr w14:val="tx1"/>
            </w14:solidFill>
          </w14:textFill>
        </w:rPr>
        <w:t>中标候选人。</w:t>
      </w:r>
    </w:p>
    <w:p w14:paraId="4D0436A7">
      <w:pPr>
        <w:wordWrap w:val="0"/>
        <w:adjustRightInd w:val="0"/>
        <w:snapToGrid w:val="0"/>
        <w:spacing w:line="44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sectPr>
          <w:endnotePr>
            <w:numFmt w:val="decimal"/>
          </w:endnotePr>
          <w:pgSz w:w="11906" w:h="16838"/>
          <w:pgMar w:top="1701" w:right="1015" w:bottom="1417" w:left="1291" w:header="850" w:footer="992" w:gutter="0"/>
          <w:pgNumType w:fmt="decimal"/>
          <w:cols w:space="720" w:num="1"/>
          <w:docGrid w:linePitch="327" w:charSpace="0"/>
        </w:sectPr>
      </w:pPr>
    </w:p>
    <w:p w14:paraId="2A08D199">
      <w:pPr>
        <w:wordWrap w:val="0"/>
        <w:adjustRightInd w:val="0"/>
        <w:snapToGrid w:val="0"/>
        <w:spacing w:line="440" w:lineRule="exact"/>
        <w:ind w:firstLine="420" w:firstLineChars="200"/>
        <w:rPr>
          <w:rFonts w:ascii="宋体" w:hAnsi="宋体" w:eastAsia="宋体" w:cs="宋体"/>
          <w:color w:val="000000" w:themeColor="text1"/>
          <w:highlight w:val="none"/>
          <w:lang w:eastAsia="zh-CN"/>
          <w14:textFill>
            <w14:solidFill>
              <w14:schemeClr w14:val="tx1"/>
            </w14:solidFill>
          </w14:textFill>
        </w:rPr>
      </w:pPr>
    </w:p>
    <w:p w14:paraId="057EAF4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362E3439">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37E64D5">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FA8CB60">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1222BA0F">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204DEECB">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4BAA961A">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CE516F3">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97AC060">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1F950D8B">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0214BE0">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8A825BC">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AF70C51">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20932967">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4516375">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6FC0527">
      <w:pPr>
        <w:kinsoku/>
        <w:spacing w:before="179" w:line="360" w:lineRule="auto"/>
        <w:ind w:left="1308"/>
        <w:outlineLvl w:val="0"/>
        <w:rPr>
          <w:rFonts w:ascii="宋体" w:hAnsi="宋体" w:eastAsia="宋体" w:cs="宋体"/>
          <w:color w:val="000000" w:themeColor="text1"/>
          <w:sz w:val="55"/>
          <w:szCs w:val="55"/>
          <w:highlight w:val="none"/>
          <w:lang w:eastAsia="zh-CN"/>
          <w14:textFill>
            <w14:solidFill>
              <w14:schemeClr w14:val="tx1"/>
            </w14:solidFill>
          </w14:textFill>
        </w:rPr>
      </w:pPr>
      <w:bookmarkStart w:id="375" w:name="bookmark215"/>
      <w:bookmarkEnd w:id="375"/>
      <w:bookmarkStart w:id="376" w:name="bookmark214"/>
      <w:bookmarkEnd w:id="376"/>
      <w:bookmarkStart w:id="377" w:name="_Toc113"/>
      <w:bookmarkStart w:id="378" w:name="_Toc24275"/>
      <w:r>
        <w:rPr>
          <w:rFonts w:hint="eastAsia" w:ascii="宋体" w:hAnsi="宋体" w:eastAsia="宋体" w:cs="宋体"/>
          <w:color w:val="000000" w:themeColor="text1"/>
          <w:sz w:val="55"/>
          <w:szCs w:val="55"/>
          <w:highlight w:val="none"/>
          <w:lang w:eastAsia="zh-CN"/>
          <w14:textFill>
            <w14:solidFill>
              <w14:schemeClr w14:val="tx1"/>
            </w14:solidFill>
          </w14:textFill>
        </w:rPr>
        <w:t>第四章  合同条款及格式</w:t>
      </w:r>
      <w:bookmarkEnd w:id="377"/>
      <w:bookmarkEnd w:id="378"/>
    </w:p>
    <w:p w14:paraId="5175DF9B">
      <w:pPr>
        <w:kinsoku/>
        <w:spacing w:line="360" w:lineRule="auto"/>
        <w:rPr>
          <w:rFonts w:ascii="宋体" w:hAnsi="宋体" w:eastAsia="宋体" w:cs="宋体"/>
          <w:color w:val="000000" w:themeColor="text1"/>
          <w:sz w:val="55"/>
          <w:szCs w:val="55"/>
          <w:highlight w:val="none"/>
          <w:lang w:eastAsia="zh-CN"/>
          <w14:textFill>
            <w14:solidFill>
              <w14:schemeClr w14:val="tx1"/>
            </w14:solidFill>
          </w14:textFill>
        </w:rPr>
        <w:sectPr>
          <w:headerReference r:id="rId27" w:type="default"/>
          <w:footerReference r:id="rId28" w:type="default"/>
          <w:pgSz w:w="11907" w:h="16841"/>
          <w:pgMar w:top="1173" w:right="1555" w:bottom="1254" w:left="1615" w:header="862" w:footer="1093" w:gutter="0"/>
          <w:cols w:space="720" w:num="1"/>
        </w:sectPr>
      </w:pPr>
    </w:p>
    <w:p w14:paraId="2E88289A">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324FDA16">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0D2BEF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FA2A00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15D5690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1455C367">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5E4E746">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475B087D">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D240703">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87B7914">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198D64A">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DB2D63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354B6242">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1C7A113">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B0E0515">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365CE2ED">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51FED2B">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5B98F97">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1B7937F">
      <w:pPr>
        <w:kinsoku/>
        <w:spacing w:before="101" w:line="360" w:lineRule="auto"/>
        <w:ind w:left="2859"/>
        <w:outlineLvl w:val="1"/>
        <w:rPr>
          <w:rFonts w:ascii="宋体" w:hAnsi="宋体" w:eastAsia="宋体" w:cs="宋体"/>
          <w:color w:val="000000" w:themeColor="text1"/>
          <w:sz w:val="31"/>
          <w:szCs w:val="31"/>
          <w:highlight w:val="none"/>
          <w:lang w:eastAsia="zh-CN"/>
          <w14:textFill>
            <w14:solidFill>
              <w14:schemeClr w14:val="tx1"/>
            </w14:solidFill>
          </w14:textFill>
        </w:rPr>
      </w:pPr>
      <w:bookmarkStart w:id="379" w:name="bookmark216"/>
      <w:bookmarkEnd w:id="379"/>
      <w:bookmarkStart w:id="380" w:name="bookmark217"/>
      <w:bookmarkEnd w:id="380"/>
      <w:bookmarkStart w:id="381" w:name="_Toc9730"/>
      <w:bookmarkStart w:id="382" w:name="_Toc27084"/>
      <w:r>
        <w:rPr>
          <w:rFonts w:hint="eastAsia" w:ascii="宋体" w:hAnsi="宋体" w:eastAsia="宋体" w:cs="宋体"/>
          <w:color w:val="000000" w:themeColor="text1"/>
          <w:sz w:val="31"/>
          <w:szCs w:val="31"/>
          <w:highlight w:val="none"/>
          <w:lang w:eastAsia="zh-CN"/>
          <w14:textFill>
            <w14:solidFill>
              <w14:schemeClr w14:val="tx1"/>
            </w14:solidFill>
          </w14:textFill>
        </w:rPr>
        <w:t>第一节 通用合同条款</w:t>
      </w:r>
      <w:bookmarkEnd w:id="381"/>
      <w:bookmarkEnd w:id="382"/>
    </w:p>
    <w:p w14:paraId="247159BA">
      <w:pPr>
        <w:kinsoku/>
        <w:spacing w:line="360" w:lineRule="auto"/>
        <w:rPr>
          <w:rFonts w:ascii="宋体" w:hAnsi="宋体" w:eastAsia="宋体" w:cs="宋体"/>
          <w:color w:val="000000" w:themeColor="text1"/>
          <w:sz w:val="31"/>
          <w:szCs w:val="31"/>
          <w:highlight w:val="none"/>
          <w:lang w:eastAsia="zh-CN"/>
          <w14:textFill>
            <w14:solidFill>
              <w14:schemeClr w14:val="tx1"/>
            </w14:solidFill>
          </w14:textFill>
        </w:rPr>
        <w:sectPr>
          <w:footerReference r:id="rId29" w:type="default"/>
          <w:pgSz w:w="11907" w:h="16841"/>
          <w:pgMar w:top="1173" w:right="1555" w:bottom="1254" w:left="1615" w:header="862" w:footer="1093" w:gutter="0"/>
          <w:cols w:space="720" w:num="1"/>
        </w:sectPr>
      </w:pPr>
    </w:p>
    <w:p w14:paraId="572FCA36">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55BAB25">
      <w:pPr>
        <w:kinsoku/>
        <w:spacing w:before="100" w:line="360" w:lineRule="auto"/>
        <w:ind w:left="3416"/>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color w:val="000000" w:themeColor="text1"/>
          <w:sz w:val="31"/>
          <w:szCs w:val="31"/>
          <w:highlight w:val="none"/>
          <w:lang w:eastAsia="zh-CN"/>
          <w14:textFill>
            <w14:solidFill>
              <w14:schemeClr w14:val="tx1"/>
            </w14:solidFill>
          </w14:textFill>
        </w:rPr>
        <w:t>通用合同条款</w:t>
      </w:r>
    </w:p>
    <w:p w14:paraId="13C48569">
      <w:pPr>
        <w:kinsoku/>
        <w:spacing w:before="100" w:line="360" w:lineRule="auto"/>
        <w:jc w:val="center"/>
        <w:rPr>
          <w:rFonts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b/>
          <w:bCs/>
          <w:color w:val="000000" w:themeColor="text1"/>
          <w:sz w:val="31"/>
          <w:szCs w:val="31"/>
          <w:highlight w:val="none"/>
          <w:lang w:eastAsia="zh-CN"/>
          <w14:textFill>
            <w14:solidFill>
              <w14:schemeClr w14:val="tx1"/>
            </w14:solidFill>
          </w14:textFill>
        </w:rPr>
        <w:t>（本次招标项目只招设计，有关勘察</w:t>
      </w:r>
      <w:r>
        <w:rPr>
          <w:rFonts w:hint="eastAsia" w:ascii="宋体" w:hAnsi="宋体" w:eastAsia="宋体" w:cs="宋体"/>
          <w:b/>
          <w:bCs/>
          <w:color w:val="000000" w:themeColor="text1"/>
          <w:sz w:val="31"/>
          <w:szCs w:val="31"/>
          <w:highlight w:val="none"/>
          <w:lang w:val="en-US" w:eastAsia="zh-CN"/>
          <w14:textFill>
            <w14:solidFill>
              <w14:schemeClr w14:val="tx1"/>
            </w14:solidFill>
          </w14:textFill>
        </w:rPr>
        <w:t>和预算</w:t>
      </w:r>
      <w:r>
        <w:rPr>
          <w:rFonts w:hint="eastAsia" w:ascii="宋体" w:hAnsi="宋体" w:eastAsia="宋体" w:cs="宋体"/>
          <w:b/>
          <w:bCs/>
          <w:color w:val="000000" w:themeColor="text1"/>
          <w:sz w:val="31"/>
          <w:szCs w:val="31"/>
          <w:highlight w:val="none"/>
          <w:lang w:eastAsia="zh-CN"/>
          <w14:textFill>
            <w14:solidFill>
              <w14:schemeClr w14:val="tx1"/>
            </w14:solidFill>
          </w14:textFill>
        </w:rPr>
        <w:t>的描述本项目不适用）</w:t>
      </w:r>
    </w:p>
    <w:p w14:paraId="563A4F6C">
      <w:pPr>
        <w:kinsoku/>
        <w:spacing w:before="261"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383" w:name="bookmark218"/>
      <w:bookmarkEnd w:id="383"/>
      <w:bookmarkStart w:id="384" w:name="bookmark219"/>
      <w:bookmarkEnd w:id="384"/>
      <w:r>
        <w:rPr>
          <w:rFonts w:hint="eastAsia" w:ascii="宋体" w:hAnsi="宋体" w:eastAsia="宋体" w:cs="宋体"/>
          <w:b/>
          <w:bCs/>
          <w:color w:val="000000" w:themeColor="text1"/>
          <w:sz w:val="28"/>
          <w:szCs w:val="28"/>
          <w:highlight w:val="none"/>
          <w:lang w:eastAsia="zh-CN"/>
          <w14:textFill>
            <w14:solidFill>
              <w14:schemeClr w14:val="tx1"/>
            </w14:solidFill>
          </w14:textFill>
        </w:rPr>
        <w:t>1.一般约定</w:t>
      </w:r>
    </w:p>
    <w:p w14:paraId="784463C8">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 词语定义</w:t>
      </w:r>
    </w:p>
    <w:p w14:paraId="17ECCBE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通用合同条款、专用合同条款中的下列词语应具有本款所赋予的含义。</w:t>
      </w:r>
    </w:p>
    <w:p w14:paraId="3A792B6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 合同</w:t>
      </w:r>
    </w:p>
    <w:p w14:paraId="0C8781F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合同文件（或称合同）：指合同协议书及各种合同附件、中标通知书、投标函、专用合同条款、通用合同条款、发包人要求、勘察设计费用清单，以及其他构成合同组成部分的文件。</w:t>
      </w:r>
    </w:p>
    <w:p w14:paraId="1DC2564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合同协议书：指发包人和设计人共同签署的合同协议书。</w:t>
      </w:r>
    </w:p>
    <w:p w14:paraId="770D456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中标通知书：指发包人通知设计人中标的函件。</w:t>
      </w:r>
    </w:p>
    <w:p w14:paraId="3763BF5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投标函：指由设计人填写并签署的，名为“投标函”的函件。</w:t>
      </w:r>
    </w:p>
    <w:p w14:paraId="421BE32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发包人要求：指合同文件中名为“发包人要求”的文件。</w:t>
      </w:r>
    </w:p>
    <w:p w14:paraId="22FC2B2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技术建议书：指设计人投标文件中的技术建议书。</w:t>
      </w:r>
    </w:p>
    <w:p w14:paraId="31F2945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"file:///F:\\2025年项目\\预招标\\机场路\\新建文件夹\\1.1.1.7"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1.1.1.7</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勘察设计费用清单：指设计人投标文件中的勘察设计费用清单。</w:t>
      </w:r>
    </w:p>
    <w:p w14:paraId="1787943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"file:///F:\\2025年项目\\预招标\\机场路\\新建文件夹\\1.1.1.8"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1.1.1.8</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其他合同文件：指经合同双方当事人确认构成合同文件的其他文件。</w:t>
      </w:r>
    </w:p>
    <w:p w14:paraId="7C97915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 合同当事人和人员</w:t>
      </w:r>
    </w:p>
    <w:p w14:paraId="238DE93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合同当事人：指发包人和（或）设计人。</w:t>
      </w:r>
    </w:p>
    <w:p w14:paraId="09431AB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发包人：指与设计人签订合同协议书的当事人，以及取得该当事人资格的合法继承人。</w:t>
      </w:r>
    </w:p>
    <w:p w14:paraId="17C9AC3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设计人：指与发包人签订合同协议书的当事人，以及取得该当事人资格的合法继承人。若设计人为联合体，则设计人包括联合体所有成员单位。</w:t>
      </w:r>
    </w:p>
    <w:p w14:paraId="1C180B2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发包人代表：指由发包人任命，并在授权范围和期限内代表发包人行使权利和履行义务的全权负责人。</w:t>
      </w:r>
    </w:p>
    <w:p w14:paraId="2BE1DE3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项目负责人：指由设计人任命，代表设计人行使权利和履行义务的全权负责人。</w:t>
      </w:r>
    </w:p>
    <w:p w14:paraId="754ACEF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分项负责人：指由设计人任命，并经过发包人认可的各专业负责人。</w:t>
      </w:r>
    </w:p>
    <w:p w14:paraId="3BF6E42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"file:///F:\\2025年项目\\预招标\\机场路\\新建文件夹\\1.1.2.7"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1.1.2.7</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分包人：指从设计人处分包合同中某一部分工作，并与其签订分包合同的单位。</w:t>
      </w:r>
    </w:p>
    <w:p w14:paraId="0F98290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"file:///F:\\2025年项目\\预招标\\机场路\\新建文件夹\\1.1.2.8"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1.1.2.8</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咨询单位：指受发包人委托对本工程勘察设计文件进行审查或提供咨询意见的咨询机构。</w:t>
      </w:r>
    </w:p>
    <w:p w14:paraId="63769CC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1.1.3 工程和勘察设计</w:t>
      </w:r>
    </w:p>
    <w:p w14:paraId="5E1867D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工程：指专用合同条款中指明进行勘察设计招标的工程。</w:t>
      </w:r>
    </w:p>
    <w:p w14:paraId="233714C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勘察设计服务：指设计人按照合同约定履行的服务，包括制订勘察设计工作大纲，进行测绘、勘探、取样和试验等，查明、分析和评估地质特征和工程条件，编制勘察报告；编制设计文件和设计概</w:t>
      </w:r>
      <w:r>
        <w:rPr>
          <w:rFonts w:hint="eastAsia" w:ascii="宋体" w:hAnsi="宋体" w:eastAsia="宋体" w:cs="宋体"/>
          <w:strike w:val="0"/>
          <w:dstrike w:val="0"/>
          <w:color w:val="000000" w:themeColor="text1"/>
          <w:sz w:val="24"/>
          <w:szCs w:val="24"/>
          <w:highlight w:val="none"/>
          <w:lang w:eastAsia="zh-CN"/>
          <w14:textFill>
            <w14:solidFill>
              <w14:schemeClr w14:val="tx1"/>
            </w14:solidFill>
          </w14:textFill>
        </w:rPr>
        <w:t>算、预算，提</w:t>
      </w:r>
      <w:r>
        <w:rPr>
          <w:rFonts w:hint="eastAsia" w:ascii="宋体" w:hAnsi="宋体" w:eastAsia="宋体" w:cs="宋体"/>
          <w:color w:val="000000" w:themeColor="text1"/>
          <w:sz w:val="24"/>
          <w:szCs w:val="24"/>
          <w:highlight w:val="none"/>
          <w:lang w:eastAsia="zh-CN"/>
          <w14:textFill>
            <w14:solidFill>
              <w14:schemeClr w14:val="tx1"/>
            </w14:solidFill>
          </w14:textFill>
        </w:rPr>
        <w:t>供技术交底、招标与施工配合，参加交工验收、参加竣工验收或发包人委托的其他服务。</w:t>
      </w:r>
    </w:p>
    <w:p w14:paraId="18816D8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勘察设备：指为完成合同约定的各项工作所需的设备、器具和其他物品，不包括临时工程和材料。</w:t>
      </w:r>
    </w:p>
    <w:p w14:paraId="03DF5E3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勘探场地：指用于工程勘探的场所，以及在合同中指定作为勘探场地组成的其他场所。</w:t>
      </w:r>
    </w:p>
    <w:p w14:paraId="3E27A03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勘察设计资料：指发包人按合同约定向设计人提供的、用于完成勘察设计服务范围与内容所需的资料。</w:t>
      </w:r>
    </w:p>
    <w:p w14:paraId="5E29DB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文件：指设计人按合同约定向发包人提交的工程勘察报告、服务大纲、勘察方案、外业指导书、进度计划，设计说明、图纸、图板、模型、计算书、软件和其他文件等，包括阶段性文件和最终文件，且应采用合同中双方约定的格式和载体。</w:t>
      </w:r>
    </w:p>
    <w:p w14:paraId="1E39A16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1.1.4 日期</w:t>
      </w:r>
    </w:p>
    <w:p w14:paraId="2FD2BFE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开始勘察设计通知：指发包人按第6.1款通知设计人开始勘察设计的函件。</w:t>
      </w:r>
    </w:p>
    <w:p w14:paraId="0E85385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开始勘察设计日期：指发包人按第6.1款发出的开始勘察设计通知中写明的开始勘察设计日期。</w:t>
      </w:r>
    </w:p>
    <w:p w14:paraId="24816FC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勘察设计服务期限：指设计人在投标函中承诺的完成合同勘察设计服务所需的期限，包括按第6.2款、第6.4款、第6.5款和第6.7款约定所作的调整。</w:t>
      </w:r>
    </w:p>
    <w:p w14:paraId="55468E8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完成勘察设计日期：指第</w:t>
      </w:r>
      <w:r>
        <w:rPr>
          <w:color w:val="000000" w:themeColor="text1"/>
          <w:highlight w:val="none"/>
          <w14:textFill>
            <w14:solidFill>
              <w14:schemeClr w14:val="tx1"/>
            </w14:solidFill>
          </w14:textFill>
        </w:rPr>
        <w:fldChar w:fldCharType="begin"/>
      </w:r>
      <w:r>
        <w:rPr>
          <w:color w:val="000000" w:themeColor="text1"/>
          <w:highlight w:val="none"/>
          <w:lang w:eastAsia="zh-CN"/>
          <w14:textFill>
            <w14:solidFill>
              <w14:schemeClr w14:val="tx1"/>
            </w14:solidFill>
          </w14:textFill>
        </w:rPr>
        <w:instrText xml:space="preserve"> HYPERLINK "file:///F:\\2025年项目\\预招标\\机场路\\新建文件夹\\1.1.4.3"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1.1.4.3</w:t>
      </w:r>
      <w:r>
        <w:rPr>
          <w:rFonts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目约定勘察设计服务期限届满时的日期。</w:t>
      </w:r>
    </w:p>
    <w:p w14:paraId="6EB26FF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基准日：指投标截止时间前28天的日期。</w:t>
      </w:r>
    </w:p>
    <w:p w14:paraId="464281E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天：除特别指明外，指日历天。合同中按天计算时间的，开始当天不计入，从次日开始计算。期限最后一天的截止时间为当天24:00。</w:t>
      </w:r>
    </w:p>
    <w:p w14:paraId="5475CFC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1.1.5 合同价格和费用</w:t>
      </w:r>
    </w:p>
    <w:p w14:paraId="4EF52F5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"file:///F:\\2025年项目\\预招标\\机场路\\新建文件夹\\1.1.5.1"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1.1.5.1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签约合同价：指签订合同时合同协议书中写明的、包括暂列金额在内的勘察设计费用总金额。</w:t>
      </w:r>
    </w:p>
    <w:p w14:paraId="5B764E9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"file:///F:\\2025年项目\\预招标\\机场路\\新建文件夹\\1.1.5.2"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1.1.5.2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合同价格：指设计人按合同约定完成了全部勘察设计工作后，发包人应付给设计人的金额，包括在履行合同过程中按合同约定进行的变更和调整。</w:t>
      </w:r>
    </w:p>
    <w:p w14:paraId="6A48A78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"file:///F:\\2025年项目\\预招标\\机场路\\新建文件夹\\1.1.5.3"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1.1.5.3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费用：指为履行合同所发生的或将要发生的所有合理开支，包括管理费和应分摊的其他费用，但不包括利润。</w:t>
      </w:r>
    </w:p>
    <w:p w14:paraId="76CC227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"file:///F:\\2025年项目\\预招标\\机场路\\新建文件夹\\1.1.5.4"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1.1.5.4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暂列金额：指暂时未定的，包括在合同中，并在报价清单汇总表中以此名称标明的金额，用于进行本工程可能发生的额外勘察设计工作或作为不可预见费用，按照合同条款第12.5款的规定使用。</w:t>
      </w:r>
    </w:p>
    <w:p w14:paraId="1E75732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1.1.6 其他</w:t>
      </w:r>
    </w:p>
    <w:p w14:paraId="75EF6A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"file:///F:\\2025年项目\\预招标\\机场路\\新建文件夹\\1.1.6.1"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1.1.6.1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书面形式：指合同文件、信件和数据电文（包括电报、电传、传真、电子数据交换和电子邮件）等可以有形地表现所载内容的形式。</w:t>
      </w:r>
    </w:p>
    <w:p w14:paraId="40795B8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"file:///F:\\2025年项目\\预招标\\机场路\\新建文件夹\\1.1.6.2"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1.1.6.2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勘察设计质量事故：指在缺陷责任期结束前，由于勘察设计原因使工程不满足技术标准及设计要求，并造成结构损毁或一定直接经济损失的事故。</w:t>
      </w:r>
    </w:p>
    <w:p w14:paraId="7C3D310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根据直接经济损失或工程结构损毁情况（自然灾害所致除外），勘察设计质量事故分为特别重大质量事故、重大质量事故、较大质量事故和一般质量事故四个等级，上述质量事故的界定按交通运输部《公路水运建设工程质量事故等级划分和报告制度》规定执行。</w:t>
      </w:r>
    </w:p>
    <w:p w14:paraId="6D1A2E39">
      <w:pPr>
        <w:kinsoku/>
        <w:spacing w:before="3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 语言文字</w:t>
      </w:r>
    </w:p>
    <w:p w14:paraId="1B320B0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合同使用的语言文字为中文。专用术语使用外文的，应附有中文注释。</w:t>
      </w:r>
    </w:p>
    <w:p w14:paraId="06E0331B">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1.3 适用法律</w:t>
      </w:r>
    </w:p>
    <w:p w14:paraId="4B956D5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适用于合同的法律包括中华人民共和国法律、行政法规、部门规章，以及工程所在地的地方法规、自治条例、单行条例和地方政府规章。</w:t>
      </w:r>
    </w:p>
    <w:p w14:paraId="2B74AA0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本合同适用的其他规范性文件，可在专用合同条款中约定。</w:t>
      </w:r>
    </w:p>
    <w:p w14:paraId="094F16C6">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 合同文件的优先顺序</w:t>
      </w:r>
    </w:p>
    <w:p w14:paraId="25C036E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组成合同的各项文件应互相解释，互为说明。除专用合同条款另有约定外，解释合同文件的优先顺序如下：</w:t>
      </w:r>
    </w:p>
    <w:p w14:paraId="142D9D9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（1）合同协议书及各种合同附件（含评标期间和合同谈判过程中的澄清文件和补充资料；设计人提交的经发包人审核通过的勘察设计详细工作大纲及进度计划、专题研究详细工作大纲等）；</w:t>
      </w:r>
    </w:p>
    <w:p w14:paraId="436EDD4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（2）中标通知书；</w:t>
      </w:r>
    </w:p>
    <w:p w14:paraId="735051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（3）投标函；</w:t>
      </w:r>
    </w:p>
    <w:p w14:paraId="6B9CB59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（4）专用合同条款；</w:t>
      </w:r>
    </w:p>
    <w:p w14:paraId="1D8116D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（5）通用合同条款；</w:t>
      </w:r>
    </w:p>
    <w:p w14:paraId="360D449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（6）发包人要求；</w:t>
      </w:r>
    </w:p>
    <w:p w14:paraId="1C72601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（7）勘察设计费用清单；</w:t>
      </w:r>
    </w:p>
    <w:p w14:paraId="6634416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（8）设计人有关人员投入的承诺；</w:t>
      </w:r>
    </w:p>
    <w:p w14:paraId="50E01FF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（9）其他合同文件。</w:t>
      </w:r>
    </w:p>
    <w:p w14:paraId="7DC38A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合同当事人针对各类合同文件所作出的补充和修改亦属于合同文件的组成部分，属于同一类内容的文件，应以最新签署的为准。</w:t>
      </w:r>
    </w:p>
    <w:p w14:paraId="220FF8D3">
      <w:pPr>
        <w:kinsoku/>
        <w:spacing w:before="3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1.5 合同协议书</w:t>
      </w:r>
    </w:p>
    <w:p w14:paraId="34B8370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设计人按中标通知书规定的时间与发包人签订合同协议书。除法律另有规定或合同另有约定外，发包人和设计人的法定代表人或其委托代理人在合同协议书上签字并盖单位章后，合同生效。</w:t>
      </w:r>
    </w:p>
    <w:p w14:paraId="023BD0E6">
      <w:pPr>
        <w:kinsoku/>
        <w:spacing w:before="36"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1.6 文件的提供和照管</w:t>
      </w:r>
    </w:p>
    <w:p w14:paraId="5CEB4B3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1.6.1 勘察设计文件的提供</w:t>
      </w:r>
    </w:p>
    <w:p w14:paraId="0B8E2CA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除专用合同条款另有约定外，设计人应在合理的期限内按照合同约定的数量向发包人提供勘察设计文件。合同约定勘察设计文件应经发包人批复的，发包人应在合同约定的期限内批复或提出修改意见。</w:t>
      </w:r>
    </w:p>
    <w:p w14:paraId="1D7B711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1.6.2 发包人提供的文件</w:t>
      </w:r>
    </w:p>
    <w:p w14:paraId="0864389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按专用合同条款约定由发包人提供的文件，包括基础资料、勘察设计任务书等，发包人应按约定的数量和期限交给设计人。由于发包人未按时提供文件造成勘察设计服务期限延误的，按第6.2款约定执行。</w:t>
      </w:r>
    </w:p>
    <w:p w14:paraId="3A7C2F0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1.6.3 文件错误的通知</w:t>
      </w:r>
    </w:p>
    <w:p w14:paraId="1CFA474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任何一方当事人发现文件中存在的明显错误或疏忽，均应及时通知对方当事人，并应立即采取适当的措施防止损失扩大。</w:t>
      </w:r>
    </w:p>
    <w:p w14:paraId="0709F456">
      <w:pPr>
        <w:kinsoku/>
        <w:spacing w:before="3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1.7 联络</w:t>
      </w:r>
    </w:p>
    <w:p w14:paraId="4111D71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1.7.1 与合同有关的通知、批准、证明、证书、指示、要求、请求、同意、意见、确定和决定等，均应采用书面形式。</w:t>
      </w:r>
    </w:p>
    <w:p w14:paraId="3BA9550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1.7.2 上述通知、批准、证明、证书、指示、要求、请求、同意、意见、确定和决定等来往函件，均应在合同约定的期限内送达指定的地点和指定的接收人，并办理签收手续。</w:t>
      </w:r>
    </w:p>
    <w:p w14:paraId="4A4FD76F">
      <w:pPr>
        <w:kinsoku/>
        <w:spacing w:before="19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1.8 转让</w:t>
      </w:r>
    </w:p>
    <w:p w14:paraId="39BDB96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除专用合同条款另有约定外，未经对方当事人同意，一方当事人不得将合同权利全部或部分转让给第三人，也不得全部或部分转移合同义务。</w:t>
      </w:r>
    </w:p>
    <w:p w14:paraId="6B1CECA9">
      <w:pPr>
        <w:kinsoku/>
        <w:spacing w:before="3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1.9 严禁贿赂</w:t>
      </w:r>
    </w:p>
    <w:p w14:paraId="77DCB0F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合同双方当事人不得以贿赂或变相贿赂的方式，谋取不当利益或损害对方权益。因贿赂造成对方当事人损失的，行为人应赔偿损失，并承担相应的法律责任。</w:t>
      </w:r>
    </w:p>
    <w:p w14:paraId="5AF1F6C8">
      <w:pPr>
        <w:kinsoku/>
        <w:spacing w:before="3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1.10 知识产权</w:t>
      </w:r>
    </w:p>
    <w:p w14:paraId="7841151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1.10.1 除专用合同条款另有约定外，设计人因受发包人委托进行的本项目勘察设计及专题研究而产生的成果均为双方所共同享有，其中任何一方向第三方转让时须经另一方同意，但若发包人因推进本项目的需要向第三者透露研究成果，则无须经过设计人的同意。</w:t>
      </w:r>
    </w:p>
    <w:p w14:paraId="22B9BEC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1.10.2 设计人在从事勘察设计活动时，不得侵犯他人的知识产权。因侵犯专利权或其他知识产权所引起的责任，由设计人自行承担。因发包人提供的勘察设计资料导致侵权的，由发包人承担责任。</w:t>
      </w:r>
    </w:p>
    <w:p w14:paraId="26F031C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1.10.3 设计人在投标文件中采用专利技术、专有技术的，相应的使用费视为已包含在投标报价之中。</w:t>
      </w:r>
    </w:p>
    <w:p w14:paraId="7BFB6A90">
      <w:pPr>
        <w:kinsoku/>
        <w:spacing w:before="196"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1.11 文件及信息的保密</w:t>
      </w:r>
    </w:p>
    <w:p w14:paraId="17BEA1B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未经对方同意，任何一方当事人不得将有关文件、技术秘密、需要保密的资料和信息泄露给他人或公开发表与引用。</w:t>
      </w:r>
    </w:p>
    <w:p w14:paraId="18FE8EDC">
      <w:pPr>
        <w:kinsoku/>
        <w:spacing w:before="35" w:line="286" w:lineRule="auto"/>
        <w:ind w:left="52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1.12 发包人要求</w:t>
      </w:r>
    </w:p>
    <w:p w14:paraId="18636B9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1.12.1 设计人应认真阅读、复核发包人要求，发现错误的，应及时书面通知发包人。无论是否存在错误，发包人均有权修改发包人要求，并在修改后3天内通知设计人。除专用合同条款另有约定外，由此导致设计人费用增加和（或）周期延误的，发包人应当相应地增加费用和（或）延长周期。</w:t>
      </w:r>
    </w:p>
    <w:p w14:paraId="3FF460F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1.12.2 如果发包人要求违反法律规定，设计人应在发现后及时书面通知发包人，要求其改正。发包人收到通知书后不予改正或不予答复的，设计人有权拒绝履行合同义务，直至解除合同；由此引起的设计人的全部损失由发包人承担。</w:t>
      </w:r>
    </w:p>
    <w:p w14:paraId="1A6605D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1.12.3 发包人要求采用国外规范和标准进行勘察设计时，应由发包人负责提供该规范和标准的外国文本和中文译本，提供的时间、份数和其他要求在专用合同条款中约定。</w:t>
      </w:r>
    </w:p>
    <w:p w14:paraId="2B10DC90">
      <w:pPr>
        <w:kinsoku/>
        <w:spacing w:before="193"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1.13 避免利益冲突</w:t>
      </w:r>
    </w:p>
    <w:p w14:paraId="14C619F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除专用合同条款另有约定外，设计人及其雇员不应接受本合同规定以外的与本工程有关的利益和报酬；设计人不得参与与发包人的利益相冲突的任何活动。</w:t>
      </w:r>
    </w:p>
    <w:p w14:paraId="28624F01">
      <w:pPr>
        <w:kinsoku/>
        <w:spacing w:before="135" w:line="286" w:lineRule="auto"/>
        <w:ind w:left="35"/>
        <w:rPr>
          <w:rFonts w:ascii="宋体" w:hAnsi="宋体" w:eastAsia="宋体" w:cs="宋体"/>
          <w:color w:val="000000" w:themeColor="text1"/>
          <w:sz w:val="28"/>
          <w:szCs w:val="28"/>
          <w:highlight w:val="none"/>
          <w:lang w:eastAsia="zh-CN"/>
          <w14:textFill>
            <w14:solidFill>
              <w14:schemeClr w14:val="tx1"/>
            </w14:solidFill>
          </w14:textFill>
        </w:rPr>
      </w:pPr>
      <w:bookmarkStart w:id="385" w:name="bookmark220"/>
      <w:bookmarkEnd w:id="385"/>
      <w:bookmarkStart w:id="386" w:name="bookmark221"/>
      <w:bookmarkEnd w:id="386"/>
      <w:r>
        <w:rPr>
          <w:rFonts w:hint="eastAsia" w:ascii="宋体" w:hAnsi="宋体" w:eastAsia="宋体" w:cs="宋体"/>
          <w:b/>
          <w:bCs/>
          <w:color w:val="000000" w:themeColor="text1"/>
          <w:sz w:val="28"/>
          <w:szCs w:val="28"/>
          <w:highlight w:val="none"/>
          <w:lang w:eastAsia="zh-CN"/>
          <w14:textFill>
            <w14:solidFill>
              <w14:schemeClr w14:val="tx1"/>
            </w14:solidFill>
          </w14:textFill>
        </w:rPr>
        <w:t>2.发包人义务</w:t>
      </w:r>
    </w:p>
    <w:p w14:paraId="5047DFE4">
      <w:pPr>
        <w:kinsoku/>
        <w:spacing w:before="78"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2.1 遵守法律</w:t>
      </w:r>
    </w:p>
    <w:p w14:paraId="42AD76C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发包人在履行合同过程中应遵守法律，并保证设计人免于承担因发包人违反法律而引起的任何责任。</w:t>
      </w:r>
    </w:p>
    <w:p w14:paraId="6C47C3E9">
      <w:pPr>
        <w:kinsoku/>
        <w:spacing w:before="34"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 发出开始勘察设计通知</w:t>
      </w:r>
    </w:p>
    <w:p w14:paraId="52A2AB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发包人应按第6.1款的约定向设计人发出开始勘察设计通知。</w:t>
      </w:r>
    </w:p>
    <w:p w14:paraId="47725D0A">
      <w:pPr>
        <w:kinsoku/>
        <w:spacing w:before="194"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2.3 办理证件和批件</w:t>
      </w:r>
    </w:p>
    <w:p w14:paraId="094E492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法律规定和（或）合同约定由发包人负责办理的工程建设项目必须履行的各类审批、核准或备案手续，发包人应按时办理，设计人应给予必要的协助。</w:t>
      </w:r>
    </w:p>
    <w:p w14:paraId="2CC0C5B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法律规定和（或）合同约定由设计人负责办理的勘察设计所需的证件和批件，发包人应给予必要的协助。</w:t>
      </w:r>
    </w:p>
    <w:p w14:paraId="728C62A2">
      <w:pPr>
        <w:kinsoku/>
        <w:spacing w:before="34"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2.4 支付合同价款</w:t>
      </w:r>
    </w:p>
    <w:p w14:paraId="20462B3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发包人应按合同约定向设计人及时支付合同价款。</w:t>
      </w:r>
    </w:p>
    <w:p w14:paraId="7CCAA857">
      <w:pPr>
        <w:kinsoku/>
        <w:spacing w:before="196" w:line="286" w:lineRule="auto"/>
        <w:ind w:left="5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2.5 提供勘察设计资料</w:t>
      </w:r>
    </w:p>
    <w:p w14:paraId="705F27B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发包人应按第1.6.2项的约定向设计人提供勘察设计资料。</w:t>
      </w:r>
    </w:p>
    <w:p w14:paraId="1A819CC3">
      <w:pPr>
        <w:kinsoku/>
        <w:spacing w:before="194"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2.6 其他义务</w:t>
      </w:r>
    </w:p>
    <w:p w14:paraId="72537EC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2.6.1 发包人应严格履行基本建设程序，根据本工程的具体情况和技术要求，确定合理的勘察设计工作量及合理的勘察设计服务期限。</w:t>
      </w:r>
    </w:p>
    <w:p w14:paraId="1219D58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2.6.2 发包人应组织专家或委托咨询单位对勘察设计文件和为了满足勘察设计需要而进行的各种研究试验成果进行审查，并负责设计文件的报审工作，向设计人提供上级主管部门对设计文件进行审查后的批复意见。对设计人在贯彻落实审查意见时提出的有关问题应及时认真予以解答，但并不免除设计人根据本合同规定应负的责任。</w:t>
      </w:r>
    </w:p>
    <w:p w14:paraId="0D3638A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2.6.3 发包人不应向设计人提出不符合工程安全生产法律、法规和工程建设强制性标准规定的要求。</w:t>
      </w:r>
    </w:p>
    <w:p w14:paraId="41964E1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2.6.4 由于执行发包人的书面指令而造成的勘察设计质量事故应由发包人承担责任。</w:t>
      </w:r>
    </w:p>
    <w:p w14:paraId="283E0E3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2.6.5 发包人应履行专用合同条款约定的其他义务。</w:t>
      </w:r>
    </w:p>
    <w:p w14:paraId="7F098390">
      <w:pPr>
        <w:kinsoku/>
        <w:spacing w:before="296" w:line="286" w:lineRule="auto"/>
        <w:ind w:left="33"/>
        <w:rPr>
          <w:rFonts w:ascii="宋体" w:hAnsi="宋体" w:eastAsia="宋体" w:cs="宋体"/>
          <w:color w:val="000000" w:themeColor="text1"/>
          <w:sz w:val="28"/>
          <w:szCs w:val="28"/>
          <w:highlight w:val="none"/>
          <w:lang w:eastAsia="zh-CN"/>
          <w14:textFill>
            <w14:solidFill>
              <w14:schemeClr w14:val="tx1"/>
            </w14:solidFill>
          </w14:textFill>
        </w:rPr>
      </w:pPr>
      <w:bookmarkStart w:id="387" w:name="bookmark222"/>
      <w:bookmarkEnd w:id="387"/>
      <w:bookmarkStart w:id="388" w:name="bookmark223"/>
      <w:bookmarkEnd w:id="388"/>
      <w:r>
        <w:rPr>
          <w:rFonts w:hint="eastAsia" w:ascii="宋体" w:hAnsi="宋体" w:eastAsia="宋体" w:cs="宋体"/>
          <w:b/>
          <w:bCs/>
          <w:color w:val="000000" w:themeColor="text1"/>
          <w:sz w:val="28"/>
          <w:szCs w:val="28"/>
          <w:highlight w:val="none"/>
          <w:lang w:eastAsia="zh-CN"/>
          <w14:textFill>
            <w14:solidFill>
              <w14:schemeClr w14:val="tx1"/>
            </w14:solidFill>
          </w14:textFill>
        </w:rPr>
        <w:t>3.发包人管理</w:t>
      </w:r>
    </w:p>
    <w:p w14:paraId="3056C7A9">
      <w:pPr>
        <w:kinsoku/>
        <w:spacing w:before="78"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3.1 发包人代表</w:t>
      </w:r>
    </w:p>
    <w:p w14:paraId="4F14EB3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3.1.1 除专用合同条款另有约定外，发包人应在合同签订后14天内，将发包人代表的姓名、职务、联系方式、授权范围和授权期限书面通知设计人，由发包人代表在其授权范围和授权期限内，代表发包人行使权利、履行义务和处理合同履行中的具体事宜。发包人代表在授权范围内的行为由发包人承担法律责任。</w:t>
      </w:r>
    </w:p>
    <w:p w14:paraId="2666D4C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3.1.2 发包人代表违反法律法规、违背职业道德守则或不按合同约定履行职责及义务，导致合同无法继续正常履行的，设计人有权通知发包人更换发包人代表。发包人收到通知后7天内，应核实完毕并将处理结果通知设计人。</w:t>
      </w:r>
    </w:p>
    <w:p w14:paraId="51B7FF2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3.1.3 发包人更换发包人代表的，应提前14天将更换人员的姓名、职务、联系方式、授权范围和授权期限书面通知设计人。</w:t>
      </w:r>
    </w:p>
    <w:p w14:paraId="447D5C9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3.1.4 发包人代表可以授权发包人的其他人员负责执行其指派的一项或多项工作。发包人代表应将被授权人员的姓名及其授权范围通知设计人。被授权人员在授权范围内发出的指示视为已得到发包人代表的同意，与发包人代表发出的指示具有同等效力。</w:t>
      </w:r>
    </w:p>
    <w:p w14:paraId="24F0C793">
      <w:pPr>
        <w:kinsoku/>
        <w:spacing w:before="35"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3.2 监理人</w:t>
      </w:r>
    </w:p>
    <w:p w14:paraId="5CA693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3.2.1 发包人可以根据工程建设需要确定是否委托监理人进行勘察设计监理。如果委托监理，则监理人享有合同约定的权力，其所发出的任何指示应视为已得到发包人的批准。监理人的监理范围、职责权限和总监理工程师信息，应在专用合同条款中指明。未经发包人批准，监理人无权修改合同。</w:t>
      </w:r>
    </w:p>
    <w:p w14:paraId="290A40A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3.2.2 合同约定应由设计人承担的义务和责任，不因监理人对设计文件的审查或批准，以及为实施监理作出的指示等职务行为而减轻或解除。</w:t>
      </w:r>
    </w:p>
    <w:p w14:paraId="5FEA6277">
      <w:pPr>
        <w:kinsoku/>
        <w:spacing w:before="194"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3.3 发包人的指示</w:t>
      </w:r>
    </w:p>
    <w:p w14:paraId="3B23CF3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3.3.1 发包人应按合同约定向设计人发出指示，发包人的指示应盖有发包人单位章，并由发包人代表签字确认。</w:t>
      </w:r>
    </w:p>
    <w:p w14:paraId="71ED20D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3.3.2 设计人收到发包人作出的指示后应遵照执行。指示构成变更的，应按第11条执行。</w:t>
      </w:r>
    </w:p>
    <w:p w14:paraId="3303A3F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3.3.3 在紧急情况下，发包人代表或其授权人员可以当场签发临时书面指示，设计人应遵照执行。发包人代表应在临时书面指示发出后24小时内发出书面确认函，逾期未发出书面确认函的，该临时书面指示应被视为发包人的正式指示。</w:t>
      </w:r>
    </w:p>
    <w:p w14:paraId="13DA6BC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3.3.4 除专用合同条款另有约定外，设计人只从发包人代表或按第3.1.4项约定的被授权人员处取得指示。</w:t>
      </w:r>
    </w:p>
    <w:p w14:paraId="7B29D12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3.3.5 由于发包人未能按合同约定发出指示、指示延误或指示错误而导致设计人费用增加和（或）周期延误的，发包人应承担由此增加的费用和（或）周期延误。</w:t>
      </w:r>
    </w:p>
    <w:p w14:paraId="0F39F86F">
      <w:pPr>
        <w:kinsoku/>
        <w:spacing w:before="194"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3.4 决定或答复</w:t>
      </w:r>
    </w:p>
    <w:p w14:paraId="3C259D6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3.4.1 发包人在法律允许的范围内有权对设计人的勘察设计工作和（或）勘察设计文件作出处理决定，设计人应按照发包人的决定执行，涉及勘察设计服务期限或勘察设计费用等问题按第11条的约定处理。</w:t>
      </w:r>
    </w:p>
    <w:p w14:paraId="43D80F4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3.4.2 发包人应在专用合同条款约定的时间之内，对设计人书面提出的事项作出书面答复；逾期没有作出答复的，视为已获得发包人的批准。</w:t>
      </w:r>
    </w:p>
    <w:p w14:paraId="69D1C974">
      <w:pPr>
        <w:kinsoku/>
        <w:spacing w:before="91" w:line="286" w:lineRule="auto"/>
        <w:ind w:left="35"/>
        <w:rPr>
          <w:rFonts w:ascii="宋体" w:hAnsi="宋体" w:eastAsia="宋体" w:cs="宋体"/>
          <w:color w:val="000000" w:themeColor="text1"/>
          <w:sz w:val="28"/>
          <w:szCs w:val="28"/>
          <w:highlight w:val="none"/>
          <w:lang w:eastAsia="zh-CN"/>
          <w14:textFill>
            <w14:solidFill>
              <w14:schemeClr w14:val="tx1"/>
            </w14:solidFill>
          </w14:textFill>
        </w:rPr>
      </w:pPr>
      <w:bookmarkStart w:id="389" w:name="bookmark225"/>
      <w:bookmarkEnd w:id="389"/>
      <w:bookmarkStart w:id="390" w:name="bookmark224"/>
      <w:bookmarkEnd w:id="390"/>
      <w:r>
        <w:rPr>
          <w:rFonts w:hint="eastAsia" w:ascii="宋体" w:hAnsi="宋体" w:eastAsia="宋体" w:cs="宋体"/>
          <w:b/>
          <w:bCs/>
          <w:color w:val="000000" w:themeColor="text1"/>
          <w:sz w:val="28"/>
          <w:szCs w:val="28"/>
          <w:highlight w:val="none"/>
          <w:lang w:eastAsia="zh-CN"/>
          <w14:textFill>
            <w14:solidFill>
              <w14:schemeClr w14:val="tx1"/>
            </w14:solidFill>
          </w14:textFill>
        </w:rPr>
        <w:t>4.设计人义务</w:t>
      </w:r>
    </w:p>
    <w:p w14:paraId="0F6204F7">
      <w:pPr>
        <w:kinsoku/>
        <w:spacing w:before="78"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4.1 设计人的一般义务</w:t>
      </w:r>
    </w:p>
    <w:p w14:paraId="5C6649F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4.1.1 遵守法律</w:t>
      </w:r>
    </w:p>
    <w:p w14:paraId="4D64559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设计人在履行合同过程中应遵守法律，并保证发包人免于承担因设计人违反法律而引起的任何责任。</w:t>
      </w:r>
    </w:p>
    <w:p w14:paraId="17D2992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4.1.2 依法纳税</w:t>
      </w:r>
    </w:p>
    <w:p w14:paraId="38133DD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设计人应按有关法律规定纳税，应缴纳的税金（含增值税）包括在合同价格之中。</w:t>
      </w:r>
    </w:p>
    <w:p w14:paraId="23E8D98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4.1.3 完成全部勘察设计工作</w:t>
      </w:r>
    </w:p>
    <w:p w14:paraId="68A4D0D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应按合同约定以及发包人要求，完成合同约定的全部工作，并对工作中的任何缺陷进行整改、完善和修补，使其满足合同约定的目的。设计人应按合同约定提供勘察设计文件和相关服务，以及为完成勘察设计服务所需的劳务、材料、勘察设备、试验设施等，并应自行承担勘探场地临时设施的搭设、维护、管理和拆除。</w:t>
      </w:r>
    </w:p>
    <w:p w14:paraId="5DA125B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4.1.4 保证勘察作业规范、安全和环保</w:t>
      </w:r>
    </w:p>
    <w:p w14:paraId="2796FED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应按法律、规范标准和发包人要求，采取各项有效措施，确保勘察作业操作规范、安全、文明和环保，在风险性较大的环境中作业时应编制安全防护方案并制定应急预案，防止因勘察作业造成的人身伤害和财产损失。</w:t>
      </w:r>
    </w:p>
    <w:p w14:paraId="2D2E8B5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对于设计人在勘察设计过程中发生的人员伤亡或财产损失，或造成第三方的人员伤亡、财产损失，或由此而引起的其他一切损害和损失，发包人均不承担责任。</w:t>
      </w:r>
    </w:p>
    <w:p w14:paraId="6C4218F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4.1.5 避免勘探对公众与他人的利益造成损害</w:t>
      </w:r>
    </w:p>
    <w:p w14:paraId="13813B1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在进行合同约定的各项工作时，不得侵害发包人与他人使用公用道路、水源、市政管网等公共设施的权利，避免对邻近的公共设施产生干扰，保证勘探场地的周边设施、建构筑物、地下管线、架空线和其他物体的安全运行。设计人占用或使用他人的施工场地，影响他人作业或生活的，应承担相应责任。</w:t>
      </w:r>
    </w:p>
    <w:p w14:paraId="46D42D4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4.1.6 其他义务</w:t>
      </w:r>
    </w:p>
    <w:p w14:paraId="5D21543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设计人对本合同工程勘察设计质量承担设计使用年限内的终身责任。</w:t>
      </w:r>
    </w:p>
    <w:p w14:paraId="2CF7175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设计人应按照交通运输部《公路勘察设计工序管理执行办法》做好设计的质量管理工作，简历健全设计、复核、审核、会签和批准制度，明确各阶段的责任人，并对本合同工程的设计质量负责。</w:t>
      </w:r>
    </w:p>
    <w:p w14:paraId="6709982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在勘察设计过程中，设计人应与本项目相干扰的铁路、航道、水利、管线、电力电信及其他相关建筑设施或特殊保护区域的主管部门进行协商，获得项目相干扰部门对推荐路线的认同意见、协议、批准文件或纪要等，以确保本项目顺利 实施。</w:t>
      </w:r>
    </w:p>
    <w:p w14:paraId="40E651E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设计人的勘察设计文件应接受发包人、咨询单位及发包人的上级主管部门的审查，凡审查意见中提出的问题，设计人应逐条给予认真贯彻落实，提交书面的反馈意见并免费修改勘察设计文件。</w:t>
      </w:r>
    </w:p>
    <w:p w14:paraId="24FE5C0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设计人应按发包人要求的数量（符合规范要求）提供所有为完成勘察设计所必需的研究试验阶段性或成果性报告，接受发包人或上级主管部门的审查，并对相关问题作出澄清和解答。</w:t>
      </w:r>
    </w:p>
    <w:p w14:paraId="24C069D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设计人应根据设计需要开展专题研究工作，提交相应专题研究报告，并通过发包人或上级主管部门的审查。</w:t>
      </w:r>
    </w:p>
    <w:p w14:paraId="191A031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4.1.6.7</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设计人应履行合同约定的其他义务。</w:t>
      </w:r>
    </w:p>
    <w:p w14:paraId="0C4EF010">
      <w:pPr>
        <w:kinsoku/>
        <w:spacing w:before="195"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4.2 履约保证金</w:t>
      </w:r>
    </w:p>
    <w:p w14:paraId="3044D46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4.2.1 除专用合同条款另有约定外，履约保证金自合同生效之日起生效，在最后一批勘察设计成果文件经上级主管部门批复且设计人按照合同约定缴纳质量保证金之日起28天后失效。如果设计人不履行合同约定的义务或其履行不符合合同的约定，发包人有权扣划相应金额的履约保证金。</w:t>
      </w:r>
    </w:p>
    <w:p w14:paraId="773B105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4.2.2 发包人应在收到设计人缴纳的质量保证金后28天内将履约保证金退还给设计人。设计人拒绝按照本合同约定缴纳质量保证金的，发包人有权从勘察设计费中扣留相应金额作为质量保证金。</w:t>
      </w:r>
    </w:p>
    <w:p w14:paraId="65EE9C9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4.2.3 发包人对履约保证金提出的任何索赔要求，均应在履约保证金有效期内提出。</w:t>
      </w:r>
    </w:p>
    <w:p w14:paraId="4E3A26C1">
      <w:pPr>
        <w:kinsoku/>
        <w:spacing w:before="190"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4.3 分包和不得转包</w:t>
      </w:r>
    </w:p>
    <w:p w14:paraId="2DB3E4A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4.3.1 设计人不得将其勘察设计的全部工作转包给第三人。</w:t>
      </w:r>
    </w:p>
    <w:p w14:paraId="4F4DF84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4.3.2 设计人不得将勘察设计的主体、关键性工作分包给第三人。除专用合同条款另有约定外，经发包人同意，设计人可将工程设计中跨专业或有特殊要求的勘察、设计工作进行分包。未列入投标文件的勘察设计工作，设计人不得分包。</w:t>
      </w:r>
    </w:p>
    <w:p w14:paraId="67F0D98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4.3.3 发包人同意设计人分包工作的，设计人应在分包合同签订之日起7天内向发包人提交1份分包合同副本，并对分包工作质量承担连带责任。除专用合同条款另有约定外，分包人的勘察设计费用由设计人向分包人自行支付。</w:t>
      </w:r>
    </w:p>
    <w:p w14:paraId="6CD20C8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4.3.4 分包人的资格能力应与其分包工作的标准和规模相适应，包括必要的企业资质、人员、设备和类似业绩等。分包人不得将分包项目再次分包或转包。</w:t>
      </w:r>
    </w:p>
    <w:p w14:paraId="64941F9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4.3.5 发包人对设计人与各分包人之间的法律和经济纠纷不承担任何责任和义务。</w:t>
      </w:r>
    </w:p>
    <w:p w14:paraId="2AB196A1">
      <w:pPr>
        <w:kinsoku/>
        <w:spacing w:before="194"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4.4 联合体</w:t>
      </w:r>
    </w:p>
    <w:p w14:paraId="1228704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4.4.1 联合体各方应共同与发包人签订合同。联合体各方应为履行合同承担连带责任。</w:t>
      </w:r>
    </w:p>
    <w:p w14:paraId="064C9B4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4.4.2 联合体协议经发包人确认后作为合同附件。在履行合同过程中，未经发包人同意，不得修改联合体协议。</w:t>
      </w:r>
    </w:p>
    <w:p w14:paraId="6D765ED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4.4.3 联合体牵头人负责与发包人联系并接受指示，负责组织联合体各成员全面履行合同。发包人就本合同工程向联合体牵头人发布的任何指令、指示、通知等均对联合体其他成员具有同等效力。</w:t>
      </w:r>
    </w:p>
    <w:p w14:paraId="373BE18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4.4.4 未经发包人同意，联合体的组成、结构与业务分工均不得变动。</w:t>
      </w:r>
    </w:p>
    <w:p w14:paraId="5CE220A4">
      <w:pPr>
        <w:kinsoku/>
        <w:spacing w:before="194"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4.5 项目负责人</w:t>
      </w:r>
    </w:p>
    <w:p w14:paraId="7B500B5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4.5.1 设计人应按合同协议书的约定指派项目负责人，并在约定的期限内到职。设计人更换项目负责人应事先征得发包人同意，并应在更换14天前将拟更换的项目负责人姓名和详细资料提交发包人，拟更换的项目负责人资历应不低于原项目负责人。项目负责人2天内不能履行职责的，应事先征得发包人同意，并委派代表代行其职责。</w:t>
      </w:r>
    </w:p>
    <w:p w14:paraId="1245185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4.5.2 项目负责人应按合同约定以及发包人要求，负责组织合同工作的实施。在情况紧急且无法与发包人取得联系时，可采取保证工程和人员生命财产安全的紧急措施，并在采取措施后24小时内向发包人提交书面报告。</w:t>
      </w:r>
    </w:p>
    <w:p w14:paraId="7DB47F2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4.5.3 设计人为履行合同发出的一切函件均应盖有设计人单位章，并由设计人的项目负责人签字确认。</w:t>
      </w:r>
    </w:p>
    <w:p w14:paraId="7237F4F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4.5.4 按照专用合同条款约定，项目负责人可以授权其下属人员履行其某项职责，但事先应将这些人员的姓名和授权范围书面通知发包人。</w:t>
      </w:r>
    </w:p>
    <w:p w14:paraId="68C31F33">
      <w:pPr>
        <w:kinsoku/>
        <w:spacing w:before="194" w:line="286" w:lineRule="auto"/>
        <w:ind w:left="51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4.6 勘察设计人员的管理</w:t>
      </w:r>
    </w:p>
    <w:p w14:paraId="39B0711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4.6.1 设计人应在接到开始勘察设计通知之日起7天内，向发包人提交勘察设计项目机构以及人员安排的报告，其内容应包括项目机构设置、主要勘察设计人员和其他人员的名单及资格条件。主要勘察设计人员应相对稳定，更换主要勘察设计人员的，应取得发包人的同意，并向发包人提交继任人员的资格、管理经验等资料，继任人员的资历应不低于原设计人员。项目负责人的更换，应按照本章第4.5.1项规定执行。</w:t>
      </w:r>
    </w:p>
    <w:p w14:paraId="16FE3B6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4.6.2 除专用合同条款另有约定外，主要勘察设计人员包括项目负责人、专业负责人、审核人、审定人等；其他人员包括勘察作业人员、各专业的设计人员、管理人员等。</w:t>
      </w:r>
    </w:p>
    <w:p w14:paraId="530F927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4.6.3 设计人应保证其主要勘察设计人员（含分包人）在合同期限内的任何时候，都能按时参加发包人组织的工作会议。</w:t>
      </w:r>
    </w:p>
    <w:p w14:paraId="3FAED93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4.6.4 国家规定应当持证上岗的工作人员均应持有相应的资格证明，发包人有权随时检查。发包人认为有必要时，可以进行现场考核。</w:t>
      </w:r>
    </w:p>
    <w:p w14:paraId="54FB9E1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4.6.5 设计人的工作进度未达到设计人投标文件中承诺的进度计划时，发包人有权要求设计人增加勘察设计人员，设计人应立即安排，其费用视为已包含在合同价格中。</w:t>
      </w:r>
    </w:p>
    <w:p w14:paraId="6684C2DD">
      <w:pPr>
        <w:kinsoku/>
        <w:spacing w:before="194"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4.7 撤换项目负责人和其他人员</w:t>
      </w:r>
    </w:p>
    <w:p w14:paraId="65A8BD8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设计人应对其项目负责人和其他人员进行有效管理。发包人要求撤换不能胜任本职工作、行为不端或玩忽职守的项目负责人和其他人员的，设计人应予以撤换。</w:t>
      </w:r>
    </w:p>
    <w:p w14:paraId="7B6B6BDE">
      <w:pPr>
        <w:kinsoku/>
        <w:spacing w:before="36"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4.8 保障人员的合法权益</w:t>
      </w:r>
    </w:p>
    <w:p w14:paraId="6A2AF5C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4.8.1 设计人应与其雇用的人员签订劳动合同，并按时发放工资。</w:t>
      </w:r>
    </w:p>
    <w:p w14:paraId="2531416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4.8.2 设计人应按劳动法的规定安排工作时间，保证其雇用人员享有休息和休假的权利。因勘察设计需要占用休假日或延长工作时间的，应不超过法律规定的限度，并按法律规定给予补休或付酬。</w:t>
      </w:r>
    </w:p>
    <w:p w14:paraId="0BF604A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4.8.3 设计人应为其现场人员提供必要的食宿条件，以及符合环境保护和卫生要求的生活环境，在远离城镇的勘探场地，还应配备必要的伤病防治和急救设施。</w:t>
      </w:r>
    </w:p>
    <w:p w14:paraId="1753998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4.8.4 设计人应按国家有关劳动保护的规定，采取有效的防止粉尘、降低噪声、控制有害气体和保障高温、高寒、高空作业安全等劳动保护措施。其雇用人员在勘探作业中受到伤害的，设计人应立即采取有效措施进行抢救和治疗。</w:t>
      </w:r>
    </w:p>
    <w:p w14:paraId="6410056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4.8.5 设计人应按有关法律规定和合同约定，为其雇用人员办理保险。</w:t>
      </w:r>
    </w:p>
    <w:p w14:paraId="76D7BD80">
      <w:pPr>
        <w:kinsoku/>
        <w:spacing w:before="194"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4.9 合同价款应专款专用</w:t>
      </w:r>
    </w:p>
    <w:p w14:paraId="6B455BA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发包人按合同约定支付给设计人的各项价款，应专用于合同勘察设计工作。</w:t>
      </w:r>
    </w:p>
    <w:p w14:paraId="75F15596">
      <w:pPr>
        <w:kinsoku/>
        <w:spacing w:before="299" w:line="286" w:lineRule="auto"/>
        <w:ind w:left="38"/>
        <w:rPr>
          <w:rFonts w:ascii="宋体" w:hAnsi="宋体" w:eastAsia="宋体" w:cs="宋体"/>
          <w:color w:val="000000" w:themeColor="text1"/>
          <w:sz w:val="28"/>
          <w:szCs w:val="28"/>
          <w:highlight w:val="none"/>
          <w:lang w:eastAsia="zh-CN"/>
          <w14:textFill>
            <w14:solidFill>
              <w14:schemeClr w14:val="tx1"/>
            </w14:solidFill>
          </w14:textFill>
        </w:rPr>
      </w:pPr>
      <w:bookmarkStart w:id="391" w:name="bookmark226"/>
      <w:bookmarkEnd w:id="391"/>
      <w:bookmarkStart w:id="392" w:name="bookmark227"/>
      <w:bookmarkEnd w:id="392"/>
      <w:r>
        <w:rPr>
          <w:rFonts w:hint="eastAsia" w:ascii="宋体" w:hAnsi="宋体" w:eastAsia="宋体" w:cs="宋体"/>
          <w:b/>
          <w:bCs/>
          <w:color w:val="000000" w:themeColor="text1"/>
          <w:sz w:val="28"/>
          <w:szCs w:val="28"/>
          <w:highlight w:val="none"/>
          <w:lang w:eastAsia="zh-CN"/>
          <w14:textFill>
            <w14:solidFill>
              <w14:schemeClr w14:val="tx1"/>
            </w14:solidFill>
          </w14:textFill>
        </w:rPr>
        <w:t>5.勘察设计要求</w:t>
      </w:r>
    </w:p>
    <w:p w14:paraId="1483CF50">
      <w:pPr>
        <w:kinsoku/>
        <w:spacing w:before="78"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 一般要求</w:t>
      </w:r>
    </w:p>
    <w:p w14:paraId="5C05466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5.1.1 发包人应遵守法律和规范标准，不得以任何理由要求设计人违反法律和工程质量、安全标准进行勘察设计服务，降低工程质量。</w:t>
      </w:r>
    </w:p>
    <w:p w14:paraId="78C9E0E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5.1.2 设计人应按照法律规定，以及国家、行业和地方的规范和标准完成勘察设计工作，并应符合发包人要求。各项规范、标准和发包人要求之间如对同一内容的描述不一致时，应以描述更为严格的内容为准。</w:t>
      </w:r>
    </w:p>
    <w:p w14:paraId="6CD91A3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5.1.3 除专用合同条款另有约定外，设计人完成勘察设计工作所应遵守的法律规定，以及国家、行业和地方的规范和标准，均应视为在基准日适用的版本。基准日之后，前述版本发生重大变化，或者有新的法律，以及国家、行业和地方的规范和标准实施的，设计人应向发包人提出遵守新规定的建议。发包人应在收到建议后7天内发出是否遵守新规定的指示。发包人指示遵守新规定的，按照第11条约定执行。</w:t>
      </w:r>
    </w:p>
    <w:p w14:paraId="3A4B0A7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5.1.4 设计人在勘察设计服务中选用的材料、设备，应注明其规格、型号、性能等技术指标及适应性，满足质量、安全、节能、环保等要求，但不得指定生产厂、供应商和产品品牌。</w:t>
      </w:r>
    </w:p>
    <w:p w14:paraId="2A8EDF3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5.1.5 设计人必须贯彻“技术先进、安全可靠、适用耐久、经济合理”的基本原则，加强总体设计，重视与城镇建设总体规划、土地开发利用规划、农田水利、森林植被、水土保持、生态环境、特殊设施保护区、其他运输方式和其他建设工程的总体协调和配合，节约资源、保护环境、合理选用技术指标、树立全寿命周期成本的理念，充分发挥工程建设项目经济、社会和环境的综合效益。</w:t>
      </w:r>
    </w:p>
    <w:p w14:paraId="2ABA0F6E">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5.2 勘察设计依据</w:t>
      </w:r>
    </w:p>
    <w:p w14:paraId="01BD5EE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除专用合同条款另有约定外，本工程的勘察设计依据如下：</w:t>
      </w:r>
    </w:p>
    <w:p w14:paraId="02674E6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（1）适用的法律、行政法规及部门规章；</w:t>
      </w:r>
    </w:p>
    <w:p w14:paraId="5D4116B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（2）与工程有关的规范、标准、规程；</w:t>
      </w:r>
    </w:p>
    <w:p w14:paraId="53851EB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（3）工程基础资料及其他文件；</w:t>
      </w:r>
    </w:p>
    <w:p w14:paraId="3F1E8ED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（4）本勘察设计服务合同及补充合同；</w:t>
      </w:r>
    </w:p>
    <w:p w14:paraId="03D07ED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（5）本工程施工需求；</w:t>
      </w:r>
    </w:p>
    <w:p w14:paraId="7722EA1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（6）合同履行中与勘察设计服务有关的来往函件；</w:t>
      </w:r>
    </w:p>
    <w:p w14:paraId="673FDC5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（7）其他勘察设计依据。</w:t>
      </w:r>
    </w:p>
    <w:p w14:paraId="134F1CC6">
      <w:pPr>
        <w:kinsoku/>
        <w:spacing w:before="196"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5.3 勘察设计范围</w:t>
      </w:r>
    </w:p>
    <w:p w14:paraId="21DE127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5.3.1 本合同的勘察设计范围包括工程范围、阶段范围和工作范围，具体勘察设计范围应根据三者之间的关联内容进行确定。</w:t>
      </w:r>
    </w:p>
    <w:p w14:paraId="70BF950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5.3.2 工程范围指勘察设计工程的建设内容，具体范围在专用合同条款中约定。</w:t>
      </w:r>
    </w:p>
    <w:p w14:paraId="6141467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5.3.3 阶段范围指工程建设程序中的可行性研究勘察、初步勘察、详细勘察、施工勘察、方案设计、初步设计、技术设计（如有）、施工图设计等阶段中的一个或多个阶段，具体范围在专用合同条款中约定。</w:t>
      </w:r>
    </w:p>
    <w:p w14:paraId="3DAF0B6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5.3.4 工作范围指工程测量、岩土工程勘察、岩土工程设计（如有），编制设计文件，编制设计概</w:t>
      </w:r>
      <w:r>
        <w:rPr>
          <w:rFonts w:hint="eastAsia" w:ascii="宋体" w:hAnsi="宋体" w:eastAsia="宋体" w:cs="宋体"/>
          <w:strike w:val="0"/>
          <w:dstrike w:val="0"/>
          <w:color w:val="000000" w:themeColor="text1"/>
          <w:sz w:val="24"/>
          <w:szCs w:val="24"/>
          <w:highlight w:val="none"/>
          <w:lang w:eastAsia="zh-CN"/>
          <w14:textFill>
            <w14:solidFill>
              <w14:schemeClr w14:val="tx1"/>
            </w14:solidFill>
          </w14:textFill>
        </w:rPr>
        <w:t>算、预算，提</w:t>
      </w:r>
      <w:r>
        <w:rPr>
          <w:rFonts w:hint="eastAsia" w:ascii="宋体" w:hAnsi="宋体" w:eastAsia="宋体" w:cs="宋体"/>
          <w:color w:val="000000" w:themeColor="text1"/>
          <w:sz w:val="24"/>
          <w:szCs w:val="24"/>
          <w:highlight w:val="none"/>
          <w:lang w:eastAsia="zh-CN"/>
          <w14:textFill>
            <w14:solidFill>
              <w14:schemeClr w14:val="tx1"/>
            </w14:solidFill>
          </w14:textFill>
        </w:rPr>
        <w:t>供技术交底、招标与施工配合，编制竣工图，参加交工验收、参加竣工验收和发包人委托的其他服务中的一项或多项工作，具体范围在专用合同条款中约定。</w:t>
      </w:r>
    </w:p>
    <w:p w14:paraId="40456FD7">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5.4 勘察作业要求</w:t>
      </w:r>
    </w:p>
    <w:p w14:paraId="55E6B7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5.4.1 测绘</w:t>
      </w:r>
    </w:p>
    <w:p w14:paraId="273C5FA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除专用合同条款另有约定外，发包人应在开始勘察前7天内，向设计人提供测量基准点、水准点和书面资料等；设计人应根据国家测绘基准、测绘系统和工程测量技术规范，按发包人要求的基准点以及合同工程精度要求，进行测绘。</w:t>
      </w:r>
    </w:p>
    <w:p w14:paraId="0397CE4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（2）设计人测绘之前，应认真核对测绘数据，保证引用数据和原始数据准确无误。测绘工作应由测量人员如实记录，不得补记、涂改或损坏。</w:t>
      </w:r>
    </w:p>
    <w:p w14:paraId="17E761E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（3）工程勘探之前，设计人应严格按照勘察方案的孔位坐标，进行测量放线并在实地位置定位，埋设带有编号且不易移动的标志桩进行定位控制。</w:t>
      </w:r>
    </w:p>
    <w:p w14:paraId="2153137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5.4.2 勘探</w:t>
      </w:r>
    </w:p>
    <w:p w14:paraId="7511903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应根据公路基本建设程序各阶段要求的深度开展工作，结合现场地形地质条件、工程结构设置以及不同勘察手段的特性等，统筹考虑、综合确定勘察方法及勘察工作量，为完成合同约定的勘察设计任务创造条件。设计人对于勘察方法的正确性、适用性和可靠性完全负责。</w:t>
      </w:r>
    </w:p>
    <w:p w14:paraId="51913DE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布置勘探工作时，应充分考虑勘探方法对于自然环境、周边设施、建构筑物、地下管线、架空线和其他物体的影响，采用切实有效的措施进行防范控制，不得造成损坏或中断运行，否则由此导致的费用增加和（或）周期延误由设计人自行承担。</w:t>
      </w:r>
    </w:p>
    <w:p w14:paraId="60FDCE4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（3）设计人应在标定的孔位处进行勘探，不得随意改动位置。勘探方法、勘探机具、勘探记录、取样编录与描述，孔位标记、孔位封闭等事项，应严格执行规范标准，按实填写勘探报表和勘探日志。</w:t>
      </w:r>
    </w:p>
    <w:p w14:paraId="37A1D52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勘探工作完成后，设计人应按照规范要求及时封孔，并将封孔记录整理存档，勘探场地应地面平整、清洁卫生，并通知发包人、行政主管部门及使用维护单位进行现场验收。验收通过之后如果发生沉陷，设计人应及时进行二次封孔和现场验收。</w:t>
      </w:r>
    </w:p>
    <w:p w14:paraId="3F6680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5.4.3 取样</w:t>
      </w:r>
    </w:p>
    <w:p w14:paraId="234E5E7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（1）设计人应针对不同的岩土地质，按照勘探取样规范规程中的相关规定，根据地层特征、取样深度、设备条件和试验项目的不同，合理选用取样方法和取样工具进行取样，包括并不限于土样、水样、岩芯等。</w:t>
      </w:r>
    </w:p>
    <w:p w14:paraId="4E8966D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取样后的样品应根据其类别、性质和特点等进行封装、贮存和运输。样品搬运之前，宜用数码相机进行现场拍照；运输途中应采用柔软材料充填、尽量避免震动和阳光曝晒；装卸之时尽量轻拿轻放，以免样品损坏。</w:t>
      </w:r>
    </w:p>
    <w:p w14:paraId="07A90DF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（3）取样后的样品应填写和粘贴标签，标签内容包括并不限于工程名称、孔号、样品编号、取样深度、样品名称、取样日期、取样人姓名、施工机组等。</w:t>
      </w:r>
    </w:p>
    <w:p w14:paraId="4A73976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5.4.4 试验</w:t>
      </w:r>
    </w:p>
    <w:p w14:paraId="64FB772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（1）设计人应根据岩土条件、设计要求、勘察经验和测试方法特点，选用合适的原位测试方法和勘察设备进行原位测试。原位测试成果应与室内试验数据进行对比分析，检验其可靠性。</w:t>
      </w:r>
    </w:p>
    <w:p w14:paraId="05C6614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（2）设计人的试验室应通过行业管理部门认可的CMA 计量认证，具有相应的</w:t>
      </w:r>
    </w:p>
    <w:p w14:paraId="5BB9F06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资格证书、试验人员和试验条件，否则应委托第三方试验室进行室内试验。</w:t>
      </w:r>
    </w:p>
    <w:p w14:paraId="048212B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应在试验之前按照要求清点样品数目，认定取样质量及数量是否满足试验需要；勘察设备应检定合格，性能参数满足试验要求，严格按照规范标准的相应规定进行试验操作；试验之后应在有效期内保留备样，以备复核试验成果之用，并按规范标准规定处理余土和废液，符合环境保护、健康卫生等要求。</w:t>
      </w:r>
    </w:p>
    <w:p w14:paraId="53C856A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（4）试验报告的格式应符合CMA计量认证体系要求，加盖CMA章并由试验负责人签字确认；试验负责人应通过计量认证考核，并由项目负责人授权许可。</w:t>
      </w:r>
    </w:p>
    <w:p w14:paraId="7544099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5.4.5 其他要求</w:t>
      </w:r>
    </w:p>
    <w:p w14:paraId="7287E15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（1）设计人应在勘察过程中重视地质环境对安全的影响，提交的勘察报告应真实、准确、可靠，满足工程安全生产的需要，并对勘察结论负责。</w:t>
      </w:r>
    </w:p>
    <w:p w14:paraId="6828E39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（2）设计人应对有可能引发公路工程安全隐患的地质灾害提出防治建议。</w:t>
      </w:r>
    </w:p>
    <w:p w14:paraId="386C0FF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（3）工程勘察布点应参考发包人提供的资料。勘探点的数量、深度和位置可根据地质情况和现场条件依据规范进行调整，但应经发包人同意和批准。</w:t>
      </w:r>
    </w:p>
    <w:p w14:paraId="3ACB5D0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（4）勘探过程中应认真记录每日工作内容，保存原始记录资料与数据，以供发包人检查和分析。</w:t>
      </w:r>
    </w:p>
    <w:p w14:paraId="3E1C3DE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（5）在钻探过程中，如发包人根据规范需要更改取样间距与现场试验的要求，或更改钻孔深度，设计人应积极配合并安排实施。</w:t>
      </w:r>
    </w:p>
    <w:p w14:paraId="0F18F96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设计人在钻探过程中应对地下管线和构筑物进行相应保护，遇到地下文物时应及时向发包人和文物保护部门汇报并妥善保护。设计人在钻探过程中应采取有效的环境保护措施，避免对周围环境造成破坏或污染。</w:t>
      </w:r>
    </w:p>
    <w:p w14:paraId="1EE789B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设计人在进行外业勘察时，应采取有效措施避免对原有道路、桥梁、构造物及其他公共设施或地上附着物造成损坏或损伤。如造成损坏或损伤而引起的一切索赔、赔偿、诉讼费用和其他费用，由设计人自行承担。</w:t>
      </w:r>
    </w:p>
    <w:p w14:paraId="4A592062">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5.5 勘察设备要求</w:t>
      </w:r>
    </w:p>
    <w:p w14:paraId="7076116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5.5.1 设计人应按合同进度计划的要求，及时配置勘察设备进行作业。设计人更换合同约定的勘察设备的，应报发包人批准。</w:t>
      </w:r>
    </w:p>
    <w:p w14:paraId="6E9E904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5.5.2 设计人应按照规范要求，及时维修、保养或更换勘察设备，包括并不限于钻机、触探仪、全站仪、水准仪、探测仪、测井平台、天平、固结仪、振筛机、干燥箱、直剪仪、收缩仪、膨胀仪、渗透仪等，保证勘察设备能够随时进场使用。</w:t>
      </w:r>
    </w:p>
    <w:p w14:paraId="4C0D31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5.5.3 设计人使用的勘察设备不能满足合同进度计划和（或）质量要求时，发包人有权要求设计人增加或更换勘察设备，设计人应及时增加或更换，由此增加的费用和（或）周期延误由设计人自行承担。</w:t>
      </w:r>
    </w:p>
    <w:p w14:paraId="575D6502">
      <w:pPr>
        <w:kinsoku/>
        <w:spacing w:before="3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5.6 临时占地和设施要求</w:t>
      </w:r>
    </w:p>
    <w:p w14:paraId="0EA5082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5.6.1 设计人应根据勘察设计服务方案制订临时占地计划，报请发包人批准。</w:t>
      </w:r>
    </w:p>
    <w:p w14:paraId="49DD2DC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5.6.2 位于本工程区域内的临时占地，由发包人协调提供。位于道路、绿化或者其他市政设施内的临时占地，由设计人向行政管理部门报建申请，按照要求制订占地施工方案，并据此实施。</w:t>
      </w:r>
    </w:p>
    <w:p w14:paraId="102194A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5.6.3 临时占地使用完毕后，设计人应按照发包人要求或行政管理部门规定恢复临时占地。如果恢复或清理标准不能满足要求的，发包人有权委托他人代为恢复或清理，由此发生的费用从拟支付给设计人的勘察设计费用中扣除。</w:t>
      </w:r>
    </w:p>
    <w:p w14:paraId="2045C8D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5.6.4 设计人应配备或搭设足够的临时设施，保证勘探工作能够正常开展。临时设施包括并不限于施工围挡、交通疏导设施、安全防范设施、钻机防护设施、安全文明施工设施、办公生活用房、取样存放场所等。</w:t>
      </w:r>
    </w:p>
    <w:p w14:paraId="4E34AFD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5.6.5 临时设施应满足规范标准、发包人要求和行政管理部门的规定等。除专用合同条款另有约定外，临时设施的修建、拆除和恢复费用由设计人自行承担。</w:t>
      </w:r>
    </w:p>
    <w:p w14:paraId="315FBA29">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5.7 安全作业要求</w:t>
      </w:r>
    </w:p>
    <w:p w14:paraId="7F0DDFE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5.7.1 设计人应按合同约定履行安全职责，执行发包人有关安全工作的指示，并在专用合同条款约定的期限内，按合同约定的安全工作内容，编制安全措施计划报送发包人批准。</w:t>
      </w:r>
    </w:p>
    <w:p w14:paraId="7912C2B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5.7.2 设计人应严格执行操作规程，采取有效措施保证道路、桥梁、交通安全设施、建构筑物、地下管线、架空线和其他周边设施等安全正常地运行。</w:t>
      </w:r>
    </w:p>
    <w:p w14:paraId="36A5DE5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5.7.3 设计人应按照法律、法规和工程建设强制性标准进行勘察，加强勘察作业安全管理，特别加强易燃、易爆材料、火工器材、有毒与腐蚀性材料和其他危险品的管理。</w:t>
      </w:r>
    </w:p>
    <w:p w14:paraId="00E10A8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5.7.4 设计人应严格按照国家安全标准制定施工安全操作规程，配备必要的安全生产和劳动保护设施，加强对设计人人员的安全教育，并且发放安全工作手册和劳动保护用具。</w:t>
      </w:r>
    </w:p>
    <w:p w14:paraId="2F77FB2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5.7.5 设计人应按发包人的指示制订应对灾害的紧急预案，报送发包人批准。设计人还应按预案做好安全检查，配置必要的救助物资和器材，切实保护好有关人员的人身和财产安全。</w:t>
      </w:r>
    </w:p>
    <w:p w14:paraId="30220B6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5.7.6 设计人应对其履行合同所雇用的全部人员，包括分包人人员的工伤事故承担责任，但由于发包人原因造成设计人人员工伤事故的，应由发包人承担责任。</w:t>
      </w:r>
    </w:p>
    <w:p w14:paraId="208BCE0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5.7.7 由于设计人原因在施工场地内及其毗邻地带造成的第三者人员伤亡和财产损失，由设计人负责赔偿。</w:t>
      </w:r>
    </w:p>
    <w:p w14:paraId="11C0DD12">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5.8 环境保护要求</w:t>
      </w:r>
    </w:p>
    <w:p w14:paraId="7F1D278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5.8.1 设计人在履行合同过程中，应遵守有关环境保护的法律，履行合同约定的环境保护义务，并对违反法律和合同约定义务所造成的环境破坏、人身伤害和财产损失负责。</w:t>
      </w:r>
    </w:p>
    <w:p w14:paraId="0F0A4AA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5.8.2 设计人应按合同约定的环保工作内容，编制环保措施计划，报送发包人批准。</w:t>
      </w:r>
    </w:p>
    <w:p w14:paraId="27EDC10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5.8.3 设计人应确保勘探过程中产生的气体排放物、粉尘、噪声、地面排水及排污等，符合法律规定和发包人要求。</w:t>
      </w:r>
    </w:p>
    <w:p w14:paraId="43AD6018">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5.9 事故处理要求</w:t>
      </w:r>
    </w:p>
    <w:p w14:paraId="6B90888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5.9.1 合同履行过程中发生事故的，设计人应立即通知发包人。</w:t>
      </w:r>
    </w:p>
    <w:p w14:paraId="1D4CAD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5.9.2 发包人和设计人应立即组织人员和设备进行紧急抢救和抢修，减少人员伤亡和财产损失，防止事故扩大，并保护事故现场。需要移动现场物品时，应作出标记和书面记录，妥善保管有关证据。发包人和设计人应按国家有关规定，及时如实地向有关部门报告事故发生的情况，以及正在采取的紧急措施等。</w:t>
      </w:r>
    </w:p>
    <w:p w14:paraId="596FBE2A">
      <w:pPr>
        <w:kinsoku/>
        <w:spacing w:before="196"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5.10 勘察设计文件要求</w:t>
      </w:r>
    </w:p>
    <w:p w14:paraId="246682D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5.10.1 勘察设计文件的编制应符合法律法规、规范标准的强制性规定和发包人要求，相关勘察设计依据应完整、准确、可靠，勘察设计方案论证充分，计算成果规范可靠，并能够实施。</w:t>
      </w:r>
    </w:p>
    <w:p w14:paraId="2E22D59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5.10.2 勘察设计服务应根据法律、规范标准和发包人要求，保证工程的合理使用寿命年限，并在设计文件中予以注明。</w:t>
      </w:r>
    </w:p>
    <w:p w14:paraId="0247759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p>
    <w:p w14:paraId="330AC84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5.10.3 勘察设计文件的深度应满足本合同相应勘察设计阶段的规定要求，满足发包人的下步工作需要，并应符合国家和行业现行规定。</w:t>
      </w:r>
    </w:p>
    <w:p w14:paraId="3FC7DF9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5.10.4 勘察设计文件必须保证工程质量和施工安全等方面的要求，按照有关法律法规规定在勘察设计文件中提出保障施工作业人员安全和预防生产安全事故的措施建议。</w:t>
      </w:r>
    </w:p>
    <w:p w14:paraId="330F8CA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5.10.5 勘察设计文件必须符合下列要求：</w:t>
      </w:r>
    </w:p>
    <w:p w14:paraId="38D3714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（1）勘察设计文件的编制必须严格执行国家基本建设程序、工程建设标准强制性条文及有关公路工程建设的法律、法规、规章、规范、标准、规程、定额和合同的要求。</w:t>
      </w:r>
    </w:p>
    <w:p w14:paraId="1A04E4E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勘察设计文件的编制须符合国民经济、社会发展规划和产业政策，贯彻提高社会经济效益和促进技术进步的方针，实行资源综合利用，节约资源和能源，符合国家自然风景区、城市、集镇、村庄规划和相关专业规划，符合国家有关劳动安全卫生、消防、抗震、人防规定。</w:t>
      </w:r>
    </w:p>
    <w:p w14:paraId="2DC9E3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（3）勘察设计文件必须保证工程质量和安全的要求，符合安全、适用、耐久、经济、美观的综合要求；并应特别注意沿线景观及沿线设施的协调性和符合环境保护、水土保持的要求。</w:t>
      </w:r>
    </w:p>
    <w:p w14:paraId="748D6F9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5.10.6 设计人应根据批复的可行性研究报告和交通运输部《公路工程基本建设项目设计文件编制办法》规定的设计深度完成施工图设计工作。</w:t>
      </w:r>
    </w:p>
    <w:p w14:paraId="556A72D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5.10.7 若发包人或发包人上级主管部门认为需要进行技术设计，设计人应根据发包人要求，按交通运输部《公路工程基本建设项目设计文件编制办法》有关规定编制技术设计文件和修正概算，并通过发包人上级主管部门的审查。如果发包人在招标阶段已明确本项目包括技术设计并且在报价清单中已列有相应报价子目，则按设计人在报价清单中所报的相应费用支付；否则，对于发包人在项目实施过程中提出的技术设计，发包人应另行支付费用。</w:t>
      </w:r>
    </w:p>
    <w:p w14:paraId="17C9967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5.10.8 设计人应按批准的初步设计完成施工图设计工作，并接受发包人、咨询单位及</w:t>
      </w:r>
      <w:r>
        <w:rPr>
          <w:rFonts w:hint="eastAsia" w:ascii="宋体" w:hAnsi="宋体" w:eastAsia="宋体" w:cs="宋体"/>
          <w:strike w:val="0"/>
          <w:dstrike w:val="0"/>
          <w:color w:val="000000" w:themeColor="text1"/>
          <w:sz w:val="24"/>
          <w:szCs w:val="24"/>
          <w:highlight w:val="none"/>
          <w:lang w:eastAsia="zh-CN"/>
          <w14:textFill>
            <w14:solidFill>
              <w14:schemeClr w14:val="tx1"/>
            </w14:solidFill>
          </w14:textFill>
        </w:rPr>
        <w:t>发包人上级主管部门对施工图设计文件的审查，按审查意见修改施工图设计文件。设计人应在发包人规定的时间内完成施工图预算的编制，施工图设计文件及施工图预算应按各施工标段进行编制。施工图设计文件批复后，则作</w:t>
      </w:r>
      <w:r>
        <w:rPr>
          <w:rFonts w:hint="eastAsia" w:ascii="宋体" w:hAnsi="宋体" w:eastAsia="宋体" w:cs="宋体"/>
          <w:color w:val="000000" w:themeColor="text1"/>
          <w:sz w:val="24"/>
          <w:szCs w:val="24"/>
          <w:highlight w:val="none"/>
          <w:lang w:eastAsia="zh-CN"/>
          <w14:textFill>
            <w14:solidFill>
              <w14:schemeClr w14:val="tx1"/>
            </w14:solidFill>
          </w14:textFill>
        </w:rPr>
        <w:t>为编制施工招标文件的依据。</w:t>
      </w:r>
    </w:p>
    <w:p w14:paraId="5587751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5.10.9 当发包人、咨询单位或上级主管部门认为需调用设计人的设计计算书时，设计人必须及时提供。</w:t>
      </w:r>
    </w:p>
    <w:p w14:paraId="4C4B88C3">
      <w:pPr>
        <w:kinsoku/>
        <w:spacing w:before="136" w:line="286" w:lineRule="auto"/>
        <w:ind w:left="39"/>
        <w:rPr>
          <w:rFonts w:ascii="宋体" w:hAnsi="宋体" w:eastAsia="宋体" w:cs="宋体"/>
          <w:color w:val="000000" w:themeColor="text1"/>
          <w:sz w:val="28"/>
          <w:szCs w:val="28"/>
          <w:highlight w:val="none"/>
          <w:lang w:eastAsia="zh-CN"/>
          <w14:textFill>
            <w14:solidFill>
              <w14:schemeClr w14:val="tx1"/>
            </w14:solidFill>
          </w14:textFill>
        </w:rPr>
      </w:pPr>
      <w:bookmarkStart w:id="393" w:name="bookmark229"/>
      <w:bookmarkEnd w:id="393"/>
      <w:bookmarkStart w:id="394" w:name="bookmark228"/>
      <w:bookmarkEnd w:id="394"/>
      <w:r>
        <w:rPr>
          <w:rFonts w:hint="eastAsia" w:ascii="宋体" w:hAnsi="宋体" w:eastAsia="宋体" w:cs="宋体"/>
          <w:b/>
          <w:bCs/>
          <w:color w:val="000000" w:themeColor="text1"/>
          <w:sz w:val="28"/>
          <w:szCs w:val="28"/>
          <w:highlight w:val="none"/>
          <w:lang w:eastAsia="zh-CN"/>
          <w14:textFill>
            <w14:solidFill>
              <w14:schemeClr w14:val="tx1"/>
            </w14:solidFill>
          </w14:textFill>
        </w:rPr>
        <w:t>6. 开始勘察设计和完成勘察设计</w:t>
      </w:r>
    </w:p>
    <w:p w14:paraId="04807D5A">
      <w:pPr>
        <w:kinsoku/>
        <w:spacing w:before="78"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6.1 开始勘察设计</w:t>
      </w:r>
    </w:p>
    <w:p w14:paraId="589AD9B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6.1.1 符合专用合同条款约定的开始勘察设计条件的，发包人应提前7天向设计人发出开始勘察设计通知。勘察设计服务期限自开始勘察设计通知中载明的开始勘察设计日期起计算。勘察设计服务周期安排在专用合同条款中约定。</w:t>
      </w:r>
    </w:p>
    <w:p w14:paraId="59B53DF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6.1.2 除专用合同条款另有约定外，因发包人原因造成合同签订之日起90天内未能发出开始勘察设计通知的，设计人有权提出价格调整要求，或者解除合同。发包人应承担由此增加的费用和（或）周期延误。</w:t>
      </w:r>
    </w:p>
    <w:p w14:paraId="3B08D14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6.1.3 设计人应在接到中标通知书后14天内，针对勘察设计各个阶段工作内容向发包人提交具有可实施性、分项目的勘察设计详细工作大纲及进度计划，以及为完成本计划而建议采用的措施和说明（含电子文件一份），经批准后作为勘察设计合同文件的组成部分，是发包人对勘察设计进行项目管理的依据之一。</w:t>
      </w:r>
    </w:p>
    <w:p w14:paraId="02F410D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6.1.4 设计人在开展专题研究之前，应针对专题研究的具体内容提交详细的工作大纲（含电子文件一份），报发包人审核后实施，并作为勘察设计合同文件的组成部分。</w:t>
      </w:r>
    </w:p>
    <w:p w14:paraId="7C40CF6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6.1.5 发包人对设计人勘察设计详细工作大纲及进度计划、专题研究详细工作大纲的审查，并不免除设计人对本项目勘察设计（含专题研究）应承担的责任。</w:t>
      </w:r>
    </w:p>
    <w:p w14:paraId="1944636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6.1.6 设计人应在每月月底向发包人提供进度报告，说明该月工作进展情况及下月计划安排，并根据发包人要求，参加发包人组织的月度工作例会。</w:t>
      </w:r>
    </w:p>
    <w:p w14:paraId="3AD268E5">
      <w:pPr>
        <w:kinsoku/>
        <w:spacing w:before="196"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6.2 发包人引起的周期延误</w:t>
      </w:r>
    </w:p>
    <w:p w14:paraId="73D88E9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在履行合同过程中，由于发包人的下列原因造成勘察设计服务期限延误的，发包人应延长勘察设计服务期限并增加勘察设计费用，具体方法在专用合同条款中约定。</w:t>
      </w:r>
    </w:p>
    <w:p w14:paraId="3B1F6AC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（1）合同变更；</w:t>
      </w:r>
    </w:p>
    <w:p w14:paraId="6FD7A56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（2）未按合同约定期限及时答复勘察设计事项；</w:t>
      </w:r>
    </w:p>
    <w:p w14:paraId="0A7C9DA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（3）因发包人原因导致的暂停勘察设计；</w:t>
      </w:r>
    </w:p>
    <w:p w14:paraId="211B00A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（4）未按合同约定及时支付勘察设计费用；</w:t>
      </w:r>
    </w:p>
    <w:p w14:paraId="6E4A89D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（5）发包人提供的基准资料错误；</w:t>
      </w:r>
    </w:p>
    <w:p w14:paraId="3194AB4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（6）未及时履行合同约定的相关义务；</w:t>
      </w:r>
    </w:p>
    <w:p w14:paraId="07F362C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（7）未能按照合同约定期限对勘察设计文件进行审查；</w:t>
      </w:r>
    </w:p>
    <w:p w14:paraId="749CE1A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（8）发包人造成周期延误的其他原因。</w:t>
      </w:r>
    </w:p>
    <w:p w14:paraId="595ADCAD">
      <w:pPr>
        <w:kinsoku/>
        <w:spacing w:before="19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6.3 设计人引起的周期延误</w:t>
      </w:r>
    </w:p>
    <w:p w14:paraId="540B5C9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由于设计人原因造成周期延误，设计人应支付逾期违约金。逾期违约金的计算方法和最高限额在专用合同条款中约定。</w:t>
      </w:r>
    </w:p>
    <w:p w14:paraId="39B86461">
      <w:pPr>
        <w:kinsoku/>
        <w:spacing w:before="3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6.4 行政管理部门引起的周期延误</w:t>
      </w:r>
    </w:p>
    <w:p w14:paraId="599262F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由于行政管理部门审查延迟原因造成费用增加和（或）周期延误的，由发包人承担。</w:t>
      </w:r>
    </w:p>
    <w:p w14:paraId="53090A4B">
      <w:pPr>
        <w:kinsoku/>
        <w:spacing w:before="3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6.5 非人为因素引起的周期延误</w:t>
      </w:r>
    </w:p>
    <w:p w14:paraId="1D417B6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6.5.1 由于出现专用合同条款规定的异常恶劣气候条件、不利物质条件等因素导致周期延误的，设计人有权要求发包人延长周期和（或）增加费用。</w:t>
      </w:r>
    </w:p>
    <w:p w14:paraId="0DF177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6.5.2 设计人发现地下文物或化石时，应按规定及时报告发包人和文物保护部门，并采取有效措施进行保护；设计人有权要求发包人延长周期和（或）增加费用。</w:t>
      </w:r>
    </w:p>
    <w:p w14:paraId="3EAF8507">
      <w:pPr>
        <w:kinsoku/>
        <w:spacing w:before="196"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6.6 完成勘察设计</w:t>
      </w:r>
    </w:p>
    <w:p w14:paraId="250B4D5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6.6.1 设计人完成勘察设计服务之后，应根据法律、规范标准、合同约定和发包人要求编制勘察设计文件。</w:t>
      </w:r>
    </w:p>
    <w:p w14:paraId="101E895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6.6.2 勘察设计文件是工程勘察设计的最终成果和施工的重要依据，应根据本工程的勘察设计内容和不同阶段的勘察设计任务、目的和要求等进行编制。勘察设计文件的内容和深度应满足对应阶段的规范要求。</w:t>
      </w:r>
    </w:p>
    <w:p w14:paraId="0A9D49C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6.6.3 除专用合同条款另有约定外，勘察设计文件包括纸质文件和电子文件两种形式，两者若有不一致时，应以纸质文件为准。纸质文件一式八份，应加盖单位章和项目负责人注册执业印章；电子文件中的文字为WORD格式、图形为CAD格式，并应使用光盘和U盘分别贮存。</w:t>
      </w:r>
    </w:p>
    <w:p w14:paraId="143C8F7F">
      <w:pPr>
        <w:kinsoku/>
        <w:spacing w:before="19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6.7 提前完成勘察设计</w:t>
      </w:r>
    </w:p>
    <w:p w14:paraId="6D37AC2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6.7.1 根据发包人要求或者基于专业能力判断，设计人认为能够提前完成勘察设计的，可向发包人递交一份提前完成勘察设计建议书，包括实施方案、提前时间、勘察设计费用变动等内容。除专用合同条款另有约定之外，发包人接受建议书的，不因提前完成勘察设计而减少勘察设计费用；增加勘察设计费用的，所增费用由发包人承担。</w:t>
      </w:r>
    </w:p>
    <w:p w14:paraId="56CAB9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6.7.2 发包人要求提前完成勘察设计但设计人认为无法实施的，应在收到发包人书面指示后7天内提出异议，说明不能提前完成的理由。发包人应在收到异议后7天内予以答复。任何情况下，发包人不得压缩合理的勘察设计服务期限。</w:t>
      </w:r>
    </w:p>
    <w:p w14:paraId="4112357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6.7.3 由于设计人提前完成勘察设计而给发包人带来经济效益的，发包人可以在专用合同条款中约定设计人因此获得的奖励内容。</w:t>
      </w:r>
    </w:p>
    <w:p w14:paraId="09DB346A">
      <w:pPr>
        <w:kinsoku/>
        <w:spacing w:before="297" w:line="286" w:lineRule="auto"/>
        <w:ind w:left="38"/>
        <w:rPr>
          <w:rFonts w:ascii="宋体" w:hAnsi="宋体" w:eastAsia="宋体" w:cs="宋体"/>
          <w:color w:val="000000" w:themeColor="text1"/>
          <w:sz w:val="28"/>
          <w:szCs w:val="28"/>
          <w:highlight w:val="none"/>
          <w:lang w:eastAsia="zh-CN"/>
          <w14:textFill>
            <w14:solidFill>
              <w14:schemeClr w14:val="tx1"/>
            </w14:solidFill>
          </w14:textFill>
        </w:rPr>
      </w:pPr>
      <w:bookmarkStart w:id="395" w:name="bookmark231"/>
      <w:bookmarkEnd w:id="395"/>
      <w:bookmarkStart w:id="396" w:name="bookmark230"/>
      <w:bookmarkEnd w:id="396"/>
      <w:r>
        <w:rPr>
          <w:rFonts w:hint="eastAsia" w:ascii="宋体" w:hAnsi="宋体" w:eastAsia="宋体" w:cs="宋体"/>
          <w:b/>
          <w:bCs/>
          <w:color w:val="000000" w:themeColor="text1"/>
          <w:sz w:val="28"/>
          <w:szCs w:val="28"/>
          <w:highlight w:val="none"/>
          <w:lang w:eastAsia="zh-CN"/>
          <w14:textFill>
            <w14:solidFill>
              <w14:schemeClr w14:val="tx1"/>
            </w14:solidFill>
          </w14:textFill>
        </w:rPr>
        <w:t>7. 暂停勘察设计</w:t>
      </w:r>
    </w:p>
    <w:p w14:paraId="7A67FD3D">
      <w:pPr>
        <w:kinsoku/>
        <w:spacing w:before="79"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7.1 发包人原因暂停勘察设计</w:t>
      </w:r>
    </w:p>
    <w:p w14:paraId="5645960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合同履行中发生下列情形之一的，设计人可向发包人发出通知，要求发包人采取有效措施予以纠正。发包人收到设计人通知后的 28 天内仍不履行合同义务时，设计人有权暂停勘察设计并通知发包人；发包人应承担由此导致的费用增加和（或）周期延误。</w:t>
      </w:r>
    </w:p>
    <w:p w14:paraId="07AAE69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（1）发包人违约；</w:t>
      </w:r>
    </w:p>
    <w:p w14:paraId="396086B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（2）发包人确定暂停勘察设计；</w:t>
      </w:r>
    </w:p>
    <w:p w14:paraId="1450E3E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（3）合同约定由发包人承担责任的其他情形。</w:t>
      </w:r>
    </w:p>
    <w:p w14:paraId="1BC1F6D1">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7.2 设计人原因暂停勘察设计</w:t>
      </w:r>
    </w:p>
    <w:p w14:paraId="7357DA7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合同履行中发生下列情形之一的，发包人可向设计人发出通知暂停勘察设计，由此造成费用的增加和（或）周期延误由设计人承担：</w:t>
      </w:r>
    </w:p>
    <w:p w14:paraId="3AB55CD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（1）设计人违约；</w:t>
      </w:r>
    </w:p>
    <w:p w14:paraId="28AD9DD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（2）设计人擅自暂停勘察设计；</w:t>
      </w:r>
    </w:p>
    <w:p w14:paraId="019647B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（3）合同约定由设计人承担责任的其他情形。</w:t>
      </w:r>
    </w:p>
    <w:p w14:paraId="4EBA925A">
      <w:pPr>
        <w:kinsoku/>
        <w:spacing w:before="78"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7.3 暂停期间的文件照管</w:t>
      </w:r>
    </w:p>
    <w:p w14:paraId="1D51585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不论由于何种原因引起暂停勘察设计的，暂停期间设计人应负责妥善保护已完部分的勘察设计文件，由此增加的费用由责任方承担。</w:t>
      </w:r>
    </w:p>
    <w:p w14:paraId="760DEBB4">
      <w:pPr>
        <w:kinsoku/>
        <w:spacing w:before="136" w:line="286" w:lineRule="auto"/>
        <w:ind w:left="38"/>
        <w:rPr>
          <w:rFonts w:ascii="宋体" w:hAnsi="宋体" w:eastAsia="宋体" w:cs="宋体"/>
          <w:color w:val="000000" w:themeColor="text1"/>
          <w:sz w:val="28"/>
          <w:szCs w:val="28"/>
          <w:highlight w:val="none"/>
          <w:lang w:eastAsia="zh-CN"/>
          <w14:textFill>
            <w14:solidFill>
              <w14:schemeClr w14:val="tx1"/>
            </w14:solidFill>
          </w14:textFill>
        </w:rPr>
      </w:pPr>
      <w:bookmarkStart w:id="397" w:name="bookmark232"/>
      <w:bookmarkEnd w:id="397"/>
      <w:bookmarkStart w:id="398" w:name="bookmark233"/>
      <w:bookmarkEnd w:id="398"/>
      <w:r>
        <w:rPr>
          <w:rFonts w:hint="eastAsia" w:ascii="宋体" w:hAnsi="宋体" w:eastAsia="宋体" w:cs="宋体"/>
          <w:b/>
          <w:bCs/>
          <w:color w:val="000000" w:themeColor="text1"/>
          <w:sz w:val="28"/>
          <w:szCs w:val="28"/>
          <w:highlight w:val="none"/>
          <w:lang w:eastAsia="zh-CN"/>
          <w14:textFill>
            <w14:solidFill>
              <w14:schemeClr w14:val="tx1"/>
            </w14:solidFill>
          </w14:textFill>
        </w:rPr>
        <w:t>8. 勘察设计文件</w:t>
      </w:r>
    </w:p>
    <w:p w14:paraId="381BD376">
      <w:pPr>
        <w:kinsoku/>
        <w:spacing w:before="78"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8.1 勘察设计文件接收</w:t>
      </w:r>
    </w:p>
    <w:p w14:paraId="0E5C59A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8.1.1 发包人应及时接收设计人提交的勘察设计文件。如无正当理由拒收的，视为发包人已经接收勘察设计文件。</w:t>
      </w:r>
    </w:p>
    <w:p w14:paraId="64DAC0D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8.1.2 发包人接收勘察设计文件时，应向设计人出具文件签收凭证，凭证内容包括文件名称、文件内容、文件形式、份数、提交和接收日期、提交人与接收人的亲笔签名等。</w:t>
      </w:r>
    </w:p>
    <w:p w14:paraId="13D0F4D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8.1.3 勘察设计文件提交的份数、内容、纸幅、装订格式、电子文件、展板、模型、沙盘、动画等要求，在专用合同条款中约定。</w:t>
      </w:r>
    </w:p>
    <w:p w14:paraId="3F96827E">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8.2 发包人审查勘察设计文件</w:t>
      </w:r>
    </w:p>
    <w:p w14:paraId="76F6B32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8.2.1 发包人接收勘察设计文件之后，可以自行或者组织专家会进行审查，设计人应给予配合。审查标准应符合法律、规范标准、合同约定和发包人要求等；审查 的具体范围、明细内容和费用分担原则，在专用合同条款中约定。</w:t>
      </w:r>
    </w:p>
    <w:p w14:paraId="59C1FF1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8.2.2 除专用合同条款另有约定外，发包人对于勘察设计文件的审查期限，自文件接收之日起不应超过14天。发包人逾期未作出审查结论且未提出异议的，视为设计人的勘察设计文件已经通过发包人审查。</w:t>
      </w:r>
    </w:p>
    <w:p w14:paraId="731A077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8.2.3 发包人审查后不同意勘察设计文件的，应以书面形式通知设计人，说明审查不通过的理由及其具体内容。设计人应根据发包人的审查意见修改完善勘察设计文件，并重新报送发包人审查，审查期限重新起算。</w:t>
      </w:r>
    </w:p>
    <w:p w14:paraId="45B03881">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8.3 审查机构审查勘察设计文件</w:t>
      </w:r>
    </w:p>
    <w:p w14:paraId="1D88B81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8.3.1 勘察设计文件需经政府有关部门审查或批准的，发包人应在审查同意后，按照有关主管部门要求，将勘察设计文件和相关资料报送审查机构进行审查。发包人的审查和审查机构的审查不减免设计人因为质量问题而应承担的勘察设计责任。</w:t>
      </w:r>
    </w:p>
    <w:p w14:paraId="0FA8E81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8.3.2 对于审查机构的审查意见，如不需要修改发包人要求的，应由设计人按照审查意见修改完善勘察设计文件；如需修改发包人要求的，则由发包人重新修改和提出发包人要求，再由设计人根据新的发包人要求修改完善勘察设计文件。</w:t>
      </w:r>
    </w:p>
    <w:p w14:paraId="34FE175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8.3.3 由于自身原因造成勘察设计文件未通过审查机构审查的，设计人应承担违约责任，采取补救措施直至达到合同约定的质量标准，并自行承担由此导致的费用增加和（或）周期延误。</w:t>
      </w:r>
    </w:p>
    <w:p w14:paraId="01D43D84">
      <w:pPr>
        <w:kinsoku/>
        <w:spacing w:before="134" w:line="286" w:lineRule="auto"/>
        <w:ind w:left="37"/>
        <w:rPr>
          <w:rFonts w:ascii="宋体" w:hAnsi="宋体" w:eastAsia="宋体" w:cs="宋体"/>
          <w:color w:val="000000" w:themeColor="text1"/>
          <w:sz w:val="28"/>
          <w:szCs w:val="28"/>
          <w:highlight w:val="none"/>
          <w:lang w:eastAsia="zh-CN"/>
          <w14:textFill>
            <w14:solidFill>
              <w14:schemeClr w14:val="tx1"/>
            </w14:solidFill>
          </w14:textFill>
        </w:rPr>
      </w:pPr>
      <w:bookmarkStart w:id="399" w:name="bookmark234"/>
      <w:bookmarkEnd w:id="399"/>
      <w:bookmarkStart w:id="400" w:name="bookmark235"/>
      <w:bookmarkEnd w:id="400"/>
      <w:r>
        <w:rPr>
          <w:rFonts w:hint="eastAsia" w:ascii="宋体" w:hAnsi="宋体" w:eastAsia="宋体" w:cs="宋体"/>
          <w:b/>
          <w:bCs/>
          <w:color w:val="000000" w:themeColor="text1"/>
          <w:sz w:val="28"/>
          <w:szCs w:val="28"/>
          <w:highlight w:val="none"/>
          <w:lang w:eastAsia="zh-CN"/>
          <w14:textFill>
            <w14:solidFill>
              <w14:schemeClr w14:val="tx1"/>
            </w14:solidFill>
          </w14:textFill>
        </w:rPr>
        <w:t>9. 勘察设计责任与保险</w:t>
      </w:r>
    </w:p>
    <w:p w14:paraId="5B818F9D">
      <w:pPr>
        <w:kinsoku/>
        <w:spacing w:before="78" w:line="286" w:lineRule="auto"/>
        <w:ind w:left="518"/>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9.1 工作质量责任</w:t>
      </w:r>
    </w:p>
    <w:p w14:paraId="01BEB5C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9.1.1 勘察设计工作质量应满足法律规定、规范标准、合同约定和发包人要求等。</w:t>
      </w:r>
    </w:p>
    <w:p w14:paraId="58F8CC2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9.1.2 设计人应做好勘察设计服务的质量与技术管理工作，建立健全内部质量管理体系和质量责任制度，加强勘察设计服务全过程的质量控制，建立完整的勘察设计文件的设计、复核、审核、会签和批准制度，明确各阶段的责任人。</w:t>
      </w:r>
    </w:p>
    <w:p w14:paraId="085AFFB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9.1.3 设计人应强化现场作业质量和试验工作管理，保证原始记录和试验数据的可靠性、真实性和完整性，严禁离开现场进行追记、补记和修改记录。</w:t>
      </w:r>
    </w:p>
    <w:p w14:paraId="46A9C53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9.1.4 设计人应按合同约定对勘察设计服务进行全过程的质量检查和检验，并作详细记录，编制勘察设计工作质量报表，报送发包人审查。</w:t>
      </w:r>
    </w:p>
    <w:p w14:paraId="5872B6C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9.1.5 发包人有权对勘察设计工作质量进行检查和审核。设计人应为发包人的检查和检验提供方便，包括发包人到勘察设计场地、试验室或合同约定的其他地方进行察看，查阅、审核勘察设计的原始记录和其他文件。发包人的检查和审核，不免除设计人按合同约定应负的责任。</w:t>
      </w:r>
    </w:p>
    <w:p w14:paraId="5F3A7A1E">
      <w:pPr>
        <w:kinsoku/>
        <w:spacing w:before="194"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9.2 勘察设计文件错误责任</w:t>
      </w:r>
    </w:p>
    <w:p w14:paraId="2E1EA34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9.2.1 勘察设计文件存在错误、遗漏、含混、矛盾、不充分之处或其他缺陷，无论设计人是否通过了发包人审查或审查机构审查，设计人均应自费对前述问题带来的缺陷和工程问题进行改正，但因第1.6.2项约定由发包人提供的文件错误导致的除外。</w:t>
      </w:r>
    </w:p>
    <w:p w14:paraId="6C79039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9.2.2 因设计人原因造成勘察设计文件不合格的，发包人有权要求设计人采取补救措施，直至达到合同要求的质量标准，并按第14.1款的约定承担责任。</w:t>
      </w:r>
    </w:p>
    <w:p w14:paraId="146220F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9.2.3 因发包人原因造成勘察设计文件不合格的，设计人应当采取补救措施，直至达到合同要求的质量标准，由此造成的勘察设计费用增加和（或）勘察设计服务期限延误由发包人承担。</w:t>
      </w:r>
    </w:p>
    <w:p w14:paraId="6FA08857">
      <w:pPr>
        <w:kinsoku/>
        <w:spacing w:before="34"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9.3 勘察设计责任主体</w:t>
      </w:r>
    </w:p>
    <w:p w14:paraId="73AB6CD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9.3.1 设计人应运用一切合理的专业技术、知识技能和项目经验，按照职业道德准则和行业公认标准尽其全部职责，勤勉、谨慎、公正地履行其在本合同项下的责任和义务。</w:t>
      </w:r>
    </w:p>
    <w:p w14:paraId="003A1EA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9.3.2 本工程施行质量责任终身制。设计人应书面明确相应的项目负责人和质量负责人。设计人的相关人员按照国家法律法规和有关规定在工程合理使用年限内承担相应的质量责任。</w:t>
      </w:r>
    </w:p>
    <w:p w14:paraId="11BA125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9.3.3 设计人应按照相关规定，做好设计交底、设计变更和后续服务工作，保障设计意图在施工中得以贯彻落实，及时处理施工中与设计相关的质量技术问题。</w:t>
      </w:r>
    </w:p>
    <w:p w14:paraId="322B7EF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9.3.4 本工程交工验收前，设计人应对工程建设内容是否满足设计要求、是否达到使用功能等方面进行综合检查和分析评价，向发包人出具工程设计符合性评价意见。</w:t>
      </w:r>
    </w:p>
    <w:p w14:paraId="2C07F31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9.3.5 设计人应依法规范分包行为，并对承担的工程质量负总责，分包单位对分包合同范围内的工程质量负责。</w:t>
      </w:r>
    </w:p>
    <w:p w14:paraId="34BBC2D8">
      <w:pPr>
        <w:kinsoku/>
        <w:spacing w:before="194"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9.4 勘察设计责任保险</w:t>
      </w:r>
    </w:p>
    <w:p w14:paraId="5186562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9.4.1 除专用合同条款另有约定外，设计人应具有发包人认可的、履行本合同所需要的工程勘察设计责任险，于合同签订后28天内向发包人提交工程勘察设计责任险的保险单副本或者其他有效证明，并在合同履行期间保持足额、有效。</w:t>
      </w:r>
    </w:p>
    <w:p w14:paraId="0E3C5E0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9.4.2 工程勘察设计责任险的保险范围，应当包括由于设计人的疏忽或过失而造成的工程质量事故损失，以及由于事故引发的第三者人身伤亡、财产损失或费用赔偿等。</w:t>
      </w:r>
    </w:p>
    <w:p w14:paraId="0448D96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9.4.3 发生工程勘察设计保险事故后，设计人应按保险人要求进行报告，并负责办理保险理赔业务；保险金不足以补偿损失的，由设计人自行补偿。</w:t>
      </w:r>
    </w:p>
    <w:p w14:paraId="6478957C">
      <w:pPr>
        <w:kinsoku/>
        <w:spacing w:before="296"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401" w:name="bookmark237"/>
      <w:bookmarkEnd w:id="401"/>
      <w:bookmarkStart w:id="402" w:name="bookmark236"/>
      <w:bookmarkEnd w:id="402"/>
      <w:r>
        <w:rPr>
          <w:rFonts w:hint="eastAsia" w:ascii="宋体" w:hAnsi="宋体" w:eastAsia="宋体" w:cs="宋体"/>
          <w:b/>
          <w:bCs/>
          <w:color w:val="000000" w:themeColor="text1"/>
          <w:sz w:val="28"/>
          <w:szCs w:val="28"/>
          <w:highlight w:val="none"/>
          <w:lang w:eastAsia="zh-CN"/>
          <w14:textFill>
            <w14:solidFill>
              <w14:schemeClr w14:val="tx1"/>
            </w14:solidFill>
          </w14:textFill>
        </w:rPr>
        <w:t>10. 招标和施工期间配合</w:t>
      </w:r>
    </w:p>
    <w:p w14:paraId="0350E2B2">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10.1 招标期间配合</w:t>
      </w:r>
    </w:p>
    <w:p w14:paraId="7730462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10.1.1 招标配合指设计人配合发包人进行各项招标工作。</w:t>
      </w:r>
    </w:p>
    <w:p w14:paraId="18D75F3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10.1.2 招标人应按发包人规定的时间提供各标段施工招标资格预审所需的工程数量和工程说明；按发包人规定的时间提供各标段的施工招标图纸、工程量清单和参考资料；按发包人要求安排相关人员参加标前会，就有关设计问题进行答疑。</w:t>
      </w:r>
    </w:p>
    <w:p w14:paraId="49D14148">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10.2 施工期间配合</w:t>
      </w:r>
    </w:p>
    <w:p w14:paraId="5FA37DF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10.2.1 施工配合指设计人配合施工承包人，在施工期间提供的补充勘察、设计服务或其他配合工作，直至工程通过竣工验收为止。</w:t>
      </w:r>
    </w:p>
    <w:p w14:paraId="30D1E5C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10.2.2 除专用合同条款另有约定外，发包人应为设计人派赴施工现场的工作人员，在施工期间提供办公房间、办公桌椅、互联网接口、冷暖设施、生活设施、进出现场交通服务和其他便利条件。</w:t>
      </w:r>
    </w:p>
    <w:p w14:paraId="76096A8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10.2.3 设计人应在本工程的施工期间，积极提供勘察设计配合服务，包括并不限于设计技术交底、施工现场服务、参与施工过程验收、参与工程交工验收、参与工程竣工验收等工作。</w:t>
      </w:r>
    </w:p>
    <w:p w14:paraId="581B1F9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10.2.4 发包人应当组织设计技术交底会，由设计人向发包人、监理人和施工承包人等进行设计交底，对本工程的设计意图、设计文件和施工要求等进行系统的说 明和解释。</w:t>
      </w:r>
    </w:p>
    <w:p w14:paraId="0D78519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10.2.5 工程施工完毕后，发包人应当按有关规定组织工程交工验收和工程竣工验收，设计人参加验收并出具本单位的验收结论。如因勘察设计原因致使工程不合格的，设计人应当承担违约责任，免费修改勘察设计文件和赔偿发包人由此产生的经济损失。</w:t>
      </w:r>
    </w:p>
    <w:p w14:paraId="1C79DF2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10.2.6 设计人应在施工现场设立代表处或派驻经验丰富的设计代表常驻施工现场，做好施工现场服务，并负责解决施工过程中出现的设计问题：</w:t>
      </w:r>
    </w:p>
    <w:p w14:paraId="23E74C9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（1）开工前在发包人指定的时间内，做好设计文件的技术交底工作和现场控制点的交接工作（交桩）；</w:t>
      </w:r>
    </w:p>
    <w:p w14:paraId="5332075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（2）在发包人规定的时间内 ，及时处理与解决施工中与设计有关的问题；</w:t>
      </w:r>
    </w:p>
    <w:p w14:paraId="0A04DD0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（3）在发包人规定的时间内，积极配合发包人对施工及设计方案进行优化设计；</w:t>
      </w:r>
    </w:p>
    <w:p w14:paraId="5F0501A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（4）参与工程质量事故分析，并对因设计造成的质量事故，提出相应的技术处理方案；</w:t>
      </w:r>
    </w:p>
    <w:p w14:paraId="7FE0E47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（5）参加本工程的交工、竣工验收， 提交设计工作报告，并配合质量监督部门校核工程是否按施工图设计施工。</w:t>
      </w:r>
    </w:p>
    <w:p w14:paraId="56CF338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发包人对设计代表的数量和资历条件有特定要求的，在专用合同条款中约定。设计人应按发包人提出的要求派驻设计代表，否则按违约处理。</w:t>
      </w:r>
    </w:p>
    <w:p w14:paraId="76CF592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若发包人在工作中发现设计代表不称职或有违法行为时，有权提出更换，设计人应在发包人提出更换通知的 7 天内完成更换工作并使发包人满意。</w:t>
      </w:r>
    </w:p>
    <w:p w14:paraId="0C36AF7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10.2.7 本项目设计变更的勘察设计由设计人承担，设计人应及时完成勘察设计，提交设计变更文件，并对设计变更文件承担相应责任。除本合同第11条规定之外的设计变更，其勘察设计费用应视为已含入合同价格中，发包人不再另行支付。所有设计变更必须</w:t>
      </w:r>
      <w:r>
        <w:rPr>
          <w:rFonts w:hint="eastAsia" w:ascii="宋体" w:hAnsi="宋体" w:eastAsia="宋体" w:cs="宋体"/>
          <w:strike w:val="0"/>
          <w:dstrike w:val="0"/>
          <w:color w:val="000000" w:themeColor="text1"/>
          <w:sz w:val="24"/>
          <w:szCs w:val="24"/>
          <w:highlight w:val="none"/>
          <w:lang w:eastAsia="zh-CN"/>
          <w14:textFill>
            <w14:solidFill>
              <w14:schemeClr w14:val="tx1"/>
            </w14:solidFill>
          </w14:textFill>
        </w:rPr>
        <w:t>提供预算金额并由设计代表签</w:t>
      </w:r>
      <w:r>
        <w:rPr>
          <w:rFonts w:hint="eastAsia" w:ascii="宋体" w:hAnsi="宋体" w:eastAsia="宋体" w:cs="宋体"/>
          <w:color w:val="000000" w:themeColor="text1"/>
          <w:sz w:val="24"/>
          <w:szCs w:val="24"/>
          <w:highlight w:val="none"/>
          <w:lang w:eastAsia="zh-CN"/>
          <w14:textFill>
            <w14:solidFill>
              <w14:schemeClr w14:val="tx1"/>
            </w14:solidFill>
          </w14:textFill>
        </w:rPr>
        <w:t>字确认。</w:t>
      </w:r>
    </w:p>
    <w:p w14:paraId="19DE8BCB">
      <w:pPr>
        <w:kinsoku/>
        <w:spacing w:before="137"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403" w:name="bookmark238"/>
      <w:bookmarkEnd w:id="403"/>
      <w:bookmarkStart w:id="404" w:name="bookmark239"/>
      <w:bookmarkEnd w:id="404"/>
      <w:r>
        <w:rPr>
          <w:rFonts w:hint="eastAsia" w:ascii="宋体" w:hAnsi="宋体" w:eastAsia="宋体" w:cs="宋体"/>
          <w:b/>
          <w:bCs/>
          <w:color w:val="000000" w:themeColor="text1"/>
          <w:sz w:val="28"/>
          <w:szCs w:val="28"/>
          <w:highlight w:val="none"/>
          <w:lang w:eastAsia="zh-CN"/>
          <w14:textFill>
            <w14:solidFill>
              <w14:schemeClr w14:val="tx1"/>
            </w14:solidFill>
          </w14:textFill>
        </w:rPr>
        <w:t>11. 合同变更</w:t>
      </w:r>
    </w:p>
    <w:p w14:paraId="4ABEA14F">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11.1 变更情形</w:t>
      </w:r>
    </w:p>
    <w:p w14:paraId="3E579FD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11.1.1 合同履行中发生下述情形时，合同一方均可向对方提出变更请求，经双方协商一致后进行变更，勘察设计服务期限和勘察设计费用的调整方法在专用合同条款中约定。</w:t>
      </w:r>
    </w:p>
    <w:p w14:paraId="037ED3B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（1）勘察设计范围发生变化；</w:t>
      </w:r>
    </w:p>
    <w:p w14:paraId="157638E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（2）除不可抗力外，非设计人的原因引起的周期延误；</w:t>
      </w:r>
    </w:p>
    <w:p w14:paraId="55E1A80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（3）非设计人的原因，对工程同一部分重复进行勘察设计；</w:t>
      </w:r>
    </w:p>
    <w:p w14:paraId="642A5CB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（4）非设计人的原因，对工程暂停勘察设计及恢复勘察设计。</w:t>
      </w:r>
    </w:p>
    <w:p w14:paraId="057F95B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11.1.2 基准日后，因颁布新的或修订原有法律、法规、规范和标准等引发合同变更情形的，按照上述约定进行调整。</w:t>
      </w:r>
    </w:p>
    <w:p w14:paraId="02FA8C58">
      <w:pPr>
        <w:kinsoku/>
        <w:spacing w:before="3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11.2 合理化建议</w:t>
      </w:r>
    </w:p>
    <w:p w14:paraId="3CB4CAB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11.2.1 合同履行中，设计人可对发包人要求提出合理化建议。合理化建议应以书面形式提交发包人，被发包人采纳并构成变更的，执行第11.1款约定。</w:t>
      </w:r>
    </w:p>
    <w:p w14:paraId="6B53B93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11.2.2 设计人提出的合理化建议降低了工程投资、缩短了施工期限或者提高了工程经济效益的，发包人应按专用合同条款中的约定给予奖励。</w:t>
      </w:r>
    </w:p>
    <w:p w14:paraId="1A9C63DB">
      <w:pPr>
        <w:kinsoku/>
        <w:spacing w:before="91" w:line="286" w:lineRule="auto"/>
        <w:ind w:left="47"/>
        <w:rPr>
          <w:rFonts w:ascii="宋体" w:hAnsi="宋体" w:eastAsia="宋体" w:cs="宋体"/>
          <w:color w:val="000000" w:themeColor="text1"/>
          <w:sz w:val="28"/>
          <w:szCs w:val="28"/>
          <w:highlight w:val="none"/>
          <w14:textFill>
            <w14:solidFill>
              <w14:schemeClr w14:val="tx1"/>
            </w14:solidFill>
          </w14:textFill>
        </w:rPr>
      </w:pPr>
      <w:bookmarkStart w:id="405" w:name="bookmark241"/>
      <w:bookmarkEnd w:id="405"/>
      <w:bookmarkStart w:id="406" w:name="bookmark240"/>
      <w:bookmarkEnd w:id="406"/>
      <w:r>
        <w:rPr>
          <w:rFonts w:hint="eastAsia" w:ascii="宋体" w:hAnsi="宋体" w:eastAsia="宋体" w:cs="宋体"/>
          <w:b/>
          <w:bCs/>
          <w:color w:val="000000" w:themeColor="text1"/>
          <w:sz w:val="28"/>
          <w:szCs w:val="28"/>
          <w:highlight w:val="none"/>
          <w14:textFill>
            <w14:solidFill>
              <w14:schemeClr w14:val="tx1"/>
            </w14:solidFill>
          </w14:textFill>
        </w:rPr>
        <w:t>12. 合同价格与支付</w:t>
      </w:r>
    </w:p>
    <w:p w14:paraId="77B947B9">
      <w:pPr>
        <w:kinsoku/>
        <w:spacing w:before="78" w:line="286" w:lineRule="auto"/>
        <w:ind w:left="52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12.1 合同价格</w:t>
      </w:r>
    </w:p>
    <w:p w14:paraId="1448419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12.1.1 本合同的报价方式、价格调整方式和风险范围划分，在专用合同条款中约定。</w:t>
      </w:r>
    </w:p>
    <w:p w14:paraId="1460CA4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12.1.2 勘察设计费用实行发包人签证制度，即设计人完成勘察设计项目后通知发包人进行验收，通过验收后由发包人代表对实施的勘察设计项目、数量、质量和实施时间签字确认，以此作为计算勘察设计费用的依据之一。</w:t>
      </w:r>
    </w:p>
    <w:p w14:paraId="3D1676B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12.1.3 除专用合同条款另有约定外，合同价格应当包括收集资料，踏勘现场，制订纲要，进行测绘、勘探、取样、试验、测试、分析、设计、评估、审查等，编制勘察设计文件，招标与施工配合等全部费用和国家规定的各项税费。</w:t>
      </w:r>
    </w:p>
    <w:p w14:paraId="0A793E1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12.1.4 发包人要求设计人进行外出考察、试验检测、专项咨询或专家评审时，相应费用不含在合同价格之中，由发包人另行支付。</w:t>
      </w:r>
    </w:p>
    <w:p w14:paraId="6B587D2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12.1.5 设计人为联合体的，发包人应根据勘察设计工作进展向联合体牵头人支付勘察设计费用，由联合体牵头人根据联合体各成员及分包人（如有）实际完成的工作量及完成质量，向联合体各成员及分包人支付合同价款，由此发生的税费等费用统一包含在合同价格内，发包人不另行支付。联合体牵头人提出书面申请时，发 包人也可直接向联合体各成员支付合同价款。</w:t>
      </w:r>
    </w:p>
    <w:p w14:paraId="0528C80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12.1.6 发包人向设计人实际支付的勘察设计费，将不高于施工图设计审批概算中相应勘察设计费的审批额，除非勘察设计费审批额依法予以调整。勘察设计费超出审批额部分发包人将予以扣除，合同价格相应变更，不足部分发包人将不另行支付。</w:t>
      </w:r>
    </w:p>
    <w:p w14:paraId="7558C90A">
      <w:pPr>
        <w:kinsoku/>
        <w:spacing w:before="196"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12.2 预付款</w:t>
      </w:r>
    </w:p>
    <w:p w14:paraId="53FCC85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12.2.1 预付款应专用于本工程的勘察设计。预付款的额度、支付方式在专用合同条款中约定。设计人无须向发包人提交预付款保函，但设计人提交的履约保证金对预付款的正常使用承担保证责任。</w:t>
      </w:r>
    </w:p>
    <w:p w14:paraId="556D96D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12.2.2 发包人应在收到预付款支付申请后28天内，将预付款支付给设计人；设计人应当提供等额的增值税专用发票。</w:t>
      </w:r>
    </w:p>
    <w:p w14:paraId="35D492CD">
      <w:pPr>
        <w:kinsoku/>
        <w:spacing w:before="195" w:line="286" w:lineRule="auto"/>
        <w:ind w:left="526"/>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12.3 中期支付</w:t>
      </w:r>
    </w:p>
    <w:p w14:paraId="1FFF119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12.3.1 设计人应按发包人批准或专用合同条款约定的格式及份数，向发包人提交中期支付申请，并附相应的支持性证明文件。</w:t>
      </w:r>
    </w:p>
    <w:p w14:paraId="0B22A90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12.3.2 发包人应在收到中期支付申请后的28天内，将应付款项支付给设计人；设计人应当提供等额的增值税专用发票。发包人未能在前述时间内完成审批或不予答复的，视为发包人同意中期支付申请。发包人不按期支付的，按专用合同条款的约定支付逾期付款违约金。</w:t>
      </w:r>
    </w:p>
    <w:p w14:paraId="513E692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12.3.3 中期支付涉及政府投资资金的，按照国库集中支付等国家相关规定和专用合同条款的约定执行。</w:t>
      </w:r>
    </w:p>
    <w:p w14:paraId="3DEF2D3C">
      <w:pPr>
        <w:kinsoku/>
        <w:spacing w:before="19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12.4 费用结算</w:t>
      </w:r>
    </w:p>
    <w:p w14:paraId="0FB1685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12.4.1 合同工作完成后，设计人应按专用合同条款约定的份数和期限，向发包人提交勘察设计费用结算申请，并提供相关证明材料。</w:t>
      </w:r>
    </w:p>
    <w:p w14:paraId="130EED4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12.4.2 发包人应在收到费用结算申请后的28天内，将应付款项支付给设计人；设计人应当提供等额的增值税专用发票。发包人未能在前述时间内完成审批或不予答复的，视为发包人同意费用结算申请。发包人不按期支付的，按专用合同条款的约定支付逾期付款违约金。</w:t>
      </w:r>
    </w:p>
    <w:p w14:paraId="3E43934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12.4.3 发包人对费用结算申请内容有异议的，有权要求设计人进行修正和提供补充资料，由设计人重新提交。设计人对此有异议的，按第15条的约定执行。</w:t>
      </w:r>
    </w:p>
    <w:p w14:paraId="41C4E0E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12.4.4 最终结清付款涉及政府投资资金的，按第12.3.3项的约定执行。</w:t>
      </w:r>
    </w:p>
    <w:p w14:paraId="0542CA17">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12.5 暂列金额</w:t>
      </w:r>
    </w:p>
    <w:p w14:paraId="6F95AFE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12.5.1 本合同的暂列金额在专用合同条款中约定。暂列金额应按发包人的书面指示全部或部分地使用，或根本不予动用。</w:t>
      </w:r>
    </w:p>
    <w:p w14:paraId="21786D2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12.5.2 如果使用暂列金额进行某项额外勘察设计工作、专题研究、审查和会务工作，其费用应按设计人投标报价中相应项目的基本单价和实际发生的工作量经发包人核定后支付，或者按实际发生的工作费用经发包人核实后支付。</w:t>
      </w:r>
    </w:p>
    <w:p w14:paraId="79A3E9F7">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12.6 质量保证金</w:t>
      </w:r>
    </w:p>
    <w:p w14:paraId="785E21B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为保证设计人的设计质量和设计服务，最后一批勘察设计成果文件经上级主管部门批复之后28天内，设计人应向发包人缴纳质量保证金。质量保证金可采用银行保函或现金、支票形式，金额应符合专用合同条款的规定。采用银行保函时，出具保函的银行须具有相应担保能力，且按照发包人批准的格式出具，所需费用由设计人承担，待项目交工证书签发后 28 天内返还给设计人。</w:t>
      </w:r>
    </w:p>
    <w:p w14:paraId="59D7D4E0">
      <w:pPr>
        <w:kinsoku/>
        <w:spacing w:before="296"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407" w:name="bookmark243"/>
      <w:bookmarkEnd w:id="407"/>
      <w:bookmarkStart w:id="408" w:name="bookmark242"/>
      <w:bookmarkEnd w:id="408"/>
      <w:r>
        <w:rPr>
          <w:rFonts w:hint="eastAsia" w:ascii="宋体" w:hAnsi="宋体" w:eastAsia="宋体" w:cs="宋体"/>
          <w:b/>
          <w:bCs/>
          <w:color w:val="000000" w:themeColor="text1"/>
          <w:sz w:val="28"/>
          <w:szCs w:val="28"/>
          <w:highlight w:val="none"/>
          <w:lang w:eastAsia="zh-CN"/>
          <w14:textFill>
            <w14:solidFill>
              <w14:schemeClr w14:val="tx1"/>
            </w14:solidFill>
          </w14:textFill>
        </w:rPr>
        <w:t>13. 不可抗力</w:t>
      </w:r>
    </w:p>
    <w:p w14:paraId="385D7E68">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13.1 不可抗力的确认</w:t>
      </w:r>
    </w:p>
    <w:p w14:paraId="0A9DD0D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13.1.1 不可抗力是指设计人和发包人在订立合同时不可预见，在履行合同过程中不可避免发生并不能克服的自然灾害和社会性突发事件，如地震、海啸、瘟疫、水灾、骚乱、暴动、战争和专用合同条款约定的其他情形。</w:t>
      </w:r>
    </w:p>
    <w:p w14:paraId="14C9B13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13.1.2 不可抗力发生后，发包人和设计人应及时认真统计所造成的损失，收集不可抗力造成损失的证据。合同双方对是否属于不可抗力或其损失的意见不一致的，由合同双方协商确定。</w:t>
      </w:r>
    </w:p>
    <w:p w14:paraId="5CFAE23A">
      <w:pPr>
        <w:kinsoku/>
        <w:spacing w:before="193"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13.2 不可抗力的通知</w:t>
      </w:r>
    </w:p>
    <w:p w14:paraId="68366AF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13.2.1 合同一方当事人遇到不可抗力事件，使其履行合同义务受到阻碍时，应立即通知合同另一方当事人，书面说明不可抗力和受阻碍的详细情况，并提供必要的证明。</w:t>
      </w:r>
    </w:p>
    <w:p w14:paraId="765A07A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13.2.2 如不可抗力持续发生，合同一方当事人应及时向合同另一方当事人提交中间报告，说明不可抗力和履行合同受阻的情况，并于不可抗力事件结束后28天内提交最终报告及有关资料。</w:t>
      </w:r>
    </w:p>
    <w:p w14:paraId="6ABE2A89">
      <w:pPr>
        <w:kinsoku/>
        <w:spacing w:before="196"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13.3 不可抗力后果及其处理</w:t>
      </w:r>
    </w:p>
    <w:p w14:paraId="2E7951A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13.3.1 不可抗力引起的后果及其损失，应由合同当事人依据法律规定各自承担。不可抗力发生前已完成的勘察设计工作，应当按照合同约定进行支付。</w:t>
      </w:r>
    </w:p>
    <w:p w14:paraId="18E3C42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13.3.2 不可抗力发生后，合同当事人应当采取有效措施避免损失进一步扩大，如未采取有效措施致使损失扩大的，应当自行承担扩大部分的损失。</w:t>
      </w:r>
    </w:p>
    <w:p w14:paraId="3F37F00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13.3.3 因一方当事人迟延履行合同义务，致使迟延履行期间遭遇不可抗力的，应由该当事人承担全部损失。</w:t>
      </w:r>
    </w:p>
    <w:p w14:paraId="44A7C286">
      <w:pPr>
        <w:kinsoku/>
        <w:spacing w:before="296"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409" w:name="bookmark245"/>
      <w:bookmarkEnd w:id="409"/>
      <w:bookmarkStart w:id="410" w:name="bookmark244"/>
      <w:bookmarkEnd w:id="410"/>
      <w:r>
        <w:rPr>
          <w:rFonts w:hint="eastAsia" w:ascii="宋体" w:hAnsi="宋体" w:eastAsia="宋体" w:cs="宋体"/>
          <w:b/>
          <w:bCs/>
          <w:color w:val="000000" w:themeColor="text1"/>
          <w:sz w:val="28"/>
          <w:szCs w:val="28"/>
          <w:highlight w:val="none"/>
          <w:lang w:eastAsia="zh-CN"/>
          <w14:textFill>
            <w14:solidFill>
              <w14:schemeClr w14:val="tx1"/>
            </w14:solidFill>
          </w14:textFill>
        </w:rPr>
        <w:t>14. 违约</w:t>
      </w:r>
    </w:p>
    <w:p w14:paraId="334BA2A5">
      <w:pPr>
        <w:kinsoku/>
        <w:spacing w:before="79"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14.1 设计人违约</w:t>
      </w:r>
    </w:p>
    <w:p w14:paraId="0A1DD3C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14.1.1 合同履行中发生下列情况之一的，属设计人违约：</w:t>
      </w:r>
    </w:p>
    <w:p w14:paraId="75D4A72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（1）勘察设计文件不符合法律以及合同约定；</w:t>
      </w:r>
    </w:p>
    <w:p w14:paraId="1D3D526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（2）设计人转包、违法分包或者未经发包人同意擅自分包；</w:t>
      </w:r>
    </w:p>
    <w:p w14:paraId="4B94F52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（3）设计人未按合同计划完成勘察设计（发包人同意延期的除外）；</w:t>
      </w:r>
    </w:p>
    <w:p w14:paraId="3080615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（4）设计人无法履行或停止履行合同；</w:t>
      </w:r>
    </w:p>
    <w:p w14:paraId="21DD62D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（5）在收到发包人或咨询单位或上级主管部门提出的审查意见后，设计人未在专用合同条款规定的期限内完成对勘察设计文件的修改；</w:t>
      </w:r>
    </w:p>
    <w:p w14:paraId="03583AD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（6）设计人在投标文件中承诺的或按合同文件约定的投入本项目的主要勘察设计人员发生变化（因不可抗力引起的人员变动除外）；</w:t>
      </w:r>
    </w:p>
    <w:p w14:paraId="66219A9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（7）设计人未按照本合同第10.1款规定提供招标期间的配合服务；</w:t>
      </w:r>
    </w:p>
    <w:p w14:paraId="565F6FF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（8）设计人未及时选派合格的设计代表进驻施工现场，或未能在发包人和设计人约定的时间内给予答复、完成变更设计；</w:t>
      </w:r>
    </w:p>
    <w:p w14:paraId="4D824A5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（9）因勘察设计深度不够、资料不足、方案缺陷以及勘察设计质量低劣而被要求返工；</w:t>
      </w:r>
    </w:p>
    <w:p w14:paraId="6C6DAF6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（10）因勘察设计深度不够、资料不足、方案缺陷或质量低劣导致未通过上级主管部门的审查，或导致本项目造价调整率超过专用合同条款中约定的比例；</w:t>
      </w:r>
    </w:p>
    <w:p w14:paraId="16385D4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由于设计人的过失或责任引起本项目发生重大设计变更、较大设计变更或单个合同段因变更引起的工程费用调整累计超过专用合同条款中约定的比例，导致施工工期拖延或者给发包人造成经济损失。重大设计变更及较大设计变更的划分标准参照《公路工程设计变更管理办法》的规定执行；</w:t>
      </w:r>
    </w:p>
    <w:p w14:paraId="2EE430E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（12）由于设计人的过失或责任导致勘察设计质量事故；</w:t>
      </w:r>
    </w:p>
    <w:p w14:paraId="1BB2169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（13）设计人不履行合同约定的其他义务。</w:t>
      </w:r>
    </w:p>
    <w:p w14:paraId="3E8C730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14.1.2 设计人发生违约情况时，发包人可向设计人发出整改通知，要求其在限定期限内纠正；逾期仍不纠正的，发包人有权解除合同并向设计人发出解除合同通知。设计人应当承担由于违约所造成的费用增加、周期延误和发包人损失等。发包人有权向设计人课以专用合同条款中约定的违约金，并由发包人将其违约行为上报省级交通运输主管部门，作为不良记录纳入全国公路建设市场监督管理系统。</w:t>
      </w:r>
    </w:p>
    <w:p w14:paraId="675FB063">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14.2 发包人违约</w:t>
      </w:r>
    </w:p>
    <w:p w14:paraId="6DDB03D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14.2.1 合同履行中发生下列情况之一的，属发包人违约：</w:t>
      </w:r>
    </w:p>
    <w:p w14:paraId="7062AA3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（1）发包人未按合同约定支付勘察设计费用；</w:t>
      </w:r>
    </w:p>
    <w:p w14:paraId="0963A55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（2）发包人原因造成勘察设计停止；</w:t>
      </w:r>
    </w:p>
    <w:p w14:paraId="7E73E60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（3）发包人无法履行或停止履行合同；</w:t>
      </w:r>
    </w:p>
    <w:p w14:paraId="7FDA3C3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（4）由于发包人变更勘察设计项目、规模、条件， 或未按合同约定提供勘察设计必需的资料，造成勘察设计的返工、停工、窝工或修改设计；</w:t>
      </w:r>
    </w:p>
    <w:p w14:paraId="5B177B6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（5）发包人无正当理由不按时返还履约保证金、质量保证金；</w:t>
      </w:r>
    </w:p>
    <w:p w14:paraId="626706E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（6）发包人不履行合同约定的其他义务。</w:t>
      </w:r>
    </w:p>
    <w:p w14:paraId="3206DEF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14.2.2 发包人发生违约情况时，设计人可向发包人发出暂停勘察设计通知，要求其在限定期限内纠正；逾期仍不纠正的，设计人有权解除合同并向发包人发出解除合同通知。发包人应当承担由于违约所造成的费用增加、周期延误和设计人损失等。设计人有权向发包人课以专用合同条款中约定的违约金。</w:t>
      </w:r>
    </w:p>
    <w:p w14:paraId="617C65DD">
      <w:pPr>
        <w:kinsoku/>
        <w:spacing w:before="19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14.3 第三人造成的违约</w:t>
      </w:r>
    </w:p>
    <w:p w14:paraId="312B6A11">
      <w:pPr>
        <w:kinsoku/>
        <w:spacing w:before="193" w:line="286" w:lineRule="auto"/>
        <w:ind w:left="40" w:right="38" w:firstLine="477"/>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14:paraId="4B1AB569">
      <w:pPr>
        <w:kinsoku/>
        <w:spacing w:before="137"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411" w:name="bookmark246"/>
      <w:bookmarkEnd w:id="411"/>
      <w:bookmarkStart w:id="412" w:name="bookmark247"/>
      <w:bookmarkEnd w:id="412"/>
      <w:r>
        <w:rPr>
          <w:rFonts w:hint="eastAsia" w:ascii="宋体" w:hAnsi="宋体" w:eastAsia="宋体" w:cs="宋体"/>
          <w:b/>
          <w:bCs/>
          <w:color w:val="000000" w:themeColor="text1"/>
          <w:sz w:val="28"/>
          <w:szCs w:val="28"/>
          <w:highlight w:val="none"/>
          <w:lang w:eastAsia="zh-CN"/>
          <w14:textFill>
            <w14:solidFill>
              <w14:schemeClr w14:val="tx1"/>
            </w14:solidFill>
          </w14:textFill>
        </w:rPr>
        <w:t>15. 争议的解决</w:t>
      </w:r>
    </w:p>
    <w:p w14:paraId="09420FF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15.1 发包人和设计人在履行合同中发生争议的，可以友好协商解决。合同当事人友好协商解决不成的，可在专用合同条款中约定按下列一种方式解决：</w:t>
      </w:r>
    </w:p>
    <w:p w14:paraId="17A5728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（1）向约定的仲裁委员会申请仲裁；</w:t>
      </w:r>
    </w:p>
    <w:p w14:paraId="3EA311A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（2）向有管辖权的人民法院提起诉讼。</w:t>
      </w:r>
    </w:p>
    <w:p w14:paraId="1CAF63C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15.2 采用仲裁方式最终解决争议的项目，仲裁裁决是终局性的并对发包人和设计人双方均具有约束力。全部仲裁费用应由败诉方承担，或按仲裁委员会裁决的比例分担。</w:t>
      </w:r>
    </w:p>
    <w:p w14:paraId="7C1F28C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sectPr>
          <w:headerReference r:id="rId30" w:type="default"/>
          <w:footerReference r:id="rId31" w:type="default"/>
          <w:pgSz w:w="11907" w:h="16841"/>
          <w:pgMar w:top="1173" w:right="1555" w:bottom="1254" w:left="1615" w:header="862" w:footer="1093" w:gutter="0"/>
          <w:cols w:space="720" w:num="1"/>
        </w:sectPr>
      </w:pPr>
    </w:p>
    <w:p w14:paraId="11D71317">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2BAABAD">
      <w:pPr>
        <w:kinsoku/>
        <w:spacing w:before="101" w:line="286" w:lineRule="auto"/>
        <w:ind w:left="2789"/>
        <w:outlineLvl w:val="1"/>
        <w:rPr>
          <w:rFonts w:ascii="宋体" w:hAnsi="宋体" w:eastAsia="宋体" w:cs="宋体"/>
          <w:color w:val="000000" w:themeColor="text1"/>
          <w:sz w:val="13"/>
          <w:szCs w:val="13"/>
          <w:highlight w:val="none"/>
          <w:lang w:eastAsia="zh-CN"/>
          <w14:textFill>
            <w14:solidFill>
              <w14:schemeClr w14:val="tx1"/>
            </w14:solidFill>
          </w14:textFill>
        </w:rPr>
      </w:pPr>
      <w:bookmarkStart w:id="413" w:name="bookmark248"/>
      <w:bookmarkEnd w:id="413"/>
      <w:bookmarkStart w:id="414" w:name="bookmark249"/>
      <w:bookmarkEnd w:id="414"/>
      <w:bookmarkStart w:id="415" w:name="_Toc17790"/>
      <w:bookmarkStart w:id="416" w:name="_Toc134"/>
      <w:r>
        <w:rPr>
          <w:rFonts w:hint="eastAsia" w:ascii="宋体" w:hAnsi="宋体" w:eastAsia="宋体" w:cs="宋体"/>
          <w:color w:val="000000" w:themeColor="text1"/>
          <w:sz w:val="31"/>
          <w:szCs w:val="31"/>
          <w:highlight w:val="none"/>
          <w:lang w:eastAsia="zh-CN"/>
          <w14:textFill>
            <w14:solidFill>
              <w14:schemeClr w14:val="tx1"/>
            </w14:solidFill>
          </w14:textFill>
        </w:rPr>
        <w:t>第二节 专用合同条款</w:t>
      </w:r>
      <w:bookmarkEnd w:id="415"/>
      <w:bookmarkEnd w:id="416"/>
    </w:p>
    <w:p w14:paraId="5EFB21EE">
      <w:pPr>
        <w:kinsoku/>
        <w:spacing w:before="235" w:line="286" w:lineRule="auto"/>
        <w:ind w:left="46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说明：</w:t>
      </w:r>
    </w:p>
    <w:p w14:paraId="5779DBE5">
      <w:pPr>
        <w:kinsoku/>
        <w:spacing w:before="233" w:line="286" w:lineRule="auto"/>
        <w:ind w:left="459" w:right="31" w:firstLine="5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招标人在根据《公路工程标准勘察设计招标文件》编制项目招标文件中的“专用合同条款”时，可根据招标项目的具体特点和实际需要，对“通用合同条款”进行补充、细化。在“专用合同条款”中补充或细化的内容，不得违反法律、行政法规的强制性规定和平等、自愿、公平和诚实信用原则。</w:t>
      </w:r>
    </w:p>
    <w:p w14:paraId="50A24913">
      <w:pPr>
        <w:kinsoku/>
        <w:spacing w:before="233" w:line="286" w:lineRule="auto"/>
        <w:ind w:left="459" w:right="31" w:firstLine="50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2.专用合同条款的编号应与通用合同条款一致。</w:t>
      </w:r>
    </w:p>
    <w:p w14:paraId="166C5048">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E0B1BE2">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2E94D87">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0004EE1">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7508C9D">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C2E4E03">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C3A807F">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00E5BBD">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98BB1FB">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314F325">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9C601ED">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5CE7717">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C987F2F">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1887BB6E">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6219C83">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2BD7CD22">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4CF84E3E">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4401CE3F">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0D2DBDA4">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BEDC71A">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8427F9A">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352DC55">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9BF8356">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2B603EE0">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10B4B7AB">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A9E08BF">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13E96364">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7A90F60">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49AE205E">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8BC9BFE">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1ADF2823">
      <w:pPr>
        <w:kinsoku/>
        <w:spacing w:line="286"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6376F484">
      <w:pPr>
        <w:kinsoku/>
        <w:spacing w:before="78"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根据本项目的具体情况，对通用合同条款的内容作如下补充、细化：</w:t>
      </w:r>
    </w:p>
    <w:p w14:paraId="3D36B706">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150B4F7">
      <w:pPr>
        <w:kinsoku/>
        <w:spacing w:before="91"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 一般约定</w:t>
      </w:r>
    </w:p>
    <w:p w14:paraId="7E9614AA">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 词语定义</w:t>
      </w:r>
    </w:p>
    <w:p w14:paraId="1ABF0749">
      <w:pPr>
        <w:kinsoku/>
        <w:spacing w:before="194"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发包人：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始兴县地方公路事务中心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13C65F4">
      <w:pPr>
        <w:kinsoku/>
        <w:spacing w:before="194" w:line="286" w:lineRule="auto"/>
        <w:ind w:right="-302" w:rightChars="-144" w:firstLine="539" w:firstLineChars="257"/>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本次进行设计招标的项目为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广东省韶关市始兴县道路交通信息化工程建设项目设计</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bookmarkStart w:id="417" w:name="_Toc28009"/>
      <w:bookmarkStart w:id="418" w:name="_Toc7358"/>
    </w:p>
    <w:p w14:paraId="5D169D23">
      <w:pPr>
        <w:kinsoku/>
        <w:spacing w:before="194" w:line="286" w:lineRule="auto"/>
        <w:ind w:left="536"/>
        <w:rPr>
          <w:rFonts w:ascii="宋体" w:hAnsi="宋体" w:eastAsia="宋体"/>
          <w:color w:val="000000" w:themeColor="text1"/>
          <w:sz w:val="24"/>
          <w:highlight w:val="none"/>
          <w:lang w:eastAsia="zh-CN"/>
          <w14:textFill>
            <w14:solidFill>
              <w14:schemeClr w14:val="tx1"/>
            </w14:solidFill>
          </w14:textFill>
        </w:rPr>
      </w:pPr>
      <w:r>
        <w:rPr>
          <w:rFonts w:ascii="宋体" w:hAnsi="宋体" w:eastAsia="宋体"/>
          <w:color w:val="000000" w:themeColor="text1"/>
          <w:sz w:val="24"/>
          <w:highlight w:val="none"/>
          <w:lang w:eastAsia="zh-CN"/>
          <w14:textFill>
            <w14:solidFill>
              <w14:schemeClr w14:val="tx1"/>
            </w14:solidFill>
          </w14:textFill>
        </w:rPr>
        <w:t xml:space="preserve">1.1.3.2 </w:t>
      </w:r>
      <w:r>
        <w:rPr>
          <w:rFonts w:hint="eastAsia" w:ascii="宋体" w:hAnsi="宋体" w:eastAsia="宋体"/>
          <w:color w:val="000000" w:themeColor="text1"/>
          <w:sz w:val="24"/>
          <w:highlight w:val="none"/>
          <w:lang w:eastAsia="zh-CN"/>
          <w14:textFill>
            <w14:solidFill>
              <w14:schemeClr w14:val="tx1"/>
            </w14:solidFill>
          </w14:textFill>
        </w:rPr>
        <w:t>本合同包括的具体设计服务内容：</w:t>
      </w:r>
      <w:r>
        <w:rPr>
          <w:rFonts w:ascii="宋体" w:hAnsi="宋体" w:eastAsia="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u w:val="single"/>
          <w:lang w:eastAsia="zh-CN"/>
          <w14:textFill>
            <w14:solidFill>
              <w14:schemeClr w14:val="tx1"/>
            </w14:solidFill>
          </w14:textFill>
        </w:rPr>
        <w:t>详见招标公告</w:t>
      </w:r>
      <w:r>
        <w:rPr>
          <w:rFonts w:ascii="宋体" w:hAnsi="宋体" w:eastAsia="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lang w:eastAsia="zh-CN"/>
          <w14:textFill>
            <w14:solidFill>
              <w14:schemeClr w14:val="tx1"/>
            </w14:solidFill>
          </w14:textFill>
        </w:rPr>
        <w:t>。</w:t>
      </w:r>
      <w:bookmarkEnd w:id="417"/>
      <w:bookmarkEnd w:id="418"/>
      <w:bookmarkStart w:id="419" w:name="_Toc7157"/>
      <w:bookmarkStart w:id="420" w:name="_Toc10165"/>
    </w:p>
    <w:p w14:paraId="1E3B39A2">
      <w:pPr>
        <w:kinsoku/>
        <w:spacing w:before="194" w:line="286" w:lineRule="auto"/>
        <w:ind w:left="536"/>
        <w:rPr>
          <w:rFonts w:ascii="宋体" w:hAnsi="宋体" w:eastAsia="宋体"/>
          <w:color w:val="000000" w:themeColor="text1"/>
          <w:sz w:val="24"/>
          <w:highlight w:val="none"/>
          <w:lang w:eastAsia="zh-CN"/>
          <w14:textFill>
            <w14:solidFill>
              <w14:schemeClr w14:val="tx1"/>
            </w14:solidFill>
          </w14:textFill>
        </w:rPr>
      </w:pPr>
      <w:r>
        <w:rPr>
          <w:rFonts w:ascii="宋体" w:hAnsi="宋体" w:eastAsia="宋体"/>
          <w:color w:val="000000" w:themeColor="text1"/>
          <w:sz w:val="24"/>
          <w:highlight w:val="none"/>
          <w:lang w:eastAsia="zh-CN"/>
          <w14:textFill>
            <w14:solidFill>
              <w14:schemeClr w14:val="tx1"/>
            </w14:solidFill>
          </w14:textFill>
        </w:rPr>
        <w:t xml:space="preserve">1.1.3.6 </w:t>
      </w:r>
      <w:r>
        <w:rPr>
          <w:rFonts w:hint="eastAsia" w:ascii="宋体" w:hAnsi="宋体" w:eastAsia="宋体"/>
          <w:color w:val="000000" w:themeColor="text1"/>
          <w:sz w:val="24"/>
          <w:highlight w:val="none"/>
          <w:lang w:eastAsia="zh-CN"/>
          <w14:textFill>
            <w14:solidFill>
              <w14:schemeClr w14:val="tx1"/>
            </w14:solidFill>
          </w14:textFill>
        </w:rPr>
        <w:t>本合同包括的具体设计文件：</w:t>
      </w:r>
      <w:r>
        <w:rPr>
          <w:rFonts w:ascii="宋体" w:hAnsi="宋体" w:eastAsia="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u w:val="single"/>
          <w:lang w:eastAsia="zh-CN"/>
          <w14:textFill>
            <w14:solidFill>
              <w14:schemeClr w14:val="tx1"/>
            </w14:solidFill>
          </w14:textFill>
        </w:rPr>
        <w:t>详见招标公告</w:t>
      </w:r>
      <w:r>
        <w:rPr>
          <w:rFonts w:ascii="宋体" w:hAnsi="宋体" w:eastAsia="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lang w:eastAsia="zh-CN"/>
          <w14:textFill>
            <w14:solidFill>
              <w14:schemeClr w14:val="tx1"/>
            </w14:solidFill>
          </w14:textFill>
        </w:rPr>
        <w:t>。</w:t>
      </w:r>
      <w:bookmarkEnd w:id="419"/>
      <w:bookmarkEnd w:id="420"/>
      <w:bookmarkStart w:id="421" w:name="_Toc7373"/>
      <w:bookmarkStart w:id="422" w:name="_Toc3337"/>
    </w:p>
    <w:p w14:paraId="14400040">
      <w:pPr>
        <w:kinsoku/>
        <w:spacing w:before="194" w:line="286" w:lineRule="auto"/>
        <w:ind w:left="536"/>
        <w:rPr>
          <w:rFonts w:ascii="宋体" w:hAnsi="宋体" w:eastAsia="宋体"/>
          <w:b/>
          <w:bCs/>
          <w:color w:val="000000" w:themeColor="text1"/>
          <w:sz w:val="24"/>
          <w:highlight w:val="none"/>
          <w:lang w:eastAsia="zh-CN"/>
          <w14:textFill>
            <w14:solidFill>
              <w14:schemeClr w14:val="tx1"/>
            </w14:solidFill>
          </w14:textFill>
        </w:rPr>
      </w:pPr>
      <w:r>
        <w:rPr>
          <w:rFonts w:hint="eastAsia" w:ascii="宋体" w:hAnsi="宋体" w:eastAsia="宋体"/>
          <w:b/>
          <w:bCs/>
          <w:color w:val="000000" w:themeColor="text1"/>
          <w:sz w:val="24"/>
          <w:highlight w:val="none"/>
          <w:lang w:eastAsia="zh-CN"/>
          <w14:textFill>
            <w14:solidFill>
              <w14:schemeClr w14:val="tx1"/>
            </w14:solidFill>
          </w14:textFill>
        </w:rPr>
        <w:t>增加</w:t>
      </w:r>
      <w:r>
        <w:rPr>
          <w:rFonts w:ascii="宋体" w:hAnsi="宋体" w:eastAsia="宋体"/>
          <w:b/>
          <w:bCs/>
          <w:color w:val="000000" w:themeColor="text1"/>
          <w:sz w:val="24"/>
          <w:highlight w:val="none"/>
          <w:lang w:eastAsia="zh-CN"/>
          <w14:textFill>
            <w14:solidFill>
              <w14:schemeClr w14:val="tx1"/>
            </w14:solidFill>
          </w14:textFill>
        </w:rPr>
        <w:t>1.1.6.3</w:t>
      </w:r>
      <w:bookmarkEnd w:id="421"/>
      <w:bookmarkEnd w:id="422"/>
      <w:bookmarkStart w:id="423" w:name="_Toc30932"/>
      <w:bookmarkStart w:id="424" w:name="_Toc9787"/>
      <w:r>
        <w:rPr>
          <w:rFonts w:hint="eastAsia" w:ascii="宋体" w:hAnsi="宋体" w:eastAsia="宋体"/>
          <w:b/>
          <w:bCs/>
          <w:color w:val="000000" w:themeColor="text1"/>
          <w:sz w:val="24"/>
          <w:highlight w:val="none"/>
          <w:lang w:eastAsia="zh-CN"/>
          <w14:textFill>
            <w14:solidFill>
              <w14:schemeClr w14:val="tx1"/>
            </w14:solidFill>
          </w14:textFill>
        </w:rPr>
        <w:t>条款</w:t>
      </w:r>
    </w:p>
    <w:p w14:paraId="5A87A2DB">
      <w:pPr>
        <w:kinsoku/>
        <w:spacing w:before="194" w:line="286" w:lineRule="auto"/>
        <w:ind w:left="536"/>
        <w:rPr>
          <w:color w:val="000000" w:themeColor="text1"/>
          <w:highlight w:val="none"/>
          <w:lang w:eastAsia="zh-CN"/>
          <w14:textFill>
            <w14:solidFill>
              <w14:schemeClr w14:val="tx1"/>
            </w14:solidFill>
          </w14:textFill>
        </w:rPr>
      </w:pPr>
      <w:r>
        <w:rPr>
          <w:rFonts w:ascii="宋体" w:hAnsi="宋体" w:eastAsia="宋体"/>
          <w:b/>
          <w:bCs/>
          <w:color w:val="000000" w:themeColor="text1"/>
          <w:sz w:val="24"/>
          <w:highlight w:val="none"/>
          <w:lang w:eastAsia="zh-CN"/>
          <w14:textFill>
            <w14:solidFill>
              <w14:schemeClr w14:val="tx1"/>
            </w14:solidFill>
          </w14:textFill>
        </w:rPr>
        <w:t xml:space="preserve">1.1.6.3 </w:t>
      </w:r>
      <w:r>
        <w:rPr>
          <w:rFonts w:hint="eastAsia" w:ascii="宋体" w:hAnsi="宋体" w:eastAsia="宋体"/>
          <w:b/>
          <w:bCs/>
          <w:color w:val="000000" w:themeColor="text1"/>
          <w:sz w:val="24"/>
          <w:highlight w:val="none"/>
          <w:lang w:eastAsia="zh-CN"/>
          <w14:textFill>
            <w14:solidFill>
              <w14:schemeClr w14:val="tx1"/>
            </w14:solidFill>
          </w14:textFill>
        </w:rPr>
        <w:t>景观绿化：</w:t>
      </w:r>
      <w:bookmarkEnd w:id="423"/>
      <w:bookmarkStart w:id="425" w:name="_Toc5842"/>
      <w:r>
        <w:rPr>
          <w:rFonts w:hint="eastAsia" w:ascii="宋体" w:hAnsi="宋体" w:eastAsia="宋体"/>
          <w:color w:val="000000" w:themeColor="text1"/>
          <w:sz w:val="24"/>
          <w:highlight w:val="none"/>
          <w:lang w:eastAsia="zh-CN"/>
          <w14:textFill>
            <w14:solidFill>
              <w14:schemeClr w14:val="tx1"/>
            </w14:solidFill>
          </w14:textFill>
        </w:rPr>
        <w:t>指公路上下边坡碎落台等范围的绿化。</w:t>
      </w:r>
      <w:bookmarkEnd w:id="424"/>
      <w:bookmarkEnd w:id="425"/>
    </w:p>
    <w:p w14:paraId="21CDDDCD">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1.6 文件的提供和照管</w:t>
      </w:r>
    </w:p>
    <w:p w14:paraId="115DC21A">
      <w:pPr>
        <w:kinsoku/>
        <w:spacing w:before="194" w:line="286" w:lineRule="auto"/>
        <w:ind w:left="39" w:firstLine="49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1.6.2 发包人负责提供的文件包括：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u w:val="single"/>
          <w:lang w:eastAsia="zh-CN"/>
          <w14:textFill>
            <w14:solidFill>
              <w14:schemeClr w14:val="tx1"/>
            </w14:solidFill>
          </w14:textFill>
        </w:rPr>
        <w:t>前一阶段成果文件</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，提供数量：</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u w:val="single"/>
          <w:lang w:eastAsia="zh-CN"/>
          <w14:textFill>
            <w14:solidFill>
              <w14:schemeClr w14:val="tx1"/>
            </w14:solidFill>
          </w14:textFill>
        </w:rPr>
        <w:t>一套</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，提供期限：</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0BEDE410">
      <w:pPr>
        <w:kinsoku/>
        <w:spacing w:before="137" w:line="286" w:lineRule="auto"/>
        <w:ind w:left="33"/>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3. 发包人管理</w:t>
      </w:r>
    </w:p>
    <w:p w14:paraId="4352C2F4">
      <w:pPr>
        <w:kinsoku/>
        <w:spacing w:before="78"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3.2 监理人</w:t>
      </w:r>
    </w:p>
    <w:p w14:paraId="71B83A69">
      <w:pPr>
        <w:kinsoku/>
        <w:spacing w:before="192"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3.2.1 本工程是否委托监理人进行设计监理：</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否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A121146">
      <w:pPr>
        <w:kinsoku/>
        <w:spacing w:before="195" w:line="286" w:lineRule="auto"/>
        <w:ind w:left="37" w:right="188"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如进行设计监理，监理人的监理范围包括：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；职责权限：</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；总监理工程师：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E3733F3">
      <w:pPr>
        <w:kinsoku/>
        <w:spacing w:before="34"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3.4 决定或答复</w:t>
      </w:r>
    </w:p>
    <w:p w14:paraId="2A85DDE5">
      <w:pPr>
        <w:kinsoku/>
        <w:spacing w:before="194" w:line="286" w:lineRule="auto"/>
        <w:ind w:firstLine="518" w:firstLineChars="2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3.4.1 发包人应在收到设计人书面提出的事项后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15 </w:t>
      </w:r>
      <w:r>
        <w:rPr>
          <w:rFonts w:hint="eastAsia" w:ascii="宋体" w:hAnsi="宋体" w:eastAsia="宋体" w:cs="宋体"/>
          <w:color w:val="000000" w:themeColor="text1"/>
          <w:sz w:val="24"/>
          <w:szCs w:val="24"/>
          <w:highlight w:val="none"/>
          <w:lang w:eastAsia="zh-CN"/>
          <w14:textFill>
            <w14:solidFill>
              <w14:schemeClr w14:val="tx1"/>
            </w14:solidFill>
          </w14:textFill>
        </w:rPr>
        <w:t>天内作出书面答复。</w:t>
      </w:r>
    </w:p>
    <w:p w14:paraId="3668056A">
      <w:pPr>
        <w:pStyle w:val="35"/>
        <w:spacing w:line="360" w:lineRule="auto"/>
        <w:jc w:val="left"/>
        <w:outlineLvl w:val="9"/>
        <w:rPr>
          <w:rFonts w:ascii="宋体" w:hAnsi="宋体" w:eastAsia="宋体"/>
          <w:b/>
          <w:bCs/>
          <w:color w:val="000000" w:themeColor="text1"/>
          <w:sz w:val="24"/>
          <w:highlight w:val="none"/>
          <w:lang w:eastAsia="zh-CN"/>
          <w14:textFill>
            <w14:solidFill>
              <w14:schemeClr w14:val="tx1"/>
            </w14:solidFill>
          </w14:textFill>
        </w:rPr>
      </w:pPr>
      <w:bookmarkStart w:id="426" w:name="_Toc28962"/>
      <w:bookmarkStart w:id="427" w:name="_Toc27757"/>
      <w:r>
        <w:rPr>
          <w:rFonts w:ascii="宋体" w:hAnsi="宋体" w:eastAsia="宋体"/>
          <w:b/>
          <w:bCs/>
          <w:color w:val="000000" w:themeColor="text1"/>
          <w:sz w:val="24"/>
          <w:highlight w:val="none"/>
          <w:lang w:eastAsia="zh-CN"/>
          <w14:textFill>
            <w14:solidFill>
              <w14:schemeClr w14:val="tx1"/>
            </w14:solidFill>
          </w14:textFill>
        </w:rPr>
        <w:t xml:space="preserve">4. </w:t>
      </w:r>
      <w:r>
        <w:rPr>
          <w:rFonts w:hint="eastAsia" w:ascii="宋体" w:hAnsi="宋体" w:eastAsia="宋体"/>
          <w:b/>
          <w:bCs/>
          <w:color w:val="000000" w:themeColor="text1"/>
          <w:sz w:val="24"/>
          <w:highlight w:val="none"/>
          <w:lang w:eastAsia="zh-CN"/>
          <w14:textFill>
            <w14:solidFill>
              <w14:schemeClr w14:val="tx1"/>
            </w14:solidFill>
          </w14:textFill>
        </w:rPr>
        <w:t>设计人义务</w:t>
      </w:r>
      <w:bookmarkEnd w:id="426"/>
      <w:bookmarkEnd w:id="427"/>
    </w:p>
    <w:p w14:paraId="01D69854">
      <w:pPr>
        <w:kinsoku/>
        <w:spacing w:before="192"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bookmarkStart w:id="428" w:name="_Toc10098"/>
      <w:r>
        <w:rPr>
          <w:rFonts w:hint="eastAsia" w:ascii="宋体" w:hAnsi="宋体" w:eastAsia="宋体" w:cs="宋体"/>
          <w:color w:val="000000" w:themeColor="text1"/>
          <w:sz w:val="24"/>
          <w:szCs w:val="24"/>
          <w:highlight w:val="none"/>
          <w:lang w:eastAsia="zh-CN"/>
          <w14:textFill>
            <w14:solidFill>
              <w14:schemeClr w14:val="tx1"/>
            </w14:solidFill>
          </w14:textFill>
        </w:rPr>
        <w:t>4.1.6.3 款末增加以下内容：同时不应损害发包人的利益。</w:t>
      </w:r>
      <w:bookmarkEnd w:id="428"/>
      <w:bookmarkStart w:id="429" w:name="_Toc1185"/>
      <w:bookmarkStart w:id="430" w:name="_Toc24981"/>
    </w:p>
    <w:p w14:paraId="68D36BDB">
      <w:pPr>
        <w:kinsoku/>
        <w:spacing w:before="195" w:line="286" w:lineRule="auto"/>
        <w:ind w:left="37" w:right="188"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4.1.6.6 款后增加4.1.6.7~4.1.6.21条款</w:t>
      </w:r>
      <w:bookmarkEnd w:id="429"/>
      <w:bookmarkEnd w:id="430"/>
      <w:r>
        <w:rPr>
          <w:rFonts w:hint="eastAsia" w:asciiTheme="majorEastAsia" w:hAnsiTheme="majorEastAsia" w:eastAsiaTheme="majorEastAsia" w:cstheme="majorEastAsia"/>
          <w:color w:val="000000" w:themeColor="text1"/>
          <w:sz w:val="24"/>
          <w:szCs w:val="24"/>
          <w:highlight w:val="none"/>
          <w:lang w:eastAsia="zh-CN"/>
          <w14:textFill>
            <w14:solidFill>
              <w14:schemeClr w14:val="tx1"/>
            </w14:solidFill>
          </w14:textFill>
        </w:rPr>
        <w:t>，原通用合同条款4.1.6.7款调整为</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4.1.6.24款。</w:t>
      </w:r>
    </w:p>
    <w:p w14:paraId="1F0A3B8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4.1.6.7 如发包人根据工程需要和政府要求，将本项目中的一部分工点或构造物另行委托设计时，设计人必须向发包人提交已有的原始资料和已完成的设计资料，其费用按已完成的工作量核定。</w:t>
      </w:r>
    </w:p>
    <w:p w14:paraId="18E00AA4">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4.1.6.8 设计人签署合同后每开展一阶段的工作，需将该阶段工作详细内容、进度等上报给发包人，经发包人书面允许后方可开展该阶段工作；且在每个阶段结束后，须由发包人或发包人上级主管单位进行验收。</w:t>
      </w:r>
    </w:p>
    <w:p w14:paraId="53360B5C">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必须按照合同规定进行施工图设计，并进行交叉作业。当设计主管部门对前一段设计进行批复后，其结果影响后一段工作内容时，设计人必须无条件执行批复内容。所有修改的费用，均含入报价中，发包人不另行支付。</w:t>
      </w:r>
    </w:p>
    <w:p w14:paraId="2D4F158F">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4.1.6.9 设计人应充分利用广东省普通干线公路设计标准化既有成果，根据设计标准化的相关文件（含有可能在设计周期内颁布的文件）要求，推行设计标准化在本项目的应用。设计人在使用标准图和参考图时，必须结合具体工程项目特点，认真负责地把握其可靠性、适用性、综合性、科学性，严禁生搬硬套和超范围使用。特别是采用单体构件或部件标准图和参考图时，应对工程结构或构造物进行系统分析、检算，确保整体工程的安全性。</w:t>
      </w:r>
    </w:p>
    <w:p w14:paraId="2A6A3F8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同时设计人应根据项目特点，科学论证、合理选择桥涵结构物建设方案，树立全寿命设计理念，重视桥涵结构物耐久性设计，延长桥涵结构物使用寿命；推广应用先进可靠的新技术、新工艺和新装备，提高桥梁施工的精细化和标准化水平，以达到缩短工期，节约工程造价的目的。</w:t>
      </w:r>
    </w:p>
    <w:p w14:paraId="18BDA0B1">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4.1.6.10 设计人应结合项目具体情况，贯彻落实广东省普通干线公路设计标准化、造价标准化（含设计工程量编制标准化）编制实施细则。设计人在设计标准化成果使用中发现存在安全质量问题时，应立即采取有效措施，并及时报告，并负责对相关图纸在本项目的修改完善。</w:t>
      </w:r>
    </w:p>
    <w:p w14:paraId="129E99B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4.1.6.11 发包人将视情况选择某一段作为先行工程开工（如有），各设计人必须根据发包人的相关</w:t>
      </w:r>
      <w:r>
        <w:rPr>
          <w:rFonts w:hint="eastAsia" w:ascii="宋体" w:hAnsi="宋体" w:cs="宋体"/>
          <w:color w:val="000000" w:themeColor="text1"/>
          <w:sz w:val="24"/>
          <w:highlight w:val="none"/>
          <w:lang w:eastAsia="zh-CN"/>
          <w14:textFill>
            <w14:solidFill>
              <w14:schemeClr w14:val="tx1"/>
            </w14:solidFill>
          </w14:textFill>
        </w:rPr>
        <w:t>要求按时提交先行工程的相关设计文件（图纸</w:t>
      </w:r>
      <w:r>
        <w:rPr>
          <w:rFonts w:hint="eastAsia" w:ascii="宋体" w:hAnsi="宋体" w:cs="宋体"/>
          <w:color w:val="000000" w:themeColor="text1"/>
          <w:sz w:val="24"/>
          <w:highlight w:val="none"/>
          <w:lang w:val="en-US" w:eastAsia="zh-CN"/>
          <w14:textFill>
            <w14:solidFill>
              <w14:schemeClr w14:val="tx1"/>
            </w14:solidFill>
          </w14:textFill>
        </w:rPr>
        <w:t>等</w:t>
      </w:r>
      <w:r>
        <w:rPr>
          <w:rFonts w:hint="eastAsia" w:ascii="宋体" w:hAnsi="宋体" w:cs="宋体"/>
          <w:color w:val="000000" w:themeColor="text1"/>
          <w:sz w:val="24"/>
          <w:highlight w:val="none"/>
          <w:lang w:eastAsia="zh-CN"/>
          <w14:textFill>
            <w14:solidFill>
              <w14:schemeClr w14:val="tx1"/>
            </w14:solidFill>
          </w14:textFill>
        </w:rPr>
        <w:t>），相关费用已包含在合同报价中，发包人不再另行支付。</w:t>
      </w:r>
    </w:p>
    <w:p w14:paraId="5A0F5EBC">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4.1.6.12 设计人应组成设计项目组驻现场进行设计直至设计文件获得评审通过，设计人员组成需获得发包人同意。设计期间，发包人对项目组人员进行考核，发包人有权对考核不达标设计人进行罚款处罚（累计罚款金额不高于设计费的5%）。在本项目施工各阶段期间派驻设计代表长期驻施工现场。设计代表应满足项目开展要求，及时配合解决有关问题，保障工程顺利进行。</w:t>
      </w:r>
    </w:p>
    <w:p w14:paraId="090A6F4E">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4.1.6.13 广东省交通运输厅已全面推行普通干线公路设计标准化工作，各标段的设计人应按有关规定在本项目设计中充分应用我省公路设计标准化的技术成果。此费用已综合考虑在投标报价中，不另行支付。</w:t>
      </w:r>
    </w:p>
    <w:p w14:paraId="011FC471">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4.1.6.14 对国内设计经验不足或有特殊要求的单位工程或分部工程，若发包人或其上级主管单位认为需要另行单独委托设计，而设计人又尚未开展此项设计工作，发包人将提前通知设计人取消该项设计内容，并合理扣除设计人的设计费，设计人需无条件接受。另行委托的其他设计人承担的设计在提交正式成果前原则上应得到原设计人的同意。设计人为履行上述义务而可能发生的一切费用均视为计入投标报价中，发包人将不另行支付。</w:t>
      </w:r>
    </w:p>
    <w:p w14:paraId="51275028">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4.1.6.15 两阶段设计必须于发包人规定的时段内，在认可的地方进行集中设计。由此而产生的费用已包含在报价中，发包人不另行支付。如果设计人不执行，则视为设计人违约处理。</w:t>
      </w:r>
    </w:p>
    <w:p w14:paraId="2DB5A5A5">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4.1.6.16 为统一全线景观绿化的建设理念，景观绿化专项设计可选择具备相应资质的单位实施，选择的专项设计单位须报发包人批准，否则视设计人违约。</w:t>
      </w:r>
    </w:p>
    <w:p w14:paraId="305C171E">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应在初步设计文件上报阶段引入景观绿化专项设计单位，进行下阶段的景观绿化专项施工图设计，要求与主体施工图设计同步提交，以确保主体工程施工图文件修编过程中，能及时采纳景观设计的相关结论。</w:t>
      </w:r>
    </w:p>
    <w:p w14:paraId="4B30D67B">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设计文件应贯彻落实交通部《关于实施绿色公路建设的指导意见》,此费用已综合考虑在投标报价中，不另行支付。</w:t>
      </w:r>
    </w:p>
    <w:p w14:paraId="30DF821E">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4.1.6.17为统一全线附属区房建工程的建设理念，附属区房建工程专项设计由该合同段中标人选择具有相应资质的单位实施或由其自行设计，选择的专项单位须报发包人批准，否则视设计人违约。</w:t>
      </w:r>
    </w:p>
    <w:p w14:paraId="519CB06B">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应在初步设计阶段引入房建设计单位同步开展初步设计，根据发包人确定的营运管理模式和养护管理方案，编制房建附属设施部分的初步设计方案。初步设计中应充分考虑服务区文化建设、服务区信息化建设等需要，并同步预留交警营房用地、气象服务用地等；在定测阶段设计人应与发包人及房建专项设计单位共同确定沿线房建设施的选址、规模、场区标高、相关设计的接口；施工图设计相互应同步开展工作。中标人需要满足发包人下发的房建设计标准化的专项要求，具体要求待设计人进场后，发包人另行下发。</w:t>
      </w:r>
    </w:p>
    <w:p w14:paraId="743B6659">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 xml:space="preserve">4.1.6.18 </w:t>
      </w:r>
      <w:r>
        <w:rPr>
          <w:rFonts w:hint="eastAsia" w:ascii="宋体" w:hAnsi="宋体" w:cs="宋体"/>
          <w:color w:val="000000" w:themeColor="text1"/>
          <w:sz w:val="24"/>
          <w:highlight w:val="none"/>
          <w:lang w:eastAsia="zh-CN"/>
          <w14:textFill>
            <w14:solidFill>
              <w14:schemeClr w14:val="tx1"/>
            </w14:solidFill>
          </w14:textFill>
        </w:rPr>
        <w:t>发包人将根据本项目用电需求及沿线供电部门的要求，由交通工程合同段的设计人选择具备相应资质的单位实施或自行设计，如选择专项设计单位必须报发包人批准，否则视设计人违约。</w:t>
      </w:r>
    </w:p>
    <w:p w14:paraId="4ADDF836">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应在初步设计阶段应开展外供电专项设计，并同时征求相关供电部门意见，以便合理确定外供电方案工程规模，包括但不限于完成沿线电力线路铁塔调查、拆迁费用计算等内容，同时将永久用电与施工期间临时用电结合；并应及时将外供电方案报当地供电部门批准。在承包人结合临时用电进行深化设计和外供电报装过程中予以配合。</w:t>
      </w:r>
    </w:p>
    <w:p w14:paraId="441485C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w:t>
      </w:r>
      <w:r>
        <w:rPr>
          <w:rFonts w:hint="eastAsia" w:ascii="宋体" w:hAnsi="宋体" w:cs="宋体"/>
          <w:color w:val="000000" w:themeColor="text1"/>
          <w:sz w:val="24"/>
          <w:highlight w:val="none"/>
          <w:lang w:val="en-US" w:eastAsia="zh-CN"/>
          <w14:textFill>
            <w14:solidFill>
              <w14:schemeClr w14:val="tx1"/>
            </w14:solidFill>
          </w14:textFill>
        </w:rPr>
        <w:t>19</w:t>
      </w:r>
      <w:r>
        <w:rPr>
          <w:rFonts w:hint="eastAsia" w:ascii="宋体" w:hAnsi="宋体" w:cs="宋体"/>
          <w:color w:val="000000" w:themeColor="text1"/>
          <w:sz w:val="24"/>
          <w:highlight w:val="none"/>
          <w:lang w:eastAsia="zh-CN"/>
          <w14:textFill>
            <w14:solidFill>
              <w14:schemeClr w14:val="tx1"/>
            </w14:solidFill>
          </w14:textFill>
        </w:rPr>
        <w:t xml:space="preserve"> 35kv及以上超高压电力线(如有)迁改工程方案专项设计由交通工程合同段的设计人选择具备相应资质的单位实施,选择的专项设计单位须报发包人批准，否则视设计人违约。</w:t>
      </w:r>
    </w:p>
    <w:p w14:paraId="2CBC0B59">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设计人应在初步设计阶段明确 35kv 及以上超高压电力线(如有)迁改工程方案专项设计单位并同步开展初步设计,以便合理确定超高压电力线迁改工程规模，包括但不限于完成迁改方案设计、迁改方案费用对比等内容;并应及时将超高压电力线迁改工程方案报供电部门批准。</w:t>
      </w:r>
    </w:p>
    <w:p w14:paraId="3C57342C">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4.1.6.2</w:t>
      </w:r>
      <w:r>
        <w:rPr>
          <w:rFonts w:hint="eastAsia" w:ascii="宋体" w:hAnsi="宋体" w:cs="宋体"/>
          <w:color w:val="000000" w:themeColor="text1"/>
          <w:sz w:val="24"/>
          <w:highlight w:val="none"/>
          <w:lang w:val="en-US" w:eastAsia="zh-CN"/>
          <w14:textFill>
            <w14:solidFill>
              <w14:schemeClr w14:val="tx1"/>
            </w14:solidFill>
          </w14:textFill>
        </w:rPr>
        <w:t>0</w:t>
      </w:r>
      <w:r>
        <w:rPr>
          <w:rFonts w:hint="eastAsia" w:ascii="宋体" w:hAnsi="宋体" w:cs="宋体"/>
          <w:color w:val="000000" w:themeColor="text1"/>
          <w:sz w:val="24"/>
          <w:highlight w:val="none"/>
          <w:lang w:eastAsia="zh-CN"/>
          <w14:textFill>
            <w14:solidFill>
              <w14:schemeClr w14:val="tx1"/>
            </w14:solidFill>
          </w14:textFill>
        </w:rPr>
        <w:t xml:space="preserve"> 环保水保、声屏障等降噪设施的设计内容设计内容已包含在相应土建标段设计中，相关费用已包含在相应合同总价内，发包人不另行支付。</w:t>
      </w:r>
    </w:p>
    <w:p w14:paraId="61E77B38">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4.1.6.21对于发包人向政府部门申报的前期专项工作，设计人应积极配合发包人和前期专项编制单位，同时，设计人应充分考虑到政府部门审批可能导致的时间延误，合理调配好各阶段的设计工作，努力降低所产生的影响，由此可能产生的费用已包含在投标报价中，发包人不另行支付。</w:t>
      </w:r>
    </w:p>
    <w:p w14:paraId="527FAB80">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4.1.6.22 各设计人应按</w:t>
      </w:r>
      <w:r>
        <w:rPr>
          <w:rFonts w:hint="eastAsia" w:ascii="宋体" w:hAnsi="宋体" w:cs="宋体"/>
          <w:color w:val="000000" w:themeColor="text1"/>
          <w:sz w:val="24"/>
          <w:highlight w:val="none"/>
          <w:lang w:val="en-US" w:eastAsia="zh-CN"/>
          <w14:textFill>
            <w14:solidFill>
              <w14:schemeClr w14:val="tx1"/>
            </w14:solidFill>
          </w14:textFill>
        </w:rPr>
        <w:t>相关规定</w:t>
      </w:r>
      <w:r>
        <w:rPr>
          <w:rFonts w:hint="eastAsia" w:ascii="宋体" w:hAnsi="宋体" w:cs="宋体"/>
          <w:color w:val="000000" w:themeColor="text1"/>
          <w:sz w:val="24"/>
          <w:highlight w:val="none"/>
          <w:lang w:eastAsia="zh-CN"/>
          <w14:textFill>
            <w14:solidFill>
              <w14:schemeClr w14:val="tx1"/>
            </w14:solidFill>
          </w14:textFill>
        </w:rPr>
        <w:t>编写安全评价报告和专项安全风险评价报告,并按有关评审意见修改完善,因此发生的费用已包含在投标报价中，发包人不再另行支付。</w:t>
      </w:r>
    </w:p>
    <w:p w14:paraId="5A07759C">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4.1.6.23 按照交通运输部《公路项目安全性评价规范》(JTG BO5-2015)的有关要求，各设计人应选择具备相应资质的第三方单位负责编写全线的公路项目安全评价报告(包括施工图设计阶段和交工阶段)，并按有关评审意见修改完善。选择的第三方单位须报发包人批准，否则视为设计人违约。</w:t>
      </w:r>
    </w:p>
    <w:p w14:paraId="52204FBF">
      <w:pPr>
        <w:kinsoku/>
        <w:spacing w:before="195" w:line="286" w:lineRule="auto"/>
        <w:ind w:left="37" w:right="188" w:firstLine="484"/>
        <w:rPr>
          <w:rFonts w:ascii="宋体" w:hAnsi="宋体" w:cs="宋体"/>
          <w:b/>
          <w:bCs/>
          <w:color w:val="000000" w:themeColor="text1"/>
          <w:sz w:val="24"/>
          <w:highlight w:val="none"/>
          <w:lang w:eastAsia="zh-CN"/>
          <w14:textFill>
            <w14:solidFill>
              <w14:schemeClr w14:val="tx1"/>
            </w14:solidFill>
          </w14:textFill>
        </w:rPr>
      </w:pPr>
      <w:r>
        <w:rPr>
          <w:rFonts w:hint="eastAsia" w:ascii="宋体" w:hAnsi="宋体" w:cs="宋体"/>
          <w:b/>
          <w:bCs/>
          <w:color w:val="000000" w:themeColor="text1"/>
          <w:sz w:val="24"/>
          <w:highlight w:val="none"/>
          <w:lang w:eastAsia="zh-CN"/>
          <w14:textFill>
            <w14:solidFill>
              <w14:schemeClr w14:val="tx1"/>
            </w14:solidFill>
          </w14:textFill>
        </w:rPr>
        <w:t>增加以下条款：</w:t>
      </w:r>
      <w:r>
        <w:rPr>
          <w:rFonts w:ascii="宋体" w:hAnsi="宋体" w:cs="宋体"/>
          <w:b/>
          <w:bCs/>
          <w:color w:val="000000" w:themeColor="text1"/>
          <w:sz w:val="24"/>
          <w:highlight w:val="none"/>
          <w:lang w:eastAsia="zh-CN"/>
          <w14:textFill>
            <w14:solidFill>
              <w14:schemeClr w14:val="tx1"/>
            </w14:solidFill>
          </w14:textFill>
        </w:rPr>
        <w:t>4.1.6.2</w:t>
      </w:r>
      <w:r>
        <w:rPr>
          <w:rFonts w:hint="eastAsia" w:ascii="宋体" w:hAnsi="宋体" w:eastAsia="宋体" w:cs="宋体"/>
          <w:b/>
          <w:bCs/>
          <w:color w:val="000000" w:themeColor="text1"/>
          <w:sz w:val="24"/>
          <w:highlight w:val="none"/>
          <w:lang w:eastAsia="zh-CN"/>
          <w14:textFill>
            <w14:solidFill>
              <w14:schemeClr w14:val="tx1"/>
            </w14:solidFill>
          </w14:textFill>
        </w:rPr>
        <w:t>5</w:t>
      </w:r>
      <w:r>
        <w:rPr>
          <w:rFonts w:hint="eastAsia" w:ascii="宋体" w:hAnsi="宋体" w:cs="宋体"/>
          <w:b/>
          <w:bCs/>
          <w:color w:val="000000" w:themeColor="text1"/>
          <w:sz w:val="24"/>
          <w:highlight w:val="none"/>
          <w:lang w:eastAsia="zh-CN"/>
          <w14:textFill>
            <w14:solidFill>
              <w14:schemeClr w14:val="tx1"/>
            </w14:solidFill>
          </w14:textFill>
        </w:rPr>
        <w:t>款</w:t>
      </w:r>
      <w:r>
        <w:rPr>
          <w:rFonts w:ascii="宋体" w:hAnsi="宋体" w:cs="宋体"/>
          <w:b/>
          <w:bCs/>
          <w:color w:val="000000" w:themeColor="text1"/>
          <w:sz w:val="24"/>
          <w:highlight w:val="none"/>
          <w:lang w:eastAsia="zh-CN"/>
          <w14:textFill>
            <w14:solidFill>
              <w14:schemeClr w14:val="tx1"/>
            </w14:solidFill>
          </w14:textFill>
        </w:rPr>
        <w:t>~4.1.6.</w:t>
      </w:r>
      <w:r>
        <w:rPr>
          <w:rFonts w:hint="eastAsia" w:ascii="宋体" w:hAnsi="宋体" w:eastAsia="宋体" w:cs="宋体"/>
          <w:b/>
          <w:bCs/>
          <w:color w:val="000000" w:themeColor="text1"/>
          <w:sz w:val="24"/>
          <w:highlight w:val="none"/>
          <w:lang w:eastAsia="zh-CN"/>
          <w14:textFill>
            <w14:solidFill>
              <w14:schemeClr w14:val="tx1"/>
            </w14:solidFill>
          </w14:textFill>
        </w:rPr>
        <w:t>2</w:t>
      </w:r>
      <w:r>
        <w:rPr>
          <w:rFonts w:hint="eastAsia" w:ascii="宋体" w:hAnsi="宋体" w:eastAsia="宋体" w:cs="宋体"/>
          <w:b/>
          <w:bCs/>
          <w:color w:val="000000" w:themeColor="text1"/>
          <w:sz w:val="24"/>
          <w:highlight w:val="none"/>
          <w:lang w:val="en-US" w:eastAsia="zh-CN"/>
          <w14:textFill>
            <w14:solidFill>
              <w14:schemeClr w14:val="tx1"/>
            </w14:solidFill>
          </w14:textFill>
        </w:rPr>
        <w:t>8</w:t>
      </w:r>
      <w:r>
        <w:rPr>
          <w:rFonts w:hint="eastAsia" w:ascii="宋体" w:hAnsi="宋体" w:cs="宋体"/>
          <w:b/>
          <w:bCs/>
          <w:color w:val="000000" w:themeColor="text1"/>
          <w:sz w:val="24"/>
          <w:highlight w:val="none"/>
          <w:lang w:eastAsia="zh-CN"/>
          <w14:textFill>
            <w14:solidFill>
              <w14:schemeClr w14:val="tx1"/>
            </w14:solidFill>
          </w14:textFill>
        </w:rPr>
        <w:t>款</w:t>
      </w:r>
    </w:p>
    <w:p w14:paraId="6315A76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ascii="宋体" w:hAnsi="宋体" w:cs="宋体"/>
          <w:color w:val="000000" w:themeColor="text1"/>
          <w:sz w:val="24"/>
          <w:highlight w:val="none"/>
          <w:lang w:eastAsia="zh-CN"/>
          <w14:textFill>
            <w14:solidFill>
              <w14:schemeClr w14:val="tx1"/>
            </w14:solidFill>
          </w14:textFill>
        </w:rPr>
        <w:t>4.1.6.2</w:t>
      </w:r>
      <w:r>
        <w:rPr>
          <w:rFonts w:hint="eastAsia" w:ascii="宋体" w:hAnsi="宋体" w:eastAsia="宋体" w:cs="宋体"/>
          <w:color w:val="000000" w:themeColor="text1"/>
          <w:sz w:val="24"/>
          <w:highlight w:val="none"/>
          <w:lang w:eastAsia="zh-CN"/>
          <w14:textFill>
            <w14:solidFill>
              <w14:schemeClr w14:val="tx1"/>
            </w14:solidFill>
          </w14:textFill>
        </w:rPr>
        <w:t>5</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中标人除应按合同规定完成本合同段的设计工作外，还应负责全线的总体设计、统一全线设计风格以及各合同段、各专业设计文件的协调、汇总工作，</w:t>
      </w:r>
      <w:r>
        <w:rPr>
          <w:rFonts w:hint="eastAsia" w:ascii="宋体" w:hAnsi="宋体" w:cs="宋体"/>
          <w:color w:val="000000" w:themeColor="text1"/>
          <w:sz w:val="24"/>
          <w:highlight w:val="none"/>
          <w:lang w:eastAsia="zh-CN"/>
          <w14:textFill>
            <w14:solidFill>
              <w14:schemeClr w14:val="tx1"/>
            </w14:solidFill>
          </w14:textFill>
        </w:rPr>
        <w:t>包括协调、统一文件的编制说明和汇编概算等相关工作</w:t>
      </w:r>
      <w:r>
        <w:rPr>
          <w:rFonts w:hint="eastAsia" w:ascii="宋体" w:hAnsi="宋体" w:cs="宋体"/>
          <w:color w:val="000000" w:themeColor="text1"/>
          <w:sz w:val="24"/>
          <w:highlight w:val="none"/>
          <w:lang w:eastAsia="zh-CN"/>
          <w14:textFill>
            <w14:solidFill>
              <w14:schemeClr w14:val="tx1"/>
            </w14:solidFill>
          </w14:textFill>
        </w:rPr>
        <w:t>，并对全线工程设计的整体性负责，由此可能发生的一切费用均已计入合同价中，发包人不另行支付。所有工作成果均需及时得到发包人的认可同意。</w:t>
      </w:r>
    </w:p>
    <w:p w14:paraId="0DF4A4AF">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ascii="宋体" w:hAnsi="宋体" w:cs="宋体"/>
          <w:color w:val="000000" w:themeColor="text1"/>
          <w:sz w:val="24"/>
          <w:highlight w:val="none"/>
          <w:lang w:eastAsia="zh-CN"/>
          <w14:textFill>
            <w14:solidFill>
              <w14:schemeClr w14:val="tx1"/>
            </w14:solidFill>
          </w14:textFill>
        </w:rPr>
        <w:t>4.1.6.2</w:t>
      </w:r>
      <w:r>
        <w:rPr>
          <w:rFonts w:hint="eastAsia" w:ascii="宋体" w:hAnsi="宋体" w:eastAsia="宋体" w:cs="宋体"/>
          <w:color w:val="000000" w:themeColor="text1"/>
          <w:sz w:val="24"/>
          <w:highlight w:val="none"/>
          <w:lang w:eastAsia="zh-CN"/>
          <w14:textFill>
            <w14:solidFill>
              <w14:schemeClr w14:val="tx1"/>
            </w14:solidFill>
          </w14:textFill>
        </w:rPr>
        <w:t>6</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中标人</w:t>
      </w:r>
      <w:r>
        <w:rPr>
          <w:rFonts w:hint="eastAsia" w:ascii="宋体" w:hAnsi="宋体" w:cs="宋体"/>
          <w:color w:val="000000" w:themeColor="text1"/>
          <w:sz w:val="24"/>
          <w:highlight w:val="none"/>
          <w:lang w:eastAsia="zh-CN"/>
          <w14:textFill>
            <w14:solidFill>
              <w14:schemeClr w14:val="tx1"/>
            </w14:solidFill>
          </w14:textFill>
        </w:rPr>
        <w:t>除应按合同规定完成本标段的设计工作外，还应组建设计组。派驻现场的专业人员不少于</w:t>
      </w:r>
      <w:r>
        <w:rPr>
          <w:rFonts w:ascii="宋体" w:hAnsi="宋体" w:cs="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 xml:space="preserve">2 </w:t>
      </w:r>
      <w:r>
        <w:rPr>
          <w:rFonts w:hint="eastAsia" w:ascii="宋体" w:hAnsi="宋体" w:cs="宋体"/>
          <w:color w:val="000000" w:themeColor="text1"/>
          <w:sz w:val="24"/>
          <w:highlight w:val="none"/>
          <w:lang w:eastAsia="zh-CN"/>
          <w14:textFill>
            <w14:solidFill>
              <w14:schemeClr w14:val="tx1"/>
            </w14:solidFill>
          </w14:textFill>
        </w:rPr>
        <w:t>人，其中至少</w:t>
      </w:r>
      <w:r>
        <w:rPr>
          <w:rFonts w:ascii="宋体" w:hAnsi="宋体" w:cs="宋体"/>
          <w:color w:val="000000" w:themeColor="text1"/>
          <w:sz w:val="24"/>
          <w:highlight w:val="none"/>
          <w:u w:val="single"/>
          <w:lang w:eastAsia="zh-CN"/>
          <w14:textFill>
            <w14:solidFill>
              <w14:schemeClr w14:val="tx1"/>
            </w14:solidFill>
          </w14:textFill>
        </w:rPr>
        <w:t xml:space="preserve"> 1 </w:t>
      </w:r>
      <w:r>
        <w:rPr>
          <w:rFonts w:hint="eastAsia" w:ascii="宋体" w:hAnsi="宋体" w:cs="宋体"/>
          <w:color w:val="000000" w:themeColor="text1"/>
          <w:sz w:val="24"/>
          <w:highlight w:val="none"/>
          <w:lang w:eastAsia="zh-CN"/>
          <w14:textFill>
            <w14:solidFill>
              <w14:schemeClr w14:val="tx1"/>
            </w14:solidFill>
          </w14:textFill>
        </w:rPr>
        <w:t>人为专职人员</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人员必须经发包人同意，否则视为设计人违约。</w:t>
      </w:r>
    </w:p>
    <w:p w14:paraId="6835148D">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ascii="宋体" w:hAnsi="宋体" w:cs="宋体"/>
          <w:color w:val="000000" w:themeColor="text1"/>
          <w:sz w:val="24"/>
          <w:highlight w:val="none"/>
          <w:lang w:eastAsia="zh-CN"/>
          <w14:textFill>
            <w14:solidFill>
              <w14:schemeClr w14:val="tx1"/>
            </w14:solidFill>
          </w14:textFill>
        </w:rPr>
        <w:t>4.1.6.2</w:t>
      </w:r>
      <w:r>
        <w:rPr>
          <w:rFonts w:hint="eastAsia" w:ascii="宋体" w:hAnsi="宋体" w:eastAsia="宋体" w:cs="宋体"/>
          <w:color w:val="000000" w:themeColor="text1"/>
          <w:sz w:val="24"/>
          <w:highlight w:val="none"/>
          <w:lang w:eastAsia="zh-CN"/>
          <w14:textFill>
            <w14:solidFill>
              <w14:schemeClr w14:val="tx1"/>
            </w14:solidFill>
          </w14:textFill>
        </w:rPr>
        <w:t>7</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中标人</w:t>
      </w:r>
      <w:r>
        <w:rPr>
          <w:rFonts w:hint="eastAsia" w:ascii="宋体" w:hAnsi="宋体" w:cs="宋体"/>
          <w:color w:val="000000" w:themeColor="text1"/>
          <w:sz w:val="24"/>
          <w:highlight w:val="none"/>
          <w:lang w:eastAsia="zh-CN"/>
          <w14:textFill>
            <w14:solidFill>
              <w14:schemeClr w14:val="tx1"/>
            </w14:solidFill>
          </w14:textFill>
        </w:rPr>
        <w:t>负责协调</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的设计标准、工作进度，包括协调统一文件图标和格式的编制，编制说明等相关工作，对</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工程设计的整体性负责以及提交设计总结工作报告、并配合招标人进行项目报奖工作，负责组设计等会议的组织及会务工作（合同另有规定的除外）。针对下述工作内容，</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各标段设计人提交设计文件评审前，应首先通过</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总体组的审查。</w:t>
      </w:r>
    </w:p>
    <w:p w14:paraId="4207F136">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单位应根据相关规定在设计成果审查通过后，除在其设计标段贯彻执行外，还应督促检查其它设计人执行，以达到各设计标段设计原则、标准、指标、材料标准与技术参数、验收标准、主要技术要求与施工工艺一致。</w:t>
      </w:r>
    </w:p>
    <w:p w14:paraId="603F7A85">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设计组</w:t>
      </w:r>
      <w:r>
        <w:rPr>
          <w:rFonts w:hint="eastAsia" w:ascii="宋体" w:hAnsi="宋体" w:cs="宋体"/>
          <w:color w:val="000000" w:themeColor="text1"/>
          <w:sz w:val="24"/>
          <w:highlight w:val="none"/>
          <w:lang w:eastAsia="zh-CN"/>
          <w14:textFill>
            <w14:solidFill>
              <w14:schemeClr w14:val="tx1"/>
            </w14:solidFill>
          </w14:textFill>
        </w:rPr>
        <w:t>的具体工作包括但不限于以下工作：</w:t>
      </w:r>
    </w:p>
    <w:p w14:paraId="6647C549">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（1）自合同签定之日起</w:t>
      </w:r>
      <w:r>
        <w:rPr>
          <w:rFonts w:hint="eastAsia" w:ascii="宋体" w:hAnsi="宋体" w:eastAsia="宋体" w:cs="宋体"/>
          <w:color w:val="000000" w:themeColor="text1"/>
          <w:sz w:val="24"/>
          <w:highlight w:val="none"/>
          <w:lang w:eastAsia="zh-CN"/>
          <w14:textFill>
            <w14:solidFill>
              <w14:schemeClr w14:val="tx1"/>
            </w14:solidFill>
          </w14:textFill>
        </w:rPr>
        <w:t>5</w:t>
      </w:r>
      <w:r>
        <w:rPr>
          <w:rFonts w:hint="eastAsia" w:ascii="宋体" w:hAnsi="宋体" w:cs="宋体"/>
          <w:color w:val="000000" w:themeColor="text1"/>
          <w:sz w:val="24"/>
          <w:highlight w:val="none"/>
          <w:lang w:eastAsia="zh-CN"/>
          <w14:textFill>
            <w14:solidFill>
              <w14:schemeClr w14:val="tx1"/>
            </w14:solidFill>
          </w14:textFill>
        </w:rPr>
        <w:t>日内，提交总体设计工作大纲；合同签定之日起</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0</w:t>
      </w:r>
      <w:r>
        <w:rPr>
          <w:rFonts w:hint="eastAsia" w:ascii="宋体" w:hAnsi="宋体" w:cs="宋体"/>
          <w:color w:val="000000" w:themeColor="text1"/>
          <w:sz w:val="24"/>
          <w:highlight w:val="none"/>
          <w:lang w:eastAsia="zh-CN"/>
          <w14:textFill>
            <w14:solidFill>
              <w14:schemeClr w14:val="tx1"/>
            </w14:solidFill>
          </w14:textFill>
        </w:rPr>
        <w:t>日内，提交本项目设计标准化指导原则，用于指导后续设计工作，确保本项目总体设计思路、设计理念、设计原则的统一。</w:t>
      </w:r>
    </w:p>
    <w:p w14:paraId="737D1B35">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）制定项目设计总体进度计划，得到发包人批准后，并检查、督促其它标段执行；</w:t>
      </w:r>
    </w:p>
    <w:p w14:paraId="2A61AF00">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3</w:t>
      </w:r>
      <w:r>
        <w:rPr>
          <w:rFonts w:hint="eastAsia" w:ascii="宋体" w:hAnsi="宋体" w:cs="宋体"/>
          <w:color w:val="000000" w:themeColor="text1"/>
          <w:sz w:val="24"/>
          <w:highlight w:val="none"/>
          <w:lang w:eastAsia="zh-CN"/>
          <w14:textFill>
            <w14:solidFill>
              <w14:schemeClr w14:val="tx1"/>
            </w14:solidFill>
          </w14:textFill>
        </w:rPr>
        <w:t>）编制</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设计文件总目录，各标段分目录代号和序号、规定装订出版质量和相关要求；</w:t>
      </w:r>
    </w:p>
    <w:p w14:paraId="3B83C25B">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4</w:t>
      </w:r>
      <w:r>
        <w:rPr>
          <w:rFonts w:hint="eastAsia" w:ascii="宋体" w:hAnsi="宋体" w:cs="宋体"/>
          <w:color w:val="000000" w:themeColor="text1"/>
          <w:sz w:val="24"/>
          <w:highlight w:val="none"/>
          <w:lang w:eastAsia="zh-CN"/>
          <w14:textFill>
            <w14:solidFill>
              <w14:schemeClr w14:val="tx1"/>
            </w14:solidFill>
          </w14:textFill>
        </w:rPr>
        <w:t>）编制符合“设计文件组成与内容”要求的项目汇总和</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总册文件；</w:t>
      </w:r>
    </w:p>
    <w:p w14:paraId="7D48F857">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5</w:t>
      </w:r>
      <w:r>
        <w:rPr>
          <w:rFonts w:hint="eastAsia" w:ascii="宋体" w:hAnsi="宋体" w:cs="宋体"/>
          <w:color w:val="000000" w:themeColor="text1"/>
          <w:sz w:val="24"/>
          <w:highlight w:val="none"/>
          <w:lang w:eastAsia="zh-CN"/>
          <w14:textFill>
            <w14:solidFill>
              <w14:schemeClr w14:val="tx1"/>
            </w14:solidFill>
          </w14:textFill>
        </w:rPr>
        <w:t>）统一全套施工招标图纸的格式、内容、分册，及相关文字要求;统一图纸和基础资料卷的专业名词与术语;</w:t>
      </w:r>
    </w:p>
    <w:p w14:paraId="42CCBB4D">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6</w:t>
      </w:r>
      <w:r>
        <w:rPr>
          <w:rFonts w:hint="eastAsia" w:ascii="宋体" w:hAnsi="宋体" w:cs="宋体"/>
          <w:color w:val="000000" w:themeColor="text1"/>
          <w:sz w:val="24"/>
          <w:highlight w:val="none"/>
          <w:lang w:eastAsia="zh-CN"/>
          <w14:textFill>
            <w14:solidFill>
              <w14:schemeClr w14:val="tx1"/>
            </w14:solidFill>
          </w14:textFill>
        </w:rPr>
        <w:t>）负责统一汇报和接受上级审查，以及设计修改后的汇总；</w:t>
      </w:r>
    </w:p>
    <w:p w14:paraId="3422B352">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7</w:t>
      </w:r>
      <w:r>
        <w:rPr>
          <w:rFonts w:hint="eastAsia" w:ascii="宋体" w:hAnsi="宋体" w:cs="宋体"/>
          <w:color w:val="000000" w:themeColor="text1"/>
          <w:sz w:val="24"/>
          <w:highlight w:val="none"/>
          <w:lang w:eastAsia="zh-CN"/>
          <w14:textFill>
            <w14:solidFill>
              <w14:schemeClr w14:val="tx1"/>
            </w14:solidFill>
          </w14:textFill>
        </w:rPr>
        <w:t>）负责汇总</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各标段招标文件工程量清单及图纸文件；</w:t>
      </w:r>
    </w:p>
    <w:p w14:paraId="100C005F">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9</w:t>
      </w:r>
      <w:r>
        <w:rPr>
          <w:rFonts w:hint="eastAsia" w:ascii="宋体" w:hAnsi="宋体" w:cs="宋体"/>
          <w:color w:val="000000" w:themeColor="text1"/>
          <w:sz w:val="24"/>
          <w:highlight w:val="none"/>
          <w:lang w:eastAsia="zh-CN"/>
          <w14:textFill>
            <w14:solidFill>
              <w14:schemeClr w14:val="tx1"/>
            </w14:solidFill>
          </w14:textFill>
        </w:rPr>
        <w:t>）路线总体设计方面，提出设计原则，拟定平纵面主要指标值的控制范围、超高设置原则；</w:t>
      </w:r>
    </w:p>
    <w:p w14:paraId="5E30AEE4">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0</w:t>
      </w:r>
      <w:r>
        <w:rPr>
          <w:rFonts w:hint="eastAsia" w:ascii="宋体" w:hAnsi="宋体" w:cs="宋体"/>
          <w:color w:val="000000" w:themeColor="text1"/>
          <w:sz w:val="24"/>
          <w:highlight w:val="none"/>
          <w:lang w:eastAsia="zh-CN"/>
          <w14:textFill>
            <w14:solidFill>
              <w14:schemeClr w14:val="tx1"/>
            </w14:solidFill>
          </w14:textFill>
        </w:rPr>
        <w:t>）负责隧道总体设计，提出隧道断面布置形式，洞口、防护、排水、通风等设计原则等</w:t>
      </w:r>
      <w:r>
        <w:rPr>
          <w:rFonts w:hint="eastAsia" w:ascii="宋体" w:hAnsi="宋体" w:eastAsia="宋体" w:cs="宋体"/>
          <w:color w:val="000000" w:themeColor="text1"/>
          <w:sz w:val="24"/>
          <w:highlight w:val="none"/>
          <w:lang w:eastAsia="zh-CN"/>
          <w14:textFill>
            <w14:solidFill>
              <w14:schemeClr w14:val="tx1"/>
            </w14:solidFill>
          </w14:textFill>
        </w:rPr>
        <w:t>（如有）</w:t>
      </w:r>
      <w:r>
        <w:rPr>
          <w:rFonts w:hint="eastAsia" w:ascii="宋体" w:hAnsi="宋体" w:cs="宋体"/>
          <w:color w:val="000000" w:themeColor="text1"/>
          <w:sz w:val="24"/>
          <w:highlight w:val="none"/>
          <w:lang w:eastAsia="zh-CN"/>
          <w14:textFill>
            <w14:solidFill>
              <w14:schemeClr w14:val="tx1"/>
            </w14:solidFill>
          </w14:textFill>
        </w:rPr>
        <w:t>；</w:t>
      </w:r>
    </w:p>
    <w:p w14:paraId="34889191">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eastAsia="zh-CN"/>
          <w14:textFill>
            <w14:solidFill>
              <w14:schemeClr w14:val="tx1"/>
            </w14:solidFill>
          </w14:textFill>
        </w:rPr>
        <w:t>）负责交通安全设施方面，提出</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的设计原则；</w:t>
      </w:r>
    </w:p>
    <w:p w14:paraId="3C5C300D">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）沿线设施方面，提出</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的设计原则和标准；</w:t>
      </w:r>
    </w:p>
    <w:p w14:paraId="5A7DE3CB">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eastAsia="zh-CN"/>
          <w14:textFill>
            <w14:solidFill>
              <w14:schemeClr w14:val="tx1"/>
            </w14:solidFill>
          </w14:textFill>
        </w:rPr>
        <w:t>）负责安全性总体评价，指导和汇总各标段安全性评价，在此基础上对全线提出整体安全性评价；</w:t>
      </w:r>
    </w:p>
    <w:p w14:paraId="2C353437">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14</w:t>
      </w:r>
      <w:r>
        <w:rPr>
          <w:rFonts w:hint="eastAsia" w:ascii="宋体" w:hAnsi="宋体" w:cs="宋体"/>
          <w:color w:val="000000" w:themeColor="text1"/>
          <w:sz w:val="24"/>
          <w:highlight w:val="none"/>
          <w:lang w:eastAsia="zh-CN"/>
          <w14:textFill>
            <w14:solidFill>
              <w14:schemeClr w14:val="tx1"/>
            </w14:solidFill>
          </w14:textFill>
        </w:rPr>
        <w:t>）专题研究方面，负责对专题研究内容、技术要求、研究计划、成果形式等进行审查工作</w:t>
      </w:r>
      <w:r>
        <w:rPr>
          <w:rFonts w:hint="eastAsia" w:ascii="宋体" w:hAnsi="宋体" w:eastAsia="宋体" w:cs="宋体"/>
          <w:color w:val="000000" w:themeColor="text1"/>
          <w:sz w:val="24"/>
          <w:highlight w:val="none"/>
          <w:lang w:eastAsia="zh-CN"/>
          <w14:textFill>
            <w14:solidFill>
              <w14:schemeClr w14:val="tx1"/>
            </w14:solidFill>
          </w14:textFill>
        </w:rPr>
        <w:t>（如有）</w:t>
      </w:r>
      <w:r>
        <w:rPr>
          <w:rFonts w:hint="eastAsia" w:ascii="宋体" w:hAnsi="宋体" w:cs="宋体"/>
          <w:color w:val="000000" w:themeColor="text1"/>
          <w:sz w:val="24"/>
          <w:highlight w:val="none"/>
          <w:lang w:eastAsia="zh-CN"/>
          <w14:textFill>
            <w14:solidFill>
              <w14:schemeClr w14:val="tx1"/>
            </w14:solidFill>
          </w14:textFill>
        </w:rPr>
        <w:t>；</w:t>
      </w:r>
    </w:p>
    <w:p w14:paraId="43E01E5A">
      <w:pPr>
        <w:kinsoku/>
        <w:spacing w:before="195" w:line="286" w:lineRule="auto"/>
        <w:ind w:left="37" w:right="188" w:firstLine="484"/>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4.1.6.28 执行</w:t>
      </w:r>
      <w:r>
        <w:rPr>
          <w:rFonts w:hint="eastAsia" w:ascii="宋体" w:hAnsi="宋体" w:eastAsia="宋体" w:cs="宋体"/>
          <w:color w:val="000000" w:themeColor="text1"/>
          <w:sz w:val="24"/>
          <w:highlight w:val="none"/>
          <w:u w:val="single"/>
          <w:lang w:eastAsia="zh-CN"/>
          <w14:textFill>
            <w14:solidFill>
              <w14:schemeClr w14:val="tx1"/>
            </w14:solidFill>
          </w14:textFill>
        </w:rPr>
        <w:t>《韶关市公路事务中心关于印发&lt;国省道建设路域环境保护工作指引&gt;的通知》（韶路〔2020〕104号）文要求，具体措施包括：</w:t>
      </w:r>
    </w:p>
    <w:p w14:paraId="1DA3CC66">
      <w:pPr>
        <w:kinsoku/>
        <w:spacing w:before="195" w:line="286" w:lineRule="auto"/>
        <w:ind w:left="37" w:right="188" w:firstLine="484"/>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加强公路路线选取设计。在选取路线方案时要认真贯彻“生态环保选线”的原则，在满足规范标准的前提下，使路线尽量与地形相拟合，路基尽可能避免高填深挖，隧道尽可能实现“零开挖进洞”，以减少对自然生态环境的破坏。路线在经过水源地保护区、风景名胜区、自然保护区、水土保持敏感区等区域时，要做好环境影响、水土保持评价工作，采取避让和保护措施。</w:t>
      </w:r>
    </w:p>
    <w:p w14:paraId="4E71C103">
      <w:pPr>
        <w:kinsoku/>
        <w:spacing w:before="195" w:line="286" w:lineRule="auto"/>
        <w:ind w:left="37" w:right="188" w:firstLine="484"/>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2）加强对公路路基防护设计。路基防护形式应根据当地的自然条件合理选用，有条件时宜采用植物防护，水土流失严重或边坡稳定条件较差时，宜采用工程防护与植物防护相结合的方法，并加强表面植被防护设计。</w:t>
      </w:r>
    </w:p>
    <w:p w14:paraId="664EE6D6">
      <w:pPr>
        <w:kinsoku/>
        <w:spacing w:before="195" w:line="286" w:lineRule="auto"/>
        <w:ind w:left="37" w:right="188" w:firstLine="484"/>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（3）加强公路工程取、弃土场设计。当取、弃土破坏了原有地表植被或改变了原地表自然坡度而形成裸露坡面时，应进行绿化或复垦设计。</w:t>
      </w:r>
    </w:p>
    <w:p w14:paraId="76F56446">
      <w:pPr>
        <w:kinsoku/>
        <w:spacing w:before="195" w:line="286" w:lineRule="auto"/>
        <w:ind w:left="37" w:right="188" w:firstLine="484"/>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（4）加强对路线交叉工程设计。平面交叉工程设计要规范，平交路口要保证视距良好，标志规范。道路接入国省干线公路的交叉口应进行适当硬化设计。</w:t>
      </w:r>
    </w:p>
    <w:p w14:paraId="51E5A588">
      <w:pPr>
        <w:kinsoku/>
        <w:spacing w:before="195" w:line="286" w:lineRule="auto"/>
        <w:ind w:left="37" w:right="188" w:firstLine="484"/>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（5）加强景观设计。公路景观设计应与周边整体景观相协调，全力打造畅通、安全、舒适、美观的公路交通环境。对公路穿越城区路段绿化带，要因地制宜，突出绿化特色。公路绿化不得遮挡标志。</w:t>
      </w:r>
    </w:p>
    <w:p w14:paraId="3D3BA494">
      <w:pPr>
        <w:kinsoku/>
        <w:spacing w:before="298" w:line="276" w:lineRule="auto"/>
        <w:ind w:left="38"/>
        <w:rPr>
          <w:rFonts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5. 设计要求</w:t>
      </w:r>
    </w:p>
    <w:p w14:paraId="4DA5B5DE">
      <w:pPr>
        <w:kinsoku/>
        <w:spacing w:before="298" w:line="276" w:lineRule="auto"/>
        <w:ind w:left="38" w:firstLine="482" w:firstLineChars="200"/>
        <w:rPr>
          <w:rFonts w:asciiTheme="majorEastAsia" w:hAnsiTheme="majorEastAsia" w:eastAsiaTheme="majorEastAsia" w:cstheme="majorEastAsia"/>
          <w:b/>
          <w:bCs/>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lang w:eastAsia="zh-CN"/>
          <w14:textFill>
            <w14:solidFill>
              <w14:schemeClr w14:val="tx1"/>
            </w14:solidFill>
          </w14:textFill>
        </w:rPr>
        <w:t>5.1  一般要求</w:t>
      </w:r>
    </w:p>
    <w:p w14:paraId="22A5C0E5">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5.1.1 款细化如下：</w:t>
      </w:r>
    </w:p>
    <w:p w14:paraId="527C041C">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5.1.1 发包人应遵守法律、规范标准以及发包人颁发的设计实施方案、细则、标准图及通用图等，不得以任何理由要求设计人违反法律和工程质量、安全标准进行设计服务，降低工程质量。</w:t>
      </w:r>
    </w:p>
    <w:p w14:paraId="67ABF1FC">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增加 5.1.6 款~5.1.8 款</w:t>
      </w:r>
    </w:p>
    <w:p w14:paraId="7D46475D">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5.1.6 设计人提供的设计成果必须通过相关主管部门审批，若由于设计人原因造成需要补勘、完善、修改或变更设计的，设计人在收到发包人的通知后必须2天内到达现场开展补勘或加密勘探，否则发包人有权委托其他有资质的单位完成本项工作而无须设计人同意，其实际发生与设计合同中相关费用的差额及变更的设计费由设计人承担，并按合同条款课以违约金。</w:t>
      </w:r>
    </w:p>
    <w:p w14:paraId="68BB7A04">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5.1.7 设计人应结合项目是否穿越或邻近水源保护区、森林公园、石油天然气管道、铁路，是否与高速公路交叉互通等特点，在进行相关设计方案时，应充分考虑施工可行性，并对上述工程的临时工程和设施进行专项设计，临时工程和设施包括但不限于跨越或邻近水源保护区、森林公园、石油天然气管道、铁路，并与高速公路交叉互通的防护设计、重要工点的临时措施方案设计，并将费用纳入概</w:t>
      </w:r>
      <w:r>
        <w:rPr>
          <w:rFonts w:hint="eastAsia" w:asciiTheme="majorEastAsia" w:hAnsiTheme="majorEastAsia" w:eastAsiaTheme="majorEastAsia" w:cstheme="majorEastAsia"/>
          <w:color w:val="000000" w:themeColor="text1"/>
          <w:sz w:val="24"/>
          <w:highlight w:val="none"/>
          <w:lang w:val="en-US" w:eastAsia="zh-CN"/>
          <w14:textFill>
            <w14:solidFill>
              <w14:schemeClr w14:val="tx1"/>
            </w14:solidFill>
          </w14:textFill>
        </w:rPr>
        <w:t>算</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中，避免设计施工方案和费用脱节。</w:t>
      </w:r>
    </w:p>
    <w:p w14:paraId="4C16F3F8">
      <w:pPr>
        <w:kinsoku/>
        <w:spacing w:before="79"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5.3 设计范围</w:t>
      </w:r>
    </w:p>
    <w:p w14:paraId="320DC553">
      <w:pPr>
        <w:kinsoku/>
        <w:spacing w:before="195" w:line="286" w:lineRule="auto"/>
        <w:ind w:firstLine="499" w:firstLineChars="20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5.3.2 工程范围包括：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详见招标文件。</w:t>
      </w:r>
    </w:p>
    <w:p w14:paraId="4EEB5BCB">
      <w:pPr>
        <w:kinsoku/>
        <w:spacing w:before="19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5.3.3 阶段范围包括：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详见招标文件。</w:t>
      </w:r>
    </w:p>
    <w:p w14:paraId="6DA46F37">
      <w:pPr>
        <w:kinsoku/>
        <w:spacing w:before="19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5.3.4 工作范围包括：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详见招标文件。</w:t>
      </w:r>
    </w:p>
    <w:p w14:paraId="21484F64">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5.7 安全作业要求</w:t>
      </w:r>
    </w:p>
    <w:p w14:paraId="27F83B2D">
      <w:pPr>
        <w:kinsoku/>
        <w:spacing w:before="193"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5.7.1 设计人编制安全措施计划的期限：</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签订合同协议书后7天之内</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940C544">
      <w:pPr>
        <w:kinsoku/>
        <w:spacing w:before="296" w:line="286" w:lineRule="auto"/>
        <w:ind w:left="39"/>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6. 开始设计和完成设计</w:t>
      </w:r>
    </w:p>
    <w:p w14:paraId="2DFB05DB">
      <w:pPr>
        <w:kinsoku/>
        <w:spacing w:before="79" w:line="286" w:lineRule="auto"/>
        <w:ind w:left="5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6.1 开始设计</w:t>
      </w:r>
    </w:p>
    <w:p w14:paraId="3931BFA8">
      <w:pPr>
        <w:kinsoku/>
        <w:spacing w:before="78" w:line="286" w:lineRule="auto"/>
        <w:ind w:firstLine="540" w:firstLineChars="22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6.1.1 满足以下条件时，发包人应向设计人发出开始设计通知：</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签订合同后</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3301D9AF">
      <w:pPr>
        <w:kinsoku/>
        <w:spacing w:before="203" w:line="286" w:lineRule="auto"/>
        <w:ind w:firstLine="480" w:firstLineChars="20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设计服务周期安排：</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详见专用合同条款 8.1.3 款的时间要求</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D0EC63A">
      <w:pPr>
        <w:kinsoku/>
        <w:spacing w:before="195"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6.2 发包人引起的周期延误</w:t>
      </w:r>
    </w:p>
    <w:p w14:paraId="2161F23E">
      <w:pPr>
        <w:kinsoku/>
        <w:spacing w:before="193" w:line="286" w:lineRule="auto"/>
        <w:ind w:left="39" w:right="90" w:firstLine="50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由于发包人原因造成设计服务期限延误的，延长设计服务期限的计算方法：</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根据具体的延误原因由发包人与设计人协商确定延长的服务期限</w:t>
      </w:r>
      <w:r>
        <w:rPr>
          <w:rFonts w:hint="eastAsia" w:ascii="宋体" w:hAnsi="宋体" w:eastAsia="宋体" w:cs="宋体"/>
          <w:color w:val="000000" w:themeColor="text1"/>
          <w:sz w:val="24"/>
          <w:szCs w:val="24"/>
          <w:highlight w:val="none"/>
          <w:lang w:eastAsia="zh-CN"/>
          <w14:textFill>
            <w14:solidFill>
              <w14:schemeClr w14:val="tx1"/>
            </w14:solidFill>
          </w14:textFill>
        </w:rPr>
        <w:t>；增加设计费用的计算方法：</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按照对应合同段设计最高投标限价的计算依据和取值参数并结合设计人增加的工作量及投标人中标价下浮率进行计算，或由发包人与设计人协商确定</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3CEB347">
      <w:pPr>
        <w:kinsoku/>
        <w:spacing w:before="36"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6.3 设计人引起的周期延误</w:t>
      </w:r>
    </w:p>
    <w:p w14:paraId="095EE27B">
      <w:pPr>
        <w:kinsoku/>
        <w:spacing w:before="193" w:line="286" w:lineRule="auto"/>
        <w:ind w:left="38" w:right="-27"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逾期违约金的计算方法：</w:t>
      </w:r>
      <w:r>
        <w:rPr>
          <w:rFonts w:ascii="宋体" w:hAnsi="宋体" w:cs="宋体"/>
          <w:color w:val="000000" w:themeColor="text1"/>
          <w:sz w:val="24"/>
          <w:highlight w:val="none"/>
          <w:u w:val="single"/>
          <w:lang w:eastAsia="zh-CN"/>
          <w14:textFill>
            <w14:solidFill>
              <w14:schemeClr w14:val="tx1"/>
            </w14:solidFill>
          </w14:textFill>
        </w:rPr>
        <w:t>10000</w:t>
      </w:r>
      <w:r>
        <w:rPr>
          <w:rFonts w:hint="eastAsia" w:ascii="宋体" w:hAnsi="宋体" w:cs="宋体"/>
          <w:color w:val="000000" w:themeColor="text1"/>
          <w:sz w:val="24"/>
          <w:highlight w:val="none"/>
          <w:lang w:eastAsia="zh-CN"/>
          <w14:textFill>
            <w14:solidFill>
              <w14:schemeClr w14:val="tx1"/>
            </w14:solidFill>
          </w14:textFill>
        </w:rPr>
        <w:t>元</w:t>
      </w:r>
      <w:r>
        <w:rPr>
          <w:rFonts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天</w:t>
      </w:r>
      <w:r>
        <w:rPr>
          <w:rFonts w:hint="eastAsia" w:ascii="宋体" w:hAnsi="宋体" w:eastAsia="宋体" w:cs="宋体"/>
          <w:color w:val="000000" w:themeColor="text1"/>
          <w:sz w:val="24"/>
          <w:szCs w:val="24"/>
          <w:highlight w:val="none"/>
          <w:lang w:eastAsia="zh-CN"/>
          <w14:textFill>
            <w14:solidFill>
              <w14:schemeClr w14:val="tx1"/>
            </w14:solidFill>
          </w14:textFill>
        </w:rPr>
        <w:t>；逾期违约金的最高限额：</w:t>
      </w:r>
      <w:r>
        <w:rPr>
          <w:rFonts w:ascii="宋体" w:hAnsi="宋体" w:cs="宋体"/>
          <w:color w:val="000000" w:themeColor="text1"/>
          <w:sz w:val="24"/>
          <w:highlight w:val="none"/>
          <w:u w:val="single"/>
          <w:lang w:eastAsia="zh-CN"/>
          <w14:textFill>
            <w14:solidFill>
              <w14:schemeClr w14:val="tx1"/>
            </w14:solidFill>
          </w14:textFill>
        </w:rPr>
        <w:t>10%</w:t>
      </w:r>
      <w:r>
        <w:rPr>
          <w:rFonts w:hint="eastAsia" w:ascii="宋体" w:hAnsi="宋体" w:cs="宋体"/>
          <w:color w:val="000000" w:themeColor="text1"/>
          <w:sz w:val="24"/>
          <w:highlight w:val="none"/>
          <w:u w:val="single"/>
          <w:lang w:eastAsia="zh-CN"/>
          <w14:textFill>
            <w14:solidFill>
              <w14:schemeClr w14:val="tx1"/>
            </w14:solidFill>
          </w14:textFill>
        </w:rPr>
        <w:t>签约合同价</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679E2C9">
      <w:pPr>
        <w:kinsoku/>
        <w:spacing w:before="3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6.5 非人为因素引起的周期延误</w:t>
      </w:r>
    </w:p>
    <w:p w14:paraId="7FE560FA">
      <w:pPr>
        <w:kinsoku/>
        <w:spacing w:before="196" w:line="286" w:lineRule="auto"/>
        <w:ind w:left="38" w:right="87"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6.5.1 异常恶劣气候条件包括：</w:t>
      </w:r>
      <w:r>
        <w:rPr>
          <w:rFonts w:hint="eastAsia" w:ascii="宋体" w:hAnsi="宋体" w:cs="宋体"/>
          <w:color w:val="000000" w:themeColor="text1"/>
          <w:sz w:val="24"/>
          <w:highlight w:val="none"/>
          <w:u w:val="single"/>
          <w:lang w:eastAsia="zh-CN"/>
          <w14:textFill>
            <w14:solidFill>
              <w14:schemeClr w14:val="tx1"/>
            </w14:solidFill>
          </w14:textFill>
        </w:rPr>
        <w:t>六级以上地震、十级以上强风暴、龙卷风或五十年一遇以上洪水造成重大破坏等情况无法施工持续</w:t>
      </w:r>
      <w:r>
        <w:rPr>
          <w:rFonts w:ascii="宋体" w:hAnsi="宋体" w:cs="宋体"/>
          <w:color w:val="000000" w:themeColor="text1"/>
          <w:sz w:val="24"/>
          <w:highlight w:val="none"/>
          <w:u w:val="single"/>
          <w:lang w:eastAsia="zh-CN"/>
          <w14:textFill>
            <w14:solidFill>
              <w14:schemeClr w14:val="tx1"/>
            </w14:solidFill>
          </w14:textFill>
        </w:rPr>
        <w:t>30</w:t>
      </w:r>
      <w:r>
        <w:rPr>
          <w:rFonts w:hint="eastAsia" w:ascii="宋体" w:hAnsi="宋体" w:cs="宋体"/>
          <w:color w:val="000000" w:themeColor="text1"/>
          <w:sz w:val="24"/>
          <w:highlight w:val="none"/>
          <w:u w:val="single"/>
          <w:lang w:eastAsia="zh-CN"/>
          <w14:textFill>
            <w14:solidFill>
              <w14:schemeClr w14:val="tx1"/>
            </w14:solidFill>
          </w14:textFill>
        </w:rPr>
        <w:t>天以上者等</w:t>
      </w:r>
      <w:r>
        <w:rPr>
          <w:rFonts w:hint="eastAsia" w:ascii="宋体" w:hAnsi="宋体" w:eastAsia="宋体" w:cs="宋体"/>
          <w:color w:val="000000" w:themeColor="text1"/>
          <w:sz w:val="24"/>
          <w:szCs w:val="24"/>
          <w:highlight w:val="none"/>
          <w:lang w:eastAsia="zh-CN"/>
          <w14:textFill>
            <w14:solidFill>
              <w14:schemeClr w14:val="tx1"/>
            </w14:solidFill>
          </w14:textFill>
        </w:rPr>
        <w:t>；不利物质条件包括：</w:t>
      </w:r>
      <w:r>
        <w:rPr>
          <w:rFonts w:hint="eastAsia" w:ascii="宋体" w:hAnsi="宋体" w:cs="宋体"/>
          <w:color w:val="000000" w:themeColor="text1"/>
          <w:sz w:val="24"/>
          <w:highlight w:val="none"/>
          <w:u w:val="single"/>
          <w:lang w:eastAsia="zh-CN"/>
          <w14:textFill>
            <w14:solidFill>
              <w14:schemeClr w14:val="tx1"/>
            </w14:solidFill>
          </w14:textFill>
        </w:rPr>
        <w:t>承包人在施工场地遇到的不可预见的自然物质条件、非自然的物质障碍和污染物，包括地下和水文条件，如遇见废弃的地下管道、隧道掘进遇瓦斯突出等</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883E31A">
      <w:pPr>
        <w:kinsoku/>
        <w:spacing w:before="30"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6.7 提前完成设计</w:t>
      </w:r>
    </w:p>
    <w:p w14:paraId="7FAFA19A">
      <w:pPr>
        <w:kinsoku/>
        <w:spacing w:before="195" w:line="286" w:lineRule="auto"/>
        <w:ind w:left="38" w:right="85"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6.7.3 由于设计人提前完成设计而给发包人带来经济效益的，发包人给予设计人如下奖励：</w:t>
      </w:r>
      <w:r>
        <w:rPr>
          <w:rFonts w:hint="eastAsia" w:ascii="宋体" w:hAnsi="宋体" w:cs="宋体"/>
          <w:color w:val="000000" w:themeColor="text1"/>
          <w:sz w:val="24"/>
          <w:highlight w:val="none"/>
          <w:u w:val="single"/>
          <w:lang w:eastAsia="zh-CN"/>
          <w14:textFill>
            <w14:solidFill>
              <w14:schemeClr w14:val="tx1"/>
            </w14:solidFill>
          </w14:textFill>
        </w:rPr>
        <w:t>不予奖励</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AEC2294">
      <w:pPr>
        <w:kinsoku/>
        <w:spacing w:before="137" w:line="286" w:lineRule="auto"/>
        <w:ind w:left="3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8. 设计文件</w:t>
      </w:r>
    </w:p>
    <w:p w14:paraId="1FFA33CF">
      <w:pPr>
        <w:kinsoku/>
        <w:spacing w:before="78"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8.1 设计文件接收</w:t>
      </w:r>
    </w:p>
    <w:p w14:paraId="19D262A3">
      <w:pPr>
        <w:kinsoku/>
        <w:spacing w:before="194" w:line="286" w:lineRule="auto"/>
        <w:ind w:left="5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8.1.3 设计文件提交要求：</w:t>
      </w:r>
    </w:p>
    <w:p w14:paraId="33F38A4E">
      <w:pPr>
        <w:kinsoku/>
        <w:spacing w:before="196" w:line="286" w:lineRule="auto"/>
        <w:ind w:left="36" w:right="88" w:firstLine="531"/>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合同签订后</w:t>
      </w:r>
      <w:r>
        <w:rPr>
          <w:rFonts w:hint="eastAsia" w:ascii="宋体" w:hAnsi="宋体" w:eastAsia="宋体" w:cs="宋体"/>
          <w:color w:val="000000" w:themeColor="text1"/>
          <w:sz w:val="24"/>
          <w:highlight w:val="none"/>
          <w:lang w:val="en-US" w:eastAsia="zh-CN"/>
          <w14:textFill>
            <w14:solidFill>
              <w14:schemeClr w14:val="tx1"/>
            </w14:solidFill>
          </w14:textFill>
        </w:rPr>
        <w:t>20</w:t>
      </w:r>
      <w:r>
        <w:rPr>
          <w:rFonts w:hint="eastAsia" w:ascii="宋体" w:hAnsi="宋体" w:eastAsia="宋体" w:cs="宋体"/>
          <w:color w:val="000000" w:themeColor="text1"/>
          <w:sz w:val="24"/>
          <w:highlight w:val="none"/>
          <w:lang w:eastAsia="zh-CN"/>
          <w14:textFill>
            <w14:solidFill>
              <w14:schemeClr w14:val="tx1"/>
            </w14:solidFill>
          </w14:textFill>
        </w:rPr>
        <w:t>日历天内，提交</w:t>
      </w:r>
      <w:r>
        <w:rPr>
          <w:rFonts w:hint="eastAsia" w:ascii="宋体" w:hAnsi="宋体" w:eastAsia="宋体" w:cs="宋体"/>
          <w:color w:val="000000" w:themeColor="text1"/>
          <w:sz w:val="24"/>
          <w:highlight w:val="none"/>
          <w:lang w:val="en-US" w:eastAsia="zh-CN"/>
          <w14:textFill>
            <w14:solidFill>
              <w14:schemeClr w14:val="tx1"/>
            </w14:solidFill>
          </w14:textFill>
        </w:rPr>
        <w:t>初步</w:t>
      </w:r>
      <w:r>
        <w:rPr>
          <w:rFonts w:hint="eastAsia" w:ascii="宋体" w:hAnsi="宋体" w:eastAsia="宋体" w:cs="宋体"/>
          <w:color w:val="000000" w:themeColor="text1"/>
          <w:sz w:val="24"/>
          <w:highlight w:val="none"/>
          <w:lang w:eastAsia="zh-CN"/>
          <w14:textFill>
            <w14:solidFill>
              <w14:schemeClr w14:val="tx1"/>
            </w14:solidFill>
          </w14:textFill>
        </w:rPr>
        <w:t>设计文件送审稿；</w:t>
      </w:r>
    </w:p>
    <w:p w14:paraId="5A44CD8E">
      <w:pPr>
        <w:kinsoku/>
        <w:spacing w:before="196" w:line="286" w:lineRule="auto"/>
        <w:ind w:left="36" w:right="88" w:firstLine="531"/>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）初步设计批复后20日历天内，提交施工图设计文件送审稿；</w:t>
      </w:r>
    </w:p>
    <w:p w14:paraId="3E6A2823">
      <w:pPr>
        <w:kinsoku/>
        <w:spacing w:before="196" w:line="286" w:lineRule="auto"/>
        <w:ind w:left="36" w:right="88" w:firstLine="53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）施工图设计文件审查后</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lang w:eastAsia="zh-CN"/>
          <w14:textFill>
            <w14:solidFill>
              <w14:schemeClr w14:val="tx1"/>
            </w14:solidFill>
          </w14:textFill>
        </w:rPr>
        <w:t>日历天，完成施工图设计修编工作并提供施工图设计文件最终稿各8份。</w:t>
      </w:r>
    </w:p>
    <w:p w14:paraId="37B0236A">
      <w:pPr>
        <w:kinsoku/>
        <w:spacing w:before="196" w:line="286" w:lineRule="auto"/>
        <w:ind w:left="36" w:right="88" w:firstLine="53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设计人还应向发包人提交最终成果的书面计算书一份，各阶段设计成果文件CAD版本的电子版各一份，应同时提交且数据一致。</w:t>
      </w:r>
    </w:p>
    <w:p w14:paraId="5E63BFE4">
      <w:pPr>
        <w:kinsoku/>
        <w:spacing w:before="3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8.2 发包人审查设计文件</w:t>
      </w:r>
    </w:p>
    <w:p w14:paraId="58E23951">
      <w:pPr>
        <w:kinsoku/>
        <w:spacing w:before="138" w:line="286" w:lineRule="auto"/>
        <w:ind w:left="47" w:firstLine="480" w:firstLineChars="200"/>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8.2.1 发包人审查设计文件的具体范围：</w:t>
      </w:r>
      <w:r>
        <w:rPr>
          <w:rFonts w:hint="eastAsia" w:asciiTheme="majorEastAsia" w:hAnsiTheme="majorEastAsia" w:eastAsiaTheme="majorEastAsia" w:cstheme="majorEastAsia"/>
          <w:color w:val="000000" w:themeColor="text1"/>
          <w:sz w:val="24"/>
          <w:highlight w:val="none"/>
          <w:lang w:val="en-US" w:eastAsia="zh-CN"/>
          <w14:textFill>
            <w14:solidFill>
              <w14:schemeClr w14:val="tx1"/>
            </w14:solidFill>
          </w14:textFill>
        </w:rPr>
        <w:t>本项目</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里程范围的交通工程（包括通信、监控、沿线供配电系统、照明系统及通信管道工程等）、隧道通风、消防、照明、紧急救援等附属设施的设计。</w:t>
      </w:r>
    </w:p>
    <w:p w14:paraId="7C664F91">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设计包括初步设计（含概算）、施工图设计、施工过程的配合服务工作（含图纸送审、设计变更、现场配合指导等）、工程竣（交）工验收过程的配合服务工作等和按照国家相关规范要求设计单位完成的工作。</w:t>
      </w:r>
    </w:p>
    <w:p w14:paraId="6A5002C8">
      <w:pPr>
        <w:kinsoku/>
        <w:spacing w:before="138" w:line="286" w:lineRule="auto"/>
        <w:ind w:left="47"/>
        <w:rPr>
          <w:rFonts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10.招标和施工期间配合</w:t>
      </w:r>
    </w:p>
    <w:p w14:paraId="3DC084D8">
      <w:pPr>
        <w:kinsoku/>
        <w:spacing w:before="138" w:line="286" w:lineRule="auto"/>
        <w:ind w:left="47"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10.1.2 款末增加以下内容：设计人应保证工程量清单的编制质量，发包人将组织对工程量清单进行复核，出现明显差、错、漏的，按设计人违约处理。</w:t>
      </w:r>
    </w:p>
    <w:p w14:paraId="20CFF744">
      <w:pPr>
        <w:kinsoku/>
        <w:spacing w:before="138" w:line="286" w:lineRule="auto"/>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11. 合同变更</w:t>
      </w:r>
    </w:p>
    <w:p w14:paraId="7FEE7586">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11.1 变更情形</w:t>
      </w:r>
    </w:p>
    <w:p w14:paraId="70AC7883">
      <w:pPr>
        <w:kinsoku/>
        <w:spacing w:before="193" w:line="286" w:lineRule="auto"/>
        <w:ind w:left="40" w:right="181"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11.1.1 合同变更时，设计服务期限的调整方法：</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根据具体的延误原因由发包人与设计人协商确定延长的服务期限</w:t>
      </w:r>
      <w:r>
        <w:rPr>
          <w:rFonts w:hint="eastAsia" w:ascii="宋体" w:hAnsi="宋体" w:eastAsia="宋体" w:cs="宋体"/>
          <w:color w:val="000000" w:themeColor="text1"/>
          <w:sz w:val="24"/>
          <w:szCs w:val="24"/>
          <w:highlight w:val="none"/>
          <w:lang w:eastAsia="zh-CN"/>
          <w14:textFill>
            <w14:solidFill>
              <w14:schemeClr w14:val="tx1"/>
            </w14:solidFill>
          </w14:textFill>
        </w:rPr>
        <w:t>；设计费用的调整方法：</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由发包人与设计人协商确定</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EA78ADE">
      <w:pPr>
        <w:spacing w:line="360" w:lineRule="auto"/>
        <w:ind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设计人应按有关合同条款及现行规范的规定，编制相应标段的《地质勘探方案》并提交评审，方案中应估算整个设计过程(含地质补钻)需要的地质钻探工程量，钻探数量等报发包人审批后方可实施，否则不予确认。</w:t>
      </w:r>
    </w:p>
    <w:p w14:paraId="66F2FB6F">
      <w:pPr>
        <w:spacing w:line="360" w:lineRule="auto"/>
        <w:ind w:firstLine="482" w:firstLineChars="200"/>
        <w:rPr>
          <w:rFonts w:asciiTheme="majorEastAsia" w:hAnsiTheme="majorEastAsia" w:eastAsiaTheme="majorEastAsia" w:cstheme="majorEastAsia"/>
          <w:b/>
          <w:bCs/>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lang w:eastAsia="zh-CN"/>
          <w14:textFill>
            <w14:solidFill>
              <w14:schemeClr w14:val="tx1"/>
            </w14:solidFill>
          </w14:textFill>
        </w:rPr>
        <w:t>在 11.1.1（4）目后增加（5）</w:t>
      </w:r>
    </w:p>
    <w:p w14:paraId="567FA441">
      <w:pPr>
        <w:spacing w:line="360" w:lineRule="auto"/>
        <w:ind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（5）发生重大设计变更及较大设计变更，其划分标准参照《公路工程设计变更管理办法》、《广东省交通厅关于公路工程设计变更管理的实施细则》的规定执行。</w:t>
      </w:r>
    </w:p>
    <w:p w14:paraId="7925444E">
      <w:pPr>
        <w:spacing w:line="360" w:lineRule="auto"/>
        <w:ind w:firstLine="482" w:firstLineChars="200"/>
        <w:rPr>
          <w:rFonts w:asciiTheme="majorEastAsia" w:hAnsiTheme="majorEastAsia" w:eastAsiaTheme="majorEastAsia" w:cstheme="majorEastAsia"/>
          <w:b/>
          <w:bCs/>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lang w:eastAsia="zh-CN"/>
          <w14:textFill>
            <w14:solidFill>
              <w14:schemeClr w14:val="tx1"/>
            </w14:solidFill>
          </w14:textFill>
        </w:rPr>
        <w:t>11.1.2 项修改为：</w:t>
      </w:r>
    </w:p>
    <w:p w14:paraId="432500AD">
      <w:pPr>
        <w:pStyle w:val="25"/>
        <w:rPr>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基准日后，因颁布新的或修订原有法律、法规、规范和标准等引发合同变更情形的（即11.1.1（1）目的情形），按照上述约定进行调整，否则不作调整。</w:t>
      </w:r>
    </w:p>
    <w:p w14:paraId="769CD1FC">
      <w:pPr>
        <w:kinsoku/>
        <w:spacing w:before="33"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11.2 合理化建议</w:t>
      </w:r>
    </w:p>
    <w:p w14:paraId="5982037D">
      <w:pPr>
        <w:kinsoku/>
        <w:spacing w:before="194" w:line="286" w:lineRule="auto"/>
        <w:ind w:left="41" w:right="187" w:firstLine="49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11.2.2 设计人提出的合理化建议降低了工程投资、缩短了施工期限或者提高了工程经济效益的，发包人给予设计人如下奖励：</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无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64DCF59">
      <w:pPr>
        <w:kinsoku/>
        <w:spacing w:before="91" w:line="286" w:lineRule="auto"/>
        <w:ind w:left="47"/>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12. 合同价格与支付</w:t>
      </w:r>
    </w:p>
    <w:p w14:paraId="6ADE57E1">
      <w:pPr>
        <w:kinsoku/>
        <w:spacing w:before="78" w:line="286" w:lineRule="auto"/>
        <w:ind w:left="52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12.1 合同价格</w:t>
      </w:r>
    </w:p>
    <w:p w14:paraId="2A97A184">
      <w:pPr>
        <w:kinsoku/>
        <w:spacing w:before="196"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12.1.1 本合同的报价方式：</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总价合同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6F0C4BC">
      <w:pPr>
        <w:kinsoku/>
        <w:spacing w:before="197" w:line="286" w:lineRule="auto"/>
        <w:ind w:left="41" w:firstLine="47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在合同实施期间，由于人工、材料、设备等因素的市场价格变化导致本项目设计费用变化，合同价格的调整方式和风险范围划分：</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407CFFF">
      <w:pPr>
        <w:kinsoku/>
        <w:spacing w:before="187" w:line="286" w:lineRule="auto"/>
        <w:ind w:left="39" w:right="8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（1）合同签署后28天内，发包人向设计人支付设计费用的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作为预付款（本合同履行后，预付款抵作设计费，不再扣回）；</w:t>
      </w:r>
    </w:p>
    <w:p w14:paraId="043C200A">
      <w:pPr>
        <w:kinsoku/>
        <w:spacing w:before="187" w:line="286" w:lineRule="auto"/>
        <w:ind w:left="39" w:right="8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初步</w:t>
      </w:r>
      <w:r>
        <w:rPr>
          <w:rFonts w:hint="eastAsia" w:ascii="宋体" w:hAnsi="宋体" w:eastAsia="宋体" w:cs="宋体"/>
          <w:color w:val="000000" w:themeColor="text1"/>
          <w:sz w:val="24"/>
          <w:szCs w:val="24"/>
          <w:highlight w:val="none"/>
          <w:lang w:eastAsia="zh-CN"/>
          <w14:textFill>
            <w14:solidFill>
              <w14:schemeClr w14:val="tx1"/>
            </w14:solidFill>
          </w14:textFill>
        </w:rPr>
        <w:t>设计送审稿文件按期完成后并送至发包人处，经发包人确认后，支付至设计费用的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50 %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3ABCFFB">
      <w:pPr>
        <w:kinsoku/>
        <w:spacing w:before="187" w:line="286" w:lineRule="auto"/>
        <w:ind w:left="39" w:right="82" w:firstLine="48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（3）施工图设计文件按期完成后并送至发包人处，经发包人</w:t>
      </w:r>
      <w:r>
        <w:rPr>
          <w:rFonts w:hint="eastAsia" w:ascii="宋体" w:hAnsi="宋体" w:eastAsia="宋体" w:cs="宋体"/>
          <w:color w:val="000000" w:themeColor="text1"/>
          <w:sz w:val="24"/>
          <w:szCs w:val="24"/>
          <w:highlight w:val="none"/>
          <w:lang w:val="en-US" w:eastAsia="zh-CN"/>
          <w14:textFill>
            <w14:solidFill>
              <w14:schemeClr w14:val="tx1"/>
            </w14:solidFill>
          </w14:textFill>
        </w:rPr>
        <w:t>签收</w:t>
      </w:r>
      <w:r>
        <w:rPr>
          <w:rFonts w:hint="eastAsia" w:ascii="宋体" w:hAnsi="宋体" w:eastAsia="宋体" w:cs="宋体"/>
          <w:color w:val="000000" w:themeColor="text1"/>
          <w:sz w:val="24"/>
          <w:szCs w:val="24"/>
          <w:highlight w:val="none"/>
          <w:lang w:eastAsia="zh-CN"/>
          <w14:textFill>
            <w14:solidFill>
              <w14:schemeClr w14:val="tx1"/>
            </w14:solidFill>
          </w14:textFill>
        </w:rPr>
        <w:t>后，支付至设计费用的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0 %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09BF8F2A">
      <w:pPr>
        <w:kinsoku/>
        <w:spacing w:before="187" w:line="286" w:lineRule="auto"/>
        <w:ind w:left="39" w:right="82" w:firstLine="48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）施工图设计文件经发包人或上级主管部门审查、修改批准后，支付至设计费用的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90 %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D631F4D">
      <w:pPr>
        <w:kinsoku/>
        <w:spacing w:before="187" w:line="286" w:lineRule="auto"/>
        <w:ind w:left="39" w:right="8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）工程交工验收合格后，支付至设计费用的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97%</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B9F17C4">
      <w:pPr>
        <w:kinsoku/>
        <w:spacing w:before="187" w:line="286" w:lineRule="auto"/>
        <w:ind w:left="39" w:right="8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）竣工验收合格后，支付至设计费用的100%。</w:t>
      </w:r>
    </w:p>
    <w:p w14:paraId="1BFC930A">
      <w:pPr>
        <w:kinsoku/>
        <w:spacing w:before="187" w:line="286" w:lineRule="auto"/>
        <w:ind w:left="39" w:right="82" w:firstLine="485"/>
        <w:rPr>
          <w:rFonts w:ascii="宋体" w:hAnsi="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承包人理解并同意：因本项目由政府投资建设，项目款项的具体支付情况按照广东省财政资金支付规定及国库集中支付等国家相关规定办理。若因财政资金不到位引起合同款不能按合同要求或有关规定拨付的，发包人不承担因合同款延期拨付给乙方造成的各类损失。</w:t>
      </w:r>
    </w:p>
    <w:p w14:paraId="52CFD638">
      <w:pPr>
        <w:kinsoku/>
        <w:spacing w:before="196" w:line="286" w:lineRule="auto"/>
        <w:ind w:left="38" w:right="1" w:firstLine="486"/>
        <w:rPr>
          <w:rFonts w:asciiTheme="majorEastAsia" w:hAnsiTheme="majorEastAsia" w:eastAsiaTheme="majorEastAsia" w:cstheme="majorEastAsia"/>
          <w:b/>
          <w:bCs/>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lang w:eastAsia="zh-CN"/>
          <w14:textFill>
            <w14:solidFill>
              <w14:schemeClr w14:val="tx1"/>
            </w14:solidFill>
          </w14:textFill>
        </w:rPr>
        <w:t>增加 12.1.7~12.1.10款</w:t>
      </w:r>
    </w:p>
    <w:p w14:paraId="277C6EFD">
      <w:pPr>
        <w:kinsoku/>
        <w:spacing w:before="196" w:line="286" w:lineRule="auto"/>
        <w:ind w:left="38" w:right="1" w:firstLine="486"/>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12.1.7 绿化环保及管理、养护及服务设施（含房建）设计需要征得发包人同意才能开展，按编制的范围计算支付费用，不发生则不予支付。</w:t>
      </w:r>
    </w:p>
    <w:p w14:paraId="7D586100">
      <w:pPr>
        <w:kinsoku/>
        <w:spacing w:before="196" w:line="286" w:lineRule="auto"/>
        <w:ind w:left="38" w:right="1" w:firstLine="486"/>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12.1.8 如设计人设计的部分项目不符合发包人要求或相关标准时，发包人可根据工程需要，将本部分项目工作通过招标或委托方式，给具备相关资质的单位继续进行设计，设计人除必须按照发包人的要求提供所需的全部文件资料外；由此产生的一切费用（含通过招标的中标价或委托合同价）均由设计人承担，其高于设计人原报价的设计费由设计人补足，低于原报价的设计费发包人将按费用的差额予以扣回。</w:t>
      </w:r>
    </w:p>
    <w:p w14:paraId="14405945">
      <w:pPr>
        <w:kinsoku/>
        <w:spacing w:before="196" w:line="286" w:lineRule="auto"/>
        <w:ind w:left="38" w:right="1" w:firstLine="486"/>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12.1.9 发包人在招标及实施阶段有可能对标段长度做出调整，投标人必须接受，费用相应进行调整。</w:t>
      </w:r>
    </w:p>
    <w:p w14:paraId="4FCD76F6">
      <w:pPr>
        <w:kinsoku/>
        <w:spacing w:before="196" w:line="286" w:lineRule="auto"/>
        <w:ind w:left="38" w:right="1" w:firstLine="486"/>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12.1.10 其他支付方式</w:t>
      </w:r>
    </w:p>
    <w:p w14:paraId="21001BC0">
      <w:pPr>
        <w:kinsoku/>
        <w:spacing w:before="18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12.2 预付款</w:t>
      </w:r>
    </w:p>
    <w:p w14:paraId="7B41BA81">
      <w:pPr>
        <w:kinsoku/>
        <w:spacing w:before="163" w:line="286" w:lineRule="auto"/>
        <w:ind w:firstLine="540" w:firstLineChars="22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12.2.1 预付款的额度、支付方式：</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合同签署后28天内，发包人向设计人支付</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设计费用的</w:t>
      </w:r>
      <w:r>
        <w:rPr>
          <w:rFonts w:hint="eastAsia" w:asciiTheme="majorEastAsia" w:hAnsiTheme="majorEastAsia" w:eastAsiaTheme="majorEastAsia" w:cstheme="majorEastAsia"/>
          <w:color w:val="000000" w:themeColor="text1"/>
          <w:sz w:val="24"/>
          <w:highlight w:val="none"/>
          <w:u w:val="single"/>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0％作为预付款</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（本合同履行后，预付款抵作设计费，不再扣回）</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p>
    <w:p w14:paraId="58D10D9F">
      <w:pPr>
        <w:kinsoku/>
        <w:spacing w:before="18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12.3 中期支付</w:t>
      </w:r>
    </w:p>
    <w:p w14:paraId="73A7D7B3">
      <w:pPr>
        <w:kinsoku/>
        <w:spacing w:before="194"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12.3.1 中期支付申请的格式及份数：</w:t>
      </w:r>
      <w:r>
        <w:rPr>
          <w:rFonts w:hint="eastAsia" w:ascii="宋体" w:hAnsi="宋体" w:cs="宋体"/>
          <w:color w:val="000000" w:themeColor="text1"/>
          <w:sz w:val="24"/>
          <w:highlight w:val="none"/>
          <w:u w:val="single"/>
          <w:lang w:eastAsia="zh-CN"/>
          <w14:textFill>
            <w14:solidFill>
              <w14:schemeClr w14:val="tx1"/>
            </w14:solidFill>
          </w14:textFill>
        </w:rPr>
        <w:t>发包人批准的格式</w:t>
      </w:r>
      <w:r>
        <w:rPr>
          <w:rFonts w:hint="eastAsia" w:ascii="宋体" w:hAnsi="宋体" w:eastAsia="宋体" w:cs="宋体"/>
          <w:color w:val="000000" w:themeColor="text1"/>
          <w:sz w:val="24"/>
          <w:highlight w:val="none"/>
          <w:u w:val="single"/>
          <w:lang w:eastAsia="zh-CN"/>
          <w14:textFill>
            <w14:solidFill>
              <w14:schemeClr w14:val="tx1"/>
            </w14:solidFill>
          </w14:textFill>
        </w:rPr>
        <w:t>，</w:t>
      </w:r>
      <w:r>
        <w:rPr>
          <w:rFonts w:ascii="宋体" w:hAnsi="宋体" w:cs="宋体"/>
          <w:color w:val="000000" w:themeColor="text1"/>
          <w:sz w:val="24"/>
          <w:highlight w:val="none"/>
          <w:u w:val="single"/>
          <w:lang w:eastAsia="zh-CN"/>
          <w14:textFill>
            <w14:solidFill>
              <w14:schemeClr w14:val="tx1"/>
            </w14:solidFill>
          </w14:textFill>
        </w:rPr>
        <w:t>4</w:t>
      </w:r>
      <w:r>
        <w:rPr>
          <w:rFonts w:hint="eastAsia" w:ascii="宋体" w:hAnsi="宋体" w:cs="宋体"/>
          <w:color w:val="000000" w:themeColor="text1"/>
          <w:sz w:val="24"/>
          <w:highlight w:val="none"/>
          <w:u w:val="single"/>
          <w:lang w:eastAsia="zh-CN"/>
          <w14:textFill>
            <w14:solidFill>
              <w14:schemeClr w14:val="tx1"/>
            </w14:solidFill>
          </w14:textFill>
        </w:rPr>
        <w:t>份</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C822ADD">
      <w:pPr>
        <w:kinsoku/>
        <w:spacing w:before="163" w:line="286" w:lineRule="auto"/>
        <w:ind w:left="57" w:right="2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12.3.2 逾期付款违约金：每延期支付1天，发包人应付给设计人拖欠金额的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的违约金。</w:t>
      </w:r>
    </w:p>
    <w:p w14:paraId="227F31BB">
      <w:pPr>
        <w:kinsoku/>
        <w:spacing w:before="163" w:line="286" w:lineRule="auto"/>
        <w:ind w:left="57" w:right="2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理解并同意：本项目由政府投资建设，相关费用的支付按照财政资金支付及国库集中支付等国家、业主单位、发包人相关规定办理。因财政资金安排原因导致费用不能按合同约定时限支付的，不属于发包人及业主单位违约，发包人及业主单位不承担支付延期给承包人造成的各类损失。</w:t>
      </w:r>
    </w:p>
    <w:p w14:paraId="219D7DB3">
      <w:pPr>
        <w:kinsoku/>
        <w:spacing w:before="163" w:line="286" w:lineRule="auto"/>
        <w:ind w:left="57" w:right="2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12.3.3 中期支付涉及政府投资资金的，支付规定如下：</w:t>
      </w:r>
      <w:r>
        <w:rPr>
          <w:rFonts w:hint="eastAsia" w:ascii="宋体" w:hAnsi="宋体" w:cs="宋体"/>
          <w:color w:val="000000" w:themeColor="text1"/>
          <w:sz w:val="24"/>
          <w:highlight w:val="none"/>
          <w:u w:val="single"/>
          <w:lang w:eastAsia="zh-CN"/>
          <w14:textFill>
            <w14:solidFill>
              <w14:schemeClr w14:val="tx1"/>
            </w14:solidFill>
          </w14:textFill>
        </w:rPr>
        <w:t>按当地政府财政相关支付规定执行</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0655396">
      <w:pPr>
        <w:kinsoku/>
        <w:spacing w:before="18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12.4 费用结算</w:t>
      </w:r>
    </w:p>
    <w:p w14:paraId="126D39B1">
      <w:pPr>
        <w:kinsoku/>
        <w:spacing w:before="163" w:line="286" w:lineRule="auto"/>
        <w:ind w:firstLine="540" w:firstLineChars="22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12.4.1 设计费用结算申请的份数和提交期限：</w:t>
      </w:r>
      <w:r>
        <w:rPr>
          <w:rFonts w:ascii="宋体" w:hAnsi="宋体" w:cs="宋体"/>
          <w:color w:val="000000" w:themeColor="text1"/>
          <w:sz w:val="24"/>
          <w:highlight w:val="none"/>
          <w:u w:val="single"/>
          <w:lang w:eastAsia="zh-CN"/>
          <w14:textFill>
            <w14:solidFill>
              <w14:schemeClr w14:val="tx1"/>
            </w14:solidFill>
          </w14:textFill>
        </w:rPr>
        <w:t xml:space="preserve"> 4</w:t>
      </w:r>
      <w:r>
        <w:rPr>
          <w:rFonts w:hint="eastAsia" w:ascii="宋体" w:hAnsi="宋体" w:cs="宋体"/>
          <w:color w:val="000000" w:themeColor="text1"/>
          <w:sz w:val="24"/>
          <w:highlight w:val="none"/>
          <w:u w:val="single"/>
          <w:lang w:eastAsia="zh-CN"/>
          <w14:textFill>
            <w14:solidFill>
              <w14:schemeClr w14:val="tx1"/>
            </w14:solidFill>
          </w14:textFill>
        </w:rPr>
        <w:t>份；交工证书签发后</w:t>
      </w:r>
      <w:r>
        <w:rPr>
          <w:rFonts w:ascii="宋体" w:hAnsi="宋体" w:cs="宋体"/>
          <w:color w:val="000000" w:themeColor="text1"/>
          <w:sz w:val="24"/>
          <w:highlight w:val="none"/>
          <w:u w:val="single"/>
          <w:lang w:eastAsia="zh-CN"/>
          <w14:textFill>
            <w14:solidFill>
              <w14:schemeClr w14:val="tx1"/>
            </w14:solidFill>
          </w14:textFill>
        </w:rPr>
        <w:t>28</w:t>
      </w:r>
      <w:r>
        <w:rPr>
          <w:rFonts w:hint="eastAsia" w:ascii="宋体" w:hAnsi="宋体" w:cs="宋体"/>
          <w:color w:val="000000" w:themeColor="text1"/>
          <w:sz w:val="24"/>
          <w:highlight w:val="none"/>
          <w:u w:val="single"/>
          <w:lang w:eastAsia="zh-CN"/>
          <w14:textFill>
            <w14:solidFill>
              <w14:schemeClr w14:val="tx1"/>
            </w14:solidFill>
          </w14:textFill>
        </w:rPr>
        <w:t>天内</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7057D53">
      <w:pPr>
        <w:kinsoku/>
        <w:spacing w:before="157" w:line="286" w:lineRule="auto"/>
        <w:ind w:left="57" w:right="2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12.4.2 逾期付款违约金：每延期支付1天，发包人应付给设计人拖欠金额的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的违约金。</w:t>
      </w:r>
    </w:p>
    <w:p w14:paraId="5EC388BF">
      <w:pPr>
        <w:kinsoku/>
        <w:spacing w:before="162"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12.5 暂列金额</w:t>
      </w:r>
    </w:p>
    <w:p w14:paraId="58BC05CD">
      <w:pPr>
        <w:kinsoku/>
        <w:spacing w:before="163"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12.5.1 本合同的暂列金额为工程设计费的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0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35B176A4">
      <w:pPr>
        <w:kinsoku/>
        <w:spacing w:before="15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12.6 质量保证金</w:t>
      </w:r>
    </w:p>
    <w:p w14:paraId="79F743E5">
      <w:pPr>
        <w:kinsoku/>
        <w:spacing w:before="146" w:line="286" w:lineRule="auto"/>
        <w:ind w:left="519"/>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本项目的质量保证金为设计费用总额的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16380785">
      <w:pPr>
        <w:kinsoku/>
        <w:spacing w:before="269"/>
        <w:ind w:left="47"/>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14. 违约</w:t>
      </w:r>
    </w:p>
    <w:p w14:paraId="543761E0">
      <w:pPr>
        <w:kinsoku/>
        <w:spacing w:before="78" w:line="276" w:lineRule="auto"/>
        <w:ind w:left="57" w:right="25" w:firstLine="466"/>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14.1.2 设计人发生违约情况时，发包人有权向设计人课以违约金，具体约定如下：</w:t>
      </w:r>
    </w:p>
    <w:p w14:paraId="6BFCEEFF">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a、发生14.1.1（1）、（2）、（4）条的违约情况，计扣设计人签约合同价的5％作违约金。</w:t>
      </w:r>
    </w:p>
    <w:p w14:paraId="397F4627">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b、发生14.1.1（7）、（8）条的违约情况，计扣设计人签约合同价的3％作违约金。</w:t>
      </w:r>
    </w:p>
    <w:p w14:paraId="62516DA7">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c、发生14.1.1（3）、（5）条的违约情况，则每延期15天(不足15天按15天计)，发包人将分别按相应阶段设计签约合同价的2％计扣设计人违约金。延期超过60天时，发包人可以中止合同。</w:t>
      </w:r>
    </w:p>
    <w:p w14:paraId="6CA06657">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d、发生14.1.1（9）-（10）条的违约情况，除由设计人负责继续完善设计外，招标人将扣除设计人该部份的设计费。</w:t>
      </w:r>
    </w:p>
    <w:p w14:paraId="7B5D9F24">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e、发生14.1.1（11）条的违约情况，设计人除应免收受损失部分的设计费外，设计人还应无偿继续完善设计，并承担相当于直接损失部分设计费的赔偿金。</w:t>
      </w:r>
    </w:p>
    <w:p w14:paraId="1B5B0F52">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f、发生14.1.1（12）条的违约情况，根据责任情况，负责赔偿工程损失费，但最高不超过该项目应收设计费总额，并负责采取补救措施，同时，发包人有权报请有关主管部门视事故造成的损失情况给予其他处罚。</w:t>
      </w:r>
    </w:p>
    <w:p w14:paraId="307F8A17">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g、所有违约金在设计人设计费中扣除。</w:t>
      </w:r>
    </w:p>
    <w:p w14:paraId="2B973C9B">
      <w:pPr>
        <w:kinsoku/>
        <w:spacing w:before="78" w:line="276" w:lineRule="auto"/>
        <w:ind w:left="57" w:right="25" w:firstLine="46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h、设计单位在投标文件中承诺的或按合同文件约定的投入本项目的主要设计单位人员发生变化（因不可抗力引起的人员变动除外）的，处罚条款：未经发包人同意，设计单位不得更换投标文件中承诺的项目负责人及分项负责人，若确实无法到位或需替换，或发包人认为已委派的项目负责人及分项负责人的工作能力和业务水平不称职，需经发包人审批后，用同等资质和经历的人员替换，同时须按以下标准向发包人提交违约金：（1）设计单位签约合同价100万元以下（不含100万元）：项目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万元/人次、分项负责人0.</w:t>
      </w:r>
      <w:r>
        <w:rPr>
          <w:rFonts w:hint="eastAsia" w:ascii="宋体" w:hAnsi="宋体" w:eastAsia="宋体" w:cs="宋体"/>
          <w:color w:val="000000" w:themeColor="text1"/>
          <w:sz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highlight w:val="none"/>
          <w:u w:val="single"/>
          <w:lang w:eastAsia="zh-CN"/>
          <w14:textFill>
            <w14:solidFill>
              <w14:schemeClr w14:val="tx1"/>
            </w14:solidFill>
          </w14:textFill>
        </w:rPr>
        <w:t>万元</w:t>
      </w:r>
      <w:r>
        <w:rPr>
          <w:rFonts w:hint="eastAsia" w:ascii="宋体" w:hAnsi="宋体" w:eastAsia="宋体" w:cs="宋体"/>
          <w:color w:val="000000" w:themeColor="text1"/>
          <w:sz w:val="24"/>
          <w:highlight w:val="none"/>
          <w:u w:val="single"/>
          <w:lang w:eastAsia="zh-CN"/>
          <w14:textFill>
            <w14:solidFill>
              <w14:schemeClr w14:val="tx1"/>
            </w14:solidFill>
          </w14:textFill>
        </w:rPr>
        <w:t>/人次的标准计扣设计单位的违约金；（2）设计单位签约合同价100万元-300万元（含100万元，不含300万元）：项目负责人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万元/人次、分项负责人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0.75</w:t>
      </w:r>
      <w:r>
        <w:rPr>
          <w:rFonts w:hint="eastAsia" w:ascii="宋体" w:hAnsi="宋体" w:eastAsia="宋体" w:cs="宋体"/>
          <w:color w:val="000000" w:themeColor="text1"/>
          <w:sz w:val="24"/>
          <w:highlight w:val="none"/>
          <w:u w:val="single"/>
          <w:lang w:eastAsia="zh-CN"/>
          <w14:textFill>
            <w14:solidFill>
              <w14:schemeClr w14:val="tx1"/>
            </w14:solidFill>
          </w14:textFill>
        </w:rPr>
        <w:t>万元</w:t>
      </w:r>
      <w:r>
        <w:rPr>
          <w:rFonts w:hint="eastAsia" w:ascii="宋体" w:hAnsi="宋体" w:eastAsia="宋体" w:cs="宋体"/>
          <w:color w:val="000000" w:themeColor="text1"/>
          <w:sz w:val="24"/>
          <w:highlight w:val="none"/>
          <w:u w:val="single"/>
          <w:lang w:eastAsia="zh-CN"/>
          <w14:textFill>
            <w14:solidFill>
              <w14:schemeClr w14:val="tx1"/>
            </w14:solidFill>
          </w14:textFill>
        </w:rPr>
        <w:t>/人次的标准计扣设计单位的违约金；（3）设计单位签约合同价300万元以上（含300万元）：项目负责人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万元/人次、分项负责人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w:t>
      </w:r>
      <w:r>
        <w:rPr>
          <w:rFonts w:hint="eastAsia" w:ascii="宋体" w:hAnsi="宋体" w:eastAsia="宋体" w:cs="宋体"/>
          <w:color w:val="000000" w:themeColor="text1"/>
          <w:sz w:val="24"/>
          <w:highlight w:val="none"/>
          <w:u w:val="single"/>
          <w:lang w:eastAsia="zh-CN"/>
          <w14:textFill>
            <w14:solidFill>
              <w14:schemeClr w14:val="tx1"/>
            </w14:solidFill>
          </w14:textFill>
        </w:rPr>
        <w:t>的标准计扣设计单位的违约金。</w:t>
      </w:r>
    </w:p>
    <w:p w14:paraId="0F413118">
      <w:pPr>
        <w:kinsoku/>
        <w:spacing w:before="33" w:line="276" w:lineRule="auto"/>
        <w:ind w:left="526"/>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14.2 发包人违约</w:t>
      </w:r>
    </w:p>
    <w:p w14:paraId="4431D388">
      <w:pPr>
        <w:kinsoku/>
        <w:spacing w:before="33" w:line="276" w:lineRule="auto"/>
        <w:ind w:firstLine="540" w:firstLineChars="225"/>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14.2.2 </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发包人发生违约情况时，设计人有权向发包人课以违约金，具体约定如下：</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a、发生14.2.1（1）、（5）条的违约情况，</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发包人应付给设计人拖欠金额的</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 xml:space="preserve"> / </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的违约金。</w:t>
      </w:r>
    </w:p>
    <w:p w14:paraId="2D637E41">
      <w:pPr>
        <w:spacing w:line="276" w:lineRule="auto"/>
        <w:ind w:firstLine="540" w:firstLineChars="225"/>
        <w:rPr>
          <w:rFonts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b、发生 14.2.1（2）、（3）条的违约情况，发包人除应按设计人完成的实际工作量支付费用外，还应按剩余合同价的 / %向设计人支付违约金。</w:t>
      </w:r>
    </w:p>
    <w:p w14:paraId="3207C2E8">
      <w:pPr>
        <w:spacing w:line="276" w:lineRule="auto"/>
        <w:ind w:firstLine="540" w:firstLineChars="22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c、发生14.2.1（4）条的违约情况，发包人应按设计人实际消耗的工作量增付费用；由于发包人要求提前完成设计工作而导致增加的人员和费用，由投标人在投标报价中综合考虑，发包人不额外支付。</w:t>
      </w:r>
    </w:p>
    <w:p w14:paraId="201494E3">
      <w:pPr>
        <w:kinsoku/>
        <w:spacing w:before="134"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15. 争议的解决</w:t>
      </w:r>
    </w:p>
    <w:p w14:paraId="02B87BFC">
      <w:pPr>
        <w:kinsoku/>
        <w:spacing w:before="78"/>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15.1 争议的最终解决方式：</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诉讼 </w:t>
      </w:r>
    </w:p>
    <w:p w14:paraId="5635B246">
      <w:pPr>
        <w:kinsoku/>
        <w:spacing w:before="193"/>
        <w:ind w:left="1061" w:right="1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如采用仲裁，仲裁机构名称：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仲裁委员会。</w:t>
      </w:r>
    </w:p>
    <w:p w14:paraId="39B1094F">
      <w:pPr>
        <w:kinsoku/>
        <w:spacing w:before="193"/>
        <w:ind w:left="1061" w:right="1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如采用诉讼，诉讼机构名称：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项目所在地的地级市以上人民法院</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7F91737">
      <w:pPr>
        <w:kinsoku/>
        <w:rPr>
          <w:rFonts w:ascii="宋体" w:hAnsi="宋体" w:eastAsia="宋体" w:cs="宋体"/>
          <w:color w:val="000000" w:themeColor="text1"/>
          <w:sz w:val="24"/>
          <w:szCs w:val="24"/>
          <w:highlight w:val="none"/>
          <w:lang w:eastAsia="zh-CN"/>
          <w14:textFill>
            <w14:solidFill>
              <w14:schemeClr w14:val="tx1"/>
            </w14:solidFill>
          </w14:textFill>
        </w:rPr>
        <w:sectPr>
          <w:headerReference r:id="rId32" w:type="default"/>
          <w:footerReference r:id="rId33" w:type="default"/>
          <w:pgSz w:w="11907" w:h="16841"/>
          <w:pgMar w:top="1173" w:right="1555" w:bottom="1254" w:left="1615" w:header="862" w:footer="1093" w:gutter="0"/>
          <w:cols w:space="720" w:num="1"/>
        </w:sectPr>
      </w:pPr>
    </w:p>
    <w:p w14:paraId="45F94DF5">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EA0803F">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2D51C770">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EE0F0E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85B1E49">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A80597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6B37492">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C6D17C6">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F7F2E38">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4C1295EF">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0DF2E2E">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68FC9440">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20D4CDE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D56DAA1">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DEB007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61B8896">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9D8CD6E">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6E42FAD">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DD9FD69">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8D29912">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7942D28">
      <w:pPr>
        <w:kinsoku/>
        <w:spacing w:before="100" w:line="224" w:lineRule="auto"/>
        <w:ind w:left="2780"/>
        <w:outlineLvl w:val="1"/>
        <w:rPr>
          <w:rFonts w:ascii="宋体" w:hAnsi="宋体" w:eastAsia="宋体" w:cs="宋体"/>
          <w:color w:val="000000" w:themeColor="text1"/>
          <w:sz w:val="31"/>
          <w:szCs w:val="31"/>
          <w:highlight w:val="none"/>
          <w:lang w:eastAsia="zh-CN"/>
          <w14:textFill>
            <w14:solidFill>
              <w14:schemeClr w14:val="tx1"/>
            </w14:solidFill>
          </w14:textFill>
        </w:rPr>
      </w:pPr>
      <w:bookmarkStart w:id="431" w:name="bookmark250"/>
      <w:bookmarkEnd w:id="431"/>
      <w:bookmarkStart w:id="432" w:name="bookmark251"/>
      <w:bookmarkEnd w:id="432"/>
      <w:bookmarkStart w:id="433" w:name="_Toc12898"/>
      <w:bookmarkStart w:id="434" w:name="_Toc11566"/>
      <w:r>
        <w:rPr>
          <w:rFonts w:hint="eastAsia" w:ascii="宋体" w:hAnsi="宋体" w:eastAsia="宋体" w:cs="宋体"/>
          <w:color w:val="000000" w:themeColor="text1"/>
          <w:sz w:val="31"/>
          <w:szCs w:val="31"/>
          <w:highlight w:val="none"/>
          <w:lang w:eastAsia="zh-CN"/>
          <w14:textFill>
            <w14:solidFill>
              <w14:schemeClr w14:val="tx1"/>
            </w14:solidFill>
          </w14:textFill>
        </w:rPr>
        <w:t>第三节 合同附件格式</w:t>
      </w:r>
      <w:bookmarkEnd w:id="433"/>
      <w:bookmarkEnd w:id="434"/>
    </w:p>
    <w:p w14:paraId="4BC5B50C">
      <w:pPr>
        <w:kinsoku/>
        <w:spacing w:line="224" w:lineRule="auto"/>
        <w:rPr>
          <w:rFonts w:ascii="宋体" w:hAnsi="宋体" w:eastAsia="宋体" w:cs="宋体"/>
          <w:color w:val="000000" w:themeColor="text1"/>
          <w:sz w:val="31"/>
          <w:szCs w:val="31"/>
          <w:highlight w:val="none"/>
          <w:lang w:eastAsia="zh-CN"/>
          <w14:textFill>
            <w14:solidFill>
              <w14:schemeClr w14:val="tx1"/>
            </w14:solidFill>
          </w14:textFill>
        </w:rPr>
        <w:sectPr>
          <w:footerReference r:id="rId34" w:type="default"/>
          <w:pgSz w:w="11907" w:h="16841"/>
          <w:pgMar w:top="1173" w:right="1555" w:bottom="1254" w:left="1615" w:header="862" w:footer="1093" w:gutter="0"/>
          <w:cols w:space="720" w:num="1"/>
        </w:sectPr>
      </w:pPr>
    </w:p>
    <w:p w14:paraId="59D0838A">
      <w:pPr>
        <w:kinsoku/>
        <w:spacing w:before="78" w:line="219" w:lineRule="auto"/>
        <w:ind w:left="51"/>
        <w:rPr>
          <w:rFonts w:ascii="宋体" w:hAnsi="宋体" w:eastAsia="宋体" w:cs="宋体"/>
          <w:color w:val="000000" w:themeColor="text1"/>
          <w:sz w:val="24"/>
          <w:szCs w:val="24"/>
          <w:highlight w:val="none"/>
          <w:lang w:eastAsia="zh-CN"/>
          <w14:textFill>
            <w14:solidFill>
              <w14:schemeClr w14:val="tx1"/>
            </w14:solidFill>
          </w14:textFill>
        </w:rPr>
      </w:pPr>
      <w:bookmarkStart w:id="435" w:name="bookmark252"/>
      <w:bookmarkEnd w:id="435"/>
      <w:r>
        <w:rPr>
          <w:rFonts w:hint="eastAsia" w:ascii="宋体" w:hAnsi="宋体" w:eastAsia="宋体" w:cs="宋体"/>
          <w:color w:val="000000" w:themeColor="text1"/>
          <w:sz w:val="24"/>
          <w:szCs w:val="24"/>
          <w:highlight w:val="none"/>
          <w:lang w:eastAsia="zh-CN"/>
          <w14:textFill>
            <w14:solidFill>
              <w14:schemeClr w14:val="tx1"/>
            </w14:solidFill>
          </w14:textFill>
        </w:rPr>
        <w:t>附件一 合同协议书</w:t>
      </w:r>
    </w:p>
    <w:p w14:paraId="1290D602">
      <w:pPr>
        <w:kinsoku/>
        <w:spacing w:before="103" w:line="219" w:lineRule="auto"/>
        <w:ind w:left="3398"/>
        <w:rPr>
          <w:rFonts w:ascii="宋体" w:hAnsi="宋体" w:eastAsia="宋体" w:cs="宋体"/>
          <w:color w:val="000000" w:themeColor="text1"/>
          <w:sz w:val="28"/>
          <w:szCs w:val="28"/>
          <w:highlight w:val="none"/>
          <w:lang w:eastAsia="zh-CN"/>
          <w14:textFill>
            <w14:solidFill>
              <w14:schemeClr w14:val="tx1"/>
            </w14:solidFill>
          </w14:textFill>
        </w:rPr>
      </w:pPr>
      <w:bookmarkStart w:id="436" w:name="bookmark253"/>
      <w:bookmarkEnd w:id="436"/>
      <w:r>
        <w:rPr>
          <w:rFonts w:hint="eastAsia" w:ascii="宋体" w:hAnsi="宋体" w:eastAsia="宋体" w:cs="宋体"/>
          <w:color w:val="000000" w:themeColor="text1"/>
          <w:sz w:val="28"/>
          <w:szCs w:val="28"/>
          <w:highlight w:val="none"/>
          <w:lang w:eastAsia="zh-CN"/>
          <w14:textFill>
            <w14:solidFill>
              <w14:schemeClr w14:val="tx1"/>
            </w14:solidFill>
          </w14:textFill>
        </w:rPr>
        <w:t>合同协议书</w:t>
      </w:r>
    </w:p>
    <w:p w14:paraId="671C7E1E">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6B14B0AD">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DD61F02">
      <w:pPr>
        <w:tabs>
          <w:tab w:val="left" w:pos="1708"/>
        </w:tabs>
        <w:kinsoku/>
        <w:spacing w:before="78" w:line="329" w:lineRule="auto"/>
        <w:ind w:left="39" w:right="28" w:firstLine="46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（发包人名称，以下简称“发包人”）为实施（项目名称），已接受（设计人名称，以下简称“设计人”）对该项目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标段设计的投标。发包人和设计人共同达成如下协议。</w:t>
      </w:r>
    </w:p>
    <w:p w14:paraId="43AFD274">
      <w:pPr>
        <w:kinsoku/>
        <w:spacing w:before="37" w:line="303" w:lineRule="auto"/>
        <w:ind w:left="38" w:right="42" w:firstLine="63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标段由K</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至K</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，长约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km，公路等级为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，设计速度为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路面，有</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立交</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处；特大桥</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座，计长</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m；大中 桥</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座，计长</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m；隧道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座，计长</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m 以及其他构造物工程等。</w:t>
      </w:r>
    </w:p>
    <w:p w14:paraId="3326A026">
      <w:pPr>
        <w:kinsoku/>
        <w:spacing w:before="137" w:line="220" w:lineRule="auto"/>
        <w:ind w:left="6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2.下列文件应视为构成合同文件的组成部分：</w:t>
      </w:r>
    </w:p>
    <w:p w14:paraId="148BEB65">
      <w:pPr>
        <w:kinsoku/>
        <w:spacing w:before="153" w:line="299" w:lineRule="auto"/>
        <w:ind w:left="37" w:right="66" w:firstLine="6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（1）本合同协议书及各种合同附件（含评标期间和合同谈判过程中的澄清文件和补充资料；设计人提交的经发包人审核通过的设计详细工作大纲及进度计划、专题研究详细工作大纲等）；</w:t>
      </w:r>
    </w:p>
    <w:p w14:paraId="72DD4645">
      <w:pPr>
        <w:kinsoku/>
        <w:spacing w:before="155" w:line="219"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（2）中标通知书；</w:t>
      </w:r>
    </w:p>
    <w:p w14:paraId="66B17CA2">
      <w:pPr>
        <w:kinsoku/>
        <w:spacing w:before="155"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（3）投标函；</w:t>
      </w:r>
    </w:p>
    <w:p w14:paraId="7E3284F7">
      <w:pPr>
        <w:kinsoku/>
        <w:spacing w:before="155"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（4）专用合同条款；</w:t>
      </w:r>
    </w:p>
    <w:p w14:paraId="5F524C40">
      <w:pPr>
        <w:kinsoku/>
        <w:spacing w:before="153"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（5）通用合同条款；</w:t>
      </w:r>
    </w:p>
    <w:p w14:paraId="4DD56C7A">
      <w:pPr>
        <w:kinsoku/>
        <w:spacing w:before="154"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（6）发包人要求；</w:t>
      </w:r>
    </w:p>
    <w:p w14:paraId="2A4EAA41">
      <w:pPr>
        <w:kinsoku/>
        <w:spacing w:before="155"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（7）设计费用清单；</w:t>
      </w:r>
    </w:p>
    <w:p w14:paraId="6F406366">
      <w:pPr>
        <w:kinsoku/>
        <w:spacing w:before="153"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（8）设计人有关人员投入的承诺；</w:t>
      </w:r>
    </w:p>
    <w:p w14:paraId="2974B4E5">
      <w:pPr>
        <w:kinsoku/>
        <w:spacing w:before="153"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（9）其他合同文件。</w:t>
      </w:r>
    </w:p>
    <w:p w14:paraId="05685D65">
      <w:pPr>
        <w:kinsoku/>
        <w:spacing w:before="156" w:line="325" w:lineRule="auto"/>
        <w:ind w:left="65" w:right="127" w:firstLine="59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上述合同文件互相补充和解释。如果合同文件之间存在矛盾或不一致之处，以上述文件的排列顺序在先者为准。</w:t>
      </w:r>
    </w:p>
    <w:p w14:paraId="546E71FC">
      <w:pPr>
        <w:kinsoku/>
        <w:spacing w:before="35" w:line="218" w:lineRule="auto"/>
        <w:ind w:left="65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3.签约合同价：人民币（大写）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元(¥</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3784F9C7">
      <w:pPr>
        <w:kinsoku/>
        <w:spacing w:before="157" w:line="220" w:lineRule="auto"/>
        <w:ind w:left="6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4.项目负责人：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20AF4B8">
      <w:pPr>
        <w:kinsoku/>
        <w:spacing w:before="154" w:line="325" w:lineRule="auto"/>
        <w:ind w:left="39" w:right="67"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5.设计工作质量符合的标准和要求：</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；安全目标：</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ABB7699">
      <w:pPr>
        <w:kinsoku/>
        <w:spacing w:before="37" w:line="280" w:lineRule="auto"/>
        <w:ind w:left="38" w:right="62"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6.设计人承诺按合同约定承担工程的设计工作，包括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0573F8B">
      <w:pPr>
        <w:kinsoku/>
        <w:spacing w:before="150" w:line="218" w:lineRule="auto"/>
        <w:ind w:left="65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7.发包人承诺按合同约定的条件、时间和方式向设计人支付合同价款。</w:t>
      </w:r>
    </w:p>
    <w:p w14:paraId="57D9ACCB">
      <w:pPr>
        <w:kinsoku/>
        <w:spacing w:before="154" w:line="325" w:lineRule="auto"/>
        <w:ind w:left="39" w:right="67"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8.设计人计划开始设计日期：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，实际日期按照发包人在开始设计通知中载明的开始设计日期为准。设计服务期限为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天。</w:t>
      </w:r>
    </w:p>
    <w:p w14:paraId="7E9318BE">
      <w:pPr>
        <w:kinsoku/>
        <w:spacing w:before="154" w:line="325" w:lineRule="auto"/>
        <w:ind w:left="39" w:right="67"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9.本协议书在设计人提供履约保证金后，由双方法定代表人或其委托代理人签署并加盖单位章后生效。设计人完成全部设计工作且设计费用结清后失效。</w:t>
      </w:r>
    </w:p>
    <w:p w14:paraId="50FA2183">
      <w:pPr>
        <w:kinsoku/>
        <w:spacing w:before="153" w:line="278" w:lineRule="auto"/>
        <w:ind w:left="53" w:firstLine="6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10.本协议书正本二份、副本____份，合同双方各执正本一份，副本____份，当正本与副本的内容不一致时，以正本为准。</w:t>
      </w:r>
    </w:p>
    <w:p w14:paraId="521F8DAA">
      <w:pPr>
        <w:kinsoku/>
        <w:spacing w:before="156" w:line="220" w:lineRule="auto"/>
        <w:ind w:left="6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11.合同未尽事宜，双方另行签订补充协议。补充协议是合同的组成部分。</w:t>
      </w:r>
    </w:p>
    <w:p w14:paraId="1E2BD1A8">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3AD76FB3">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4E52F98A">
      <w:pPr>
        <w:kinsoku/>
        <w:spacing w:before="79" w:line="219"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设计人：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460354F3">
      <w:pPr>
        <w:kinsoku/>
        <w:spacing w:before="156" w:line="220" w:lineRule="auto"/>
        <w:ind w:left="3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 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1CDEFC4B">
      <w:pPr>
        <w:tabs>
          <w:tab w:val="left" w:pos="1468"/>
        </w:tabs>
        <w:kinsoku/>
        <w:spacing w:before="153" w:line="220" w:lineRule="auto"/>
        <w:ind w:left="388"/>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日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日</w:t>
      </w:r>
    </w:p>
    <w:p w14:paraId="422FACD7">
      <w:pPr>
        <w:kinsoku/>
        <w:spacing w:line="220" w:lineRule="auto"/>
        <w:rPr>
          <w:rFonts w:ascii="宋体" w:hAnsi="宋体" w:eastAsia="宋体" w:cs="宋体"/>
          <w:color w:val="000000" w:themeColor="text1"/>
          <w:sz w:val="24"/>
          <w:szCs w:val="24"/>
          <w:highlight w:val="none"/>
          <w14:textFill>
            <w14:solidFill>
              <w14:schemeClr w14:val="tx1"/>
            </w14:solidFill>
          </w14:textFill>
        </w:rPr>
        <w:sectPr>
          <w:headerReference r:id="rId35" w:type="default"/>
          <w:footerReference r:id="rId36" w:type="default"/>
          <w:pgSz w:w="11907" w:h="16841"/>
          <w:pgMar w:top="1173" w:right="1517" w:bottom="1254" w:left="1615" w:header="862" w:footer="1093" w:gutter="0"/>
          <w:cols w:space="720" w:num="1"/>
        </w:sectPr>
      </w:pPr>
    </w:p>
    <w:p w14:paraId="4FAA1DBC">
      <w:pPr>
        <w:kinsoku/>
        <w:spacing w:before="78" w:line="220" w:lineRule="auto"/>
        <w:ind w:left="51"/>
        <w:rPr>
          <w:rFonts w:ascii="宋体" w:hAnsi="宋体" w:eastAsia="宋体" w:cs="宋体"/>
          <w:color w:val="000000" w:themeColor="text1"/>
          <w:sz w:val="24"/>
          <w:szCs w:val="24"/>
          <w:highlight w:val="none"/>
          <w:lang w:eastAsia="zh-CN"/>
          <w14:textFill>
            <w14:solidFill>
              <w14:schemeClr w14:val="tx1"/>
            </w14:solidFill>
          </w14:textFill>
        </w:rPr>
      </w:pPr>
      <w:bookmarkStart w:id="437" w:name="bookmark254"/>
      <w:bookmarkEnd w:id="437"/>
      <w:r>
        <w:rPr>
          <w:rFonts w:hint="eastAsia" w:ascii="宋体" w:hAnsi="宋体" w:eastAsia="宋体" w:cs="宋体"/>
          <w:color w:val="000000" w:themeColor="text1"/>
          <w:sz w:val="24"/>
          <w:szCs w:val="24"/>
          <w:highlight w:val="none"/>
          <w14:textFill>
            <w14:solidFill>
              <w14:schemeClr w14:val="tx1"/>
            </w14:solidFill>
          </w14:textFill>
        </w:rPr>
        <w:t>附件二 廉政合同</w:t>
      </w:r>
    </w:p>
    <w:p w14:paraId="0849BB5F">
      <w:pPr>
        <w:kinsoku/>
        <w:spacing w:before="100" w:line="221" w:lineRule="auto"/>
        <w:ind w:left="3605"/>
        <w:rPr>
          <w:rFonts w:ascii="宋体" w:hAnsi="宋体" w:eastAsia="宋体" w:cs="宋体"/>
          <w:color w:val="000000" w:themeColor="text1"/>
          <w:sz w:val="28"/>
          <w:szCs w:val="28"/>
          <w:highlight w:val="none"/>
          <w:lang w:eastAsia="zh-CN"/>
          <w14:textFill>
            <w14:solidFill>
              <w14:schemeClr w14:val="tx1"/>
            </w14:solidFill>
          </w14:textFill>
        </w:rPr>
      </w:pPr>
      <w:bookmarkStart w:id="438" w:name="bookmark255"/>
      <w:bookmarkEnd w:id="438"/>
      <w:r>
        <w:rPr>
          <w:rFonts w:hint="eastAsia" w:ascii="宋体" w:hAnsi="宋体" w:eastAsia="宋体" w:cs="宋体"/>
          <w:color w:val="000000" w:themeColor="text1"/>
          <w:sz w:val="28"/>
          <w:szCs w:val="28"/>
          <w:highlight w:val="none"/>
          <w:lang w:eastAsia="zh-CN"/>
          <w14:textFill>
            <w14:solidFill>
              <w14:schemeClr w14:val="tx1"/>
            </w14:solidFill>
          </w14:textFill>
        </w:rPr>
        <w:t>廉政合同</w:t>
      </w:r>
    </w:p>
    <w:p w14:paraId="03EE2A84">
      <w:pPr>
        <w:kinsoku/>
        <w:spacing w:line="432" w:lineRule="auto"/>
        <w:rPr>
          <w:rFonts w:ascii="宋体" w:hAnsi="宋体" w:eastAsia="宋体" w:cs="宋体"/>
          <w:color w:val="000000" w:themeColor="text1"/>
          <w:highlight w:val="none"/>
          <w:lang w:eastAsia="zh-CN"/>
          <w14:textFill>
            <w14:solidFill>
              <w14:schemeClr w14:val="tx1"/>
            </w14:solidFill>
          </w14:textFill>
        </w:rPr>
      </w:pPr>
    </w:p>
    <w:p w14:paraId="33D9D851">
      <w:pPr>
        <w:kinsoku/>
        <w:spacing w:before="78" w:line="304" w:lineRule="auto"/>
        <w:ind w:left="39" w:right="26" w:firstLine="61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（项目名称）的项目法人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（项目法人名称，以下简称“发包人”）与该项目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标段的设计单位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（设计单位名称，以下简称“设计人”），特订立如下合同。</w:t>
      </w:r>
    </w:p>
    <w:p w14:paraId="2E20F447">
      <w:pPr>
        <w:kinsoku/>
        <w:spacing w:before="32" w:line="218" w:lineRule="auto"/>
        <w:ind w:left="6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1.发包人和设计人双方的权利和义务</w:t>
      </w:r>
    </w:p>
    <w:p w14:paraId="22B89C6B">
      <w:pPr>
        <w:kinsoku/>
        <w:spacing w:before="117"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（1）严格遵守党的政策规定和国家有关法律法规及交通运输部的有关规定。</w:t>
      </w:r>
    </w:p>
    <w:p w14:paraId="3F23B215">
      <w:pPr>
        <w:kinsoku/>
        <w:spacing w:before="113" w:line="264" w:lineRule="auto"/>
        <w:ind w:left="39" w:right="42" w:firstLine="62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（2）严格执行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标段设计合同文件，自觉按合同办事。</w:t>
      </w:r>
    </w:p>
    <w:p w14:paraId="4F244E42">
      <w:pPr>
        <w:kinsoku/>
        <w:spacing w:before="115" w:line="278" w:lineRule="auto"/>
        <w:ind w:left="37" w:right="31" w:firstLine="6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（3）双方的业务活动坚持公开、公正、诚信、透明的原则（法律认定的商业秘密和合同文件另有规定除外），不得损害国家和集体利益，不得违反工程建设管理规章制度。</w:t>
      </w:r>
    </w:p>
    <w:p w14:paraId="7FDBFF8B">
      <w:pPr>
        <w:kinsoku/>
        <w:spacing w:before="116" w:line="263" w:lineRule="auto"/>
        <w:ind w:left="39" w:right="90" w:firstLine="62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（4）建立健全廉政制度，开展廉政教育，设立廉政告示牌，公布举报电话，监督并认真查处违法违纪行为。</w:t>
      </w:r>
    </w:p>
    <w:p w14:paraId="4A65C74E">
      <w:pPr>
        <w:kinsoku/>
        <w:spacing w:before="115" w:line="264" w:lineRule="auto"/>
        <w:ind w:left="37" w:right="36" w:firstLine="6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（5）发现对方在业务活动中有违反廉政规定的行为，有及时提醒对方纠正的权利和义务。</w:t>
      </w:r>
    </w:p>
    <w:p w14:paraId="7FC6F72D">
      <w:pPr>
        <w:kinsoku/>
        <w:spacing w:before="114" w:line="263" w:lineRule="auto"/>
        <w:ind w:left="41" w:right="71" w:firstLine="6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（6）发现对方严重违反本合同义务条款的行为，有向其上级有关部门举报、建议给予处理并要求告知处理结果的权利。</w:t>
      </w:r>
    </w:p>
    <w:p w14:paraId="09818504">
      <w:pPr>
        <w:kinsoku/>
        <w:spacing w:before="117" w:line="218" w:lineRule="auto"/>
        <w:ind w:left="6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2.发包人的义务</w:t>
      </w:r>
    </w:p>
    <w:p w14:paraId="0C559DB6">
      <w:pPr>
        <w:kinsoku/>
        <w:spacing w:before="116" w:line="264" w:lineRule="auto"/>
        <w:ind w:left="57" w:right="35" w:firstLine="60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（1）发包人及其工作人员不得索要或接受设计人的礼金、有价证券和贵重物品，不得让设计人报销任何应由发包人或发包人工作人员个人支付的费用等。</w:t>
      </w:r>
    </w:p>
    <w:p w14:paraId="40633B25">
      <w:pPr>
        <w:kinsoku/>
        <w:spacing w:before="114" w:line="263" w:lineRule="auto"/>
        <w:ind w:left="42" w:right="45" w:firstLine="6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（2）发包人工作人员不得参加设计人安排的超标准宴请和娱乐活动；不得接受设计人提供的通信工具、交通工具和高档办公用品等。</w:t>
      </w:r>
    </w:p>
    <w:p w14:paraId="2E2F92F3">
      <w:pPr>
        <w:kinsoku/>
        <w:spacing w:before="115" w:line="264" w:lineRule="auto"/>
        <w:ind w:left="41" w:right="36" w:firstLine="6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（3）发包人及其工作人员不得要求或者接受设计人为其住房装修、婚丧嫁娶活动、配偶子女的工作安排以及出国出境、旅游等提供方便等。</w:t>
      </w:r>
    </w:p>
    <w:p w14:paraId="0772C82F">
      <w:pPr>
        <w:kinsoku/>
        <w:spacing w:before="113" w:line="279" w:lineRule="auto"/>
        <w:ind w:left="38" w:right="34" w:firstLine="6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（4）发包人工作人员及其配偶、子女、亲属不得从事与本设计合同有关的设计业务等活动。不得以任何理由要求设计人和相关单位在设计中使用某种产品、材料和设备。</w:t>
      </w:r>
    </w:p>
    <w:p w14:paraId="0E7EB9F4">
      <w:pPr>
        <w:kinsoku/>
        <w:spacing w:before="112" w:line="264" w:lineRule="auto"/>
        <w:ind w:left="40" w:right="36" w:firstLine="6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（5）发包人工作人员要秉公办事，不准营私舞弊，不准利用职权从事各种个人有偿中介活动和安排个人设计队伍。</w:t>
      </w:r>
    </w:p>
    <w:p w14:paraId="4ED7475D">
      <w:pPr>
        <w:kinsoku/>
        <w:spacing w:before="78" w:line="218" w:lineRule="auto"/>
        <w:ind w:left="65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3.设计人的义务</w:t>
      </w:r>
    </w:p>
    <w:p w14:paraId="4C3595A7">
      <w:pPr>
        <w:kinsoku/>
        <w:spacing w:before="114" w:line="264" w:lineRule="auto"/>
        <w:ind w:left="37" w:right="101" w:firstLine="6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（1）设计人不得以任何理由向发包人及其工作人员行贿或馈赠礼金、有价证券、贵重礼品。</w:t>
      </w:r>
    </w:p>
    <w:p w14:paraId="0EA017A3">
      <w:pPr>
        <w:kinsoku/>
        <w:spacing w:before="115" w:line="263" w:lineRule="auto"/>
        <w:ind w:left="40" w:right="91" w:firstLine="62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（2）设计人不得以任何名义为发包人及其工作人员报销应由发包人单位或个人支付的任何费用。</w:t>
      </w:r>
    </w:p>
    <w:p w14:paraId="356F4C37">
      <w:pPr>
        <w:kinsoku/>
        <w:spacing w:before="114" w:line="220" w:lineRule="auto"/>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（3）设计人不得以任何理由安排发包人工作人员参加超标准宴请及娱乐活动。</w:t>
      </w:r>
    </w:p>
    <w:p w14:paraId="4C10B52D">
      <w:pPr>
        <w:kinsoku/>
        <w:spacing w:before="116" w:line="263" w:lineRule="auto"/>
        <w:ind w:left="42" w:right="91" w:firstLine="6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（4）设计人不得为发包人单位和个人购置或提供通信工具、交通工具和高档办公用品等。</w:t>
      </w:r>
    </w:p>
    <w:p w14:paraId="06E1912E">
      <w:pPr>
        <w:kinsoku/>
        <w:spacing w:before="116" w:line="218" w:lineRule="auto"/>
        <w:ind w:left="6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4.违约责任</w:t>
      </w:r>
    </w:p>
    <w:p w14:paraId="0791B754">
      <w:pPr>
        <w:kinsoku/>
        <w:spacing w:before="117" w:line="278" w:lineRule="auto"/>
        <w:ind w:left="39" w:right="86" w:firstLine="62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（1）发包人及其工作人员违反本合同第1、2条，按管理权限，依据有关规定给予党纪、政纪或组织处理；涉嫌犯罪的，移交司法机关追究刑事责任；给设计人单位造成经济损失的，应予以赔偿。</w:t>
      </w:r>
    </w:p>
    <w:p w14:paraId="6F589CB8">
      <w:pPr>
        <w:kinsoku/>
        <w:spacing w:before="114" w:line="286" w:lineRule="auto"/>
        <w:ind w:left="39" w:right="86" w:firstLine="62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及其工作人员违反本合同第1、3条，按管理权限，依据有关规定给予党纪、政纪或组织处理；给发包人单位造成经济损失的，应予以赔偿；情节严重的，发包人建议交通运输主管部门给予设计人一至三年内不得进入其主管的公路建设市场的处罚。</w:t>
      </w:r>
    </w:p>
    <w:p w14:paraId="6B8E5E66">
      <w:pPr>
        <w:kinsoku/>
        <w:spacing w:before="115" w:line="278" w:lineRule="auto"/>
        <w:ind w:left="41" w:right="88" w:firstLine="6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双方约定：本合同由双方或双方上级单位的纪检监察部门负责监督执行。由发包人或发包人上级单位的纪检监察部门约请设计人或设计人上级单位纪检监察部门对本合同执行情况进行检查，提出在本合同规定范围内的裁定意见。</w:t>
      </w:r>
    </w:p>
    <w:p w14:paraId="0DFAC535">
      <w:pPr>
        <w:kinsoku/>
        <w:spacing w:before="114" w:line="219" w:lineRule="auto"/>
        <w:ind w:left="65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6.本合同有效期为合同双方签署之日起至设计合同失效日止。</w:t>
      </w:r>
    </w:p>
    <w:p w14:paraId="61C720DA">
      <w:pPr>
        <w:kinsoku/>
        <w:spacing w:before="116" w:line="264" w:lineRule="auto"/>
        <w:ind w:left="41" w:right="83" w:firstLine="61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7.本合同作为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标段设计合同的附件，与设计合同具有同等的法律效力，经合同双方签署后立即生效。</w:t>
      </w:r>
    </w:p>
    <w:p w14:paraId="60B0F832">
      <w:pPr>
        <w:kinsoku/>
        <w:spacing w:before="113" w:line="264" w:lineRule="auto"/>
        <w:ind w:left="42" w:right="87"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8.本合同一式四份，由发包人和设计人各执一份，送交发包人和设计人的监督单位各一份。</w:t>
      </w:r>
    </w:p>
    <w:p w14:paraId="5117B644">
      <w:pPr>
        <w:kinsoku/>
        <w:spacing w:line="456" w:lineRule="auto"/>
        <w:rPr>
          <w:rFonts w:ascii="宋体" w:hAnsi="宋体" w:eastAsia="宋体" w:cs="宋体"/>
          <w:color w:val="000000" w:themeColor="text1"/>
          <w:highlight w:val="none"/>
          <w:lang w:eastAsia="zh-CN"/>
          <w14:textFill>
            <w14:solidFill>
              <w14:schemeClr w14:val="tx1"/>
            </w14:solidFill>
          </w14:textFill>
        </w:rPr>
      </w:pPr>
    </w:p>
    <w:p w14:paraId="49E3764D">
      <w:pPr>
        <w:kinsoku/>
        <w:spacing w:before="79" w:line="219"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设计人：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596604AA">
      <w:pPr>
        <w:kinsoku/>
        <w:spacing w:before="157" w:line="220" w:lineRule="auto"/>
        <w:ind w:left="3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 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7450C57E">
      <w:pPr>
        <w:tabs>
          <w:tab w:val="left" w:pos="990"/>
        </w:tabs>
        <w:kinsoku/>
        <w:spacing w:before="153" w:line="22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593E42A7">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A55B909">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5D6531EF">
      <w:pPr>
        <w:kinsoku/>
        <w:spacing w:before="78" w:line="219" w:lineRule="auto"/>
        <w:ind w:left="41" w:right="-248" w:rightChars="-1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发包人监督单位：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（全称）（盖单位章）</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设计人监督单位：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（全称）（盖单位章）</w:t>
      </w:r>
    </w:p>
    <w:p w14:paraId="441759FC">
      <w:pPr>
        <w:kinsoku/>
        <w:spacing w:line="219" w:lineRule="auto"/>
        <w:rPr>
          <w:rFonts w:ascii="宋体" w:hAnsi="宋体" w:eastAsia="宋体" w:cs="宋体"/>
          <w:color w:val="000000" w:themeColor="text1"/>
          <w:sz w:val="24"/>
          <w:szCs w:val="24"/>
          <w:highlight w:val="none"/>
          <w:lang w:eastAsia="zh-CN"/>
          <w14:textFill>
            <w14:solidFill>
              <w14:schemeClr w14:val="tx1"/>
            </w14:solidFill>
          </w14:textFill>
        </w:rPr>
        <w:sectPr>
          <w:headerReference r:id="rId37" w:type="default"/>
          <w:footerReference r:id="rId38" w:type="default"/>
          <w:pgSz w:w="11907" w:h="16841"/>
          <w:pgMar w:top="1173" w:right="1252" w:bottom="1254" w:left="1615" w:header="862" w:footer="1093" w:gutter="0"/>
          <w:cols w:space="720" w:num="1"/>
        </w:sectPr>
      </w:pPr>
    </w:p>
    <w:p w14:paraId="0D65730F">
      <w:pPr>
        <w:kinsoku/>
        <w:spacing w:before="78" w:line="224"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439" w:name="bookmark257"/>
      <w:bookmarkEnd w:id="439"/>
      <w:bookmarkStart w:id="440" w:name="bookmark256"/>
      <w:bookmarkEnd w:id="440"/>
      <w:r>
        <w:rPr>
          <w:rFonts w:hint="eastAsia" w:ascii="宋体" w:hAnsi="宋体" w:eastAsia="宋体" w:cs="宋体"/>
          <w:color w:val="000000" w:themeColor="text1"/>
          <w:sz w:val="24"/>
          <w:szCs w:val="24"/>
          <w:highlight w:val="none"/>
          <w:lang w:eastAsia="zh-CN"/>
          <w14:textFill>
            <w14:solidFill>
              <w14:schemeClr w14:val="tx1"/>
            </w14:solidFill>
          </w14:textFill>
        </w:rPr>
        <w:t>附件三 安全生产合同</w:t>
      </w:r>
    </w:p>
    <w:p w14:paraId="48970354">
      <w:pPr>
        <w:kinsoku/>
        <w:spacing w:before="78" w:line="224" w:lineRule="auto"/>
        <w:ind w:left="135"/>
        <w:jc w:val="center"/>
        <w:rPr>
          <w:rFonts w:ascii="宋体" w:hAnsi="宋体" w:eastAsia="宋体" w:cs="宋体"/>
          <w:color w:val="000000" w:themeColor="text1"/>
          <w:sz w:val="28"/>
          <w:szCs w:val="28"/>
          <w:highlight w:val="none"/>
          <w:lang w:eastAsia="zh-CN"/>
          <w14:textFill>
            <w14:solidFill>
              <w14:schemeClr w14:val="tx1"/>
            </w14:solidFill>
          </w14:textFill>
        </w:rPr>
      </w:pPr>
      <w:r>
        <w:rPr>
          <w:rFonts w:ascii="宋体" w:hAnsi="宋体" w:eastAsia="宋体" w:cs="宋体"/>
          <w:color w:val="000000" w:themeColor="text1"/>
          <w:sz w:val="28"/>
          <w:szCs w:val="28"/>
          <w:highlight w:val="none"/>
          <w:lang w:eastAsia="zh-CN"/>
          <w14:textFill>
            <w14:solidFill>
              <w14:schemeClr w14:val="tx1"/>
            </w14:solidFill>
          </w14:textFill>
        </w:rPr>
        <w:t>安全生产合同</w:t>
      </w:r>
    </w:p>
    <w:p w14:paraId="3BCD28B2">
      <w:pPr>
        <w:kinsoku/>
        <w:spacing w:before="78" w:line="224" w:lineRule="auto"/>
        <w:ind w:left="135"/>
        <w:jc w:val="center"/>
        <w:rPr>
          <w:rFonts w:ascii="宋体" w:hAnsi="宋体" w:eastAsia="宋体" w:cs="宋体"/>
          <w:color w:val="000000" w:themeColor="text1"/>
          <w:sz w:val="28"/>
          <w:szCs w:val="28"/>
          <w:highlight w:val="none"/>
          <w:lang w:eastAsia="zh-CN"/>
          <w14:textFill>
            <w14:solidFill>
              <w14:schemeClr w14:val="tx1"/>
            </w14:solidFill>
          </w14:textFill>
        </w:rPr>
      </w:pPr>
    </w:p>
    <w:p w14:paraId="6DFD712F">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根据</w:t>
      </w:r>
      <w:r>
        <w:rPr>
          <w:rFonts w:hint="eastAsia" w:ascii="宋体" w:hAnsi="宋体" w:eastAsia="宋体" w:cs="宋体"/>
          <w:color w:val="000000" w:themeColor="text1"/>
          <w:sz w:val="24"/>
          <w:szCs w:val="24"/>
          <w:highlight w:val="none"/>
          <w:lang w:eastAsia="zh-CN"/>
          <w14:textFill>
            <w14:solidFill>
              <w14:schemeClr w14:val="tx1"/>
            </w14:solidFill>
          </w14:textFill>
        </w:rPr>
        <w:t>《中华人民共和国民法典》、</w:t>
      </w:r>
      <w:r>
        <w:rPr>
          <w:rFonts w:ascii="宋体" w:hAnsi="宋体" w:eastAsia="宋体" w:cs="宋体"/>
          <w:color w:val="000000" w:themeColor="text1"/>
          <w:sz w:val="24"/>
          <w:szCs w:val="24"/>
          <w:highlight w:val="none"/>
          <w:lang w:eastAsia="zh-CN"/>
          <w14:textFill>
            <w14:solidFill>
              <w14:schemeClr w14:val="tx1"/>
            </w14:solidFill>
          </w14:textFill>
        </w:rPr>
        <w:t>《中华人民共和国安全生产法》</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ascii="宋体" w:hAnsi="宋体" w:eastAsia="宋体" w:cs="宋体"/>
          <w:color w:val="000000" w:themeColor="text1"/>
          <w:sz w:val="24"/>
          <w:szCs w:val="24"/>
          <w:highlight w:val="none"/>
          <w:lang w:eastAsia="zh-CN"/>
          <w14:textFill>
            <w14:solidFill>
              <w14:schemeClr w14:val="tx1"/>
            </w14:solidFill>
          </w14:textFill>
        </w:rPr>
        <w:t>国务院《建设工程安全生产管理条例》</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ascii="宋体" w:hAnsi="宋体" w:eastAsia="宋体" w:cs="宋体"/>
          <w:color w:val="000000" w:themeColor="text1"/>
          <w:sz w:val="24"/>
          <w:szCs w:val="24"/>
          <w:highlight w:val="none"/>
          <w:lang w:eastAsia="zh-CN"/>
          <w14:textFill>
            <w14:solidFill>
              <w14:schemeClr w14:val="tx1"/>
            </w14:solidFill>
          </w14:textFill>
        </w:rPr>
        <w:t>交通运输部《公路水运工程安全生产监督管理办法》</w:t>
      </w:r>
      <w:r>
        <w:rPr>
          <w:rFonts w:hint="eastAsia" w:ascii="宋体" w:hAnsi="宋体" w:eastAsia="宋体" w:cs="宋体"/>
          <w:color w:val="000000" w:themeColor="text1"/>
          <w:sz w:val="24"/>
          <w:szCs w:val="24"/>
          <w:highlight w:val="none"/>
          <w:lang w:eastAsia="zh-CN"/>
          <w14:textFill>
            <w14:solidFill>
              <w14:schemeClr w14:val="tx1"/>
            </w14:solidFill>
          </w14:textFill>
        </w:rPr>
        <w:t>、《建设工程勘察设计合同》</w:t>
      </w:r>
      <w:r>
        <w:rPr>
          <w:rFonts w:ascii="宋体" w:hAnsi="宋体" w:eastAsia="宋体" w:cs="宋体"/>
          <w:color w:val="000000" w:themeColor="text1"/>
          <w:sz w:val="24"/>
          <w:szCs w:val="24"/>
          <w:highlight w:val="none"/>
          <w:lang w:eastAsia="zh-CN"/>
          <w14:textFill>
            <w14:solidFill>
              <w14:schemeClr w14:val="tx1"/>
            </w14:solidFill>
          </w14:textFill>
        </w:rPr>
        <w:t>有关规定，为切实做好</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14:textFill>
            <w14:solidFill>
              <w14:schemeClr w14:val="tx1"/>
            </w14:solidFill>
          </w14:textFill>
        </w:rPr>
        <w:t>标类（或标段）</w:t>
      </w:r>
      <w:r>
        <w:rPr>
          <w:rFonts w:ascii="宋体" w:hAnsi="宋体" w:eastAsia="宋体" w:cs="宋体"/>
          <w:color w:val="000000" w:themeColor="text1"/>
          <w:sz w:val="24"/>
          <w:szCs w:val="24"/>
          <w:highlight w:val="none"/>
          <w:lang w:eastAsia="zh-CN"/>
          <w14:textFill>
            <w14:solidFill>
              <w14:schemeClr w14:val="tx1"/>
            </w14:solidFill>
          </w14:textFill>
        </w:rPr>
        <w:t>工程安全生产管理工作，明确项目参建各方的安全生产责任，促进实现工程项目安全管理目标，建设单位全称（以下简称“发包人”）与</w:t>
      </w:r>
      <w:r>
        <w:rPr>
          <w:rFonts w:hint="eastAsia" w:ascii="宋体" w:hAnsi="宋体" w:eastAsia="宋体" w:cs="宋体"/>
          <w:color w:val="000000" w:themeColor="text1"/>
          <w:sz w:val="24"/>
          <w:szCs w:val="24"/>
          <w:highlight w:val="none"/>
          <w:lang w:eastAsia="zh-CN"/>
          <w14:textFill>
            <w14:solidFill>
              <w14:schemeClr w14:val="tx1"/>
            </w14:solidFill>
          </w14:textFill>
        </w:rPr>
        <w:t>设计</w:t>
      </w:r>
      <w:r>
        <w:rPr>
          <w:rFonts w:ascii="宋体" w:hAnsi="宋体" w:eastAsia="宋体" w:cs="宋体"/>
          <w:color w:val="000000" w:themeColor="text1"/>
          <w:sz w:val="24"/>
          <w:szCs w:val="24"/>
          <w:highlight w:val="none"/>
          <w:lang w:eastAsia="zh-CN"/>
          <w14:textFill>
            <w14:solidFill>
              <w14:schemeClr w14:val="tx1"/>
            </w14:solidFill>
          </w14:textFill>
        </w:rPr>
        <w:t>单位全称（以下简称“</w:t>
      </w:r>
      <w:r>
        <w:rPr>
          <w:rFonts w:hint="eastAsia" w:ascii="宋体" w:hAnsi="宋体" w:eastAsia="宋体" w:cs="宋体"/>
          <w:color w:val="000000" w:themeColor="text1"/>
          <w:sz w:val="24"/>
          <w:szCs w:val="24"/>
          <w:highlight w:val="none"/>
          <w:lang w:eastAsia="zh-CN"/>
          <w14:textFill>
            <w14:solidFill>
              <w14:schemeClr w14:val="tx1"/>
            </w14:solidFill>
          </w14:textFill>
        </w:rPr>
        <w:t>设计</w:t>
      </w:r>
      <w:r>
        <w:rPr>
          <w:rFonts w:ascii="宋体" w:hAnsi="宋体" w:eastAsia="宋体" w:cs="宋体"/>
          <w:color w:val="000000" w:themeColor="text1"/>
          <w:sz w:val="24"/>
          <w:szCs w:val="24"/>
          <w:highlight w:val="none"/>
          <w:lang w:eastAsia="zh-CN"/>
          <w14:textFill>
            <w14:solidFill>
              <w14:schemeClr w14:val="tx1"/>
            </w14:solidFill>
          </w14:textFill>
        </w:rPr>
        <w:t>人”）特此签订安全生产合同：</w:t>
      </w:r>
    </w:p>
    <w:p w14:paraId="36311E4B">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1.发包人职责</w:t>
      </w:r>
    </w:p>
    <w:p w14:paraId="63A67625">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ascii="宋体" w:hAnsi="宋体" w:eastAsia="宋体" w:cs="宋体"/>
          <w:color w:val="000000" w:themeColor="text1"/>
          <w:sz w:val="24"/>
          <w:szCs w:val="24"/>
          <w:highlight w:val="none"/>
          <w:lang w:eastAsia="zh-CN"/>
          <w14:textFill>
            <w14:solidFill>
              <w14:schemeClr w14:val="tx1"/>
            </w14:solidFill>
          </w14:textFill>
        </w:rPr>
        <w:t>)按照有关规定对</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的安全生产条件、安全生产信用情况、安全生产管理体系及保障措施等提出明确要求。</w:t>
      </w:r>
    </w:p>
    <w:p w14:paraId="408A8928">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ascii="宋体" w:hAnsi="宋体" w:eastAsia="宋体" w:cs="宋体"/>
          <w:color w:val="000000" w:themeColor="text1"/>
          <w:sz w:val="24"/>
          <w:szCs w:val="24"/>
          <w:highlight w:val="none"/>
          <w:lang w:eastAsia="zh-CN"/>
          <w14:textFill>
            <w14:solidFill>
              <w14:schemeClr w14:val="tx1"/>
            </w14:solidFill>
          </w14:textFill>
        </w:rPr>
        <w:t>)按照法律法规及合同文件约定督促</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落实安全生产责任，对</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的安全生产工作统一协调、管理，定期进行安全检查，发现安全问题的，应当及时督促整改。</w:t>
      </w:r>
    </w:p>
    <w:p w14:paraId="64B1FE6A">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职责</w:t>
      </w:r>
    </w:p>
    <w:p w14:paraId="2337E328">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(1)编制工程项目概算时，应确定保障建设工程安全作业环境及安全施工措施所需的安全生产费用，并不低于国家规定的标准。</w:t>
      </w:r>
    </w:p>
    <w:p w14:paraId="79AB6F34">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ascii="宋体" w:hAnsi="宋体" w:eastAsia="宋体" w:cs="宋体"/>
          <w:color w:val="000000" w:themeColor="text1"/>
          <w:sz w:val="24"/>
          <w:szCs w:val="24"/>
          <w:highlight w:val="none"/>
          <w:lang w:eastAsia="zh-CN"/>
          <w14:textFill>
            <w14:solidFill>
              <w14:schemeClr w14:val="tx1"/>
            </w14:solidFill>
          </w14:textFill>
        </w:rPr>
        <w:t>)严格执行安全生产有关法律法规、规章及标准规范，落实合同以及其他有关安全生产方面的规定和要求。</w:t>
      </w:r>
    </w:p>
    <w:p w14:paraId="435A0CF5">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ascii="宋体" w:hAnsi="宋体" w:eastAsia="宋体" w:cs="宋体"/>
          <w:color w:val="000000" w:themeColor="text1"/>
          <w:sz w:val="24"/>
          <w:szCs w:val="24"/>
          <w:highlight w:val="none"/>
          <w:lang w:eastAsia="zh-CN"/>
          <w14:textFill>
            <w14:solidFill>
              <w14:schemeClr w14:val="tx1"/>
            </w14:solidFill>
          </w14:textFill>
        </w:rPr>
        <w:t>)应具备相应的安全生产条件，对安全生产负主体责任，主要负责人依法对项目安全生产工作全面负责。</w:t>
      </w:r>
    </w:p>
    <w:p w14:paraId="446E9414">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ascii="宋体" w:hAnsi="宋体" w:eastAsia="宋体" w:cs="宋体"/>
          <w:color w:val="000000" w:themeColor="text1"/>
          <w:sz w:val="24"/>
          <w:szCs w:val="24"/>
          <w:highlight w:val="none"/>
          <w:lang w:eastAsia="zh-CN"/>
          <w14:textFill>
            <w14:solidFill>
              <w14:schemeClr w14:val="tx1"/>
            </w14:solidFill>
          </w14:textFill>
        </w:rPr>
        <w:t>)坚持国家安全生产方针、政策及原则，建立健全并落实项目安全生产管理制度、责任、组织机构等管理体系。</w:t>
      </w:r>
    </w:p>
    <w:p w14:paraId="2F23AA20">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ascii="宋体" w:hAnsi="宋体" w:eastAsia="宋体" w:cs="宋体"/>
          <w:color w:val="000000" w:themeColor="text1"/>
          <w:sz w:val="24"/>
          <w:szCs w:val="24"/>
          <w:highlight w:val="none"/>
          <w:lang w:eastAsia="zh-CN"/>
          <w14:textFill>
            <w14:solidFill>
              <w14:schemeClr w14:val="tx1"/>
            </w14:solidFill>
          </w14:textFill>
        </w:rPr>
        <w:t>)及时、如实报告生产安全事故。发生事故时，应立即组织抢救，并积极配合事故调查处理。</w:t>
      </w:r>
    </w:p>
    <w:p w14:paraId="0CF37F30">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ascii="宋体" w:hAnsi="宋体" w:eastAsia="宋体" w:cs="宋体"/>
          <w:color w:val="000000" w:themeColor="text1"/>
          <w:sz w:val="24"/>
          <w:szCs w:val="24"/>
          <w:highlight w:val="none"/>
          <w:lang w:eastAsia="zh-CN"/>
          <w14:textFill>
            <w14:solidFill>
              <w14:schemeClr w14:val="tx1"/>
            </w14:solidFill>
          </w14:textFill>
        </w:rPr>
        <w:t>)安全生产法律法规、政策等规定的其他职责。</w:t>
      </w:r>
    </w:p>
    <w:p w14:paraId="08AABCE2">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3.违约责任如因发包人或</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违约造成安全事故，将依法追究责任。</w:t>
      </w:r>
    </w:p>
    <w:p w14:paraId="16FBAB49">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4.本合同由双方法定代表人或其授权的代理人签署并加盖单位章后生效，全部工程竣工验收后失效。</w:t>
      </w:r>
    </w:p>
    <w:p w14:paraId="154E7AF2">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5.本合同正本二份、副本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份，合同双方各执正本一份，副本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份，当正本与副本的内容不一致时，以正本为准。</w:t>
      </w:r>
    </w:p>
    <w:p w14:paraId="362940E6">
      <w:pPr>
        <w:kinsoku/>
        <w:spacing w:before="78" w:line="360" w:lineRule="auto"/>
        <w:rPr>
          <w:rFonts w:ascii="宋体" w:hAnsi="宋体" w:eastAsia="宋体" w:cs="宋体"/>
          <w:color w:val="000000" w:themeColor="text1"/>
          <w:sz w:val="24"/>
          <w:szCs w:val="24"/>
          <w:highlight w:val="none"/>
          <w:lang w:eastAsia="zh-CN"/>
          <w14:textFill>
            <w14:solidFill>
              <w14:schemeClr w14:val="tx1"/>
            </w14:solidFill>
          </w14:textFill>
        </w:rPr>
      </w:pPr>
    </w:p>
    <w:p w14:paraId="7BF9E315">
      <w:pPr>
        <w:kinsoku/>
        <w:spacing w:before="78" w:line="36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发包人：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w:t>
      </w: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(盖单位章)</w:t>
      </w:r>
    </w:p>
    <w:p w14:paraId="4E22FD16">
      <w:pPr>
        <w:kinsoku/>
        <w:spacing w:before="78" w:line="36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 xml:space="preserve">(签字)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(签字)</w:t>
      </w:r>
    </w:p>
    <w:p w14:paraId="535EAC34">
      <w:pPr>
        <w:kinsoku/>
        <w:spacing w:before="78" w:line="360" w:lineRule="auto"/>
        <w:ind w:firstLine="960" w:firstLineChars="4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 xml:space="preserve">年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 xml:space="preserve">月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 xml:space="preserve">日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日</w:t>
      </w:r>
    </w:p>
    <w:p w14:paraId="5712459F">
      <w:pPr>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724F9C34">
      <w:pPr>
        <w:kinsoku/>
        <w:spacing w:before="78" w:line="224" w:lineRule="auto"/>
        <w:ind w:left="135"/>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附件四 分项负责人最低要求</w:t>
      </w:r>
    </w:p>
    <w:p w14:paraId="0954EF56">
      <w:pPr>
        <w:kinsoku/>
        <w:spacing w:before="151"/>
        <w:rPr>
          <w:rFonts w:ascii="宋体" w:hAnsi="宋体" w:eastAsia="宋体" w:cs="宋体"/>
          <w:color w:val="000000" w:themeColor="text1"/>
          <w:highlight w:val="none"/>
          <w:lang w:eastAsia="zh-CN"/>
          <w14:textFill>
            <w14:solidFill>
              <w14:schemeClr w14:val="tx1"/>
            </w14:solidFill>
          </w14:textFill>
        </w:rPr>
      </w:pPr>
    </w:p>
    <w:tbl>
      <w:tblPr>
        <w:tblStyle w:val="26"/>
        <w:tblW w:w="8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2"/>
        <w:gridCol w:w="2159"/>
        <w:gridCol w:w="4287"/>
      </w:tblGrid>
      <w:tr w14:paraId="33BF7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2452" w:type="dxa"/>
            <w:vAlign w:val="center"/>
          </w:tcPr>
          <w:p w14:paraId="07E1091B">
            <w:pPr>
              <w:kinsoku/>
              <w:spacing w:before="78" w:line="221"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人员</w:t>
            </w:r>
          </w:p>
        </w:tc>
        <w:tc>
          <w:tcPr>
            <w:tcW w:w="2159" w:type="dxa"/>
            <w:vAlign w:val="center"/>
          </w:tcPr>
          <w:p w14:paraId="11732118">
            <w:pPr>
              <w:kinsoku/>
              <w:spacing w:before="78" w:line="220"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数量</w:t>
            </w:r>
          </w:p>
        </w:tc>
        <w:tc>
          <w:tcPr>
            <w:tcW w:w="4287" w:type="dxa"/>
            <w:vAlign w:val="center"/>
          </w:tcPr>
          <w:p w14:paraId="5FA7FCAD">
            <w:pPr>
              <w:kinsoku/>
              <w:spacing w:before="78" w:line="220"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资格要求</w:t>
            </w:r>
          </w:p>
        </w:tc>
      </w:tr>
      <w:tr w14:paraId="79F4A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52" w:type="dxa"/>
            <w:vAlign w:val="center"/>
          </w:tcPr>
          <w:p w14:paraId="7BADF487">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0B476468">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34589CFA">
            <w:pPr>
              <w:rPr>
                <w:rFonts w:ascii="宋体" w:hAnsi="宋体" w:eastAsia="宋体" w:cs="宋体"/>
                <w:color w:val="000000" w:themeColor="text1"/>
                <w:highlight w:val="none"/>
                <w:lang w:eastAsia="zh-CN"/>
                <w14:textFill>
                  <w14:solidFill>
                    <w14:schemeClr w14:val="tx1"/>
                  </w14:solidFill>
                </w14:textFill>
              </w:rPr>
            </w:pPr>
          </w:p>
        </w:tc>
      </w:tr>
      <w:tr w14:paraId="5DB1C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center"/>
          </w:tcPr>
          <w:p w14:paraId="10C3FEFC">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209A5441">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328CFB58">
            <w:pPr>
              <w:rPr>
                <w:rFonts w:ascii="宋体" w:hAnsi="宋体" w:eastAsia="宋体" w:cs="宋体"/>
                <w:color w:val="000000" w:themeColor="text1"/>
                <w:highlight w:val="none"/>
                <w:lang w:eastAsia="zh-CN"/>
                <w14:textFill>
                  <w14:solidFill>
                    <w14:schemeClr w14:val="tx1"/>
                  </w14:solidFill>
                </w14:textFill>
              </w:rPr>
            </w:pPr>
          </w:p>
        </w:tc>
      </w:tr>
      <w:tr w14:paraId="32BE1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center"/>
          </w:tcPr>
          <w:p w14:paraId="1A673FB7">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20D4F871">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51FC7EB4">
            <w:pPr>
              <w:rPr>
                <w:rFonts w:ascii="宋体" w:hAnsi="宋体" w:eastAsia="宋体" w:cs="宋体"/>
                <w:color w:val="000000" w:themeColor="text1"/>
                <w:highlight w:val="none"/>
                <w:lang w:eastAsia="zh-CN"/>
                <w14:textFill>
                  <w14:solidFill>
                    <w14:schemeClr w14:val="tx1"/>
                  </w14:solidFill>
                </w14:textFill>
              </w:rPr>
            </w:pPr>
          </w:p>
        </w:tc>
      </w:tr>
      <w:tr w14:paraId="09EBF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center"/>
          </w:tcPr>
          <w:p w14:paraId="6519F3C5">
            <w:pPr>
              <w:jc w:val="center"/>
              <w:rPr>
                <w:rFonts w:ascii="宋体" w:hAnsi="宋体" w:eastAsia="宋体" w:cs="宋体"/>
                <w:color w:val="000000" w:themeColor="text1"/>
                <w:highlight w:val="none"/>
                <w:lang w:eastAsia="zh-CN"/>
                <w14:textFill>
                  <w14:solidFill>
                    <w14:schemeClr w14:val="tx1"/>
                  </w14:solidFill>
                </w14:textFill>
              </w:rPr>
            </w:pPr>
          </w:p>
        </w:tc>
        <w:tc>
          <w:tcPr>
            <w:tcW w:w="2159" w:type="dxa"/>
            <w:vAlign w:val="center"/>
          </w:tcPr>
          <w:p w14:paraId="0CD5C2E4">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6F1674B8">
            <w:pPr>
              <w:rPr>
                <w:rFonts w:ascii="宋体" w:hAnsi="宋体" w:eastAsia="宋体" w:cs="宋体"/>
                <w:color w:val="000000" w:themeColor="text1"/>
                <w:highlight w:val="none"/>
                <w:lang w:eastAsia="zh-CN"/>
                <w14:textFill>
                  <w14:solidFill>
                    <w14:schemeClr w14:val="tx1"/>
                  </w14:solidFill>
                </w14:textFill>
              </w:rPr>
            </w:pPr>
          </w:p>
        </w:tc>
      </w:tr>
      <w:tr w14:paraId="6C789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center"/>
          </w:tcPr>
          <w:p w14:paraId="35E64BEF">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144176A7">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1053BB5A">
            <w:pPr>
              <w:rPr>
                <w:rFonts w:ascii="宋体" w:hAnsi="宋体" w:eastAsia="宋体" w:cs="宋体"/>
                <w:color w:val="000000" w:themeColor="text1"/>
                <w:highlight w:val="none"/>
                <w:lang w:eastAsia="zh-CN"/>
                <w14:textFill>
                  <w14:solidFill>
                    <w14:schemeClr w14:val="tx1"/>
                  </w14:solidFill>
                </w14:textFill>
              </w:rPr>
            </w:pPr>
          </w:p>
        </w:tc>
      </w:tr>
      <w:tr w14:paraId="7227C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center"/>
          </w:tcPr>
          <w:p w14:paraId="79575847">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6E494C1F">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0B81B6E0">
            <w:pPr>
              <w:rPr>
                <w:rFonts w:ascii="宋体" w:hAnsi="宋体" w:eastAsia="宋体" w:cs="宋体"/>
                <w:color w:val="000000" w:themeColor="text1"/>
                <w:highlight w:val="none"/>
                <w:lang w:eastAsia="zh-CN"/>
                <w14:textFill>
                  <w14:solidFill>
                    <w14:schemeClr w14:val="tx1"/>
                  </w14:solidFill>
                </w14:textFill>
              </w:rPr>
            </w:pPr>
          </w:p>
        </w:tc>
      </w:tr>
      <w:tr w14:paraId="3B9D0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52" w:type="dxa"/>
            <w:vAlign w:val="center"/>
          </w:tcPr>
          <w:p w14:paraId="70189721">
            <w:pPr>
              <w:jc w:val="center"/>
              <w:rPr>
                <w:rFonts w:ascii="宋体" w:hAnsi="宋体" w:eastAsia="宋体" w:cs="宋体"/>
                <w:color w:val="000000" w:themeColor="text1"/>
                <w:highlight w:val="none"/>
                <w:lang w:eastAsia="zh-CN"/>
                <w14:textFill>
                  <w14:solidFill>
                    <w14:schemeClr w14:val="tx1"/>
                  </w14:solidFill>
                </w14:textFill>
              </w:rPr>
            </w:pPr>
          </w:p>
        </w:tc>
        <w:tc>
          <w:tcPr>
            <w:tcW w:w="2159" w:type="dxa"/>
            <w:vAlign w:val="center"/>
          </w:tcPr>
          <w:p w14:paraId="57152BB1">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795CF1E1">
            <w:pPr>
              <w:rPr>
                <w:rFonts w:ascii="宋体" w:hAnsi="宋体" w:eastAsia="宋体" w:cs="宋体"/>
                <w:color w:val="000000" w:themeColor="text1"/>
                <w:highlight w:val="none"/>
                <w:lang w:eastAsia="zh-CN"/>
                <w14:textFill>
                  <w14:solidFill>
                    <w14:schemeClr w14:val="tx1"/>
                  </w14:solidFill>
                </w14:textFill>
              </w:rPr>
            </w:pPr>
          </w:p>
        </w:tc>
      </w:tr>
    </w:tbl>
    <w:p w14:paraId="26D7A721">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1F7063AD">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0512715C">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0D1BB666">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61FB51B1">
      <w:pPr>
        <w:kinsoku/>
        <w:spacing w:line="438" w:lineRule="auto"/>
        <w:rPr>
          <w:rFonts w:ascii="宋体" w:hAnsi="宋体" w:eastAsia="宋体" w:cs="宋体"/>
          <w:color w:val="000000" w:themeColor="text1"/>
          <w:highlight w:val="none"/>
          <w:lang w:eastAsia="zh-CN"/>
          <w14:textFill>
            <w14:solidFill>
              <w14:schemeClr w14:val="tx1"/>
            </w14:solidFill>
          </w14:textFill>
        </w:rPr>
      </w:pPr>
    </w:p>
    <w:p w14:paraId="028F6962">
      <w:pPr>
        <w:kinsoku/>
        <w:rPr>
          <w:rFonts w:ascii="宋体" w:hAnsi="宋体" w:eastAsia="宋体" w:cs="宋体"/>
          <w:b/>
          <w:bCs/>
          <w:color w:val="000000" w:themeColor="text1"/>
          <w:sz w:val="24"/>
          <w:szCs w:val="24"/>
          <w:highlight w:val="none"/>
          <w:lang w:eastAsia="zh-CN"/>
          <w14:textFill>
            <w14:solidFill>
              <w14:schemeClr w14:val="tx1"/>
            </w14:solidFill>
          </w14:textFill>
        </w:rPr>
      </w:pPr>
      <w:bookmarkStart w:id="441" w:name="bookmark259"/>
      <w:bookmarkEnd w:id="441"/>
      <w:bookmarkStart w:id="442" w:name="bookmark258"/>
      <w:bookmarkEnd w:id="442"/>
      <w:r>
        <w:rPr>
          <w:rFonts w:hint="eastAsia" w:ascii="宋体" w:hAnsi="宋体" w:eastAsia="宋体" w:cs="宋体"/>
          <w:b/>
          <w:bCs/>
          <w:color w:val="000000" w:themeColor="text1"/>
          <w:sz w:val="24"/>
          <w:szCs w:val="24"/>
          <w:highlight w:val="none"/>
          <w:lang w:eastAsia="zh-CN"/>
          <w14:textFill>
            <w14:solidFill>
              <w14:schemeClr w14:val="tx1"/>
            </w14:solidFill>
          </w14:textFill>
        </w:rPr>
        <w:br w:type="page"/>
      </w:r>
    </w:p>
    <w:p w14:paraId="38D7116D">
      <w:pPr>
        <w:kinsoku/>
        <w:spacing w:before="78" w:line="219" w:lineRule="auto"/>
        <w:ind w:left="5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附件五 履约保证金格式</w:t>
      </w:r>
    </w:p>
    <w:p w14:paraId="34B26DEE">
      <w:pPr>
        <w:kinsoku/>
        <w:spacing w:before="113" w:line="219"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如采用银行保函，格式如下。</w:t>
      </w:r>
    </w:p>
    <w:p w14:paraId="5705F7F3">
      <w:pPr>
        <w:kinsoku/>
        <w:spacing w:line="374" w:lineRule="auto"/>
        <w:rPr>
          <w:rFonts w:ascii="宋体" w:hAnsi="宋体" w:eastAsia="宋体" w:cs="宋体"/>
          <w:color w:val="000000" w:themeColor="text1"/>
          <w:highlight w:val="none"/>
          <w:lang w:eastAsia="zh-CN"/>
          <w14:textFill>
            <w14:solidFill>
              <w14:schemeClr w14:val="tx1"/>
            </w14:solidFill>
          </w14:textFill>
        </w:rPr>
      </w:pPr>
    </w:p>
    <w:p w14:paraId="5C93F48A">
      <w:pPr>
        <w:tabs>
          <w:tab w:val="left" w:pos="2368"/>
          <w:tab w:val="left" w:pos="6300"/>
        </w:tabs>
        <w:kinsoku/>
        <w:spacing w:before="91" w:line="549" w:lineRule="auto"/>
        <w:ind w:right="-83"/>
        <w:jc w:val="center"/>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履约保证金</w:t>
      </w:r>
    </w:p>
    <w:p w14:paraId="5BA8D53F">
      <w:pPr>
        <w:tabs>
          <w:tab w:val="left" w:pos="2368"/>
          <w:tab w:val="left" w:pos="6300"/>
        </w:tabs>
        <w:kinsoku/>
        <w:spacing w:before="91" w:line="549" w:lineRule="auto"/>
        <w:ind w:right="37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（发包人名称）：</w:t>
      </w:r>
    </w:p>
    <w:p w14:paraId="79A6B713">
      <w:pPr>
        <w:kinsoku/>
        <w:spacing w:before="101" w:line="301" w:lineRule="auto"/>
        <w:ind w:left="38" w:right="101" w:firstLine="60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鉴于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（发包人名称， 以下简称“发包人”）接受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（设 计人名称，以下简称“设计人”）于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日参加</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（项目名称）标段设计的投标。我方愿意无条件地、不可撤销地就设计人履行与你方订立的合同，向你方提供担保。</w:t>
      </w:r>
    </w:p>
    <w:p w14:paraId="7A658FC7">
      <w:pPr>
        <w:kinsoku/>
        <w:spacing w:before="35"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1.担保金额人民币（大写）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元(¥</w:t>
      </w:r>
      <w:r>
        <w:rPr>
          <w:rFonts w:hint="eastAsia" w:ascii="宋体" w:hAnsi="宋体" w:eastAsia="宋体" w:cs="宋体"/>
          <w:color w:val="000000" w:themeColor="text1"/>
          <w:sz w:val="24"/>
          <w:szCs w:val="24"/>
          <w:highlight w:val="none"/>
          <w:lang w:eastAsia="zh-CN"/>
          <w14:textFill>
            <w14:solidFill>
              <w14:schemeClr w14:val="tx1"/>
            </w14:solidFill>
          </w14:textFill>
        </w:rPr>
        <w:drawing>
          <wp:inline distT="0" distB="0" distL="0" distR="0">
            <wp:extent cx="948055" cy="69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0" cstate="print"/>
                    <a:stretch>
                      <a:fillRect/>
                    </a:stretch>
                  </pic:blipFill>
                  <pic:spPr>
                    <a:xfrm>
                      <a:off x="0" y="0"/>
                      <a:ext cx="948537" cy="7619"/>
                    </a:xfrm>
                    <a:prstGeom prst="rect">
                      <a:avLst/>
                    </a:prstGeom>
                  </pic:spPr>
                </pic:pic>
              </a:graphicData>
            </a:graphic>
          </wp:inline>
        </w:drawing>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844B57B">
      <w:pPr>
        <w:kinsoku/>
        <w:spacing w:before="115" w:line="260" w:lineRule="auto"/>
        <w:ind w:left="37" w:right="101" w:firstLine="476"/>
        <w:rPr>
          <w:rFonts w:ascii="宋体" w:hAnsi="宋体" w:eastAsia="宋体" w:cs="宋体"/>
          <w:color w:val="000000" w:themeColor="text1"/>
          <w:sz w:val="13"/>
          <w:szCs w:val="13"/>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2.担保有效期自发包人与设计人签订的合同生效之日起至发包人签收最后一批设计成果文件且设计人按照合同约定缴纳质量保证金之日止。</w:t>
      </w:r>
    </w:p>
    <w:p w14:paraId="30F40D9A">
      <w:pPr>
        <w:kinsoku/>
        <w:spacing w:before="115" w:line="263" w:lineRule="auto"/>
        <w:ind w:left="57" w:right="102" w:firstLine="46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3.在本担保有效期内，如果设计人不履行合同约定的义务或其履行不符合合同的约定，我方在收到你方以书面形式提出的在担保金额内的赔偿要求后，在7日内无条件支付，无须你方出具证明或陈述理由。</w:t>
      </w:r>
    </w:p>
    <w:p w14:paraId="203DC4FF">
      <w:pPr>
        <w:kinsoku/>
        <w:spacing w:before="117" w:line="293" w:lineRule="auto"/>
        <w:ind w:left="43" w:right="102" w:firstLine="46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4.发包人和设计人变更合同时，无论我方是否收到该变更，我方承担本担保规定的义务不变。</w:t>
      </w:r>
    </w:p>
    <w:p w14:paraId="0ACCD5B7">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23B511B4">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E28159F">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3B940E6E">
      <w:pPr>
        <w:kinsoku/>
        <w:spacing w:before="79" w:line="303" w:lineRule="auto"/>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担 保 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631A119">
      <w:pPr>
        <w:kinsoku/>
        <w:spacing w:before="79" w:line="303" w:lineRule="auto"/>
        <w:ind w:left="3480" w:leftChars="165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21CAB276">
      <w:pPr>
        <w:kinsoku/>
        <w:spacing w:before="79" w:line="303" w:lineRule="auto"/>
        <w:ind w:left="3480" w:leftChars="165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地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4644F05">
      <w:pPr>
        <w:kinsoku/>
        <w:spacing w:before="20" w:line="296" w:lineRule="auto"/>
        <w:ind w:left="3480" w:leftChars="1657" w:right="2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邮政编码：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电    话：</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510E629">
      <w:pPr>
        <w:tabs>
          <w:tab w:val="left" w:pos="6425"/>
        </w:tabs>
        <w:kinsoku/>
        <w:spacing w:before="32" w:line="293" w:lineRule="auto"/>
        <w:ind w:left="3480" w:leftChars="1657" w:right="101"/>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传    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5D2962C7">
      <w:pPr>
        <w:tabs>
          <w:tab w:val="left" w:pos="6425"/>
        </w:tabs>
        <w:kinsoku/>
        <w:spacing w:before="32" w:line="293" w:lineRule="auto"/>
        <w:ind w:left="3480" w:leftChars="1657" w:right="10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6BC7553C">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2778571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4ECF28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6EB79C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33A7BAC">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637AD5F">
      <w:pPr>
        <w:kinsoku/>
        <w:rPr>
          <w:rFonts w:ascii="宋体" w:hAnsi="宋体" w:eastAsia="宋体" w:cs="宋体"/>
          <w:color w:val="000000" w:themeColor="text1"/>
          <w:highlight w:val="none"/>
          <w:lang w:eastAsia="zh-CN"/>
          <w14:textFill>
            <w14:solidFill>
              <w14:schemeClr w14:val="tx1"/>
            </w14:solidFill>
          </w14:textFill>
        </w:rPr>
      </w:pPr>
    </w:p>
    <w:p w14:paraId="64866F00">
      <w:pPr>
        <w:kinsoku/>
        <w:rPr>
          <w:rFonts w:ascii="宋体" w:hAnsi="宋体" w:eastAsia="宋体" w:cs="宋体"/>
          <w:color w:val="000000" w:themeColor="text1"/>
          <w:highlight w:val="none"/>
          <w:lang w:eastAsia="zh-CN"/>
          <w14:textFill>
            <w14:solidFill>
              <w14:schemeClr w14:val="tx1"/>
            </w14:solidFill>
          </w14:textFill>
        </w:rPr>
      </w:pPr>
    </w:p>
    <w:p w14:paraId="6A98D661">
      <w:pPr>
        <w:kinsoku/>
        <w:rPr>
          <w:rFonts w:ascii="宋体" w:hAnsi="宋体" w:eastAsia="宋体" w:cs="宋体"/>
          <w:color w:val="000000" w:themeColor="text1"/>
          <w:highlight w:val="none"/>
          <w:lang w:eastAsia="zh-CN"/>
          <w14:textFill>
            <w14:solidFill>
              <w14:schemeClr w14:val="tx1"/>
            </w14:solidFill>
          </w14:textFill>
        </w:rPr>
      </w:pPr>
    </w:p>
    <w:p w14:paraId="32902F9A">
      <w:pPr>
        <w:kinsoku/>
        <w:rPr>
          <w:rFonts w:ascii="宋体" w:hAnsi="宋体" w:eastAsia="宋体" w:cs="宋体"/>
          <w:color w:val="000000" w:themeColor="text1"/>
          <w:highlight w:val="none"/>
          <w:lang w:eastAsia="zh-CN"/>
          <w14:textFill>
            <w14:solidFill>
              <w14:schemeClr w14:val="tx1"/>
            </w14:solidFill>
          </w14:textFill>
        </w:rPr>
      </w:pPr>
    </w:p>
    <w:p w14:paraId="4B8D6605">
      <w:pPr>
        <w:kinsoku/>
        <w:rPr>
          <w:rFonts w:ascii="宋体" w:hAnsi="宋体" w:eastAsia="宋体" w:cs="宋体"/>
          <w:color w:val="000000" w:themeColor="text1"/>
          <w:highlight w:val="none"/>
          <w:lang w:eastAsia="zh-CN"/>
          <w14:textFill>
            <w14:solidFill>
              <w14:schemeClr w14:val="tx1"/>
            </w14:solidFill>
          </w14:textFill>
        </w:rPr>
      </w:pPr>
    </w:p>
    <w:p w14:paraId="1EC9D9BB">
      <w:pPr>
        <w:kinsoku/>
        <w:rPr>
          <w:rFonts w:ascii="宋体" w:hAnsi="宋体" w:eastAsia="宋体" w:cs="宋体"/>
          <w:color w:val="000000" w:themeColor="text1"/>
          <w:highlight w:val="none"/>
          <w:lang w:eastAsia="zh-CN"/>
          <w14:textFill>
            <w14:solidFill>
              <w14:schemeClr w14:val="tx1"/>
            </w14:solidFill>
          </w14:textFill>
        </w:rPr>
      </w:pPr>
    </w:p>
    <w:p w14:paraId="1580FC0D">
      <w:pPr>
        <w:kinsoku/>
        <w:rPr>
          <w:rFonts w:ascii="宋体" w:hAnsi="宋体" w:eastAsia="宋体" w:cs="宋体"/>
          <w:color w:val="000000" w:themeColor="text1"/>
          <w:highlight w:val="none"/>
          <w:lang w:eastAsia="zh-CN"/>
          <w14:textFill>
            <w14:solidFill>
              <w14:schemeClr w14:val="tx1"/>
            </w14:solidFill>
          </w14:textFill>
        </w:rPr>
      </w:pPr>
    </w:p>
    <w:p w14:paraId="3A0FBEE4">
      <w:pPr>
        <w:kinsoku/>
        <w:rPr>
          <w:rFonts w:ascii="宋体" w:hAnsi="宋体" w:eastAsia="宋体" w:cs="宋体"/>
          <w:color w:val="000000" w:themeColor="text1"/>
          <w:highlight w:val="none"/>
          <w:lang w:eastAsia="zh-CN"/>
          <w14:textFill>
            <w14:solidFill>
              <w14:schemeClr w14:val="tx1"/>
            </w14:solidFill>
          </w14:textFill>
        </w:rPr>
      </w:pPr>
    </w:p>
    <w:p w14:paraId="2A517C63">
      <w:pPr>
        <w:kinsoku/>
        <w:rPr>
          <w:rFonts w:ascii="宋体" w:hAnsi="宋体" w:eastAsia="宋体" w:cs="宋体"/>
          <w:color w:val="000000" w:themeColor="text1"/>
          <w:highlight w:val="none"/>
          <w:lang w:eastAsia="zh-CN"/>
          <w14:textFill>
            <w14:solidFill>
              <w14:schemeClr w14:val="tx1"/>
            </w14:solidFill>
          </w14:textFill>
        </w:rPr>
      </w:pPr>
    </w:p>
    <w:p w14:paraId="73A7BE72">
      <w:pPr>
        <w:kinsoku/>
        <w:rPr>
          <w:rFonts w:ascii="宋体" w:hAnsi="宋体" w:eastAsia="宋体" w:cs="宋体"/>
          <w:color w:val="000000" w:themeColor="text1"/>
          <w:highlight w:val="none"/>
          <w:lang w:eastAsia="zh-CN"/>
          <w14:textFill>
            <w14:solidFill>
              <w14:schemeClr w14:val="tx1"/>
            </w14:solidFill>
          </w14:textFill>
        </w:rPr>
      </w:pPr>
    </w:p>
    <w:p w14:paraId="57554450">
      <w:pPr>
        <w:kinsoku/>
        <w:rPr>
          <w:rFonts w:ascii="宋体" w:hAnsi="宋体" w:eastAsia="宋体" w:cs="宋体"/>
          <w:color w:val="000000" w:themeColor="text1"/>
          <w:highlight w:val="none"/>
          <w:lang w:eastAsia="zh-CN"/>
          <w14:textFill>
            <w14:solidFill>
              <w14:schemeClr w14:val="tx1"/>
            </w14:solidFill>
          </w14:textFill>
        </w:rPr>
      </w:pPr>
    </w:p>
    <w:p w14:paraId="37B2B1F0">
      <w:pPr>
        <w:kinsoku/>
        <w:rPr>
          <w:rFonts w:ascii="宋体" w:hAnsi="宋体" w:eastAsia="宋体" w:cs="宋体"/>
          <w:color w:val="000000" w:themeColor="text1"/>
          <w:highlight w:val="none"/>
          <w:lang w:eastAsia="zh-CN"/>
          <w14:textFill>
            <w14:solidFill>
              <w14:schemeClr w14:val="tx1"/>
            </w14:solidFill>
          </w14:textFill>
        </w:rPr>
      </w:pPr>
    </w:p>
    <w:p w14:paraId="66E18F0C">
      <w:pPr>
        <w:kinsoku/>
        <w:rPr>
          <w:rFonts w:ascii="宋体" w:hAnsi="宋体" w:eastAsia="宋体" w:cs="宋体"/>
          <w:color w:val="000000" w:themeColor="text1"/>
          <w:highlight w:val="none"/>
          <w:lang w:eastAsia="zh-CN"/>
          <w14:textFill>
            <w14:solidFill>
              <w14:schemeClr w14:val="tx1"/>
            </w14:solidFill>
          </w14:textFill>
        </w:rPr>
      </w:pPr>
    </w:p>
    <w:p w14:paraId="3162B13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9AE29F8">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4C057D9">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A31A391">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FF7F245">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CC6A1D5">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4ED9E5F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5766454B">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362534AB">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17D7297">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DC5CD3F">
      <w:pPr>
        <w:kinsoku/>
        <w:spacing w:before="179" w:line="222" w:lineRule="auto"/>
        <w:ind w:left="3547"/>
        <w:rPr>
          <w:rFonts w:ascii="宋体" w:hAnsi="宋体" w:eastAsia="宋体" w:cs="宋体"/>
          <w:color w:val="000000" w:themeColor="text1"/>
          <w:sz w:val="55"/>
          <w:szCs w:val="55"/>
          <w:highlight w:val="none"/>
          <w:lang w:eastAsia="zh-CN"/>
          <w14:textFill>
            <w14:solidFill>
              <w14:schemeClr w14:val="tx1"/>
            </w14:solidFill>
          </w14:textFill>
        </w:rPr>
      </w:pPr>
      <w:r>
        <w:rPr>
          <w:rFonts w:hint="eastAsia" w:ascii="宋体" w:hAnsi="宋体" w:eastAsia="宋体" w:cs="宋体"/>
          <w:color w:val="000000" w:themeColor="text1"/>
          <w:sz w:val="55"/>
          <w:szCs w:val="55"/>
          <w:highlight w:val="none"/>
          <w:lang w:eastAsia="zh-CN"/>
          <w14:textFill>
            <w14:solidFill>
              <w14:schemeClr w14:val="tx1"/>
            </w14:solidFill>
          </w14:textFill>
        </w:rPr>
        <w:t>第二卷</w:t>
      </w:r>
    </w:p>
    <w:p w14:paraId="44DEEA49">
      <w:pPr>
        <w:kinsoku/>
        <w:spacing w:line="222" w:lineRule="auto"/>
        <w:rPr>
          <w:rFonts w:ascii="宋体" w:hAnsi="宋体" w:eastAsia="宋体" w:cs="宋体"/>
          <w:color w:val="000000" w:themeColor="text1"/>
          <w:sz w:val="55"/>
          <w:szCs w:val="55"/>
          <w:highlight w:val="none"/>
          <w:lang w:eastAsia="zh-CN"/>
          <w14:textFill>
            <w14:solidFill>
              <w14:schemeClr w14:val="tx1"/>
            </w14:solidFill>
          </w14:textFill>
        </w:rPr>
        <w:sectPr>
          <w:headerReference r:id="rId39" w:type="default"/>
          <w:footerReference r:id="rId40" w:type="default"/>
          <w:pgSz w:w="11907" w:h="16841"/>
          <w:pgMar w:top="1173" w:right="1252" w:bottom="1254" w:left="1615" w:header="862" w:footer="1093" w:gutter="0"/>
          <w:cols w:space="720" w:num="1"/>
        </w:sectPr>
      </w:pPr>
    </w:p>
    <w:p w14:paraId="0C4697E9">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F1A2AC1">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004F2C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8F07B4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81D9960">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92469C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9B86152">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C54708F">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F4E573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B62A7E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62C3886">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50FE08C">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21236FB">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513A6FFB">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69B2AEF4">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1484C2D">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641343F">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CFF5729">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310B47D1">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2710FC4">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59A44945">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A05DCBA">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81F5C1D">
      <w:pPr>
        <w:kinsoku/>
        <w:spacing w:before="117"/>
        <w:ind w:left="2652"/>
        <w:outlineLvl w:val="0"/>
        <w:rPr>
          <w:rFonts w:ascii="宋体" w:hAnsi="宋体" w:eastAsia="宋体" w:cs="宋体"/>
          <w:color w:val="000000" w:themeColor="text1"/>
          <w:sz w:val="19"/>
          <w:szCs w:val="19"/>
          <w:highlight w:val="none"/>
          <w:lang w:eastAsia="zh-CN"/>
          <w14:textFill>
            <w14:solidFill>
              <w14:schemeClr w14:val="tx1"/>
            </w14:solidFill>
          </w14:textFill>
        </w:rPr>
      </w:pPr>
      <w:bookmarkStart w:id="443" w:name="bookmark261"/>
      <w:bookmarkEnd w:id="443"/>
      <w:bookmarkStart w:id="444" w:name="bookmark260"/>
      <w:bookmarkEnd w:id="444"/>
      <w:bookmarkStart w:id="445" w:name="_Toc22819"/>
      <w:bookmarkStart w:id="446" w:name="_Toc19038"/>
      <w:r>
        <w:rPr>
          <w:rFonts w:hint="eastAsia" w:ascii="宋体" w:hAnsi="宋体" w:eastAsia="宋体" w:cs="宋体"/>
          <w:b/>
          <w:bCs/>
          <w:color w:val="000000" w:themeColor="text1"/>
          <w:sz w:val="36"/>
          <w:szCs w:val="36"/>
          <w:highlight w:val="none"/>
          <w:lang w:eastAsia="zh-CN"/>
          <w14:textFill>
            <w14:solidFill>
              <w14:schemeClr w14:val="tx1"/>
            </w14:solidFill>
          </w14:textFill>
        </w:rPr>
        <w:t>第五章</w:t>
      </w:r>
      <w:r>
        <w:rPr>
          <w:rFonts w:hint="eastAsia" w:ascii="宋体" w:hAnsi="宋体" w:eastAsia="宋体" w:cs="宋体"/>
          <w:color w:val="000000" w:themeColor="text1"/>
          <w:sz w:val="36"/>
          <w:szCs w:val="36"/>
          <w:highlight w:val="none"/>
          <w:lang w:eastAsia="zh-CN"/>
          <w14:textFill>
            <w14:solidFill>
              <w14:schemeClr w14:val="tx1"/>
            </w14:solidFill>
          </w14:textFill>
        </w:rPr>
        <w:t xml:space="preserve">  </w:t>
      </w:r>
      <w:r>
        <w:rPr>
          <w:rFonts w:hint="eastAsia" w:ascii="宋体" w:hAnsi="宋体" w:eastAsia="宋体" w:cs="宋体"/>
          <w:b/>
          <w:bCs/>
          <w:color w:val="000000" w:themeColor="text1"/>
          <w:sz w:val="36"/>
          <w:szCs w:val="36"/>
          <w:highlight w:val="none"/>
          <w:lang w:eastAsia="zh-CN"/>
          <w14:textFill>
            <w14:solidFill>
              <w14:schemeClr w14:val="tx1"/>
            </w14:solidFill>
          </w14:textFill>
        </w:rPr>
        <w:t>发包人要求</w:t>
      </w:r>
      <w:bookmarkEnd w:id="445"/>
      <w:bookmarkEnd w:id="446"/>
    </w:p>
    <w:p w14:paraId="31ECB690">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0D741BA">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10BA0B6C">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707E59E8">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35151B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422730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6545D524">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19451198">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CA81D86">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33CA9726">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D44D532">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CC7067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0394448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9AF0FE3">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51D3B1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DA74EE6">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2BB6AE0">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5E9190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5213184">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06C6D60F">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7884ABA">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9F4BECD">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81613B9">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AD5BFDD">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8A2A992">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CD3FE2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0666C1E3">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DEBB45C">
      <w:pPr>
        <w:kinsoku/>
        <w:spacing w:before="98" w:line="218" w:lineRule="auto"/>
        <w:ind w:left="3631"/>
        <w:rPr>
          <w:rFonts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color w:val="000000" w:themeColor="text1"/>
          <w:sz w:val="30"/>
          <w:szCs w:val="30"/>
          <w:highlight w:val="none"/>
          <w:lang w:eastAsia="zh-CN"/>
          <w14:textFill>
            <w14:solidFill>
              <w14:schemeClr w14:val="tx1"/>
            </w14:solidFill>
          </w14:textFill>
        </w:rPr>
        <w:t>发包人要求</w:t>
      </w:r>
    </w:p>
    <w:p w14:paraId="5BDCA1E8">
      <w:pPr>
        <w:kinsoku/>
        <w:spacing w:line="268" w:lineRule="auto"/>
        <w:rPr>
          <w:rFonts w:ascii="宋体" w:hAnsi="宋体" w:eastAsia="宋体" w:cs="宋体"/>
          <w:color w:val="000000" w:themeColor="text1"/>
          <w:highlight w:val="none"/>
          <w:lang w:eastAsia="zh-CN"/>
          <w14:textFill>
            <w14:solidFill>
              <w14:schemeClr w14:val="tx1"/>
            </w14:solidFill>
          </w14:textFill>
        </w:rPr>
      </w:pPr>
    </w:p>
    <w:p w14:paraId="7993465C">
      <w:pPr>
        <w:kinsoku/>
        <w:spacing w:line="269" w:lineRule="auto"/>
        <w:rPr>
          <w:rFonts w:ascii="宋体" w:hAnsi="宋体" w:eastAsia="宋体" w:cs="宋体"/>
          <w:color w:val="000000" w:themeColor="text1"/>
          <w:highlight w:val="none"/>
          <w:lang w:eastAsia="zh-CN"/>
          <w14:textFill>
            <w14:solidFill>
              <w14:schemeClr w14:val="tx1"/>
            </w14:solidFill>
          </w14:textFill>
        </w:rPr>
      </w:pPr>
    </w:p>
    <w:p w14:paraId="559DDE56">
      <w:pPr>
        <w:kinsoku/>
        <w:spacing w:before="32" w:line="286" w:lineRule="auto"/>
        <w:ind w:left="52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发包人要求通常包括但不限于以下内容。</w:t>
      </w:r>
    </w:p>
    <w:p w14:paraId="3727F3A2">
      <w:pPr>
        <w:kinsoku/>
        <w:spacing w:before="274" w:line="286"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一、设计要求</w:t>
      </w:r>
    </w:p>
    <w:p w14:paraId="29387EFB">
      <w:pPr>
        <w:kinsoku/>
        <w:spacing w:before="33"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1.项目概况</w:t>
      </w:r>
    </w:p>
    <w:p w14:paraId="06DC56CF">
      <w:pPr>
        <w:kinsoku/>
        <w:spacing w:before="156" w:line="286" w:lineRule="auto"/>
        <w:ind w:left="38" w:right="112" w:firstLine="479"/>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建设地点及规模：对始兴县辖区内G323国道7.6公里进行数字化转型升级，道路沿线配置新能源灯杆251个、新能源视频监控16个、新能源智能测速仪3套，治超非现场执法监测点3处、5G基站82个、配套智慧平台、路基工程及</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附</w:t>
      </w:r>
      <w:r>
        <w:rPr>
          <w:rFonts w:hint="eastAsia" w:ascii="宋体" w:hAnsi="宋体" w:cs="宋体"/>
          <w:i w:val="0"/>
          <w:color w:val="000000" w:themeColor="text1"/>
          <w:sz w:val="24"/>
          <w:szCs w:val="24"/>
          <w:highlight w:val="none"/>
          <w:u w:val="none"/>
          <w:lang w:eastAsia="zh-CN"/>
          <w14:textFill>
            <w14:solidFill>
              <w14:schemeClr w14:val="tx1"/>
            </w14:solidFill>
          </w14:textFill>
        </w:rPr>
        <w:t>属</w:t>
      </w:r>
      <w:r>
        <w:rPr>
          <w:rFonts w:hint="eastAsia" w:ascii="宋体" w:hAnsi="宋体" w:cs="宋体"/>
          <w:color w:val="000000" w:themeColor="text1"/>
          <w:sz w:val="24"/>
          <w:highlight w:val="none"/>
          <w:lang w:eastAsia="zh-CN"/>
          <w14:textFill>
            <w14:solidFill>
              <w14:schemeClr w14:val="tx1"/>
            </w14:solidFill>
          </w14:textFill>
        </w:rPr>
        <w:t>工程等。</w:t>
      </w:r>
    </w:p>
    <w:p w14:paraId="6CEB895A">
      <w:pPr>
        <w:kinsoku/>
        <w:spacing w:before="156" w:line="286" w:lineRule="auto"/>
        <w:ind w:left="38" w:right="112"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2.设计范围及内容</w:t>
      </w:r>
    </w:p>
    <w:p w14:paraId="09A9250B">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w:t>
      </w:r>
      <w:r>
        <w:rPr>
          <w:rFonts w:hint="eastAsia" w:ascii="宋体" w:hAnsi="宋体" w:eastAsia="宋体" w:cs="宋体"/>
          <w:color w:val="000000" w:themeColor="text1"/>
          <w:sz w:val="24"/>
          <w:szCs w:val="24"/>
          <w:highlight w:val="none"/>
          <w:lang w:eastAsia="zh-CN"/>
          <w14:textFill>
            <w14:solidFill>
              <w14:schemeClr w14:val="tx1"/>
            </w14:solidFill>
          </w14:textFill>
        </w:rPr>
        <w:t>里程范围的交通工程（包括通信、监控、沿线供配电系统、照明系统及通信管道工程等）、隧道通风、消防、照明、紧急救援等附属设施的设计。</w:t>
      </w:r>
    </w:p>
    <w:p w14:paraId="2947BED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设计包括初步设计（含概算）、施工图设计、施工过程的配合服务工作（含图纸送审、设计变更、现场配合指导等）、工程竣（交）工验收过程的配合服务工作等和按照国家相关规范要求设计单位完成的工作。</w:t>
      </w:r>
    </w:p>
    <w:p w14:paraId="6625C46E">
      <w:pPr>
        <w:kinsoku/>
        <w:spacing w:before="156" w:line="286" w:lineRule="auto"/>
        <w:ind w:left="38" w:right="112" w:firstLine="47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其他要求</w:t>
      </w:r>
    </w:p>
    <w:p w14:paraId="39455720">
      <w:pPr>
        <w:kinsoku/>
        <w:spacing w:before="154"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详见招标文件。</w:t>
      </w:r>
    </w:p>
    <w:p w14:paraId="7D906D4D">
      <w:pPr>
        <w:kinsoku/>
        <w:spacing w:before="273" w:line="286"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二、适用规范标准</w:t>
      </w:r>
    </w:p>
    <w:p w14:paraId="1571C391">
      <w:pPr>
        <w:kinsoku/>
        <w:spacing w:before="276" w:line="286" w:lineRule="auto"/>
        <w:ind w:left="38" w:right="119"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本工程的设计过程和成果必须符合国家有关工程建设标准强制性条文和交通运输部关于公路设计方面现行的标准、规范、规程、定额、办法、示例以及招标项目所在地关于公路工程设计方面的文件、规定。</w:t>
      </w:r>
    </w:p>
    <w:p w14:paraId="5A1E73BA">
      <w:pPr>
        <w:kinsoku/>
        <w:spacing w:before="35" w:line="286" w:lineRule="auto"/>
        <w:ind w:left="38" w:right="165"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设计人在设计工作中使用或参考上述标准、规范以外的技术标准、规范时，应征得发包人或发包人指定代表人的同意。</w:t>
      </w:r>
    </w:p>
    <w:p w14:paraId="7B8478A0">
      <w:pPr>
        <w:kinsoku/>
        <w:spacing w:before="35" w:line="286" w:lineRule="auto"/>
        <w:ind w:left="37" w:right="11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在设计过程中，如果国家或有关部门颁布了新的技术标准或规范，则设计人应采用新的标准或规范进行设计。</w:t>
      </w:r>
    </w:p>
    <w:p w14:paraId="1574D4B1">
      <w:pPr>
        <w:kinsoku/>
        <w:spacing w:before="35" w:line="286" w:lineRule="auto"/>
        <w:ind w:left="37" w:right="11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设计人在设计工作中必须使用中华人民共和国《工程建设标准强制性条文》（公路工程部分）和下述标准、规范（不限于）：</w:t>
      </w:r>
    </w:p>
    <w:p w14:paraId="1E8A6045">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1.（JTG B01-2014）        《公路工程技术标准》</w:t>
      </w:r>
    </w:p>
    <w:p w14:paraId="5DC178FA">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2.（JTJ 002-87）           《公路工程名词术语》</w:t>
      </w:r>
    </w:p>
    <w:p w14:paraId="19F3BB8B">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3.（JTJ 003-86）           《公路自然区划标准》</w:t>
      </w:r>
    </w:p>
    <w:p w14:paraId="10CBD5DF">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4.（JTG/T B02-01-2008）   《公路桥梁抗震设计细则》</w:t>
      </w:r>
    </w:p>
    <w:p w14:paraId="5BDC3DDD">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5.（JTG B03-2006）        《公路建设项目环境影响评价规范》</w:t>
      </w:r>
    </w:p>
    <w:p w14:paraId="270C3AE2">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6.（JTG B04-2010）        《公路环境保护设计规范》</w:t>
      </w:r>
    </w:p>
    <w:p w14:paraId="0CD6D36F">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7.（JTG C10-2007）        《公路勘测规范》</w:t>
      </w:r>
    </w:p>
    <w:p w14:paraId="5EAA2EE8">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8.（JTG C20-2011）        《公路工程地质勘察规范》</w:t>
      </w:r>
    </w:p>
    <w:p w14:paraId="71C80EFB">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9.（JTG C30-2015）        《公路工程水文勘测设计规范》</w:t>
      </w:r>
    </w:p>
    <w:p w14:paraId="648C71E6">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10.（JTG E40-2007）       《公路土工试验规程》</w:t>
      </w:r>
    </w:p>
    <w:p w14:paraId="474C2767">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11.（JTG D20-2017）       《公路路线设计规范》</w:t>
      </w:r>
    </w:p>
    <w:p w14:paraId="50B6A120">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12．（JTG/T D21-2014）    《公路立体交叉设计细则》</w:t>
      </w:r>
    </w:p>
    <w:p w14:paraId="68CAE4D4">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13.（JTG D30-2015）       《公路路基设计规范》</w:t>
      </w:r>
    </w:p>
    <w:p w14:paraId="23538B41">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14.（JTG D50-2017）       《公路沥青路面设计规范》</w:t>
      </w:r>
    </w:p>
    <w:p w14:paraId="2879E324">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15.（JTG D40-2011）       《公路水泥混凝土路面设计规范》</w:t>
      </w:r>
    </w:p>
    <w:p w14:paraId="7B49FC0E">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16．（JTG/T D33-2012）    《公路排水设计规范》</w:t>
      </w:r>
    </w:p>
    <w:p w14:paraId="54DF37FC">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17.（JTG D60-2015）       《公路桥涵设计通用规范》</w:t>
      </w:r>
    </w:p>
    <w:p w14:paraId="6519DB08">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18.（JTG D61-2005）       《公路圬工桥涵设计规范》</w:t>
      </w:r>
    </w:p>
    <w:p w14:paraId="6A6CDD1D">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19.（JTG D62-2004）       《公路钢筋混凝土及预应力混凝土桥涵设计规范》</w:t>
      </w:r>
    </w:p>
    <w:p w14:paraId="087924B6">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20.（JTG D63-2007）       《公路桥涵地基与基础设计规范》</w:t>
      </w:r>
    </w:p>
    <w:p w14:paraId="22128B3F">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21.（JTG D64-2015）       《公路钢结构桥梁设计规范》</w:t>
      </w:r>
    </w:p>
    <w:p w14:paraId="03CA2E9D">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22.（JTG D70-2014）       《公路隧道设计规范》</w:t>
      </w:r>
    </w:p>
    <w:p w14:paraId="580BC512">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23.（JTG D70/2-2014）     《公路隧道设计规范 第二册 交通工程与附属设施》</w:t>
      </w:r>
    </w:p>
    <w:p w14:paraId="505E7924">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24.（JTG/TD70/2-01-2014） 《公路隧道照明设计细则》</w:t>
      </w:r>
    </w:p>
    <w:p w14:paraId="393E7A72">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25.（JTG/TD70/2-02-2014） 《公路隧道通风设计细则》</w:t>
      </w:r>
    </w:p>
    <w:p w14:paraId="3EE06CC3">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26.（JTG D81-2017）       《公路交通安全设施设计规范》</w:t>
      </w:r>
    </w:p>
    <w:p w14:paraId="21E8EBCB">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27.（JTG/T D81-2017）     《公路交通安全设施设计细则》</w:t>
      </w:r>
    </w:p>
    <w:p w14:paraId="21B06D8D">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28.（JTG/T B07-01-2006）  《公路工程混凝土结构防腐蚀技术规范》</w:t>
      </w:r>
    </w:p>
    <w:p w14:paraId="7D14AFA3">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29.（JTG B05-2015）       《公路项目安全性评价规范》</w:t>
      </w:r>
    </w:p>
    <w:p w14:paraId="3CAE7C58">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30.（GB/T 50283-99）      《公路工程结构可靠度设计统一标准》</w:t>
      </w:r>
    </w:p>
    <w:p w14:paraId="073C528F">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31.（GB 50162-92）        《道路工程制图标准》</w:t>
      </w:r>
    </w:p>
    <w:p w14:paraId="07ED10C7">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32.（交公路发[2007]358 号） 《公路工程基本建设项目设计文件编制办法》</w:t>
      </w:r>
    </w:p>
    <w:p w14:paraId="5FC136D0">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33.（JTG B06-2007）        《公路工程基本建设项目概算预算编制办法》</w:t>
      </w:r>
    </w:p>
    <w:p w14:paraId="632B94AB">
      <w:pPr>
        <w:kinsoku/>
        <w:spacing w:before="35" w:line="286" w:lineRule="auto"/>
        <w:ind w:right="-8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34.（JTG/T B06-01-2007）  《公路工程概算定额》</w:t>
      </w:r>
    </w:p>
    <w:p w14:paraId="6267664C">
      <w:pPr>
        <w:kinsoku/>
        <w:spacing w:before="35" w:line="286" w:lineRule="auto"/>
        <w:ind w:right="-8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35.（JTG/T B06-02-2007）  《公路工程预算定额》</w:t>
      </w:r>
    </w:p>
    <w:p w14:paraId="204F74C9">
      <w:pPr>
        <w:kinsoku/>
        <w:spacing w:before="35" w:line="286" w:lineRule="auto"/>
        <w:ind w:right="-8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36.（JTG/T B06-03-2007）</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《公路工程机械台班费用定额》</w:t>
      </w:r>
    </w:p>
    <w:p w14:paraId="2889D241">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37.（建标[1999]278号）     《公路建设项目用地指标》</w:t>
      </w:r>
    </w:p>
    <w:p w14:paraId="6249B756">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38.（YD 2002-92）          《长途通信干线电缆线路工程设计规范》</w:t>
      </w:r>
    </w:p>
    <w:p w14:paraId="22E113AB">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39.（YD 5102-2010）        《通信线路工程设计规范》</w:t>
      </w:r>
    </w:p>
    <w:p w14:paraId="48CE02F0">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40.（YDJ 44-89）     《电信网光纤数字传输系统工程施工及验收暂行技术规定》</w:t>
      </w:r>
    </w:p>
    <w:p w14:paraId="6E52B0BE">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41.（GB 50689-2011）       《通信局（站）防雷与接地设计工程技术规定》</w:t>
      </w:r>
    </w:p>
    <w:p w14:paraId="2D640541">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42.（GB 50374-2006）       《通信管道工程施工及验收技术规范》</w:t>
      </w:r>
    </w:p>
    <w:p w14:paraId="7245EBD7">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43.（GB 50198-2011）       《民用闭路监视电视系统工程技术规范》</w:t>
      </w:r>
    </w:p>
    <w:p w14:paraId="7086A041">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44.（GB 50174-2008）       《电子信息系统机房设计规范》</w:t>
      </w:r>
    </w:p>
    <w:p w14:paraId="42545DC8">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45.（ITU-T）               《国际电工协会系列标准》</w:t>
      </w:r>
    </w:p>
    <w:p w14:paraId="1102BE1B">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46.（GB 50057-2010）       《建筑物防雷设计规范》</w:t>
      </w:r>
    </w:p>
    <w:p w14:paraId="1121A463">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47.（JGJ 16-2008）         《民用建筑电气设计规范》</w:t>
      </w:r>
    </w:p>
    <w:p w14:paraId="573D05DF">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48.（YDJ 9-90）            《市内通信全塑电缆线路工程设计规范》</w:t>
      </w:r>
    </w:p>
    <w:p w14:paraId="7B450153">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49.（YD 5121-2010）        《通信线路工程验收规范》</w:t>
      </w:r>
    </w:p>
    <w:p w14:paraId="4944BA0A">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50.（GB 50168-2006）       《电气装置安装工程电缆线路施工及验收规范》</w:t>
      </w:r>
    </w:p>
    <w:p w14:paraId="4FD7852C">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51.（JTG/T C10-2007）      《公路勘测细则》</w:t>
      </w:r>
    </w:p>
    <w:p w14:paraId="79C24D8E">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52.（GB/T 20257.1-2007）   《1:500    1:1000     1:2000地形图图式》</w:t>
      </w:r>
    </w:p>
    <w:p w14:paraId="1AE6436B">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53.（GB/T 13923-2006）     《基础地理信息要素分类与代码》</w:t>
      </w:r>
    </w:p>
    <w:p w14:paraId="39EFBFD7">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54.（CH 1003-95）          《测绘产品质量评定标准》</w:t>
      </w:r>
    </w:p>
    <w:p w14:paraId="56A96AE0">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55.（CH 1002-95）          《测绘产品检查验收规定》</w:t>
      </w:r>
    </w:p>
    <w:p w14:paraId="5AFD2B29">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56.（GB/T 18316-2008）     《数字测绘成果质量检查与验收》</w:t>
      </w:r>
    </w:p>
    <w:p w14:paraId="23EBC5AE">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57.（建质函</w:t>
      </w:r>
      <w:r>
        <w:rPr>
          <w:rFonts w:ascii="宋体" w:hAnsi="宋体" w:eastAsia="宋体" w:cs="宋体"/>
          <w:color w:val="000000" w:themeColor="text1"/>
          <w:sz w:val="24"/>
          <w:szCs w:val="24"/>
          <w:highlight w:val="none"/>
          <w:lang w:eastAsia="zh-CN"/>
          <w14:textFill>
            <w14:solidFill>
              <w14:schemeClr w14:val="tx1"/>
            </w14:solidFill>
          </w14:textFill>
        </w:rPr>
        <w:t>[2016]247</w:t>
      </w:r>
      <w:r>
        <w:rPr>
          <w:rFonts w:hint="eastAsia" w:ascii="宋体" w:hAnsi="宋体" w:eastAsia="宋体" w:cs="宋体"/>
          <w:color w:val="000000" w:themeColor="text1"/>
          <w:sz w:val="24"/>
          <w:szCs w:val="24"/>
          <w:highlight w:val="none"/>
          <w:lang w:eastAsia="zh-CN"/>
          <w14:textFill>
            <w14:solidFill>
              <w14:schemeClr w14:val="tx1"/>
            </w14:solidFill>
          </w14:textFill>
        </w:rPr>
        <w:t>号）   《建筑工程设计文件编制深度规定》</w:t>
      </w:r>
    </w:p>
    <w:p w14:paraId="2964D814">
      <w:pPr>
        <w:pStyle w:val="25"/>
        <w:ind w:firstLine="0"/>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三、成果文件要求</w:t>
      </w:r>
    </w:p>
    <w:p w14:paraId="1EFD909B">
      <w:pPr>
        <w:kinsoku/>
        <w:spacing w:before="154" w:line="276" w:lineRule="auto"/>
        <w:ind w:firstLine="420" w:firstLineChars="175"/>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合同签订后</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20 </w:t>
      </w:r>
      <w:r>
        <w:rPr>
          <w:rFonts w:hint="eastAsia" w:ascii="宋体" w:hAnsi="宋体" w:eastAsia="宋体" w:cs="宋体"/>
          <w:color w:val="000000" w:themeColor="text1"/>
          <w:sz w:val="24"/>
          <w:highlight w:val="none"/>
          <w:lang w:eastAsia="zh-CN"/>
          <w14:textFill>
            <w14:solidFill>
              <w14:schemeClr w14:val="tx1"/>
            </w14:solidFill>
          </w14:textFill>
        </w:rPr>
        <w:t>日历天内，提交</w:t>
      </w:r>
      <w:r>
        <w:rPr>
          <w:rFonts w:hint="eastAsia" w:ascii="宋体" w:hAnsi="宋体" w:eastAsia="宋体" w:cs="宋体"/>
          <w:color w:val="000000" w:themeColor="text1"/>
          <w:sz w:val="24"/>
          <w:highlight w:val="none"/>
          <w:lang w:val="en-US" w:eastAsia="zh-CN"/>
          <w14:textFill>
            <w14:solidFill>
              <w14:schemeClr w14:val="tx1"/>
            </w14:solidFill>
          </w14:textFill>
        </w:rPr>
        <w:t>初步</w:t>
      </w:r>
      <w:r>
        <w:rPr>
          <w:rFonts w:hint="eastAsia" w:ascii="宋体" w:hAnsi="宋体" w:eastAsia="宋体" w:cs="宋体"/>
          <w:color w:val="000000" w:themeColor="text1"/>
          <w:sz w:val="24"/>
          <w:highlight w:val="none"/>
          <w:lang w:eastAsia="zh-CN"/>
          <w14:textFill>
            <w14:solidFill>
              <w14:schemeClr w14:val="tx1"/>
            </w14:solidFill>
          </w14:textFill>
        </w:rPr>
        <w:t>设计文件送审稿；</w:t>
      </w:r>
    </w:p>
    <w:p w14:paraId="665BAF1F">
      <w:pPr>
        <w:kinsoku/>
        <w:spacing w:before="154" w:line="276" w:lineRule="auto"/>
        <w:ind w:firstLine="420" w:firstLineChars="175"/>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初步设计批复后 20 日历天内，提交施工图设计文件送审稿；</w:t>
      </w:r>
    </w:p>
    <w:p w14:paraId="21EEF723">
      <w:pPr>
        <w:kinsoku/>
        <w:spacing w:before="154" w:line="276" w:lineRule="auto"/>
        <w:ind w:firstLine="420" w:firstLineChars="1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.施工图设计文件审查后</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1</w:t>
      </w:r>
      <w:r>
        <w:rPr>
          <w:rFonts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日历天，完成施工图设计修编工作并提供施工图设计文件最终稿各8份。</w:t>
      </w:r>
    </w:p>
    <w:p w14:paraId="53F4EA3B">
      <w:pPr>
        <w:kinsoku/>
        <w:spacing w:before="154" w:line="276" w:lineRule="auto"/>
        <w:ind w:firstLine="420" w:firstLineChars="1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设计人还应向发包人提交最终成果的书面计算书一份，各阶段设计成果文件CAD版本的电子版各一份，应同时提交且数据一致。</w:t>
      </w:r>
    </w:p>
    <w:p w14:paraId="1FF73814">
      <w:pPr>
        <w:kinsoku/>
        <w:spacing w:before="273" w:line="218" w:lineRule="auto"/>
        <w:ind w:left="5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四、发包人财产清单</w:t>
      </w:r>
    </w:p>
    <w:p w14:paraId="62B56F49">
      <w:pPr>
        <w:kinsoku/>
        <w:spacing w:before="154" w:line="276" w:lineRule="auto"/>
        <w:ind w:firstLine="420" w:firstLineChars="1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发包人提供的资料：前一阶段研究或设计的成果文件及相应的批件(复印件)各一份。</w:t>
      </w:r>
    </w:p>
    <w:p w14:paraId="2B40F8B8">
      <w:pPr>
        <w:kinsoku/>
        <w:spacing w:before="301" w:line="218" w:lineRule="auto"/>
        <w:ind w:left="44"/>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五、发包人提供的便利条件</w:t>
      </w:r>
    </w:p>
    <w:p w14:paraId="4ABAB243">
      <w:pPr>
        <w:kinsoku/>
        <w:spacing w:before="301" w:line="218" w:lineRule="auto"/>
        <w:ind w:left="44"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无</w:t>
      </w:r>
    </w:p>
    <w:p w14:paraId="6BDE6E4E">
      <w:pPr>
        <w:kinsoku/>
        <w:spacing w:before="301" w:line="219" w:lineRule="auto"/>
        <w:ind w:lef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六、设计人需要自备的工作条件</w:t>
      </w:r>
    </w:p>
    <w:p w14:paraId="5E814217">
      <w:pPr>
        <w:kinsoku/>
        <w:spacing w:before="78"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1.设计人自备的工作手册：如本项目必备的规范标准、图集等</w:t>
      </w:r>
    </w:p>
    <w:p w14:paraId="20A9B643">
      <w:pPr>
        <w:kinsoku/>
        <w:spacing w:before="153" w:line="279" w:lineRule="auto"/>
        <w:ind w:left="40" w:right="39"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2.设计人自备的办公设备：如计算机、软件、投影、打印机、复印机、照相机等</w:t>
      </w:r>
    </w:p>
    <w:p w14:paraId="6DF2355B">
      <w:pPr>
        <w:kinsoku/>
        <w:spacing w:before="155"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3.设计人自备的交通工具：如出行车辆等</w:t>
      </w:r>
    </w:p>
    <w:p w14:paraId="7F4B1220">
      <w:pPr>
        <w:kinsoku/>
        <w:spacing w:before="153" w:line="220" w:lineRule="auto"/>
        <w:ind w:left="51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4.设计人自备的现场办公设施：如办公桌椅、文件柜等</w:t>
      </w:r>
    </w:p>
    <w:p w14:paraId="21D97262">
      <w:pPr>
        <w:kinsoku/>
        <w:spacing w:before="153" w:line="219"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5.设计人自备的安全设施：如安全帽、安全鞋、手电筒等</w:t>
      </w:r>
    </w:p>
    <w:p w14:paraId="110B6A16">
      <w:pPr>
        <w:kinsoku/>
        <w:spacing w:before="157" w:line="220"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6.设计人自备的设备、工具</w:t>
      </w:r>
    </w:p>
    <w:p w14:paraId="5D22DAEB">
      <w:pPr>
        <w:kinsoku/>
        <w:spacing w:before="153" w:line="220"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7.设计人应根据设计实际需要：</w:t>
      </w:r>
    </w:p>
    <w:p w14:paraId="0EFCB3A1">
      <w:pPr>
        <w:kinsoku/>
        <w:spacing w:before="154" w:line="299" w:lineRule="auto"/>
        <w:ind w:left="37" w:right="32"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（1）自行搜集或购买全部地形图、地质图、规划图及所涉及的其他图纸或资料，自费进行研究试验及有关协调（包括签订协议）、调查和资料搜集等工作；</w:t>
      </w:r>
    </w:p>
    <w:p w14:paraId="6C9D6CEC">
      <w:pPr>
        <w:kinsoku/>
        <w:spacing w:before="154" w:line="309" w:lineRule="auto"/>
        <w:ind w:left="38" w:right="29"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自行搜集或购买相关路网交通工程设施的配置资料（包括通信、监控、收费、供配电、照明等设施）；沿线供电资料；沿线管线资料；沿线气象、环境、人文景观的有关资料；相关路网的管理运营体制资料；相关路网服务设施设置情况的资料；与交通工程相关的规划资料。</w:t>
      </w:r>
    </w:p>
    <w:p w14:paraId="117CC772">
      <w:pPr>
        <w:kinsoku/>
        <w:spacing w:before="301" w:line="218" w:lineRule="auto"/>
        <w:ind w:left="3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七、发包人的其他要求</w:t>
      </w:r>
    </w:p>
    <w:p w14:paraId="40C644F9">
      <w:pPr>
        <w:kinsoku/>
        <w:spacing w:before="154" w:line="309" w:lineRule="auto"/>
        <w:ind w:left="38" w:right="29" w:firstLine="48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本标段签约的合同总价包括</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设计人</w:t>
      </w:r>
      <w:r>
        <w:rPr>
          <w:rFonts w:hint="eastAsia" w:ascii="宋体" w:hAnsi="宋体" w:eastAsia="宋体" w:cs="宋体"/>
          <w:color w:val="000000" w:themeColor="text1"/>
          <w:sz w:val="24"/>
          <w:szCs w:val="24"/>
          <w:highlight w:val="none"/>
          <w:lang w:eastAsia="zh-CN"/>
          <w14:textFill>
            <w14:solidFill>
              <w14:schemeClr w14:val="tx1"/>
            </w14:solidFill>
          </w14:textFill>
        </w:rPr>
        <w:t>服务所需的准备费、人工费、材料费、设备使用费、管理费用、财务费用、利润、税金、交通费、差旅费、基于签订本协议委托人所产生的印花税、规费等，以及完成上述工作所发生的配套费用和考虑风险因素（不可抗力因素除外）等所有费用。因此，</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设计人</w:t>
      </w:r>
      <w:r>
        <w:rPr>
          <w:rFonts w:hint="eastAsia" w:ascii="宋体" w:hAnsi="宋体" w:eastAsia="宋体" w:cs="宋体"/>
          <w:color w:val="000000" w:themeColor="text1"/>
          <w:sz w:val="24"/>
          <w:szCs w:val="24"/>
          <w:highlight w:val="none"/>
          <w:lang w:eastAsia="zh-CN"/>
          <w14:textFill>
            <w14:solidFill>
              <w14:schemeClr w14:val="tx1"/>
            </w14:solidFill>
          </w14:textFill>
        </w:rPr>
        <w:t>应承担合同签订后，对发包人产生的各项税费、规费以及由此产生的附加费用。同时，</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设计人</w:t>
      </w:r>
      <w:r>
        <w:rPr>
          <w:rFonts w:hint="eastAsia" w:ascii="宋体" w:hAnsi="宋体" w:eastAsia="宋体" w:cs="宋体"/>
          <w:color w:val="000000" w:themeColor="text1"/>
          <w:sz w:val="24"/>
          <w:szCs w:val="24"/>
          <w:highlight w:val="none"/>
          <w:lang w:eastAsia="zh-CN"/>
          <w14:textFill>
            <w14:solidFill>
              <w14:schemeClr w14:val="tx1"/>
            </w14:solidFill>
          </w14:textFill>
        </w:rPr>
        <w:t>还应积极配合发包人工作要求，依法依规做好在韶纳统纳税工作。</w:t>
      </w:r>
    </w:p>
    <w:p w14:paraId="38E83189">
      <w:pPr>
        <w:pStyle w:val="4"/>
        <w:rPr>
          <w:color w:val="000000" w:themeColor="text1"/>
          <w:highlight w:val="none"/>
          <w:lang w:eastAsia="zh-CN"/>
          <w14:textFill>
            <w14:solidFill>
              <w14:schemeClr w14:val="tx1"/>
            </w14:solidFill>
          </w14:textFill>
        </w:rPr>
        <w:sectPr>
          <w:headerReference r:id="rId41" w:type="default"/>
          <w:footerReference r:id="rId42" w:type="default"/>
          <w:pgSz w:w="11907" w:h="16841"/>
          <w:pgMar w:top="1173" w:right="1555" w:bottom="1254" w:left="1615" w:header="862" w:footer="1093" w:gutter="0"/>
          <w:cols w:space="720" w:num="1"/>
        </w:sectPr>
      </w:pPr>
    </w:p>
    <w:p w14:paraId="680F17F8">
      <w:pPr>
        <w:kinsoku/>
        <w:rPr>
          <w:rFonts w:ascii="宋体" w:hAnsi="宋体" w:eastAsia="宋体" w:cs="宋体"/>
          <w:color w:val="000000" w:themeColor="text1"/>
          <w:highlight w:val="none"/>
          <w:lang w:eastAsia="zh-CN"/>
          <w14:textFill>
            <w14:solidFill>
              <w14:schemeClr w14:val="tx1"/>
            </w14:solidFill>
          </w14:textFill>
        </w:rPr>
      </w:pPr>
    </w:p>
    <w:p w14:paraId="5CE939BF">
      <w:pPr>
        <w:kinsoku/>
        <w:rPr>
          <w:rFonts w:ascii="宋体" w:hAnsi="宋体" w:eastAsia="宋体" w:cs="宋体"/>
          <w:color w:val="000000" w:themeColor="text1"/>
          <w:highlight w:val="none"/>
          <w:lang w:eastAsia="zh-CN"/>
          <w14:textFill>
            <w14:solidFill>
              <w14:schemeClr w14:val="tx1"/>
            </w14:solidFill>
          </w14:textFill>
        </w:rPr>
      </w:pPr>
    </w:p>
    <w:p w14:paraId="2E4EC4E4">
      <w:pPr>
        <w:kinsoku/>
        <w:rPr>
          <w:rFonts w:ascii="宋体" w:hAnsi="宋体" w:eastAsia="宋体" w:cs="宋体"/>
          <w:color w:val="000000" w:themeColor="text1"/>
          <w:highlight w:val="none"/>
          <w:lang w:eastAsia="zh-CN"/>
          <w14:textFill>
            <w14:solidFill>
              <w14:schemeClr w14:val="tx1"/>
            </w14:solidFill>
          </w14:textFill>
        </w:rPr>
      </w:pPr>
    </w:p>
    <w:p w14:paraId="54502537">
      <w:pPr>
        <w:kinsoku/>
        <w:rPr>
          <w:rFonts w:ascii="宋体" w:hAnsi="宋体" w:eastAsia="宋体" w:cs="宋体"/>
          <w:color w:val="000000" w:themeColor="text1"/>
          <w:highlight w:val="none"/>
          <w:lang w:eastAsia="zh-CN"/>
          <w14:textFill>
            <w14:solidFill>
              <w14:schemeClr w14:val="tx1"/>
            </w14:solidFill>
          </w14:textFill>
        </w:rPr>
      </w:pPr>
    </w:p>
    <w:p w14:paraId="0BC4C37B">
      <w:pPr>
        <w:kinsoku/>
        <w:rPr>
          <w:rFonts w:ascii="宋体" w:hAnsi="宋体" w:eastAsia="宋体" w:cs="宋体"/>
          <w:color w:val="000000" w:themeColor="text1"/>
          <w:highlight w:val="none"/>
          <w:lang w:eastAsia="zh-CN"/>
          <w14:textFill>
            <w14:solidFill>
              <w14:schemeClr w14:val="tx1"/>
            </w14:solidFill>
          </w14:textFill>
        </w:rPr>
      </w:pPr>
    </w:p>
    <w:p w14:paraId="5C57313B">
      <w:pPr>
        <w:kinsoku/>
        <w:rPr>
          <w:rFonts w:ascii="宋体" w:hAnsi="宋体" w:eastAsia="宋体" w:cs="宋体"/>
          <w:color w:val="000000" w:themeColor="text1"/>
          <w:highlight w:val="none"/>
          <w:lang w:eastAsia="zh-CN"/>
          <w14:textFill>
            <w14:solidFill>
              <w14:schemeClr w14:val="tx1"/>
            </w14:solidFill>
          </w14:textFill>
        </w:rPr>
      </w:pPr>
    </w:p>
    <w:p w14:paraId="12AB8E2E">
      <w:pPr>
        <w:kinsoku/>
        <w:rPr>
          <w:rFonts w:ascii="宋体" w:hAnsi="宋体" w:eastAsia="宋体" w:cs="宋体"/>
          <w:color w:val="000000" w:themeColor="text1"/>
          <w:highlight w:val="none"/>
          <w:lang w:eastAsia="zh-CN"/>
          <w14:textFill>
            <w14:solidFill>
              <w14:schemeClr w14:val="tx1"/>
            </w14:solidFill>
          </w14:textFill>
        </w:rPr>
      </w:pPr>
    </w:p>
    <w:p w14:paraId="4DA9FF25">
      <w:pPr>
        <w:kinsoku/>
        <w:rPr>
          <w:rFonts w:ascii="宋体" w:hAnsi="宋体" w:eastAsia="宋体" w:cs="宋体"/>
          <w:color w:val="000000" w:themeColor="text1"/>
          <w:highlight w:val="none"/>
          <w:lang w:eastAsia="zh-CN"/>
          <w14:textFill>
            <w14:solidFill>
              <w14:schemeClr w14:val="tx1"/>
            </w14:solidFill>
          </w14:textFill>
        </w:rPr>
      </w:pPr>
    </w:p>
    <w:p w14:paraId="781B449F">
      <w:pPr>
        <w:kinsoku/>
        <w:rPr>
          <w:rFonts w:ascii="宋体" w:hAnsi="宋体" w:eastAsia="宋体" w:cs="宋体"/>
          <w:color w:val="000000" w:themeColor="text1"/>
          <w:highlight w:val="none"/>
          <w:lang w:eastAsia="zh-CN"/>
          <w14:textFill>
            <w14:solidFill>
              <w14:schemeClr w14:val="tx1"/>
            </w14:solidFill>
          </w14:textFill>
        </w:rPr>
      </w:pPr>
    </w:p>
    <w:p w14:paraId="1CEC1040">
      <w:pPr>
        <w:kinsoku/>
        <w:rPr>
          <w:rFonts w:ascii="宋体" w:hAnsi="宋体" w:eastAsia="宋体" w:cs="宋体"/>
          <w:color w:val="000000" w:themeColor="text1"/>
          <w:highlight w:val="none"/>
          <w:lang w:eastAsia="zh-CN"/>
          <w14:textFill>
            <w14:solidFill>
              <w14:schemeClr w14:val="tx1"/>
            </w14:solidFill>
          </w14:textFill>
        </w:rPr>
      </w:pPr>
    </w:p>
    <w:p w14:paraId="6817932D">
      <w:pPr>
        <w:kinsoku/>
        <w:rPr>
          <w:rFonts w:ascii="宋体" w:hAnsi="宋体" w:eastAsia="宋体" w:cs="宋体"/>
          <w:color w:val="000000" w:themeColor="text1"/>
          <w:highlight w:val="none"/>
          <w:lang w:eastAsia="zh-CN"/>
          <w14:textFill>
            <w14:solidFill>
              <w14:schemeClr w14:val="tx1"/>
            </w14:solidFill>
          </w14:textFill>
        </w:rPr>
      </w:pPr>
    </w:p>
    <w:p w14:paraId="41D4D4F2">
      <w:pPr>
        <w:kinsoku/>
        <w:rPr>
          <w:rFonts w:ascii="宋体" w:hAnsi="宋体" w:eastAsia="宋体" w:cs="宋体"/>
          <w:color w:val="000000" w:themeColor="text1"/>
          <w:highlight w:val="none"/>
          <w:lang w:eastAsia="zh-CN"/>
          <w14:textFill>
            <w14:solidFill>
              <w14:schemeClr w14:val="tx1"/>
            </w14:solidFill>
          </w14:textFill>
        </w:rPr>
      </w:pPr>
    </w:p>
    <w:p w14:paraId="343B9121">
      <w:pPr>
        <w:kinsoku/>
        <w:rPr>
          <w:rFonts w:ascii="宋体" w:hAnsi="宋体" w:eastAsia="宋体" w:cs="宋体"/>
          <w:color w:val="000000" w:themeColor="text1"/>
          <w:highlight w:val="none"/>
          <w:lang w:eastAsia="zh-CN"/>
          <w14:textFill>
            <w14:solidFill>
              <w14:schemeClr w14:val="tx1"/>
            </w14:solidFill>
          </w14:textFill>
        </w:rPr>
      </w:pPr>
    </w:p>
    <w:p w14:paraId="497F977A">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332F7628">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775AED30">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7FEA57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35982C2">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86A9EC5">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6C62D03">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4AADCB51">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0C798DA">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AF670DB">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9502235">
      <w:pPr>
        <w:kinsoku/>
        <w:spacing w:before="179" w:line="222" w:lineRule="auto"/>
        <w:ind w:left="3547"/>
        <w:rPr>
          <w:rFonts w:ascii="宋体" w:hAnsi="宋体" w:eastAsia="宋体" w:cs="宋体"/>
          <w:color w:val="000000" w:themeColor="text1"/>
          <w:sz w:val="55"/>
          <w:szCs w:val="55"/>
          <w:highlight w:val="none"/>
          <w:lang w:eastAsia="zh-CN"/>
          <w14:textFill>
            <w14:solidFill>
              <w14:schemeClr w14:val="tx1"/>
            </w14:solidFill>
          </w14:textFill>
        </w:rPr>
      </w:pPr>
      <w:r>
        <w:rPr>
          <w:rFonts w:hint="eastAsia" w:ascii="宋体" w:hAnsi="宋体" w:eastAsia="宋体" w:cs="宋体"/>
          <w:color w:val="000000" w:themeColor="text1"/>
          <w:sz w:val="55"/>
          <w:szCs w:val="55"/>
          <w:highlight w:val="none"/>
          <w:lang w:eastAsia="zh-CN"/>
          <w14:textFill>
            <w14:solidFill>
              <w14:schemeClr w14:val="tx1"/>
            </w14:solidFill>
          </w14:textFill>
        </w:rPr>
        <w:t>第三卷</w:t>
      </w:r>
    </w:p>
    <w:p w14:paraId="24C9F335">
      <w:pPr>
        <w:kinsoku/>
        <w:spacing w:line="222" w:lineRule="auto"/>
        <w:rPr>
          <w:rFonts w:ascii="宋体" w:hAnsi="宋体" w:eastAsia="宋体" w:cs="宋体"/>
          <w:color w:val="000000" w:themeColor="text1"/>
          <w:sz w:val="55"/>
          <w:szCs w:val="55"/>
          <w:highlight w:val="none"/>
          <w:lang w:eastAsia="zh-CN"/>
          <w14:textFill>
            <w14:solidFill>
              <w14:schemeClr w14:val="tx1"/>
            </w14:solidFill>
          </w14:textFill>
        </w:rPr>
        <w:sectPr>
          <w:footerReference r:id="rId43" w:type="default"/>
          <w:pgSz w:w="11907" w:h="16841"/>
          <w:pgMar w:top="1173" w:right="1555" w:bottom="1254" w:left="1615" w:header="862" w:footer="1093" w:gutter="0"/>
          <w:cols w:space="720" w:num="1"/>
        </w:sectPr>
      </w:pPr>
    </w:p>
    <w:p w14:paraId="6A7C8C7E">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4B4A5E23">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10EA7B87">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6F22896A">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346FCAB7">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36A98B3A">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53F7879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D0C74AD">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5A6236F">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743ED0E3">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17BA8562">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98A6656">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0745EF9">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3AA8E46B">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DFDA238">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28A23C86">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188FB197">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5CA1393">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EDADDDB">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6308591C">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77CCC4B2">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59A8A88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6B626D79">
      <w:pPr>
        <w:kinsoku/>
        <w:spacing w:before="179" w:line="225" w:lineRule="auto"/>
        <w:ind w:left="1444"/>
        <w:outlineLvl w:val="0"/>
        <w:rPr>
          <w:rFonts w:ascii="宋体" w:hAnsi="宋体" w:eastAsia="宋体" w:cs="宋体"/>
          <w:color w:val="000000" w:themeColor="text1"/>
          <w:sz w:val="28"/>
          <w:szCs w:val="28"/>
          <w:highlight w:val="none"/>
          <w:lang w:eastAsia="zh-CN"/>
          <w14:textFill>
            <w14:solidFill>
              <w14:schemeClr w14:val="tx1"/>
            </w14:solidFill>
          </w14:textFill>
        </w:rPr>
      </w:pPr>
      <w:bookmarkStart w:id="447" w:name="bookmark263"/>
      <w:bookmarkEnd w:id="447"/>
      <w:bookmarkStart w:id="448" w:name="bookmark262"/>
      <w:bookmarkEnd w:id="448"/>
      <w:bookmarkStart w:id="449" w:name="bookmark264"/>
      <w:bookmarkEnd w:id="449"/>
      <w:bookmarkStart w:id="450" w:name="_Toc29228"/>
      <w:bookmarkStart w:id="451" w:name="_Toc25702"/>
      <w:r>
        <w:rPr>
          <w:rFonts w:hint="eastAsia" w:ascii="宋体" w:hAnsi="宋体" w:eastAsia="宋体" w:cs="宋体"/>
          <w:color w:val="000000" w:themeColor="text1"/>
          <w:sz w:val="55"/>
          <w:szCs w:val="55"/>
          <w:highlight w:val="none"/>
          <w:lang w:eastAsia="zh-CN"/>
          <w14:textFill>
            <w14:solidFill>
              <w14:schemeClr w14:val="tx1"/>
            </w14:solidFill>
          </w14:textFill>
        </w:rPr>
        <w:t>第六章  投标文件格式</w:t>
      </w:r>
      <w:bookmarkEnd w:id="450"/>
      <w:bookmarkEnd w:id="451"/>
    </w:p>
    <w:p w14:paraId="3E66152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59FD0EFD">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399BA1E">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467BB71">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3D02C6D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2FE5E942">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424C9E0C">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E4C31C6">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0019A69">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35C23E41">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0B7126C">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325BF2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D22FBA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BA2460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A0BA1A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C3AB08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511D2C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92971F8">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90CADA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75C278E">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15B41A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C77453D">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88B054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2FBB58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25F027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0E52E3F">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879E501">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8A20E77">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586A1786">
      <w:pPr>
        <w:tabs>
          <w:tab w:val="left" w:pos="3287"/>
        </w:tabs>
        <w:kinsoku/>
        <w:spacing w:before="78" w:line="219" w:lineRule="auto"/>
        <w:ind w:left="0" w:leftChars="0" w:firstLine="0" w:firstLineChars="0"/>
        <w:jc w:val="center"/>
        <w:rPr>
          <w:rFonts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eastAsia="宋体" w:cs="宋体"/>
          <w:color w:val="000000" w:themeColor="text1"/>
          <w:sz w:val="32"/>
          <w:szCs w:val="32"/>
          <w:highlight w:val="none"/>
          <w:u w:val="single"/>
          <w:lang w:eastAsia="zh-CN"/>
          <w14:textFill>
            <w14:solidFill>
              <w14:schemeClr w14:val="tx1"/>
            </w14:solidFill>
          </w14:textFill>
        </w:rPr>
        <w:t>广东省韶关市始兴县道路交通信息化工程建设项目设计</w:t>
      </w:r>
      <w:r>
        <w:rPr>
          <w:rFonts w:hint="eastAsia" w:ascii="宋体" w:hAnsi="宋体" w:eastAsia="宋体" w:cs="宋体"/>
          <w:color w:val="000000" w:themeColor="text1"/>
          <w:sz w:val="32"/>
          <w:szCs w:val="32"/>
          <w:highlight w:val="none"/>
          <w:lang w:eastAsia="zh-CN"/>
          <w14:textFill>
            <w14:solidFill>
              <w14:schemeClr w14:val="tx1"/>
            </w14:solidFill>
          </w14:textFill>
        </w:rPr>
        <w:t>招标</w:t>
      </w:r>
    </w:p>
    <w:p w14:paraId="5FCCB884">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3D9B812A">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123F9985">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00C869C8">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5BCF5302">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4D1AD89B">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20726995">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4AE689D6">
      <w:pPr>
        <w:kinsoku/>
        <w:spacing w:line="265" w:lineRule="auto"/>
        <w:rPr>
          <w:rFonts w:ascii="宋体" w:hAnsi="宋体" w:eastAsia="宋体" w:cs="宋体"/>
          <w:color w:val="000000" w:themeColor="text1"/>
          <w:highlight w:val="none"/>
          <w:lang w:eastAsia="zh-CN"/>
          <w14:textFill>
            <w14:solidFill>
              <w14:schemeClr w14:val="tx1"/>
            </w14:solidFill>
          </w14:textFill>
        </w:rPr>
      </w:pPr>
    </w:p>
    <w:p w14:paraId="17525F7B">
      <w:pPr>
        <w:kinsoku/>
        <w:spacing w:before="159" w:line="332" w:lineRule="auto"/>
        <w:ind w:left="3322" w:right="2621" w:hanging="691"/>
        <w:rPr>
          <w:rFonts w:ascii="宋体" w:hAnsi="宋体" w:eastAsia="宋体" w:cs="宋体"/>
          <w:color w:val="000000" w:themeColor="text1"/>
          <w:sz w:val="36"/>
          <w:szCs w:val="36"/>
          <w:highlight w:val="none"/>
          <w:lang w:eastAsia="zh-CN"/>
          <w14:textFill>
            <w14:solidFill>
              <w14:schemeClr w14:val="tx1"/>
            </w14:solidFill>
          </w14:textFill>
        </w:rPr>
      </w:pPr>
      <w:bookmarkStart w:id="452" w:name="bookmark266"/>
      <w:bookmarkEnd w:id="452"/>
      <w:r>
        <w:rPr>
          <w:rFonts w:hint="eastAsia" w:ascii="宋体" w:hAnsi="宋体" w:eastAsia="宋体" w:cs="宋体"/>
          <w:color w:val="000000" w:themeColor="text1"/>
          <w:sz w:val="49"/>
          <w:szCs w:val="49"/>
          <w:highlight w:val="none"/>
          <w:lang w:eastAsia="zh-CN"/>
          <w14:textFill>
            <w14:solidFill>
              <w14:schemeClr w14:val="tx1"/>
            </w14:solidFill>
          </w14:textFill>
        </w:rPr>
        <w:t xml:space="preserve">投  标  文  件 </w:t>
      </w:r>
      <w:bookmarkStart w:id="453" w:name="bookmark265"/>
      <w:bookmarkEnd w:id="453"/>
      <w:r>
        <w:rPr>
          <w:rFonts w:hint="eastAsia" w:ascii="宋体" w:hAnsi="宋体" w:eastAsia="宋体" w:cs="宋体"/>
          <w:color w:val="000000" w:themeColor="text1"/>
          <w:sz w:val="36"/>
          <w:szCs w:val="36"/>
          <w:highlight w:val="none"/>
          <w:lang w:eastAsia="zh-CN"/>
          <w14:textFill>
            <w14:solidFill>
              <w14:schemeClr w14:val="tx1"/>
            </w14:solidFill>
          </w14:textFill>
        </w:rPr>
        <w:t>（商务文件）</w:t>
      </w:r>
    </w:p>
    <w:p w14:paraId="3529D88B">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4EF3349">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3D20ADF">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2E40DBE8">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3DCA234">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7F7F39C5">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794C62E">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62017659">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1BCAC446">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7420783">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5C2236E9">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5983CBF">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1456A249">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2ABEA0C8">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972BD42">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60016D80">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35BC82C9">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E37D453">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1E244971">
      <w:pPr>
        <w:tabs>
          <w:tab w:val="left" w:pos="3313"/>
        </w:tabs>
        <w:kinsoku/>
        <w:spacing w:before="91" w:line="568" w:lineRule="auto"/>
        <w:ind w:left="2196" w:right="614" w:hanging="1602"/>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年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月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日</w:t>
      </w:r>
    </w:p>
    <w:p w14:paraId="7D5A0EB3">
      <w:pPr>
        <w:kinsoku/>
        <w:spacing w:line="568" w:lineRule="auto"/>
        <w:rPr>
          <w:rFonts w:ascii="宋体" w:hAnsi="宋体" w:eastAsia="宋体" w:cs="宋体"/>
          <w:color w:val="000000" w:themeColor="text1"/>
          <w:sz w:val="28"/>
          <w:szCs w:val="28"/>
          <w:highlight w:val="none"/>
          <w:lang w:eastAsia="zh-CN"/>
          <w14:textFill>
            <w14:solidFill>
              <w14:schemeClr w14:val="tx1"/>
            </w14:solidFill>
          </w14:textFill>
        </w:rPr>
        <w:sectPr>
          <w:footerReference r:id="rId44" w:type="default"/>
          <w:pgSz w:w="11907" w:h="16841"/>
          <w:pgMar w:top="1173" w:right="1555" w:bottom="1254" w:left="1615" w:header="862" w:footer="1093" w:gutter="0"/>
          <w:cols w:space="720" w:num="1"/>
        </w:sectPr>
      </w:pPr>
    </w:p>
    <w:p w14:paraId="0B39F739">
      <w:pPr>
        <w:kinsoku/>
        <w:spacing w:line="357" w:lineRule="auto"/>
        <w:rPr>
          <w:rFonts w:ascii="宋体" w:hAnsi="宋体" w:eastAsia="宋体" w:cs="宋体"/>
          <w:color w:val="000000" w:themeColor="text1"/>
          <w:highlight w:val="none"/>
          <w:lang w:eastAsia="zh-CN"/>
          <w14:textFill>
            <w14:solidFill>
              <w14:schemeClr w14:val="tx1"/>
            </w14:solidFill>
          </w14:textFill>
        </w:rPr>
      </w:pPr>
    </w:p>
    <w:p w14:paraId="23D8A8E3">
      <w:pPr>
        <w:kinsoku/>
        <w:spacing w:line="358" w:lineRule="auto"/>
        <w:rPr>
          <w:rFonts w:ascii="宋体" w:hAnsi="宋体" w:eastAsia="宋体" w:cs="宋体"/>
          <w:color w:val="000000" w:themeColor="text1"/>
          <w:highlight w:val="none"/>
          <w:lang w:eastAsia="zh-CN"/>
          <w14:textFill>
            <w14:solidFill>
              <w14:schemeClr w14:val="tx1"/>
            </w14:solidFill>
          </w14:textFill>
        </w:rPr>
      </w:pPr>
    </w:p>
    <w:p w14:paraId="616FED64">
      <w:pPr>
        <w:kinsoku/>
        <w:spacing w:before="98" w:line="219" w:lineRule="auto"/>
        <w:ind w:left="3740"/>
        <w:rPr>
          <w:rFonts w:ascii="宋体" w:hAnsi="宋体" w:eastAsia="宋体" w:cs="宋体"/>
          <w:color w:val="000000" w:themeColor="text1"/>
          <w:sz w:val="30"/>
          <w:szCs w:val="30"/>
          <w:highlight w:val="none"/>
          <w:lang w:eastAsia="zh-CN"/>
          <w14:textFill>
            <w14:solidFill>
              <w14:schemeClr w14:val="tx1"/>
            </w14:solidFill>
          </w14:textFill>
        </w:rPr>
      </w:pPr>
      <w:bookmarkStart w:id="454" w:name="bookmark267"/>
      <w:bookmarkEnd w:id="454"/>
      <w:bookmarkStart w:id="455" w:name="bookmark268"/>
      <w:bookmarkEnd w:id="455"/>
      <w:r>
        <w:rPr>
          <w:rFonts w:hint="eastAsia" w:ascii="宋体" w:hAnsi="宋体" w:eastAsia="宋体" w:cs="宋体"/>
          <w:color w:val="000000" w:themeColor="text1"/>
          <w:sz w:val="30"/>
          <w:szCs w:val="30"/>
          <w:highlight w:val="none"/>
          <w:lang w:eastAsia="zh-CN"/>
          <w14:textFill>
            <w14:solidFill>
              <w14:schemeClr w14:val="tx1"/>
            </w14:solidFill>
          </w14:textFill>
        </w:rPr>
        <w:t>目     录</w:t>
      </w:r>
    </w:p>
    <w:p w14:paraId="5EEA3406">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367D1FFF">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17F6420">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3E239A1">
      <w:pPr>
        <w:kinsoku/>
        <w:spacing w:before="78" w:line="22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一、投标函</w:t>
      </w:r>
    </w:p>
    <w:p w14:paraId="69DA0E5F">
      <w:pPr>
        <w:kinsoku/>
        <w:spacing w:before="152" w:line="219"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二、授权委托书或法定代表人身份证明</w:t>
      </w:r>
    </w:p>
    <w:p w14:paraId="49EEEECA">
      <w:pPr>
        <w:kinsoku/>
        <w:spacing w:before="156" w:line="219"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三、联合体协议书（如有）</w:t>
      </w:r>
    </w:p>
    <w:p w14:paraId="07ABF578">
      <w:pPr>
        <w:kinsoku/>
        <w:spacing w:before="156" w:line="219"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四、投标保证金</w:t>
      </w:r>
    </w:p>
    <w:p w14:paraId="568D6379">
      <w:pPr>
        <w:kinsoku/>
        <w:spacing w:before="152" w:line="219"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五、拟分包项目情况表</w:t>
      </w:r>
    </w:p>
    <w:p w14:paraId="0159F022">
      <w:pPr>
        <w:kinsoku/>
        <w:spacing w:before="157" w:line="22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六、资格审查资料</w:t>
      </w:r>
    </w:p>
    <w:p w14:paraId="2EBD5476">
      <w:pPr>
        <w:kinsoku/>
        <w:spacing w:before="154" w:line="22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七、其他资料</w:t>
      </w:r>
    </w:p>
    <w:p w14:paraId="195F9E4E">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45" w:type="default"/>
          <w:pgSz w:w="11907" w:h="16841"/>
          <w:pgMar w:top="1173" w:right="1555" w:bottom="1254" w:left="1615" w:header="862" w:footer="1093" w:gutter="0"/>
          <w:cols w:space="720" w:num="1"/>
        </w:sectPr>
      </w:pPr>
    </w:p>
    <w:p w14:paraId="0EA2D8CF">
      <w:pPr>
        <w:kinsoku/>
        <w:spacing w:before="97" w:line="220" w:lineRule="auto"/>
        <w:ind w:left="3576"/>
        <w:rPr>
          <w:rFonts w:ascii="宋体" w:hAnsi="宋体" w:eastAsia="宋体" w:cs="宋体"/>
          <w:color w:val="000000" w:themeColor="text1"/>
          <w:sz w:val="30"/>
          <w:szCs w:val="30"/>
          <w:highlight w:val="none"/>
          <w:lang w:eastAsia="zh-CN"/>
          <w14:textFill>
            <w14:solidFill>
              <w14:schemeClr w14:val="tx1"/>
            </w14:solidFill>
          </w14:textFill>
        </w:rPr>
      </w:pPr>
      <w:bookmarkStart w:id="456" w:name="bookmark269"/>
      <w:bookmarkEnd w:id="456"/>
      <w:bookmarkStart w:id="457" w:name="bookmark270"/>
      <w:bookmarkEnd w:id="457"/>
      <w:r>
        <w:rPr>
          <w:rFonts w:hint="eastAsia" w:ascii="宋体" w:hAnsi="宋体" w:eastAsia="宋体" w:cs="宋体"/>
          <w:color w:val="000000" w:themeColor="text1"/>
          <w:sz w:val="30"/>
          <w:szCs w:val="30"/>
          <w:highlight w:val="none"/>
          <w:lang w:eastAsia="zh-CN"/>
          <w14:textFill>
            <w14:solidFill>
              <w14:schemeClr w14:val="tx1"/>
            </w14:solidFill>
          </w14:textFill>
        </w:rPr>
        <w:t>一、投标函</w:t>
      </w:r>
    </w:p>
    <w:p w14:paraId="399FAF3B">
      <w:pPr>
        <w:kinsoku/>
        <w:rPr>
          <w:rFonts w:ascii="宋体" w:hAnsi="宋体" w:eastAsia="宋体" w:cs="宋体"/>
          <w:color w:val="000000" w:themeColor="text1"/>
          <w:highlight w:val="none"/>
          <w:lang w:eastAsia="zh-CN"/>
          <w14:textFill>
            <w14:solidFill>
              <w14:schemeClr w14:val="tx1"/>
            </w14:solidFill>
          </w14:textFill>
        </w:rPr>
      </w:pPr>
    </w:p>
    <w:p w14:paraId="4836810A">
      <w:pPr>
        <w:kinsoku/>
        <w:spacing w:before="232" w:line="286" w:lineRule="auto"/>
        <w:ind w:left="38" w:right="104" w:firstLine="49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（招标人名称）：</w:t>
      </w:r>
    </w:p>
    <w:p w14:paraId="71C3E4F2">
      <w:pPr>
        <w:kinsoku/>
        <w:spacing w:before="232" w:line="286" w:lineRule="auto"/>
        <w:ind w:left="38" w:right="104" w:firstLine="49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1.我方已仔细研究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（项目名称）设计招标文件的全部内容（含补遗书，如有），在考察工程现场后，愿意以第二个信封（报价文件）中的投标总报价（或根据招标文件规定修正核实后确定的另一金额），按合同约定完成设计工作。</w:t>
      </w:r>
    </w:p>
    <w:p w14:paraId="1DA99EA0">
      <w:pPr>
        <w:kinsoku/>
        <w:spacing w:before="114" w:line="220" w:lineRule="auto"/>
        <w:ind w:left="51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2.我方承诺在招标文件规定的投标有效期内不撤销投标文件。</w:t>
      </w:r>
    </w:p>
    <w:p w14:paraId="202F9E34">
      <w:pPr>
        <w:kinsoku/>
        <w:spacing w:before="113"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3.项目负责人姓名：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，职称：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5CB45FD">
      <w:pPr>
        <w:kinsoku/>
        <w:spacing w:before="116" w:line="264" w:lineRule="auto"/>
        <w:ind w:left="54" w:right="103" w:firstLine="45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4.质量要求：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，安全目标：</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，设计服务期限：</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1805BFD">
      <w:pPr>
        <w:kinsoku/>
        <w:spacing w:before="111" w:line="220"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5.如我方中标，我方承诺：</w:t>
      </w:r>
    </w:p>
    <w:p w14:paraId="67B833E6">
      <w:pPr>
        <w:kinsoku/>
        <w:spacing w:before="115"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（1）在收到中标通知书后，在中标通知书规定的期限内与你方签订合同；</w:t>
      </w:r>
    </w:p>
    <w:p w14:paraId="2414C24A">
      <w:pPr>
        <w:kinsoku/>
        <w:spacing w:before="117"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（2）在签订合同时不向你方提出附加条件；</w:t>
      </w:r>
    </w:p>
    <w:p w14:paraId="3209383B">
      <w:pPr>
        <w:kinsoku/>
        <w:spacing w:before="113"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（3）按照招标文件要求提交履约保证金；</w:t>
      </w:r>
    </w:p>
    <w:p w14:paraId="61472783">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（4）在合同约定的期限内完成合同规定的全部义务；</w:t>
      </w:r>
    </w:p>
    <w:p w14:paraId="2BA84450">
      <w:pPr>
        <w:kinsoku/>
        <w:spacing w:before="114" w:line="286" w:lineRule="auto"/>
        <w:ind w:left="38" w:right="-72" w:firstLine="486"/>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在你方和我方进行合同谈判之前，我方将按照合同附件提出的最低要求填报派驻本标段的分项负责人，经你方审批后作为派驻本标段的设计主要人员且不进行更换。如我方拟派驻的人员不满足合同附件要求，你方有权取消我方中标资格。</w:t>
      </w:r>
    </w:p>
    <w:p w14:paraId="0556363D">
      <w:pPr>
        <w:kinsoku/>
        <w:spacing w:before="112" w:line="264" w:lineRule="auto"/>
        <w:ind w:left="42" w:right="-72"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6.我方在此声明，所递交的投标文件及有关资料内容完整、真实和准确，且不存在招标文件第二章“投标人须知”第1.4.3项和第1.4.4项规定的任何一种情形。</w:t>
      </w:r>
    </w:p>
    <w:p w14:paraId="34BE2DB9">
      <w:pPr>
        <w:kinsoku/>
        <w:spacing w:before="116" w:line="263" w:lineRule="auto"/>
        <w:ind w:left="40" w:right="-72" w:firstLine="477"/>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lang w:eastAsia="zh-CN"/>
          <w14:textFill>
            <w14:solidFill>
              <w14:schemeClr w14:val="tx1"/>
            </w14:solidFill>
          </w14:textFill>
        </w:rPr>
        <w:t>我方在此承诺</w:t>
      </w: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权利义务满足招标文件规定。</w:t>
      </w:r>
    </w:p>
    <w:p w14:paraId="30305FEF">
      <w:pPr>
        <w:kinsoku/>
        <w:spacing w:before="116" w:line="263" w:lineRule="auto"/>
        <w:ind w:left="40" w:right="-72"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8.在合同协议书正式签署生效之前，本投标函连同你方的中标通知书将构成我们双方之间共同遵守的文件，对双方具有约束力。</w:t>
      </w:r>
    </w:p>
    <w:p w14:paraId="2BEE6521">
      <w:pPr>
        <w:kinsoku/>
        <w:spacing w:before="115" w:line="220" w:lineRule="auto"/>
        <w:ind w:left="5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9.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（其他补充说明）。</w:t>
      </w:r>
    </w:p>
    <w:p w14:paraId="36797223">
      <w:pPr>
        <w:tabs>
          <w:tab w:val="left" w:pos="8620"/>
        </w:tabs>
        <w:kinsoku/>
        <w:spacing w:before="79" w:line="304" w:lineRule="auto"/>
        <w:ind w:left="3160" w:right="1" w:firstLine="4"/>
        <w:jc w:val="both"/>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 标 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A7B6208">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0D32530D">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地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p>
    <w:p w14:paraId="02D8A97E">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网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p>
    <w:p w14:paraId="7CA0EFA6">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电    话：</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p>
    <w:p w14:paraId="18EF523E">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传    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39960C24">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邮政编码：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6AEA9AFE">
      <w:pPr>
        <w:tabs>
          <w:tab w:val="left" w:pos="8620"/>
        </w:tabs>
        <w:kinsoku/>
        <w:spacing w:before="79" w:line="304" w:lineRule="auto"/>
        <w:ind w:right="1" w:firstLine="4080" w:firstLineChars="170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19388B65">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46" w:type="default"/>
          <w:pgSz w:w="11907" w:h="16839"/>
          <w:pgMar w:top="1173" w:right="1613" w:bottom="1254" w:left="1673" w:header="862" w:footer="1093" w:gutter="0"/>
          <w:cols w:space="720" w:num="1"/>
        </w:sectPr>
      </w:pPr>
    </w:p>
    <w:p w14:paraId="2C7A73D3">
      <w:pPr>
        <w:kinsoku/>
        <w:spacing w:before="98" w:line="218" w:lineRule="auto"/>
        <w:ind w:left="1775"/>
        <w:rPr>
          <w:rFonts w:ascii="宋体" w:hAnsi="宋体" w:eastAsia="宋体" w:cs="宋体"/>
          <w:color w:val="000000" w:themeColor="text1"/>
          <w:sz w:val="30"/>
          <w:szCs w:val="30"/>
          <w:highlight w:val="none"/>
          <w:lang w:eastAsia="zh-CN"/>
          <w14:textFill>
            <w14:solidFill>
              <w14:schemeClr w14:val="tx1"/>
            </w14:solidFill>
          </w14:textFill>
        </w:rPr>
      </w:pPr>
      <w:bookmarkStart w:id="458" w:name="bookmark272"/>
      <w:bookmarkEnd w:id="458"/>
      <w:bookmarkStart w:id="459" w:name="bookmark271"/>
      <w:bookmarkEnd w:id="459"/>
      <w:bookmarkStart w:id="460" w:name="bookmark274"/>
      <w:bookmarkEnd w:id="460"/>
      <w:r>
        <w:rPr>
          <w:rFonts w:hint="eastAsia" w:ascii="宋体" w:hAnsi="宋体" w:eastAsia="宋体" w:cs="宋体"/>
          <w:color w:val="000000" w:themeColor="text1"/>
          <w:sz w:val="30"/>
          <w:szCs w:val="30"/>
          <w:highlight w:val="none"/>
          <w:lang w:eastAsia="zh-CN"/>
          <w14:textFill>
            <w14:solidFill>
              <w14:schemeClr w14:val="tx1"/>
            </w14:solidFill>
          </w14:textFill>
        </w:rPr>
        <w:t>二、授权委托书或法定代表人身份证明</w:t>
      </w:r>
    </w:p>
    <w:p w14:paraId="547EFBAC">
      <w:pPr>
        <w:kinsoku/>
        <w:spacing w:line="308" w:lineRule="auto"/>
        <w:rPr>
          <w:rFonts w:ascii="宋体" w:hAnsi="宋体" w:eastAsia="宋体" w:cs="宋体"/>
          <w:color w:val="000000" w:themeColor="text1"/>
          <w:highlight w:val="none"/>
          <w:lang w:eastAsia="zh-CN"/>
          <w14:textFill>
            <w14:solidFill>
              <w14:schemeClr w14:val="tx1"/>
            </w14:solidFill>
          </w14:textFill>
        </w:rPr>
      </w:pPr>
    </w:p>
    <w:p w14:paraId="40CEAB33">
      <w:pPr>
        <w:kinsoku/>
        <w:spacing w:before="91" w:line="225" w:lineRule="auto"/>
        <w:ind w:left="3145"/>
        <w:rPr>
          <w:rFonts w:ascii="宋体" w:hAnsi="宋体" w:eastAsia="宋体" w:cs="宋体"/>
          <w:color w:val="000000" w:themeColor="text1"/>
          <w:sz w:val="13"/>
          <w:szCs w:val="13"/>
          <w:highlight w:val="none"/>
          <w:lang w:eastAsia="zh-CN"/>
          <w14:textFill>
            <w14:solidFill>
              <w14:schemeClr w14:val="tx1"/>
            </w14:solidFill>
          </w14:textFill>
        </w:rPr>
      </w:pPr>
      <w:bookmarkStart w:id="461" w:name="bookmark273"/>
      <w:bookmarkEnd w:id="461"/>
      <w:r>
        <w:rPr>
          <w:rFonts w:hint="eastAsia" w:ascii="宋体" w:hAnsi="宋体" w:eastAsia="宋体" w:cs="宋体"/>
          <w:color w:val="000000" w:themeColor="text1"/>
          <w:sz w:val="28"/>
          <w:szCs w:val="28"/>
          <w:highlight w:val="none"/>
          <w:lang w:eastAsia="zh-CN"/>
          <w14:textFill>
            <w14:solidFill>
              <w14:schemeClr w14:val="tx1"/>
            </w14:solidFill>
          </w14:textFill>
        </w:rPr>
        <w:t>（一）授权委托书</w:t>
      </w:r>
    </w:p>
    <w:p w14:paraId="6E9F0EED">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AD02F35">
      <w:pPr>
        <w:spacing w:line="480" w:lineRule="auto"/>
        <w:ind w:firstLine="48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sz w:val="24"/>
          <w:highlight w:val="none"/>
          <w:u w:val="singl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（招标人全称）：</w:t>
      </w:r>
    </w:p>
    <w:p w14:paraId="17E703F0">
      <w:pPr>
        <w:kinsoku/>
        <w:spacing w:before="78" w:line="332" w:lineRule="auto"/>
        <w:ind w:left="38" w:right="16" w:firstLine="48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（姓名）系</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（投标人名称）的法定代表人，现委托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（姓名）为我方代理人。代理人根据授权，以我方名义签署、澄清确认、递交、撤回、修改</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（项目名称）设计投标文件、签订合同和处理有关事宜，其法律后果由我方承担。</w:t>
      </w:r>
    </w:p>
    <w:p w14:paraId="791E2482">
      <w:pPr>
        <w:kinsoku/>
        <w:spacing w:before="34" w:line="325" w:lineRule="auto"/>
        <w:ind w:left="517" w:right="245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委托期限：自本委托书签署之日起至投标有效期期满代理人无转委托权。</w:t>
      </w:r>
    </w:p>
    <w:p w14:paraId="4AB0D4EB">
      <w:pPr>
        <w:kinsoku/>
        <w:spacing w:line="429" w:lineRule="auto"/>
        <w:rPr>
          <w:rFonts w:ascii="宋体" w:hAnsi="宋体" w:eastAsia="宋体" w:cs="宋体"/>
          <w:color w:val="000000" w:themeColor="text1"/>
          <w:highlight w:val="none"/>
          <w:lang w:eastAsia="zh-CN"/>
          <w14:textFill>
            <w14:solidFill>
              <w14:schemeClr w14:val="tx1"/>
            </w14:solidFill>
          </w14:textFill>
        </w:rPr>
      </w:pPr>
    </w:p>
    <w:p w14:paraId="2231C5E7">
      <w:pPr>
        <w:kinsoku/>
        <w:spacing w:before="69" w:line="220" w:lineRule="auto"/>
        <w:ind w:left="5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附：法定代表人身份证复印件及委托代理人身份证复印件。</w:t>
      </w:r>
    </w:p>
    <w:p w14:paraId="0E4F5A3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6B05663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306616B6">
      <w:pPr>
        <w:kinsoku/>
        <w:spacing w:before="78" w:line="219" w:lineRule="auto"/>
        <w:ind w:left="333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ACF7FF0">
      <w:pPr>
        <w:kinsoku/>
        <w:spacing w:line="436" w:lineRule="auto"/>
        <w:rPr>
          <w:rFonts w:ascii="宋体" w:hAnsi="宋体" w:eastAsia="宋体" w:cs="宋体"/>
          <w:color w:val="000000" w:themeColor="text1"/>
          <w:highlight w:val="none"/>
          <w:lang w:eastAsia="zh-CN"/>
          <w14:textFill>
            <w14:solidFill>
              <w14:schemeClr w14:val="tx1"/>
            </w14:solidFill>
          </w14:textFill>
        </w:rPr>
      </w:pPr>
    </w:p>
    <w:p w14:paraId="6D71809C">
      <w:pPr>
        <w:kinsoku/>
        <w:spacing w:before="78" w:line="220" w:lineRule="auto"/>
        <w:ind w:left="333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5A5A0251">
      <w:pPr>
        <w:kinsoku/>
        <w:spacing w:line="432" w:lineRule="auto"/>
        <w:rPr>
          <w:rFonts w:ascii="宋体" w:hAnsi="宋体" w:eastAsia="宋体" w:cs="宋体"/>
          <w:color w:val="000000" w:themeColor="text1"/>
          <w:highlight w:val="none"/>
          <w:lang w:eastAsia="zh-CN"/>
          <w14:textFill>
            <w14:solidFill>
              <w14:schemeClr w14:val="tx1"/>
            </w14:solidFill>
          </w14:textFill>
        </w:rPr>
      </w:pPr>
    </w:p>
    <w:p w14:paraId="1F3C470F">
      <w:pPr>
        <w:kinsoku/>
        <w:spacing w:before="78" w:line="220" w:lineRule="auto"/>
        <w:ind w:left="333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身份证号码：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7E205A1D">
      <w:pPr>
        <w:kinsoku/>
        <w:spacing w:line="432" w:lineRule="auto"/>
        <w:rPr>
          <w:rFonts w:ascii="宋体" w:hAnsi="宋体" w:eastAsia="宋体" w:cs="宋体"/>
          <w:color w:val="000000" w:themeColor="text1"/>
          <w:highlight w:val="none"/>
          <w:lang w:eastAsia="zh-CN"/>
          <w14:textFill>
            <w14:solidFill>
              <w14:schemeClr w14:val="tx1"/>
            </w14:solidFill>
          </w14:textFill>
        </w:rPr>
      </w:pPr>
    </w:p>
    <w:p w14:paraId="4535F084">
      <w:pPr>
        <w:kinsoku/>
        <w:spacing w:before="78" w:line="220" w:lineRule="auto"/>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78E3D042">
      <w:pPr>
        <w:kinsoku/>
        <w:spacing w:line="434" w:lineRule="auto"/>
        <w:rPr>
          <w:rFonts w:ascii="宋体" w:hAnsi="宋体" w:eastAsia="宋体" w:cs="宋体"/>
          <w:color w:val="000000" w:themeColor="text1"/>
          <w:highlight w:val="none"/>
          <w:lang w:eastAsia="zh-CN"/>
          <w14:textFill>
            <w14:solidFill>
              <w14:schemeClr w14:val="tx1"/>
            </w14:solidFill>
          </w14:textFill>
        </w:rPr>
      </w:pPr>
    </w:p>
    <w:p w14:paraId="48FA8363">
      <w:pPr>
        <w:kinsoku/>
        <w:spacing w:before="79" w:line="220" w:lineRule="auto"/>
        <w:ind w:left="333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身份证号码：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3FC2541">
      <w:pPr>
        <w:kinsoku/>
        <w:spacing w:line="433" w:lineRule="auto"/>
        <w:rPr>
          <w:rFonts w:ascii="宋体" w:hAnsi="宋体" w:eastAsia="宋体" w:cs="宋体"/>
          <w:color w:val="000000" w:themeColor="text1"/>
          <w:highlight w:val="none"/>
          <w:lang w:eastAsia="zh-CN"/>
          <w14:textFill>
            <w14:solidFill>
              <w14:schemeClr w14:val="tx1"/>
            </w14:solidFill>
          </w14:textFill>
        </w:rPr>
      </w:pPr>
    </w:p>
    <w:p w14:paraId="51579BC0">
      <w:pPr>
        <w:tabs>
          <w:tab w:val="left" w:pos="5487"/>
        </w:tabs>
        <w:kinsoku/>
        <w:spacing w:before="78" w:line="220" w:lineRule="auto"/>
        <w:ind w:left="464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08A87014">
      <w:pPr>
        <w:kinsoku/>
        <w:spacing w:line="390" w:lineRule="auto"/>
        <w:rPr>
          <w:rFonts w:ascii="宋体" w:hAnsi="宋体" w:eastAsia="宋体" w:cs="宋体"/>
          <w:color w:val="000000" w:themeColor="text1"/>
          <w:highlight w:val="none"/>
          <w:lang w:eastAsia="zh-CN"/>
          <w14:textFill>
            <w14:solidFill>
              <w14:schemeClr w14:val="tx1"/>
            </w14:solidFill>
          </w14:textFill>
        </w:rPr>
      </w:pPr>
    </w:p>
    <w:p w14:paraId="396A4CB7">
      <w:pPr>
        <w:kinsoku/>
        <w:spacing w:before="70" w:line="360" w:lineRule="auto"/>
        <w:ind w:left="3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注：法定代表人和委托代理人必须在授权委托书上亲笔签名，不得使用印章、签名章或其他电子制版签名代替；</w:t>
      </w:r>
      <w:r>
        <w:rPr>
          <w:rFonts w:hint="eastAsia" w:ascii="宋体" w:hAnsi="宋体" w:cs="宋体"/>
          <w:color w:val="000000" w:themeColor="text1"/>
          <w:highlight w:val="none"/>
          <w:lang w:eastAsia="zh-CN"/>
          <w14:textFill>
            <w14:solidFill>
              <w14:schemeClr w14:val="tx1"/>
            </w14:solidFill>
          </w14:textFill>
        </w:rPr>
        <w:t>（如果由投标人的法定代表人签署投标文件，则不需提交授权委托书。）</w:t>
      </w:r>
    </w:p>
    <w:p w14:paraId="16C1C8B4">
      <w:pPr>
        <w:kinsoku/>
        <w:autoSpaceDE/>
        <w:autoSpaceDN/>
        <w:adjustRightInd/>
        <w:snapToGrid/>
        <w:textAlignment w:val="auto"/>
        <w:rPr>
          <w:rFonts w:ascii="宋体" w:hAnsi="宋体" w:eastAsia="宋体" w:cs="宋体"/>
          <w:color w:val="000000" w:themeColor="text1"/>
          <w:highlight w:val="none"/>
          <w:lang w:eastAsia="zh-CN"/>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br w:type="page"/>
      </w:r>
    </w:p>
    <w:p w14:paraId="33636C43">
      <w:pPr>
        <w:kinsoku/>
        <w:spacing w:before="91" w:line="219" w:lineRule="auto"/>
        <w:ind w:left="2658"/>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（二）法定代表人身份证明</w:t>
      </w:r>
    </w:p>
    <w:p w14:paraId="3B430203">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6B3CFFB">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A3C053C">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6CDF209">
      <w:pPr>
        <w:kinsoku/>
        <w:spacing w:before="78" w:line="220"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FAFE435">
      <w:pPr>
        <w:kinsoku/>
        <w:spacing w:before="154" w:line="325" w:lineRule="auto"/>
        <w:ind w:left="42" w:right="28" w:hanging="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姓名：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（法定代表人亲笔签字）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性别：</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职务：</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系</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（投标人名称）的法定代表人。</w:t>
      </w:r>
    </w:p>
    <w:p w14:paraId="6D48A9D7">
      <w:pPr>
        <w:kinsoku/>
        <w:spacing w:before="33"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特此证明。</w:t>
      </w:r>
    </w:p>
    <w:p w14:paraId="0C3BE407">
      <w:pPr>
        <w:kinsoku/>
        <w:spacing w:line="274" w:lineRule="auto"/>
        <w:rPr>
          <w:rFonts w:ascii="宋体" w:hAnsi="宋体" w:eastAsia="宋体" w:cs="宋体"/>
          <w:color w:val="000000" w:themeColor="text1"/>
          <w:highlight w:val="none"/>
          <w:lang w:eastAsia="zh-CN"/>
          <w14:textFill>
            <w14:solidFill>
              <w14:schemeClr w14:val="tx1"/>
            </w14:solidFill>
          </w14:textFill>
        </w:rPr>
      </w:pPr>
    </w:p>
    <w:p w14:paraId="5E53154F">
      <w:pPr>
        <w:kinsoku/>
        <w:spacing w:line="274" w:lineRule="auto"/>
        <w:rPr>
          <w:rFonts w:ascii="宋体" w:hAnsi="宋体" w:eastAsia="宋体" w:cs="宋体"/>
          <w:color w:val="000000" w:themeColor="text1"/>
          <w:highlight w:val="none"/>
          <w:lang w:eastAsia="zh-CN"/>
          <w14:textFill>
            <w14:solidFill>
              <w14:schemeClr w14:val="tx1"/>
            </w14:solidFill>
          </w14:textFill>
        </w:rPr>
      </w:pPr>
    </w:p>
    <w:p w14:paraId="4EAFD0A7">
      <w:pPr>
        <w:kinsoku/>
        <w:spacing w:before="69" w:line="220" w:lineRule="auto"/>
        <w:ind w:left="5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附：法定代表人身份证复印件。</w:t>
      </w:r>
    </w:p>
    <w:p w14:paraId="73A0238F">
      <w:pPr>
        <w:kinsoku/>
        <w:spacing w:line="279" w:lineRule="auto"/>
        <w:rPr>
          <w:rFonts w:ascii="宋体" w:hAnsi="宋体" w:eastAsia="宋体" w:cs="宋体"/>
          <w:color w:val="000000" w:themeColor="text1"/>
          <w:highlight w:val="none"/>
          <w:lang w:eastAsia="zh-CN"/>
          <w14:textFill>
            <w14:solidFill>
              <w14:schemeClr w14:val="tx1"/>
            </w14:solidFill>
          </w14:textFill>
        </w:rPr>
      </w:pPr>
    </w:p>
    <w:p w14:paraId="34F4157F">
      <w:pPr>
        <w:kinsoku/>
        <w:spacing w:line="279" w:lineRule="auto"/>
        <w:rPr>
          <w:rFonts w:ascii="宋体" w:hAnsi="宋体" w:eastAsia="宋体" w:cs="宋体"/>
          <w:color w:val="000000" w:themeColor="text1"/>
          <w:highlight w:val="none"/>
          <w:lang w:eastAsia="zh-CN"/>
          <w14:textFill>
            <w14:solidFill>
              <w14:schemeClr w14:val="tx1"/>
            </w14:solidFill>
          </w14:textFill>
        </w:rPr>
      </w:pPr>
    </w:p>
    <w:p w14:paraId="19342166">
      <w:pPr>
        <w:kinsoku/>
        <w:spacing w:line="280" w:lineRule="auto"/>
        <w:rPr>
          <w:rFonts w:ascii="宋体" w:hAnsi="宋体" w:eastAsia="宋体" w:cs="宋体"/>
          <w:color w:val="000000" w:themeColor="text1"/>
          <w:highlight w:val="none"/>
          <w:lang w:eastAsia="zh-CN"/>
          <w14:textFill>
            <w14:solidFill>
              <w14:schemeClr w14:val="tx1"/>
            </w14:solidFill>
          </w14:textFill>
        </w:rPr>
      </w:pPr>
    </w:p>
    <w:p w14:paraId="520EA3E8">
      <w:pPr>
        <w:kinsoku/>
        <w:spacing w:line="280" w:lineRule="auto"/>
        <w:rPr>
          <w:rFonts w:ascii="宋体" w:hAnsi="宋体" w:eastAsia="宋体" w:cs="宋体"/>
          <w:color w:val="000000" w:themeColor="text1"/>
          <w:highlight w:val="none"/>
          <w:lang w:eastAsia="zh-CN"/>
          <w14:textFill>
            <w14:solidFill>
              <w14:schemeClr w14:val="tx1"/>
            </w14:solidFill>
          </w14:textFill>
        </w:rPr>
      </w:pPr>
    </w:p>
    <w:p w14:paraId="0B84294E">
      <w:pPr>
        <w:kinsoku/>
        <w:spacing w:line="280" w:lineRule="auto"/>
        <w:rPr>
          <w:rFonts w:ascii="宋体" w:hAnsi="宋体" w:eastAsia="宋体" w:cs="宋体"/>
          <w:color w:val="000000" w:themeColor="text1"/>
          <w:highlight w:val="none"/>
          <w:lang w:eastAsia="zh-CN"/>
          <w14:textFill>
            <w14:solidFill>
              <w14:schemeClr w14:val="tx1"/>
            </w14:solidFill>
          </w14:textFill>
        </w:rPr>
      </w:pPr>
    </w:p>
    <w:p w14:paraId="787A1BFD">
      <w:pPr>
        <w:tabs>
          <w:tab w:val="left" w:pos="5429"/>
        </w:tabs>
        <w:kinsoku/>
        <w:spacing w:before="78" w:line="326" w:lineRule="auto"/>
        <w:ind w:left="4348" w:right="221" w:hanging="11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（盖单位章） </w:t>
      </w:r>
    </w:p>
    <w:p w14:paraId="465040B4">
      <w:pPr>
        <w:tabs>
          <w:tab w:val="left" w:pos="5429"/>
        </w:tabs>
        <w:kinsoku/>
        <w:spacing w:before="78" w:line="326" w:lineRule="auto"/>
        <w:ind w:left="3970" w:leftChars="1702" w:right="1045" w:hanging="396" w:hangingChars="16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日</w:t>
      </w:r>
    </w:p>
    <w:p w14:paraId="70DF22C9">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0B885588">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48EE34C">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C2EC37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700B8AC">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8CA8FF9">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07F4CA6B">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46CAFBC">
      <w:pPr>
        <w:kinsoku/>
        <w:spacing w:before="69" w:line="220" w:lineRule="auto"/>
        <w:ind w:right="25"/>
        <w:jc w:val="right"/>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注：法定代表人的签字必须是亲笔签名，不得使用印章、签名章或其他电子制版签名代替。</w:t>
      </w:r>
    </w:p>
    <w:p w14:paraId="37F9B1E6">
      <w:pPr>
        <w:kinsoku/>
        <w:spacing w:line="220" w:lineRule="auto"/>
        <w:rPr>
          <w:rFonts w:ascii="宋体" w:hAnsi="宋体" w:eastAsia="宋体" w:cs="宋体"/>
          <w:color w:val="000000" w:themeColor="text1"/>
          <w:highlight w:val="none"/>
          <w:lang w:eastAsia="zh-CN"/>
          <w14:textFill>
            <w14:solidFill>
              <w14:schemeClr w14:val="tx1"/>
            </w14:solidFill>
          </w14:textFill>
        </w:rPr>
        <w:sectPr>
          <w:footerReference r:id="rId47" w:type="default"/>
          <w:pgSz w:w="11907" w:h="16839"/>
          <w:pgMar w:top="1173" w:right="1613" w:bottom="1254" w:left="1673" w:header="862" w:footer="1093" w:gutter="0"/>
          <w:cols w:space="720" w:num="1"/>
        </w:sectPr>
      </w:pPr>
    </w:p>
    <w:p w14:paraId="4DC8CB98">
      <w:pPr>
        <w:kinsoku/>
        <w:spacing w:before="91" w:line="225" w:lineRule="auto"/>
        <w:jc w:val="center"/>
        <w:rPr>
          <w:rFonts w:ascii="宋体" w:hAnsi="宋体" w:eastAsia="宋体" w:cs="宋体"/>
          <w:color w:val="000000" w:themeColor="text1"/>
          <w:sz w:val="13"/>
          <w:szCs w:val="13"/>
          <w:highlight w:val="none"/>
          <w:lang w:eastAsia="zh-CN"/>
          <w14:textFill>
            <w14:solidFill>
              <w14:schemeClr w14:val="tx1"/>
            </w14:solidFill>
          </w14:textFill>
        </w:rPr>
      </w:pPr>
      <w:bookmarkStart w:id="462" w:name="bookmark277"/>
      <w:bookmarkEnd w:id="462"/>
      <w:bookmarkStart w:id="463" w:name="bookmark278"/>
      <w:bookmarkEnd w:id="463"/>
      <w:r>
        <w:rPr>
          <w:rFonts w:hint="eastAsia" w:ascii="宋体" w:hAnsi="宋体" w:eastAsia="宋体" w:cs="宋体"/>
          <w:b/>
          <w:bCs/>
          <w:color w:val="000000" w:themeColor="text1"/>
          <w:sz w:val="28"/>
          <w:szCs w:val="28"/>
          <w:highlight w:val="none"/>
          <w:lang w:eastAsia="zh-CN"/>
          <w14:textFill>
            <w14:solidFill>
              <w14:schemeClr w14:val="tx1"/>
            </w14:solidFill>
          </w14:textFill>
        </w:rPr>
        <w:t>三、</w:t>
      </w:r>
      <w:r>
        <w:rPr>
          <w:rFonts w:hint="eastAsia" w:ascii="宋体" w:hAnsi="宋体" w:eastAsia="宋体" w:cs="宋体"/>
          <w:color w:val="000000" w:themeColor="text1"/>
          <w:sz w:val="28"/>
          <w:szCs w:val="28"/>
          <w:highlight w:val="none"/>
          <w:lang w:eastAsia="zh-CN"/>
          <w14:textFill>
            <w14:solidFill>
              <w14:schemeClr w14:val="tx1"/>
            </w14:solidFill>
          </w14:textFill>
        </w:rPr>
        <w:t>联合体协议书（如有）</w:t>
      </w:r>
    </w:p>
    <w:p w14:paraId="37ACA8D6">
      <w:pPr>
        <w:kinsoku/>
        <w:spacing w:line="354" w:lineRule="auto"/>
        <w:rPr>
          <w:rFonts w:ascii="宋体" w:hAnsi="宋体" w:eastAsia="宋体" w:cs="宋体"/>
          <w:color w:val="000000" w:themeColor="text1"/>
          <w:highlight w:val="none"/>
          <w:lang w:eastAsia="zh-CN"/>
          <w14:textFill>
            <w14:solidFill>
              <w14:schemeClr w14:val="tx1"/>
            </w14:solidFill>
          </w14:textFill>
        </w:rPr>
      </w:pPr>
    </w:p>
    <w:p w14:paraId="54A9F3D0">
      <w:pPr>
        <w:kinsoku/>
        <w:spacing w:line="354" w:lineRule="auto"/>
        <w:rPr>
          <w:rFonts w:ascii="宋体" w:hAnsi="宋体" w:eastAsia="宋体" w:cs="宋体"/>
          <w:color w:val="000000" w:themeColor="text1"/>
          <w:highlight w:val="none"/>
          <w:lang w:eastAsia="zh-CN"/>
          <w14:textFill>
            <w14:solidFill>
              <w14:schemeClr w14:val="tx1"/>
            </w14:solidFill>
          </w14:textFill>
        </w:rPr>
      </w:pPr>
    </w:p>
    <w:p w14:paraId="56A7989B">
      <w:pPr>
        <w:tabs>
          <w:tab w:val="left" w:pos="2308"/>
        </w:tabs>
        <w:kinsoku/>
        <w:spacing w:before="78" w:line="300" w:lineRule="auto"/>
        <w:ind w:left="38" w:right="1" w:firstLine="35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（所有成员单位名称）自愿组成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（联合体名称）联合体，共同参加</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标段设计招标投标。现就联合体投标事宜订立如下协议。</w:t>
      </w:r>
    </w:p>
    <w:p w14:paraId="39F816D1">
      <w:pPr>
        <w:kinsoku/>
        <w:spacing w:before="31" w:line="219" w:lineRule="auto"/>
        <w:ind w:right="1" w:firstLine="499" w:firstLineChars="20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（某成员单位名称）为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（联合体名称）牵头人。</w:t>
      </w:r>
    </w:p>
    <w:p w14:paraId="04D8940A">
      <w:pPr>
        <w:kinsoku/>
        <w:spacing w:before="118" w:line="298" w:lineRule="auto"/>
        <w:ind w:left="38" w:right="1" w:firstLine="46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2.联合体各成员授权牵头人代表联合体参加投标活动，签署文件，提交和接收相关的资料、信息及指示，进行合同谈判活动，负责合同实施阶段的组织和协调工作，以及处理与本招标项目有关的一切事宜。</w:t>
      </w:r>
    </w:p>
    <w:p w14:paraId="6C05F79F">
      <w:pPr>
        <w:kinsoku/>
        <w:spacing w:before="34" w:line="299" w:lineRule="auto"/>
        <w:ind w:left="39" w:right="1" w:firstLine="4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3.联合体牵头人在本项目中签署的一切文件和处理的一切事宜，联合体各成员均予以承认。联合体各成员将严格按照招标文件、投标文件和合同的要求全面履行义务，并向招标人承担连带责任。</w:t>
      </w:r>
    </w:p>
    <w:p w14:paraId="226CB0E8">
      <w:pPr>
        <w:kinsoku/>
        <w:spacing w:before="35" w:line="303" w:lineRule="auto"/>
        <w:ind w:left="77" w:right="1" w:firstLine="43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4.联合体各成员单位内部的职责分工如下：</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（牵头人名称）</w:t>
      </w:r>
      <w:r>
        <w:rPr>
          <w:rFonts w:hint="eastAsia" w:ascii="宋体" w:hAnsi="宋体" w:eastAsia="宋体" w:cs="宋体"/>
          <w:color w:val="000000" w:themeColor="text1"/>
          <w:sz w:val="24"/>
          <w:szCs w:val="24"/>
          <w:highlight w:val="none"/>
          <w:lang w:eastAsia="zh-CN"/>
          <w14:textFill>
            <w14:solidFill>
              <w14:schemeClr w14:val="tx1"/>
            </w14:solidFill>
          </w14:textFill>
        </w:rPr>
        <w:t>承担</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专业工程，占总工程量的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（成员一名称）</w:t>
      </w:r>
      <w:r>
        <w:rPr>
          <w:rFonts w:hint="eastAsia" w:ascii="宋体" w:hAnsi="宋体" w:eastAsia="宋体" w:cs="宋体"/>
          <w:color w:val="000000" w:themeColor="text1"/>
          <w:sz w:val="24"/>
          <w:szCs w:val="24"/>
          <w:highlight w:val="none"/>
          <w:lang w:eastAsia="zh-CN"/>
          <w14:textFill>
            <w14:solidFill>
              <w14:schemeClr w14:val="tx1"/>
            </w14:solidFill>
          </w14:textFill>
        </w:rPr>
        <w:t>承担</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专业工程，占总工程量的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12CC96B2">
      <w:pPr>
        <w:kinsoku/>
        <w:spacing w:before="11" w:line="295" w:lineRule="auto"/>
        <w:ind w:left="38" w:right="1" w:firstLine="48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5.投标工作和联合体在中标后工程实施过程中的有关费用按各自承担的工作量分摊。</w:t>
      </w:r>
    </w:p>
    <w:p w14:paraId="529B6039">
      <w:pPr>
        <w:kinsoku/>
        <w:spacing w:before="35" w:line="293" w:lineRule="auto"/>
        <w:ind w:left="40" w:right="1"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6.本协议书自所有成员单位法定代表人签字或盖单位章之日起生效，合同履行完毕后自动失效。</w:t>
      </w:r>
    </w:p>
    <w:p w14:paraId="7DC1E208">
      <w:pPr>
        <w:kinsoku/>
        <w:spacing w:before="37" w:line="219" w:lineRule="auto"/>
        <w:ind w:left="517"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7.本协议书一式</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份，联合体成员和招标人各执一份。</w:t>
      </w:r>
    </w:p>
    <w:p w14:paraId="40912712">
      <w:pPr>
        <w:kinsoku/>
        <w:spacing w:line="434" w:lineRule="auto"/>
        <w:ind w:right="1"/>
        <w:rPr>
          <w:rFonts w:ascii="宋体" w:hAnsi="宋体" w:eastAsia="宋体" w:cs="宋体"/>
          <w:color w:val="000000" w:themeColor="text1"/>
          <w:highlight w:val="none"/>
          <w:lang w:eastAsia="zh-CN"/>
          <w14:textFill>
            <w14:solidFill>
              <w14:schemeClr w14:val="tx1"/>
            </w14:solidFill>
          </w14:textFill>
        </w:rPr>
      </w:pPr>
    </w:p>
    <w:p w14:paraId="4506D2F1">
      <w:pPr>
        <w:kinsoku/>
        <w:spacing w:before="78" w:line="295" w:lineRule="auto"/>
        <w:ind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联合体牵头人名称：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法定代表人：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11942076">
      <w:pPr>
        <w:kinsoku/>
        <w:spacing w:line="353" w:lineRule="auto"/>
        <w:ind w:right="1"/>
        <w:rPr>
          <w:rFonts w:ascii="宋体" w:hAnsi="宋体" w:eastAsia="宋体" w:cs="宋体"/>
          <w:color w:val="000000" w:themeColor="text1"/>
          <w:highlight w:val="none"/>
          <w:lang w:eastAsia="zh-CN"/>
          <w14:textFill>
            <w14:solidFill>
              <w14:schemeClr w14:val="tx1"/>
            </w14:solidFill>
          </w14:textFill>
        </w:rPr>
      </w:pPr>
    </w:p>
    <w:p w14:paraId="6BE53B42">
      <w:pPr>
        <w:kinsoku/>
        <w:spacing w:before="79" w:line="295" w:lineRule="auto"/>
        <w:ind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联合体牵头人名称：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法定代表人：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5D8438E5">
      <w:pPr>
        <w:kinsoku/>
        <w:spacing w:line="352" w:lineRule="auto"/>
        <w:ind w:right="1"/>
        <w:rPr>
          <w:rFonts w:ascii="宋体" w:hAnsi="宋体" w:eastAsia="宋体" w:cs="宋体"/>
          <w:color w:val="000000" w:themeColor="text1"/>
          <w:highlight w:val="none"/>
          <w:lang w:eastAsia="zh-CN"/>
          <w14:textFill>
            <w14:solidFill>
              <w14:schemeClr w14:val="tx1"/>
            </w14:solidFill>
          </w14:textFill>
        </w:rPr>
      </w:pPr>
    </w:p>
    <w:p w14:paraId="5EE0897E">
      <w:pPr>
        <w:kinsoku/>
        <w:spacing w:before="78" w:line="295" w:lineRule="auto"/>
        <w:ind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联合体牵头人名称：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法定代表人：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21EC0EE8">
      <w:pPr>
        <w:kinsoku/>
        <w:spacing w:before="230" w:line="75" w:lineRule="exact"/>
        <w:ind w:left="535"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1622A194">
      <w:pPr>
        <w:tabs>
          <w:tab w:val="left" w:pos="6670"/>
        </w:tabs>
        <w:kinsoku/>
        <w:spacing w:before="128" w:line="220" w:lineRule="auto"/>
        <w:ind w:right="421"/>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5E98FE8E">
      <w:pPr>
        <w:kinsoku/>
        <w:spacing w:line="288" w:lineRule="auto"/>
        <w:rPr>
          <w:rFonts w:ascii="宋体" w:hAnsi="宋体" w:eastAsia="宋体" w:cs="宋体"/>
          <w:color w:val="000000" w:themeColor="text1"/>
          <w:highlight w:val="none"/>
          <w:lang w:eastAsia="zh-CN"/>
          <w14:textFill>
            <w14:solidFill>
              <w14:schemeClr w14:val="tx1"/>
            </w14:solidFill>
          </w14:textFill>
        </w:rPr>
      </w:pPr>
    </w:p>
    <w:p w14:paraId="62E9846E">
      <w:pPr>
        <w:kinsoku/>
        <w:rPr>
          <w:rFonts w:ascii="宋体" w:hAnsi="宋体" w:eastAsia="宋体" w:cs="宋体"/>
          <w:color w:val="000000" w:themeColor="text1"/>
          <w:sz w:val="28"/>
          <w:szCs w:val="28"/>
          <w:highlight w:val="none"/>
          <w:lang w:eastAsia="zh-CN"/>
          <w14:textFill>
            <w14:solidFill>
              <w14:schemeClr w14:val="tx1"/>
            </w14:solidFill>
          </w14:textFill>
        </w:rPr>
      </w:pPr>
      <w:bookmarkStart w:id="464" w:name="bookmark280"/>
      <w:bookmarkEnd w:id="464"/>
      <w:bookmarkStart w:id="465" w:name="bookmark279"/>
      <w:bookmarkEnd w:id="465"/>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00B6B375">
      <w:pPr>
        <w:kinsoku/>
        <w:spacing w:before="91" w:line="220" w:lineRule="auto"/>
        <w:ind w:left="3356"/>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四、投标保证金</w:t>
      </w:r>
    </w:p>
    <w:p w14:paraId="603DDAC3">
      <w:pPr>
        <w:kinsoku/>
        <w:spacing w:line="469" w:lineRule="auto"/>
        <w:rPr>
          <w:rFonts w:ascii="宋体" w:hAnsi="宋体" w:eastAsia="宋体" w:cs="宋体"/>
          <w:color w:val="000000" w:themeColor="text1"/>
          <w:highlight w:val="none"/>
          <w:lang w:eastAsia="zh-CN"/>
          <w14:textFill>
            <w14:solidFill>
              <w14:schemeClr w14:val="tx1"/>
            </w14:solidFill>
          </w14:textFill>
        </w:rPr>
      </w:pPr>
    </w:p>
    <w:p w14:paraId="41A36F05">
      <w:pPr>
        <w:kinsoku/>
        <w:spacing w:before="78" w:line="219" w:lineRule="auto"/>
        <w:ind w:firstLine="499" w:firstLineChars="208"/>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若采用现金或支票，投标人应在此提供交易中心确认过的缴款证明（投标人可登陆交易中心网站投标人投标保证金管理界面打印缴款证明）及汇款凭证的扫描件。</w:t>
      </w:r>
    </w:p>
    <w:p w14:paraId="567759F9">
      <w:pPr>
        <w:kinsoku/>
        <w:spacing w:before="78" w:line="219" w:lineRule="auto"/>
        <w:ind w:firstLine="499" w:firstLineChars="20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如采用银行保函，银行保函扫描件装订在投标文件中，格式如下。</w:t>
      </w:r>
    </w:p>
    <w:p w14:paraId="5B2A58BE">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49EB7D3">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221BCFAD">
      <w:pPr>
        <w:tabs>
          <w:tab w:val="left" w:pos="1948"/>
        </w:tabs>
        <w:kinsoku/>
        <w:spacing w:before="78" w:line="220" w:lineRule="auto"/>
        <w:ind w:left="2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（招标人名称）：</w:t>
      </w:r>
    </w:p>
    <w:p w14:paraId="10785960">
      <w:pPr>
        <w:kinsoku/>
        <w:spacing w:line="254" w:lineRule="auto"/>
        <w:rPr>
          <w:rFonts w:ascii="宋体" w:hAnsi="宋体" w:eastAsia="宋体" w:cs="宋体"/>
          <w:color w:val="000000" w:themeColor="text1"/>
          <w:highlight w:val="none"/>
          <w:lang w:eastAsia="zh-CN"/>
          <w14:textFill>
            <w14:solidFill>
              <w14:schemeClr w14:val="tx1"/>
            </w14:solidFill>
          </w14:textFill>
        </w:rPr>
      </w:pPr>
    </w:p>
    <w:p w14:paraId="679A0A8E">
      <w:pPr>
        <w:kinsoku/>
        <w:spacing w:line="255" w:lineRule="auto"/>
        <w:rPr>
          <w:rFonts w:ascii="宋体" w:hAnsi="宋体" w:eastAsia="宋体" w:cs="宋体"/>
          <w:color w:val="000000" w:themeColor="text1"/>
          <w:highlight w:val="none"/>
          <w:lang w:eastAsia="zh-CN"/>
          <w14:textFill>
            <w14:solidFill>
              <w14:schemeClr w14:val="tx1"/>
            </w14:solidFill>
          </w14:textFill>
        </w:rPr>
      </w:pPr>
    </w:p>
    <w:p w14:paraId="4315CAFA">
      <w:pPr>
        <w:kinsoku/>
        <w:spacing w:before="79" w:line="335" w:lineRule="auto"/>
        <w:ind w:left="37" w:right="26"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鉴于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（投标人名称）（以下称“投标人”）于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日参加</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（项目名称）设计的投标，</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担保人名称，以下简称“我方”）无条件地、不可撤销地保证：若投标人在投标有效期内撤销投标文件，中标后无正当理由不与招标人订立合同，在签订合同时向招标人提出附加条件，不按照招标文件要求提交履约保证金，或发生招标文件明确规定可以不予退还投标保证金的其他情形，我方承担保证责任。收到你方书面通知后，我方在7日内向你方无条件支付人民币（大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元。</w:t>
      </w:r>
    </w:p>
    <w:p w14:paraId="5CDD6642">
      <w:pPr>
        <w:kinsoku/>
        <w:spacing w:before="34" w:line="325" w:lineRule="auto"/>
        <w:ind w:left="37" w:right="1"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本保函在投标有效期或经延长的投标有效期内保持有效。要求我方承担保证责任的通知应在上述期限内送达我方。你方延长投标有效期的决定，应通知我方。</w:t>
      </w:r>
    </w:p>
    <w:p w14:paraId="05088950">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5D8CC0E1">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4C48EC26">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63CB28D1">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2666D0F">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2E7EDCC">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4A2D6F6">
      <w:pPr>
        <w:tabs>
          <w:tab w:val="left" w:pos="8620"/>
        </w:tabs>
        <w:kinsoku/>
        <w:spacing w:before="79" w:line="333" w:lineRule="auto"/>
        <w:ind w:left="2018" w:right="-19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担保人名称：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7D923B9D">
      <w:pPr>
        <w:kinsoku/>
        <w:spacing w:before="79" w:line="333" w:lineRule="auto"/>
        <w:ind w:left="2018"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65CDD881">
      <w:pPr>
        <w:kinsoku/>
        <w:spacing w:before="79" w:line="333" w:lineRule="auto"/>
        <w:ind w:left="2018" w:right="14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地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2C3CC992">
      <w:pPr>
        <w:kinsoku/>
        <w:spacing w:before="19" w:line="326" w:lineRule="auto"/>
        <w:ind w:left="2045" w:right="609" w:hanging="1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邮政编码：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79A04CB1">
      <w:pPr>
        <w:kinsoku/>
        <w:spacing w:before="19" w:line="326" w:lineRule="auto"/>
        <w:ind w:left="2045" w:right="609" w:hanging="1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电    话：</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51BAC24B">
      <w:pPr>
        <w:tabs>
          <w:tab w:val="left" w:pos="6029"/>
        </w:tabs>
        <w:kinsoku/>
        <w:spacing w:before="33" w:line="325" w:lineRule="auto"/>
        <w:ind w:left="5069" w:right="429" w:hanging="3053"/>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传    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672D1007">
      <w:pPr>
        <w:tabs>
          <w:tab w:val="left" w:pos="6029"/>
        </w:tabs>
        <w:kinsoku/>
        <w:spacing w:before="33" w:line="325" w:lineRule="auto"/>
        <w:ind w:left="4858" w:leftChars="1684" w:right="429" w:hanging="1322" w:hangingChars="55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1CB7607C">
      <w:pPr>
        <w:pStyle w:val="25"/>
        <w:spacing w:line="240" w:lineRule="auto"/>
        <w:rPr>
          <w:color w:val="000000" w:themeColor="text1"/>
          <w:sz w:val="18"/>
          <w:highlight w:val="none"/>
          <w:lang w:eastAsia="zh-CN"/>
          <w14:textFill>
            <w14:solidFill>
              <w14:schemeClr w14:val="tx1"/>
            </w14:solidFill>
          </w14:textFill>
        </w:rPr>
      </w:pPr>
    </w:p>
    <w:p w14:paraId="14A62818">
      <w:pPr>
        <w:pStyle w:val="25"/>
        <w:spacing w:line="360" w:lineRule="auto"/>
        <w:ind w:firstLine="360"/>
        <w:rPr>
          <w:color w:val="000000" w:themeColor="text1"/>
          <w:highlight w:val="none"/>
          <w:lang w:eastAsia="zh-CN"/>
          <w14:textFill>
            <w14:solidFill>
              <w14:schemeClr w14:val="tx1"/>
            </w14:solidFill>
          </w14:textFill>
        </w:rPr>
      </w:pPr>
      <w:r>
        <w:rPr>
          <w:color w:val="000000" w:themeColor="text1"/>
          <w:sz w:val="18"/>
          <w:highlight w:val="none"/>
          <w:lang w:eastAsia="zh-CN"/>
          <w14:textFill>
            <w14:solidFill>
              <w14:schemeClr w14:val="tx1"/>
            </w14:solidFill>
          </w14:textFill>
        </w:rPr>
        <w:t>注：本保函格式只作为参考</w:t>
      </w:r>
      <w:r>
        <w:rPr>
          <w:rFonts w:hint="eastAsia"/>
          <w:color w:val="000000" w:themeColor="text1"/>
          <w:sz w:val="18"/>
          <w:highlight w:val="none"/>
          <w:lang w:eastAsia="zh-CN"/>
          <w14:textFill>
            <w14:solidFill>
              <w14:schemeClr w14:val="tx1"/>
            </w14:solidFill>
          </w14:textFill>
        </w:rPr>
        <w:t>，</w:t>
      </w:r>
      <w:r>
        <w:rPr>
          <w:color w:val="000000" w:themeColor="text1"/>
          <w:sz w:val="18"/>
          <w:highlight w:val="none"/>
          <w:lang w:eastAsia="zh-CN"/>
          <w14:textFill>
            <w14:solidFill>
              <w14:schemeClr w14:val="tx1"/>
            </w14:solidFill>
          </w14:textFill>
        </w:rPr>
        <w:t>投标人可根据当地银行及相关规定的格式填写</w:t>
      </w:r>
      <w:r>
        <w:rPr>
          <w:rFonts w:hint="eastAsia"/>
          <w:color w:val="000000" w:themeColor="text1"/>
          <w:sz w:val="18"/>
          <w:highlight w:val="none"/>
          <w:lang w:eastAsia="zh-CN"/>
          <w14:textFill>
            <w14:solidFill>
              <w14:schemeClr w14:val="tx1"/>
            </w14:solidFill>
          </w14:textFill>
        </w:rPr>
        <w:t>，</w:t>
      </w:r>
      <w:r>
        <w:rPr>
          <w:color w:val="000000" w:themeColor="text1"/>
          <w:sz w:val="18"/>
          <w:highlight w:val="none"/>
          <w:lang w:eastAsia="zh-CN"/>
          <w14:textFill>
            <w14:solidFill>
              <w14:schemeClr w14:val="tx1"/>
            </w14:solidFill>
          </w14:textFill>
        </w:rPr>
        <w:t>但主要内容须与本保函内容原则上保持一致。</w:t>
      </w:r>
    </w:p>
    <w:p w14:paraId="2325691B">
      <w:pPr>
        <w:kinsoku/>
        <w:spacing w:line="325"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48" w:type="default"/>
          <w:pgSz w:w="11907" w:h="16839"/>
          <w:pgMar w:top="1173" w:right="1613" w:bottom="1254" w:left="1673" w:header="862" w:footer="1093" w:gutter="0"/>
          <w:cols w:space="720" w:num="1"/>
        </w:sectPr>
      </w:pPr>
    </w:p>
    <w:p w14:paraId="5F3AB00C">
      <w:pPr>
        <w:kinsoku/>
        <w:spacing w:before="91" w:line="219" w:lineRule="auto"/>
        <w:ind w:left="3011"/>
        <w:rPr>
          <w:rFonts w:ascii="宋体" w:hAnsi="宋体" w:eastAsia="宋体" w:cs="宋体"/>
          <w:color w:val="000000" w:themeColor="text1"/>
          <w:sz w:val="28"/>
          <w:szCs w:val="28"/>
          <w:highlight w:val="none"/>
          <w14:textFill>
            <w14:solidFill>
              <w14:schemeClr w14:val="tx1"/>
            </w14:solidFill>
          </w14:textFill>
        </w:rPr>
      </w:pPr>
      <w:bookmarkStart w:id="466" w:name="bookmark282"/>
      <w:bookmarkEnd w:id="466"/>
      <w:bookmarkStart w:id="467" w:name="bookmark281"/>
      <w:bookmarkEnd w:id="467"/>
      <w:r>
        <w:rPr>
          <w:rFonts w:hint="eastAsia" w:ascii="宋体" w:hAnsi="宋体" w:eastAsia="宋体" w:cs="宋体"/>
          <w:color w:val="000000" w:themeColor="text1"/>
          <w:sz w:val="28"/>
          <w:szCs w:val="28"/>
          <w:highlight w:val="none"/>
          <w14:textFill>
            <w14:solidFill>
              <w14:schemeClr w14:val="tx1"/>
            </w14:solidFill>
          </w14:textFill>
        </w:rPr>
        <w:t>五、拟分包项目情况表</w:t>
      </w:r>
    </w:p>
    <w:p w14:paraId="1395EAAA">
      <w:pPr>
        <w:kinsoku/>
        <w:spacing w:before="187"/>
        <w:rPr>
          <w:rFonts w:ascii="宋体" w:hAnsi="宋体" w:eastAsia="宋体" w:cs="宋体"/>
          <w:color w:val="000000" w:themeColor="text1"/>
          <w:highlight w:val="none"/>
          <w14:textFill>
            <w14:solidFill>
              <w14:schemeClr w14:val="tx1"/>
            </w14:solidFill>
          </w14:textFill>
        </w:rPr>
      </w:pPr>
    </w:p>
    <w:tbl>
      <w:tblPr>
        <w:tblStyle w:val="26"/>
        <w:tblW w:w="84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9"/>
        <w:gridCol w:w="1656"/>
        <w:gridCol w:w="1559"/>
        <w:gridCol w:w="2041"/>
        <w:gridCol w:w="1350"/>
      </w:tblGrid>
      <w:tr w14:paraId="43A77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vAlign w:val="center"/>
          </w:tcPr>
          <w:p w14:paraId="7C4655F4">
            <w:pPr>
              <w:kinsoku/>
              <w:spacing w:before="177" w:line="309" w:lineRule="auto"/>
              <w:ind w:right="27" w:rightChars="13" w:firstLine="6"/>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拟分包的工程项目</w:t>
            </w:r>
          </w:p>
        </w:tc>
        <w:tc>
          <w:tcPr>
            <w:tcW w:w="1656" w:type="dxa"/>
            <w:vAlign w:val="center"/>
          </w:tcPr>
          <w:p w14:paraId="76B58B59">
            <w:pPr>
              <w:kinsoku/>
              <w:spacing w:before="68" w:line="221" w:lineRule="auto"/>
              <w:ind w:right="27" w:rightChars="13" w:firstLine="6"/>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主要工程内容</w:t>
            </w:r>
          </w:p>
        </w:tc>
        <w:tc>
          <w:tcPr>
            <w:tcW w:w="1559" w:type="dxa"/>
            <w:vAlign w:val="center"/>
          </w:tcPr>
          <w:p w14:paraId="28A7FC79">
            <w:pPr>
              <w:kinsoku/>
              <w:spacing w:before="68" w:line="221" w:lineRule="auto"/>
              <w:ind w:right="27" w:rightChars="13" w:firstLine="6"/>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设计任务</w:t>
            </w:r>
          </w:p>
        </w:tc>
        <w:tc>
          <w:tcPr>
            <w:tcW w:w="2041" w:type="dxa"/>
            <w:vAlign w:val="center"/>
          </w:tcPr>
          <w:p w14:paraId="564870D2">
            <w:pPr>
              <w:kinsoku/>
              <w:spacing w:before="175" w:line="289" w:lineRule="auto"/>
              <w:ind w:right="27" w:rightChars="13" w:firstLine="6"/>
              <w:jc w:val="center"/>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分包工作量占总工作量的比例</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1350" w:type="dxa"/>
            <w:vAlign w:val="center"/>
          </w:tcPr>
          <w:p w14:paraId="676DD1AC">
            <w:pPr>
              <w:kinsoku/>
              <w:spacing w:before="68" w:line="222" w:lineRule="auto"/>
              <w:ind w:right="27" w:rightChars="13" w:firstLine="6"/>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1657D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7598B919">
            <w:pPr>
              <w:kinsoku/>
              <w:rPr>
                <w:rFonts w:ascii="宋体" w:hAnsi="宋体" w:eastAsia="宋体" w:cs="宋体"/>
                <w:color w:val="000000" w:themeColor="text1"/>
                <w:highlight w:val="none"/>
                <w14:textFill>
                  <w14:solidFill>
                    <w14:schemeClr w14:val="tx1"/>
                  </w14:solidFill>
                </w14:textFill>
              </w:rPr>
            </w:pPr>
          </w:p>
        </w:tc>
        <w:tc>
          <w:tcPr>
            <w:tcW w:w="1656" w:type="dxa"/>
          </w:tcPr>
          <w:p w14:paraId="366E8CEE">
            <w:pPr>
              <w:kinsoku/>
              <w:rPr>
                <w:rFonts w:ascii="宋体" w:hAnsi="宋体" w:eastAsia="宋体" w:cs="宋体"/>
                <w:color w:val="000000" w:themeColor="text1"/>
                <w:highlight w:val="none"/>
                <w14:textFill>
                  <w14:solidFill>
                    <w14:schemeClr w14:val="tx1"/>
                  </w14:solidFill>
                </w14:textFill>
              </w:rPr>
            </w:pPr>
          </w:p>
        </w:tc>
        <w:tc>
          <w:tcPr>
            <w:tcW w:w="1559" w:type="dxa"/>
          </w:tcPr>
          <w:p w14:paraId="5B543FCC">
            <w:pPr>
              <w:kinsoku/>
              <w:rPr>
                <w:rFonts w:ascii="宋体" w:hAnsi="宋体" w:eastAsia="宋体" w:cs="宋体"/>
                <w:color w:val="000000" w:themeColor="text1"/>
                <w:highlight w:val="none"/>
                <w14:textFill>
                  <w14:solidFill>
                    <w14:schemeClr w14:val="tx1"/>
                  </w14:solidFill>
                </w14:textFill>
              </w:rPr>
            </w:pPr>
          </w:p>
        </w:tc>
        <w:tc>
          <w:tcPr>
            <w:tcW w:w="2041" w:type="dxa"/>
          </w:tcPr>
          <w:p w14:paraId="1760A2D3">
            <w:pPr>
              <w:kinsoku/>
              <w:rPr>
                <w:rFonts w:ascii="宋体" w:hAnsi="宋体" w:eastAsia="宋体" w:cs="宋体"/>
                <w:color w:val="000000" w:themeColor="text1"/>
                <w:highlight w:val="none"/>
                <w14:textFill>
                  <w14:solidFill>
                    <w14:schemeClr w14:val="tx1"/>
                  </w14:solidFill>
                </w14:textFill>
              </w:rPr>
            </w:pPr>
          </w:p>
        </w:tc>
        <w:tc>
          <w:tcPr>
            <w:tcW w:w="1350" w:type="dxa"/>
            <w:vMerge w:val="restart"/>
            <w:tcBorders>
              <w:bottom w:val="nil"/>
            </w:tcBorders>
            <w:vAlign w:val="center"/>
          </w:tcPr>
          <w:p w14:paraId="75046896">
            <w:pPr>
              <w:kinsoku/>
              <w:spacing w:before="69" w:line="343" w:lineRule="auto"/>
              <w:ind w:left="116" w:right="105"/>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若无分包计划，则投标人应在本表填写“无”</w:t>
            </w:r>
          </w:p>
        </w:tc>
      </w:tr>
      <w:tr w14:paraId="6E037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75EFEDBF">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70A172F1">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4AEDA28F">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68AF8D3B">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48EDEEE5">
            <w:pPr>
              <w:kinsoku/>
              <w:rPr>
                <w:rFonts w:ascii="宋体" w:hAnsi="宋体" w:eastAsia="宋体" w:cs="宋体"/>
                <w:color w:val="000000" w:themeColor="text1"/>
                <w:highlight w:val="none"/>
                <w:lang w:eastAsia="zh-CN"/>
                <w14:textFill>
                  <w14:solidFill>
                    <w14:schemeClr w14:val="tx1"/>
                  </w14:solidFill>
                </w14:textFill>
              </w:rPr>
            </w:pPr>
          </w:p>
        </w:tc>
      </w:tr>
      <w:tr w14:paraId="0F3B3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35E389C5">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4A1567A9">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177BC88E">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5622A684">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9E8D5C4">
            <w:pPr>
              <w:kinsoku/>
              <w:rPr>
                <w:rFonts w:ascii="宋体" w:hAnsi="宋体" w:eastAsia="宋体" w:cs="宋体"/>
                <w:color w:val="000000" w:themeColor="text1"/>
                <w:highlight w:val="none"/>
                <w:lang w:eastAsia="zh-CN"/>
                <w14:textFill>
                  <w14:solidFill>
                    <w14:schemeClr w14:val="tx1"/>
                  </w14:solidFill>
                </w14:textFill>
              </w:rPr>
            </w:pPr>
          </w:p>
        </w:tc>
      </w:tr>
      <w:tr w14:paraId="33B32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6A0A55CE">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204387E4">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6F346240">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0489AB3E">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3CFC75DC">
            <w:pPr>
              <w:kinsoku/>
              <w:rPr>
                <w:rFonts w:ascii="宋体" w:hAnsi="宋体" w:eastAsia="宋体" w:cs="宋体"/>
                <w:color w:val="000000" w:themeColor="text1"/>
                <w:highlight w:val="none"/>
                <w:lang w:eastAsia="zh-CN"/>
                <w14:textFill>
                  <w14:solidFill>
                    <w14:schemeClr w14:val="tx1"/>
                  </w14:solidFill>
                </w14:textFill>
              </w:rPr>
            </w:pPr>
          </w:p>
        </w:tc>
      </w:tr>
      <w:tr w14:paraId="60E29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3CE941A8">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120B929B">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13362DBB">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7364292F">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B13E905">
            <w:pPr>
              <w:kinsoku/>
              <w:rPr>
                <w:rFonts w:ascii="宋体" w:hAnsi="宋体" w:eastAsia="宋体" w:cs="宋体"/>
                <w:color w:val="000000" w:themeColor="text1"/>
                <w:highlight w:val="none"/>
                <w:lang w:eastAsia="zh-CN"/>
                <w14:textFill>
                  <w14:solidFill>
                    <w14:schemeClr w14:val="tx1"/>
                  </w14:solidFill>
                </w14:textFill>
              </w:rPr>
            </w:pPr>
          </w:p>
        </w:tc>
      </w:tr>
      <w:tr w14:paraId="72EE9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5ADD573F">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20CCB1D2">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63B4DBF7">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5A101F22">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6A2C4246">
            <w:pPr>
              <w:kinsoku/>
              <w:rPr>
                <w:rFonts w:ascii="宋体" w:hAnsi="宋体" w:eastAsia="宋体" w:cs="宋体"/>
                <w:color w:val="000000" w:themeColor="text1"/>
                <w:highlight w:val="none"/>
                <w:lang w:eastAsia="zh-CN"/>
                <w14:textFill>
                  <w14:solidFill>
                    <w14:schemeClr w14:val="tx1"/>
                  </w14:solidFill>
                </w14:textFill>
              </w:rPr>
            </w:pPr>
          </w:p>
        </w:tc>
      </w:tr>
      <w:tr w14:paraId="4CF5B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0B2DBF99">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1BDEBB47">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03FE6A30">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6A4250AA">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58C4662">
            <w:pPr>
              <w:kinsoku/>
              <w:rPr>
                <w:rFonts w:ascii="宋体" w:hAnsi="宋体" w:eastAsia="宋体" w:cs="宋体"/>
                <w:color w:val="000000" w:themeColor="text1"/>
                <w:highlight w:val="none"/>
                <w:lang w:eastAsia="zh-CN"/>
                <w14:textFill>
                  <w14:solidFill>
                    <w14:schemeClr w14:val="tx1"/>
                  </w14:solidFill>
                </w14:textFill>
              </w:rPr>
            </w:pPr>
          </w:p>
        </w:tc>
      </w:tr>
      <w:tr w14:paraId="1DACB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0A517C98">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5E691C21">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7937B9D7">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1B2AF995">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68D268D4">
            <w:pPr>
              <w:kinsoku/>
              <w:rPr>
                <w:rFonts w:ascii="宋体" w:hAnsi="宋体" w:eastAsia="宋体" w:cs="宋体"/>
                <w:color w:val="000000" w:themeColor="text1"/>
                <w:highlight w:val="none"/>
                <w:lang w:eastAsia="zh-CN"/>
                <w14:textFill>
                  <w14:solidFill>
                    <w14:schemeClr w14:val="tx1"/>
                  </w14:solidFill>
                </w14:textFill>
              </w:rPr>
            </w:pPr>
          </w:p>
        </w:tc>
      </w:tr>
      <w:tr w14:paraId="25495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33009B66">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5F991D8A">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57679542">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24AEF8CB">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325B668">
            <w:pPr>
              <w:kinsoku/>
              <w:rPr>
                <w:rFonts w:ascii="宋体" w:hAnsi="宋体" w:eastAsia="宋体" w:cs="宋体"/>
                <w:color w:val="000000" w:themeColor="text1"/>
                <w:highlight w:val="none"/>
                <w:lang w:eastAsia="zh-CN"/>
                <w14:textFill>
                  <w14:solidFill>
                    <w14:schemeClr w14:val="tx1"/>
                  </w14:solidFill>
                </w14:textFill>
              </w:rPr>
            </w:pPr>
          </w:p>
        </w:tc>
      </w:tr>
      <w:tr w14:paraId="4A005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Borders>
              <w:bottom w:val="single" w:color="000000" w:sz="4" w:space="0"/>
            </w:tcBorders>
          </w:tcPr>
          <w:p w14:paraId="41A9F392">
            <w:pPr>
              <w:kinsoku/>
              <w:rPr>
                <w:rFonts w:ascii="宋体" w:hAnsi="宋体" w:eastAsia="宋体" w:cs="宋体"/>
                <w:color w:val="000000" w:themeColor="text1"/>
                <w:highlight w:val="none"/>
                <w:lang w:eastAsia="zh-CN"/>
                <w14:textFill>
                  <w14:solidFill>
                    <w14:schemeClr w14:val="tx1"/>
                  </w14:solidFill>
                </w14:textFill>
              </w:rPr>
            </w:pPr>
          </w:p>
        </w:tc>
        <w:tc>
          <w:tcPr>
            <w:tcW w:w="1656" w:type="dxa"/>
            <w:tcBorders>
              <w:bottom w:val="single" w:color="000000" w:sz="4" w:space="0"/>
            </w:tcBorders>
          </w:tcPr>
          <w:p w14:paraId="469825AA">
            <w:pPr>
              <w:kinsoku/>
              <w:rPr>
                <w:rFonts w:ascii="宋体" w:hAnsi="宋体" w:eastAsia="宋体" w:cs="宋体"/>
                <w:color w:val="000000" w:themeColor="text1"/>
                <w:highlight w:val="none"/>
                <w:lang w:eastAsia="zh-CN"/>
                <w14:textFill>
                  <w14:solidFill>
                    <w14:schemeClr w14:val="tx1"/>
                  </w14:solidFill>
                </w14:textFill>
              </w:rPr>
            </w:pPr>
          </w:p>
        </w:tc>
        <w:tc>
          <w:tcPr>
            <w:tcW w:w="1559" w:type="dxa"/>
            <w:tcBorders>
              <w:bottom w:val="single" w:color="000000" w:sz="4" w:space="0"/>
            </w:tcBorders>
          </w:tcPr>
          <w:p w14:paraId="73883BE3">
            <w:pPr>
              <w:kinsoku/>
              <w:rPr>
                <w:rFonts w:ascii="宋体" w:hAnsi="宋体" w:eastAsia="宋体" w:cs="宋体"/>
                <w:color w:val="000000" w:themeColor="text1"/>
                <w:highlight w:val="none"/>
                <w:lang w:eastAsia="zh-CN"/>
                <w14:textFill>
                  <w14:solidFill>
                    <w14:schemeClr w14:val="tx1"/>
                  </w14:solidFill>
                </w14:textFill>
              </w:rPr>
            </w:pPr>
          </w:p>
        </w:tc>
        <w:tc>
          <w:tcPr>
            <w:tcW w:w="2041" w:type="dxa"/>
            <w:tcBorders>
              <w:bottom w:val="single" w:color="000000" w:sz="4" w:space="0"/>
            </w:tcBorders>
          </w:tcPr>
          <w:p w14:paraId="5EC469AC">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3D0F31B4">
            <w:pPr>
              <w:kinsoku/>
              <w:rPr>
                <w:rFonts w:ascii="宋体" w:hAnsi="宋体" w:eastAsia="宋体" w:cs="宋体"/>
                <w:color w:val="000000" w:themeColor="text1"/>
                <w:highlight w:val="none"/>
                <w:lang w:eastAsia="zh-CN"/>
                <w14:textFill>
                  <w14:solidFill>
                    <w14:schemeClr w14:val="tx1"/>
                  </w14:solidFill>
                </w14:textFill>
              </w:rPr>
            </w:pPr>
          </w:p>
        </w:tc>
      </w:tr>
      <w:tr w14:paraId="1CFDA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Borders>
              <w:top w:val="single" w:color="000000" w:sz="4" w:space="0"/>
            </w:tcBorders>
          </w:tcPr>
          <w:p w14:paraId="4A3772BA">
            <w:pPr>
              <w:kinsoku/>
              <w:rPr>
                <w:rFonts w:ascii="宋体" w:hAnsi="宋体" w:eastAsia="宋体" w:cs="宋体"/>
                <w:color w:val="000000" w:themeColor="text1"/>
                <w:highlight w:val="none"/>
                <w:lang w:eastAsia="zh-CN"/>
                <w14:textFill>
                  <w14:solidFill>
                    <w14:schemeClr w14:val="tx1"/>
                  </w14:solidFill>
                </w14:textFill>
              </w:rPr>
            </w:pPr>
          </w:p>
        </w:tc>
        <w:tc>
          <w:tcPr>
            <w:tcW w:w="1656" w:type="dxa"/>
            <w:tcBorders>
              <w:top w:val="single" w:color="000000" w:sz="4" w:space="0"/>
            </w:tcBorders>
          </w:tcPr>
          <w:p w14:paraId="592EEC38">
            <w:pPr>
              <w:kinsoku/>
              <w:rPr>
                <w:rFonts w:ascii="宋体" w:hAnsi="宋体" w:eastAsia="宋体" w:cs="宋体"/>
                <w:color w:val="000000" w:themeColor="text1"/>
                <w:highlight w:val="none"/>
                <w:lang w:eastAsia="zh-CN"/>
                <w14:textFill>
                  <w14:solidFill>
                    <w14:schemeClr w14:val="tx1"/>
                  </w14:solidFill>
                </w14:textFill>
              </w:rPr>
            </w:pPr>
          </w:p>
        </w:tc>
        <w:tc>
          <w:tcPr>
            <w:tcW w:w="1559" w:type="dxa"/>
            <w:tcBorders>
              <w:top w:val="single" w:color="000000" w:sz="4" w:space="0"/>
            </w:tcBorders>
          </w:tcPr>
          <w:p w14:paraId="0187ACD7">
            <w:pPr>
              <w:kinsoku/>
              <w:rPr>
                <w:rFonts w:ascii="宋体" w:hAnsi="宋体" w:eastAsia="宋体" w:cs="宋体"/>
                <w:color w:val="000000" w:themeColor="text1"/>
                <w:highlight w:val="none"/>
                <w:lang w:eastAsia="zh-CN"/>
                <w14:textFill>
                  <w14:solidFill>
                    <w14:schemeClr w14:val="tx1"/>
                  </w14:solidFill>
                </w14:textFill>
              </w:rPr>
            </w:pPr>
          </w:p>
        </w:tc>
        <w:tc>
          <w:tcPr>
            <w:tcW w:w="2041" w:type="dxa"/>
            <w:tcBorders>
              <w:top w:val="single" w:color="000000" w:sz="4" w:space="0"/>
            </w:tcBorders>
          </w:tcPr>
          <w:p w14:paraId="30F37E71">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427DCC0A">
            <w:pPr>
              <w:kinsoku/>
              <w:rPr>
                <w:rFonts w:ascii="宋体" w:hAnsi="宋体" w:eastAsia="宋体" w:cs="宋体"/>
                <w:color w:val="000000" w:themeColor="text1"/>
                <w:highlight w:val="none"/>
                <w:lang w:eastAsia="zh-CN"/>
                <w14:textFill>
                  <w14:solidFill>
                    <w14:schemeClr w14:val="tx1"/>
                  </w14:solidFill>
                </w14:textFill>
              </w:rPr>
            </w:pPr>
          </w:p>
        </w:tc>
      </w:tr>
      <w:tr w14:paraId="643E8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44D12618">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6E1E6BDA">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4952FC72">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4C0D3F05">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749CAA27">
            <w:pPr>
              <w:kinsoku/>
              <w:rPr>
                <w:rFonts w:ascii="宋体" w:hAnsi="宋体" w:eastAsia="宋体" w:cs="宋体"/>
                <w:color w:val="000000" w:themeColor="text1"/>
                <w:highlight w:val="none"/>
                <w:lang w:eastAsia="zh-CN"/>
                <w14:textFill>
                  <w14:solidFill>
                    <w14:schemeClr w14:val="tx1"/>
                  </w14:solidFill>
                </w14:textFill>
              </w:rPr>
            </w:pPr>
          </w:p>
        </w:tc>
      </w:tr>
      <w:tr w14:paraId="2EC6B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24C4D1F9">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2951D134">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437BE77A">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638775DE">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12C60664">
            <w:pPr>
              <w:kinsoku/>
              <w:rPr>
                <w:rFonts w:ascii="宋体" w:hAnsi="宋体" w:eastAsia="宋体" w:cs="宋体"/>
                <w:color w:val="000000" w:themeColor="text1"/>
                <w:highlight w:val="none"/>
                <w:lang w:eastAsia="zh-CN"/>
                <w14:textFill>
                  <w14:solidFill>
                    <w14:schemeClr w14:val="tx1"/>
                  </w14:solidFill>
                </w14:textFill>
              </w:rPr>
            </w:pPr>
          </w:p>
        </w:tc>
      </w:tr>
      <w:tr w14:paraId="4D5F0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2EF066E8">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197F9755">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566655C7">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54D1BEB8">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3047261F">
            <w:pPr>
              <w:kinsoku/>
              <w:rPr>
                <w:rFonts w:ascii="宋体" w:hAnsi="宋体" w:eastAsia="宋体" w:cs="宋体"/>
                <w:color w:val="000000" w:themeColor="text1"/>
                <w:highlight w:val="none"/>
                <w:lang w:eastAsia="zh-CN"/>
                <w14:textFill>
                  <w14:solidFill>
                    <w14:schemeClr w14:val="tx1"/>
                  </w14:solidFill>
                </w14:textFill>
              </w:rPr>
            </w:pPr>
          </w:p>
        </w:tc>
      </w:tr>
      <w:tr w14:paraId="25E1A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31FB893E">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545F919E">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4AAF6C96">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434E2892">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418DB58D">
            <w:pPr>
              <w:kinsoku/>
              <w:rPr>
                <w:rFonts w:ascii="宋体" w:hAnsi="宋体" w:eastAsia="宋体" w:cs="宋体"/>
                <w:color w:val="000000" w:themeColor="text1"/>
                <w:highlight w:val="none"/>
                <w:lang w:eastAsia="zh-CN"/>
                <w14:textFill>
                  <w14:solidFill>
                    <w14:schemeClr w14:val="tx1"/>
                  </w14:solidFill>
                </w14:textFill>
              </w:rPr>
            </w:pPr>
          </w:p>
        </w:tc>
      </w:tr>
      <w:tr w14:paraId="0A89F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4E9433E9">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5FD9EA93">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76271860">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4BCCE4BC">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F8E48EA">
            <w:pPr>
              <w:kinsoku/>
              <w:rPr>
                <w:rFonts w:ascii="宋体" w:hAnsi="宋体" w:eastAsia="宋体" w:cs="宋体"/>
                <w:color w:val="000000" w:themeColor="text1"/>
                <w:highlight w:val="none"/>
                <w:lang w:eastAsia="zh-CN"/>
                <w14:textFill>
                  <w14:solidFill>
                    <w14:schemeClr w14:val="tx1"/>
                  </w14:solidFill>
                </w14:textFill>
              </w:rPr>
            </w:pPr>
          </w:p>
        </w:tc>
      </w:tr>
      <w:tr w14:paraId="73C7F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0C2CA7AB">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28981E88">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7C4DABEB">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306D701D">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4C88283">
            <w:pPr>
              <w:kinsoku/>
              <w:rPr>
                <w:rFonts w:ascii="宋体" w:hAnsi="宋体" w:eastAsia="宋体" w:cs="宋体"/>
                <w:color w:val="000000" w:themeColor="text1"/>
                <w:highlight w:val="none"/>
                <w:lang w:eastAsia="zh-CN"/>
                <w14:textFill>
                  <w14:solidFill>
                    <w14:schemeClr w14:val="tx1"/>
                  </w14:solidFill>
                </w14:textFill>
              </w:rPr>
            </w:pPr>
          </w:p>
        </w:tc>
      </w:tr>
      <w:tr w14:paraId="0A70F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1E3226B6">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32BF32FD">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6A046108">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1D0CD262">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59C594A7">
            <w:pPr>
              <w:kinsoku/>
              <w:rPr>
                <w:rFonts w:ascii="宋体" w:hAnsi="宋体" w:eastAsia="宋体" w:cs="宋体"/>
                <w:color w:val="000000" w:themeColor="text1"/>
                <w:highlight w:val="none"/>
                <w:lang w:eastAsia="zh-CN"/>
                <w14:textFill>
                  <w14:solidFill>
                    <w14:schemeClr w14:val="tx1"/>
                  </w14:solidFill>
                </w14:textFill>
              </w:rPr>
            </w:pPr>
          </w:p>
        </w:tc>
      </w:tr>
      <w:tr w14:paraId="1EA8B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539D8929">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7B296DDA">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010610B0">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20D91B0C">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5665F01">
            <w:pPr>
              <w:kinsoku/>
              <w:rPr>
                <w:rFonts w:ascii="宋体" w:hAnsi="宋体" w:eastAsia="宋体" w:cs="宋体"/>
                <w:color w:val="000000" w:themeColor="text1"/>
                <w:highlight w:val="none"/>
                <w:lang w:eastAsia="zh-CN"/>
                <w14:textFill>
                  <w14:solidFill>
                    <w14:schemeClr w14:val="tx1"/>
                  </w14:solidFill>
                </w14:textFill>
              </w:rPr>
            </w:pPr>
          </w:p>
        </w:tc>
      </w:tr>
      <w:tr w14:paraId="2066C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74" w:type="dxa"/>
            <w:gridSpan w:val="3"/>
          </w:tcPr>
          <w:p w14:paraId="69F9F5E5">
            <w:pPr>
              <w:kinsoku/>
              <w:spacing w:before="156" w:line="224" w:lineRule="auto"/>
              <w:ind w:left="115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拟分包工作量合计比例</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2041" w:type="dxa"/>
          </w:tcPr>
          <w:p w14:paraId="20C45E11">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tcBorders>
          </w:tcPr>
          <w:p w14:paraId="7AB1DD54">
            <w:pPr>
              <w:kinsoku/>
              <w:rPr>
                <w:rFonts w:ascii="宋体" w:hAnsi="宋体" w:eastAsia="宋体" w:cs="宋体"/>
                <w:color w:val="000000" w:themeColor="text1"/>
                <w:highlight w:val="none"/>
                <w:lang w:eastAsia="zh-CN"/>
                <w14:textFill>
                  <w14:solidFill>
                    <w14:schemeClr w14:val="tx1"/>
                  </w14:solidFill>
                </w14:textFill>
              </w:rPr>
            </w:pPr>
          </w:p>
        </w:tc>
      </w:tr>
    </w:tbl>
    <w:p w14:paraId="1D6E5EF4">
      <w:pPr>
        <w:kinsoku/>
        <w:rPr>
          <w:rFonts w:ascii="宋体" w:hAnsi="宋体" w:eastAsia="宋体" w:cs="宋体"/>
          <w:color w:val="000000" w:themeColor="text1"/>
          <w:highlight w:val="none"/>
          <w:lang w:eastAsia="zh-CN"/>
          <w14:textFill>
            <w14:solidFill>
              <w14:schemeClr w14:val="tx1"/>
            </w14:solidFill>
          </w14:textFill>
        </w:rPr>
      </w:pPr>
    </w:p>
    <w:p w14:paraId="1A91BE7A">
      <w:pPr>
        <w:kinsoku/>
        <w:rPr>
          <w:rFonts w:ascii="宋体" w:hAnsi="宋体" w:eastAsia="宋体" w:cs="宋体"/>
          <w:color w:val="000000" w:themeColor="text1"/>
          <w:highlight w:val="none"/>
          <w:lang w:eastAsia="zh-CN"/>
          <w14:textFill>
            <w14:solidFill>
              <w14:schemeClr w14:val="tx1"/>
            </w14:solidFill>
          </w14:textFill>
        </w:rPr>
        <w:sectPr>
          <w:headerReference r:id="rId49" w:type="default"/>
          <w:footerReference r:id="rId50" w:type="default"/>
          <w:pgSz w:w="11907" w:h="16839"/>
          <w:pgMar w:top="1173" w:right="1638" w:bottom="1254" w:left="1589" w:header="862" w:footer="1093" w:gutter="0"/>
          <w:cols w:space="720" w:num="1"/>
        </w:sectPr>
      </w:pPr>
    </w:p>
    <w:p w14:paraId="003FC677">
      <w:pPr>
        <w:kinsoku/>
        <w:spacing w:before="91" w:line="219" w:lineRule="auto"/>
        <w:jc w:val="center"/>
        <w:rPr>
          <w:rFonts w:ascii="宋体" w:hAnsi="宋体" w:eastAsia="宋体" w:cs="宋体"/>
          <w:color w:val="000000" w:themeColor="text1"/>
          <w:sz w:val="28"/>
          <w:szCs w:val="28"/>
          <w:highlight w:val="none"/>
          <w:lang w:eastAsia="zh-CN"/>
          <w14:textFill>
            <w14:solidFill>
              <w14:schemeClr w14:val="tx1"/>
            </w14:solidFill>
          </w14:textFill>
        </w:rPr>
      </w:pPr>
      <w:bookmarkStart w:id="468" w:name="bookmark288"/>
      <w:bookmarkEnd w:id="468"/>
      <w:bookmarkStart w:id="469" w:name="bookmark286"/>
      <w:bookmarkEnd w:id="469"/>
      <w:bookmarkStart w:id="470" w:name="bookmark285"/>
      <w:bookmarkEnd w:id="470"/>
      <w:r>
        <w:rPr>
          <w:rFonts w:hint="eastAsia" w:ascii="宋体" w:hAnsi="宋体" w:eastAsia="宋体" w:cs="宋体"/>
          <w:color w:val="000000" w:themeColor="text1"/>
          <w:sz w:val="28"/>
          <w:szCs w:val="28"/>
          <w:highlight w:val="none"/>
          <w:lang w:eastAsia="zh-CN"/>
          <w14:textFill>
            <w14:solidFill>
              <w14:schemeClr w14:val="tx1"/>
            </w14:solidFill>
          </w14:textFill>
        </w:rPr>
        <w:t>六、资格审查资料</w:t>
      </w:r>
    </w:p>
    <w:p w14:paraId="781D3119">
      <w:pPr>
        <w:kinsoku/>
        <w:spacing w:line="391" w:lineRule="auto"/>
        <w:rPr>
          <w:rFonts w:ascii="宋体" w:hAnsi="宋体" w:eastAsia="宋体" w:cs="宋体"/>
          <w:color w:val="000000" w:themeColor="text1"/>
          <w:highlight w:val="none"/>
          <w:lang w:eastAsia="zh-CN"/>
          <w14:textFill>
            <w14:solidFill>
              <w14:schemeClr w14:val="tx1"/>
            </w14:solidFill>
          </w14:textFill>
        </w:rPr>
      </w:pPr>
    </w:p>
    <w:p w14:paraId="6F0AD7D6">
      <w:pPr>
        <w:kinsoku/>
        <w:spacing w:before="78" w:line="220" w:lineRule="auto"/>
        <w:ind w:left="3152"/>
        <w:rPr>
          <w:rFonts w:ascii="宋体" w:hAnsi="宋体" w:eastAsia="宋体" w:cs="宋体"/>
          <w:color w:val="000000" w:themeColor="text1"/>
          <w:sz w:val="24"/>
          <w:szCs w:val="24"/>
          <w:highlight w:val="none"/>
          <w:lang w:eastAsia="zh-CN"/>
          <w14:textFill>
            <w14:solidFill>
              <w14:schemeClr w14:val="tx1"/>
            </w14:solidFill>
          </w14:textFill>
        </w:rPr>
      </w:pPr>
      <w:bookmarkStart w:id="471" w:name="bookmark287"/>
      <w:bookmarkEnd w:id="471"/>
      <w:r>
        <w:rPr>
          <w:rFonts w:hint="eastAsia" w:ascii="宋体" w:hAnsi="宋体" w:eastAsia="宋体" w:cs="宋体"/>
          <w:color w:val="000000" w:themeColor="text1"/>
          <w:sz w:val="24"/>
          <w:szCs w:val="24"/>
          <w:highlight w:val="none"/>
          <w:lang w:eastAsia="zh-CN"/>
          <w14:textFill>
            <w14:solidFill>
              <w14:schemeClr w14:val="tx1"/>
            </w14:solidFill>
          </w14:textFill>
        </w:rPr>
        <w:t>（一）投标人基本情况表</w:t>
      </w:r>
    </w:p>
    <w:p w14:paraId="144CD075">
      <w:pPr>
        <w:kinsoku/>
        <w:spacing w:before="190"/>
        <w:rPr>
          <w:rFonts w:ascii="宋体" w:hAnsi="宋体" w:eastAsia="宋体" w:cs="宋体"/>
          <w:color w:val="000000" w:themeColor="text1"/>
          <w:highlight w:val="none"/>
          <w:lang w:eastAsia="zh-CN"/>
          <w14:textFill>
            <w14:solidFill>
              <w14:schemeClr w14:val="tx1"/>
            </w14:solidFill>
          </w14:textFill>
        </w:rPr>
      </w:pPr>
    </w:p>
    <w:tbl>
      <w:tblPr>
        <w:tblStyle w:val="26"/>
        <w:tblW w:w="88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1"/>
        <w:gridCol w:w="898"/>
        <w:gridCol w:w="1024"/>
        <w:gridCol w:w="1288"/>
        <w:gridCol w:w="413"/>
        <w:gridCol w:w="873"/>
        <w:gridCol w:w="828"/>
        <w:gridCol w:w="283"/>
        <w:gridCol w:w="1235"/>
      </w:tblGrid>
      <w:tr w14:paraId="47E4A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51" w:type="dxa"/>
            <w:vAlign w:val="center"/>
          </w:tcPr>
          <w:p w14:paraId="725B88D9">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w:t>
            </w:r>
          </w:p>
        </w:tc>
        <w:tc>
          <w:tcPr>
            <w:tcW w:w="6842" w:type="dxa"/>
            <w:gridSpan w:val="8"/>
          </w:tcPr>
          <w:p w14:paraId="52B128DC">
            <w:pPr>
              <w:kinsoku/>
              <w:rPr>
                <w:rFonts w:ascii="宋体" w:hAnsi="宋体" w:eastAsia="宋体" w:cs="宋体"/>
                <w:color w:val="000000" w:themeColor="text1"/>
                <w:highlight w:val="none"/>
                <w14:textFill>
                  <w14:solidFill>
                    <w14:schemeClr w14:val="tx1"/>
                  </w14:solidFill>
                </w14:textFill>
              </w:rPr>
            </w:pPr>
          </w:p>
        </w:tc>
      </w:tr>
      <w:tr w14:paraId="464EC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4F1575D4">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注册地址</w:t>
            </w:r>
          </w:p>
        </w:tc>
        <w:tc>
          <w:tcPr>
            <w:tcW w:w="3210" w:type="dxa"/>
            <w:gridSpan w:val="3"/>
          </w:tcPr>
          <w:p w14:paraId="257CCCB3">
            <w:pPr>
              <w:kinsoku/>
              <w:rPr>
                <w:rFonts w:ascii="宋体" w:hAnsi="宋体" w:eastAsia="宋体" w:cs="宋体"/>
                <w:color w:val="000000" w:themeColor="text1"/>
                <w:highlight w:val="none"/>
                <w14:textFill>
                  <w14:solidFill>
                    <w14:schemeClr w14:val="tx1"/>
                  </w14:solidFill>
                </w14:textFill>
              </w:rPr>
            </w:pPr>
          </w:p>
        </w:tc>
        <w:tc>
          <w:tcPr>
            <w:tcW w:w="1286" w:type="dxa"/>
            <w:gridSpan w:val="2"/>
            <w:vAlign w:val="center"/>
          </w:tcPr>
          <w:p w14:paraId="0EC7A535">
            <w:pPr>
              <w:kinsoku/>
              <w:spacing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邮政编码</w:t>
            </w:r>
          </w:p>
        </w:tc>
        <w:tc>
          <w:tcPr>
            <w:tcW w:w="2346" w:type="dxa"/>
            <w:gridSpan w:val="3"/>
          </w:tcPr>
          <w:p w14:paraId="7A424427">
            <w:pPr>
              <w:kinsoku/>
              <w:rPr>
                <w:rFonts w:ascii="宋体" w:hAnsi="宋体" w:eastAsia="宋体" w:cs="宋体"/>
                <w:color w:val="000000" w:themeColor="text1"/>
                <w:highlight w:val="none"/>
                <w14:textFill>
                  <w14:solidFill>
                    <w14:schemeClr w14:val="tx1"/>
                  </w14:solidFill>
                </w14:textFill>
              </w:rPr>
            </w:pPr>
          </w:p>
        </w:tc>
      </w:tr>
      <w:tr w14:paraId="62FE1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051" w:type="dxa"/>
            <w:vMerge w:val="restart"/>
            <w:tcBorders>
              <w:bottom w:val="nil"/>
            </w:tcBorders>
            <w:vAlign w:val="center"/>
          </w:tcPr>
          <w:p w14:paraId="20AC8D64">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联系方式</w:t>
            </w:r>
          </w:p>
        </w:tc>
        <w:tc>
          <w:tcPr>
            <w:tcW w:w="898" w:type="dxa"/>
            <w:vAlign w:val="center"/>
          </w:tcPr>
          <w:p w14:paraId="25A43522">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p>
        </w:tc>
        <w:tc>
          <w:tcPr>
            <w:tcW w:w="2312" w:type="dxa"/>
            <w:gridSpan w:val="2"/>
            <w:vAlign w:val="center"/>
          </w:tcPr>
          <w:p w14:paraId="0902681C">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286" w:type="dxa"/>
            <w:gridSpan w:val="2"/>
            <w:vAlign w:val="center"/>
          </w:tcPr>
          <w:p w14:paraId="21B84CEC">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 话</w:t>
            </w:r>
          </w:p>
        </w:tc>
        <w:tc>
          <w:tcPr>
            <w:tcW w:w="2346" w:type="dxa"/>
            <w:gridSpan w:val="3"/>
            <w:vAlign w:val="center"/>
          </w:tcPr>
          <w:p w14:paraId="1CC4B965">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5AEE1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Merge w:val="continue"/>
            <w:tcBorders>
              <w:top w:val="nil"/>
            </w:tcBorders>
            <w:vAlign w:val="center"/>
          </w:tcPr>
          <w:p w14:paraId="4A66E7D0">
            <w:pPr>
              <w:kinsoku/>
              <w:jc w:val="center"/>
              <w:rPr>
                <w:rFonts w:ascii="宋体" w:hAnsi="宋体" w:eastAsia="宋体" w:cs="宋体"/>
                <w:color w:val="000000" w:themeColor="text1"/>
                <w:highlight w:val="none"/>
                <w14:textFill>
                  <w14:solidFill>
                    <w14:schemeClr w14:val="tx1"/>
                  </w14:solidFill>
                </w14:textFill>
              </w:rPr>
            </w:pPr>
          </w:p>
        </w:tc>
        <w:tc>
          <w:tcPr>
            <w:tcW w:w="898" w:type="dxa"/>
            <w:vAlign w:val="center"/>
          </w:tcPr>
          <w:p w14:paraId="0187A19C">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传  真</w:t>
            </w:r>
          </w:p>
        </w:tc>
        <w:tc>
          <w:tcPr>
            <w:tcW w:w="2312" w:type="dxa"/>
            <w:gridSpan w:val="2"/>
            <w:vAlign w:val="center"/>
          </w:tcPr>
          <w:p w14:paraId="192F5E41">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286" w:type="dxa"/>
            <w:gridSpan w:val="2"/>
            <w:vAlign w:val="center"/>
          </w:tcPr>
          <w:p w14:paraId="3C6C777E">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电子邮件</w:t>
            </w:r>
          </w:p>
        </w:tc>
        <w:tc>
          <w:tcPr>
            <w:tcW w:w="2346" w:type="dxa"/>
            <w:gridSpan w:val="3"/>
            <w:vAlign w:val="center"/>
          </w:tcPr>
          <w:p w14:paraId="622B5F11">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08A9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1" w:type="dxa"/>
            <w:vAlign w:val="center"/>
          </w:tcPr>
          <w:p w14:paraId="56AAA1C0">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w:t>
            </w:r>
          </w:p>
        </w:tc>
        <w:tc>
          <w:tcPr>
            <w:tcW w:w="898" w:type="dxa"/>
            <w:vAlign w:val="center"/>
          </w:tcPr>
          <w:p w14:paraId="428EA7FC">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1024" w:type="dxa"/>
            <w:vAlign w:val="center"/>
          </w:tcPr>
          <w:p w14:paraId="3CEEA63C">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288" w:type="dxa"/>
            <w:vAlign w:val="center"/>
          </w:tcPr>
          <w:p w14:paraId="798C6F8B">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286" w:type="dxa"/>
            <w:gridSpan w:val="2"/>
            <w:vAlign w:val="center"/>
          </w:tcPr>
          <w:p w14:paraId="3635C906">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111" w:type="dxa"/>
            <w:gridSpan w:val="2"/>
            <w:vAlign w:val="center"/>
          </w:tcPr>
          <w:p w14:paraId="12700C52">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p>
        </w:tc>
        <w:tc>
          <w:tcPr>
            <w:tcW w:w="1235" w:type="dxa"/>
          </w:tcPr>
          <w:p w14:paraId="5909C6E8">
            <w:pPr>
              <w:kinsoku/>
              <w:rPr>
                <w:rFonts w:ascii="宋体" w:hAnsi="宋体" w:eastAsia="宋体" w:cs="宋体"/>
                <w:color w:val="000000" w:themeColor="text1"/>
                <w:highlight w:val="none"/>
                <w14:textFill>
                  <w14:solidFill>
                    <w14:schemeClr w14:val="tx1"/>
                  </w14:solidFill>
                </w14:textFill>
              </w:rPr>
            </w:pPr>
          </w:p>
        </w:tc>
      </w:tr>
      <w:tr w14:paraId="7602D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62FDB00E">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技术负责人</w:t>
            </w:r>
          </w:p>
        </w:tc>
        <w:tc>
          <w:tcPr>
            <w:tcW w:w="898" w:type="dxa"/>
            <w:vAlign w:val="center"/>
          </w:tcPr>
          <w:p w14:paraId="74EECE70">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1024" w:type="dxa"/>
            <w:vAlign w:val="center"/>
          </w:tcPr>
          <w:p w14:paraId="55101A99">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288" w:type="dxa"/>
            <w:vAlign w:val="center"/>
          </w:tcPr>
          <w:p w14:paraId="511E6204">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286" w:type="dxa"/>
            <w:gridSpan w:val="2"/>
            <w:vAlign w:val="center"/>
          </w:tcPr>
          <w:p w14:paraId="624CBD80">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111" w:type="dxa"/>
            <w:gridSpan w:val="2"/>
            <w:vAlign w:val="center"/>
          </w:tcPr>
          <w:p w14:paraId="605D065A">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p>
        </w:tc>
        <w:tc>
          <w:tcPr>
            <w:tcW w:w="1235" w:type="dxa"/>
          </w:tcPr>
          <w:p w14:paraId="0CFAFCE0">
            <w:pPr>
              <w:kinsoku/>
              <w:rPr>
                <w:rFonts w:ascii="宋体" w:hAnsi="宋体" w:eastAsia="宋体" w:cs="宋体"/>
                <w:color w:val="000000" w:themeColor="text1"/>
                <w:highlight w:val="none"/>
                <w14:textFill>
                  <w14:solidFill>
                    <w14:schemeClr w14:val="tx1"/>
                  </w14:solidFill>
                </w14:textFill>
              </w:rPr>
            </w:pPr>
          </w:p>
        </w:tc>
      </w:tr>
      <w:tr w14:paraId="49FB9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44626422">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企业设计资质证书</w:t>
            </w:r>
          </w:p>
        </w:tc>
        <w:tc>
          <w:tcPr>
            <w:tcW w:w="6842" w:type="dxa"/>
            <w:gridSpan w:val="8"/>
            <w:vAlign w:val="center"/>
          </w:tcPr>
          <w:p w14:paraId="559CDF57">
            <w:pPr>
              <w:kinsoku/>
              <w:spacing w:before="175" w:line="220" w:lineRule="auto"/>
              <w:ind w:left="1060"/>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类型：                    等级：      证书号：</w:t>
            </w:r>
          </w:p>
        </w:tc>
      </w:tr>
      <w:tr w14:paraId="3BEB0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051" w:type="dxa"/>
            <w:vAlign w:val="center"/>
          </w:tcPr>
          <w:p w14:paraId="71082F88">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营业执照号</w:t>
            </w:r>
          </w:p>
        </w:tc>
        <w:tc>
          <w:tcPr>
            <w:tcW w:w="3210" w:type="dxa"/>
            <w:gridSpan w:val="3"/>
            <w:vAlign w:val="center"/>
          </w:tcPr>
          <w:p w14:paraId="0D083EFD">
            <w:pPr>
              <w:kinsoku/>
              <w:jc w:val="center"/>
              <w:rPr>
                <w:rFonts w:ascii="宋体" w:hAnsi="宋体" w:eastAsia="宋体" w:cs="宋体"/>
                <w:color w:val="000000" w:themeColor="text1"/>
                <w:highlight w:val="none"/>
                <w14:textFill>
                  <w14:solidFill>
                    <w14:schemeClr w14:val="tx1"/>
                  </w14:solidFill>
                </w14:textFill>
              </w:rPr>
            </w:pPr>
          </w:p>
        </w:tc>
        <w:tc>
          <w:tcPr>
            <w:tcW w:w="3632" w:type="dxa"/>
            <w:gridSpan w:val="5"/>
            <w:vAlign w:val="center"/>
          </w:tcPr>
          <w:p w14:paraId="2BDB7676">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员工总人数：</w:t>
            </w:r>
          </w:p>
        </w:tc>
      </w:tr>
      <w:tr w14:paraId="77075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29A5A43D">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注册资本</w:t>
            </w:r>
          </w:p>
        </w:tc>
        <w:tc>
          <w:tcPr>
            <w:tcW w:w="3210" w:type="dxa"/>
            <w:gridSpan w:val="3"/>
            <w:vAlign w:val="center"/>
          </w:tcPr>
          <w:p w14:paraId="3D84655C">
            <w:pPr>
              <w:kinsoku/>
              <w:jc w:val="center"/>
              <w:rPr>
                <w:rFonts w:ascii="宋体" w:hAnsi="宋体" w:eastAsia="宋体" w:cs="宋体"/>
                <w:color w:val="000000" w:themeColor="text1"/>
                <w:highlight w:val="none"/>
                <w14:textFill>
                  <w14:solidFill>
                    <w14:schemeClr w14:val="tx1"/>
                  </w14:solidFill>
                </w14:textFill>
              </w:rPr>
            </w:pPr>
          </w:p>
        </w:tc>
        <w:tc>
          <w:tcPr>
            <w:tcW w:w="413" w:type="dxa"/>
            <w:vMerge w:val="restart"/>
            <w:tcBorders>
              <w:bottom w:val="nil"/>
            </w:tcBorders>
            <w:textDirection w:val="tbRlV"/>
            <w:vAlign w:val="center"/>
          </w:tcPr>
          <w:p w14:paraId="6039D7AD">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其  中</w:t>
            </w:r>
          </w:p>
        </w:tc>
        <w:tc>
          <w:tcPr>
            <w:tcW w:w="1701" w:type="dxa"/>
            <w:gridSpan w:val="2"/>
            <w:vAlign w:val="center"/>
          </w:tcPr>
          <w:p w14:paraId="0F702455">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高级职称人员</w:t>
            </w:r>
          </w:p>
        </w:tc>
        <w:tc>
          <w:tcPr>
            <w:tcW w:w="1518" w:type="dxa"/>
            <w:gridSpan w:val="2"/>
          </w:tcPr>
          <w:p w14:paraId="55D912A5">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21C60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1" w:type="dxa"/>
            <w:vAlign w:val="center"/>
          </w:tcPr>
          <w:p w14:paraId="6AEFF396">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成立日期</w:t>
            </w:r>
          </w:p>
        </w:tc>
        <w:tc>
          <w:tcPr>
            <w:tcW w:w="3210" w:type="dxa"/>
            <w:gridSpan w:val="3"/>
            <w:vAlign w:val="center"/>
          </w:tcPr>
          <w:p w14:paraId="1077B771">
            <w:pPr>
              <w:kinsoku/>
              <w:jc w:val="center"/>
              <w:rPr>
                <w:rFonts w:ascii="宋体" w:hAnsi="宋体" w:eastAsia="宋体" w:cs="宋体"/>
                <w:color w:val="000000" w:themeColor="text1"/>
                <w:highlight w:val="none"/>
                <w14:textFill>
                  <w14:solidFill>
                    <w14:schemeClr w14:val="tx1"/>
                  </w14:solidFill>
                </w14:textFill>
              </w:rPr>
            </w:pPr>
          </w:p>
        </w:tc>
        <w:tc>
          <w:tcPr>
            <w:tcW w:w="413" w:type="dxa"/>
            <w:vMerge w:val="continue"/>
            <w:tcBorders>
              <w:top w:val="nil"/>
              <w:bottom w:val="nil"/>
            </w:tcBorders>
            <w:textDirection w:val="tbRlV"/>
            <w:vAlign w:val="center"/>
          </w:tcPr>
          <w:p w14:paraId="7A4E1AF7">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701" w:type="dxa"/>
            <w:gridSpan w:val="2"/>
            <w:vAlign w:val="center"/>
          </w:tcPr>
          <w:p w14:paraId="48923B20">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中级职称人员</w:t>
            </w:r>
          </w:p>
        </w:tc>
        <w:tc>
          <w:tcPr>
            <w:tcW w:w="1518" w:type="dxa"/>
            <w:gridSpan w:val="2"/>
          </w:tcPr>
          <w:p w14:paraId="5FC0654C">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0D89A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2DA59699">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基本账户开户银行</w:t>
            </w:r>
          </w:p>
        </w:tc>
        <w:tc>
          <w:tcPr>
            <w:tcW w:w="3210" w:type="dxa"/>
            <w:gridSpan w:val="3"/>
            <w:vAlign w:val="center"/>
          </w:tcPr>
          <w:p w14:paraId="5740E1BA">
            <w:pPr>
              <w:kinsoku/>
              <w:jc w:val="center"/>
              <w:rPr>
                <w:rFonts w:ascii="宋体" w:hAnsi="宋体" w:eastAsia="宋体" w:cs="宋体"/>
                <w:color w:val="000000" w:themeColor="text1"/>
                <w:highlight w:val="none"/>
                <w14:textFill>
                  <w14:solidFill>
                    <w14:schemeClr w14:val="tx1"/>
                  </w14:solidFill>
                </w14:textFill>
              </w:rPr>
            </w:pPr>
          </w:p>
        </w:tc>
        <w:tc>
          <w:tcPr>
            <w:tcW w:w="413" w:type="dxa"/>
            <w:vMerge w:val="continue"/>
            <w:tcBorders>
              <w:top w:val="nil"/>
              <w:bottom w:val="nil"/>
            </w:tcBorders>
            <w:textDirection w:val="tbRlV"/>
            <w:vAlign w:val="center"/>
          </w:tcPr>
          <w:p w14:paraId="4215B9E3">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701" w:type="dxa"/>
            <w:gridSpan w:val="2"/>
            <w:vAlign w:val="center"/>
          </w:tcPr>
          <w:p w14:paraId="7D94DFA8">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技术人员数量</w:t>
            </w:r>
          </w:p>
        </w:tc>
        <w:tc>
          <w:tcPr>
            <w:tcW w:w="1518" w:type="dxa"/>
            <w:gridSpan w:val="2"/>
          </w:tcPr>
          <w:p w14:paraId="7ACF073F">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05F50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1" w:type="dxa"/>
            <w:vAlign w:val="center"/>
          </w:tcPr>
          <w:p w14:paraId="0CE4A693">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基本账户银行账号</w:t>
            </w:r>
          </w:p>
        </w:tc>
        <w:tc>
          <w:tcPr>
            <w:tcW w:w="3210" w:type="dxa"/>
            <w:gridSpan w:val="3"/>
            <w:vAlign w:val="center"/>
          </w:tcPr>
          <w:p w14:paraId="09C6F17B">
            <w:pPr>
              <w:kinsoku/>
              <w:jc w:val="center"/>
              <w:rPr>
                <w:rFonts w:ascii="宋体" w:hAnsi="宋体" w:eastAsia="宋体" w:cs="宋体"/>
                <w:color w:val="000000" w:themeColor="text1"/>
                <w:highlight w:val="none"/>
                <w14:textFill>
                  <w14:solidFill>
                    <w14:schemeClr w14:val="tx1"/>
                  </w14:solidFill>
                </w14:textFill>
              </w:rPr>
            </w:pPr>
          </w:p>
        </w:tc>
        <w:tc>
          <w:tcPr>
            <w:tcW w:w="413" w:type="dxa"/>
            <w:vMerge w:val="continue"/>
            <w:tcBorders>
              <w:top w:val="nil"/>
            </w:tcBorders>
            <w:textDirection w:val="tbRlV"/>
            <w:vAlign w:val="center"/>
          </w:tcPr>
          <w:p w14:paraId="3CF0C60F">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701" w:type="dxa"/>
            <w:gridSpan w:val="2"/>
            <w:vAlign w:val="center"/>
          </w:tcPr>
          <w:p w14:paraId="79F0D7B9">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各类注册人员</w:t>
            </w:r>
          </w:p>
        </w:tc>
        <w:tc>
          <w:tcPr>
            <w:tcW w:w="1518" w:type="dxa"/>
            <w:gridSpan w:val="2"/>
          </w:tcPr>
          <w:p w14:paraId="35DC9AC3">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1CFB6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50B63597">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经营范围</w:t>
            </w:r>
          </w:p>
        </w:tc>
        <w:tc>
          <w:tcPr>
            <w:tcW w:w="6842" w:type="dxa"/>
            <w:gridSpan w:val="8"/>
          </w:tcPr>
          <w:p w14:paraId="4837D76B">
            <w:pPr>
              <w:kinsoku/>
              <w:rPr>
                <w:rFonts w:ascii="宋体" w:hAnsi="宋体" w:eastAsia="宋体" w:cs="宋体"/>
                <w:color w:val="000000" w:themeColor="text1"/>
                <w:highlight w:val="none"/>
                <w14:textFill>
                  <w14:solidFill>
                    <w14:schemeClr w14:val="tx1"/>
                  </w14:solidFill>
                </w14:textFill>
              </w:rPr>
            </w:pPr>
          </w:p>
        </w:tc>
      </w:tr>
      <w:tr w14:paraId="0BAEF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6" w:hRule="atLeast"/>
        </w:trPr>
        <w:tc>
          <w:tcPr>
            <w:tcW w:w="2051" w:type="dxa"/>
            <w:vAlign w:val="center"/>
          </w:tcPr>
          <w:p w14:paraId="7BA50CEF">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投标人关联企业情况</w:t>
            </w:r>
          </w:p>
        </w:tc>
        <w:tc>
          <w:tcPr>
            <w:tcW w:w="6842" w:type="dxa"/>
            <w:gridSpan w:val="8"/>
          </w:tcPr>
          <w:p w14:paraId="6B6F78B7">
            <w:pPr>
              <w:kinsoku/>
              <w:spacing w:before="160"/>
              <w:ind w:left="11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投标人应提供关联企业情况，包括：</w:t>
            </w:r>
          </w:p>
          <w:p w14:paraId="245EB7B8">
            <w:pPr>
              <w:kinsoku/>
              <w:spacing w:before="149"/>
              <w:ind w:left="109" w:right="105" w:hanging="9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（1）投标人的所有股东名称及相应股权（出资额）比例；如投标人为上市公司，投标人应提供股权占公司股份总数 </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5</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%以上的所有股东名称及相应股权比例；</w:t>
            </w:r>
          </w:p>
          <w:p w14:paraId="70EA2D03">
            <w:pPr>
              <w:kinsoku/>
              <w:spacing w:before="150"/>
              <w:ind w:left="109" w:right="118" w:hanging="9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（2）投标人投资（控股）或管理的下属企业名称、持有股权（出资额）比例；</w:t>
            </w:r>
          </w:p>
          <w:p w14:paraId="090FBE8D">
            <w:pPr>
              <w:kinsoku/>
              <w:spacing w:before="147"/>
              <w:ind w:left="1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（3）与投标人单位负责人（即法定代表人）为同一人的其他单位名称</w:t>
            </w:r>
          </w:p>
        </w:tc>
      </w:tr>
      <w:tr w14:paraId="631C9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2051" w:type="dxa"/>
          </w:tcPr>
          <w:p w14:paraId="5438CAC0">
            <w:pPr>
              <w:kinsoku/>
              <w:spacing w:before="176" w:line="222" w:lineRule="auto"/>
              <w:ind w:left="8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6842" w:type="dxa"/>
            <w:gridSpan w:val="8"/>
          </w:tcPr>
          <w:p w14:paraId="4546D8A7">
            <w:pPr>
              <w:kinsoku/>
              <w:rPr>
                <w:rFonts w:ascii="宋体" w:hAnsi="宋体" w:eastAsia="宋体" w:cs="宋体"/>
                <w:color w:val="000000" w:themeColor="text1"/>
                <w:highlight w:val="none"/>
                <w14:textFill>
                  <w14:solidFill>
                    <w14:schemeClr w14:val="tx1"/>
                  </w14:solidFill>
                </w14:textFill>
              </w:rPr>
            </w:pPr>
          </w:p>
        </w:tc>
      </w:tr>
    </w:tbl>
    <w:p w14:paraId="678610AA">
      <w:pPr>
        <w:tabs>
          <w:tab w:val="left" w:pos="9040"/>
        </w:tabs>
        <w:kinsoku/>
        <w:spacing w:before="154" w:line="234" w:lineRule="auto"/>
        <w:ind w:left="592" w:right="-130" w:hanging="59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注：投标人应根据招标文件第二章“投标人须知 ”第3.5.1项的要求在本表后附相关证明材料。</w:t>
      </w:r>
    </w:p>
    <w:p w14:paraId="5E5990A0">
      <w:pPr>
        <w:rPr>
          <w:rFonts w:ascii="宋体" w:hAnsi="宋体" w:eastAsia="宋体" w:cs="宋体"/>
          <w:color w:val="000000" w:themeColor="text1"/>
          <w:sz w:val="24"/>
          <w:szCs w:val="24"/>
          <w:highlight w:val="none"/>
          <w:lang w:eastAsia="zh-CN"/>
          <w14:textFill>
            <w14:solidFill>
              <w14:schemeClr w14:val="tx1"/>
            </w14:solidFill>
          </w14:textFill>
        </w:rPr>
      </w:pPr>
      <w:bookmarkStart w:id="472" w:name="bookmark290"/>
      <w:bookmarkEnd w:id="472"/>
      <w:bookmarkStart w:id="473" w:name="bookmark289"/>
      <w:bookmarkEnd w:id="473"/>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32ECBEDD">
      <w:pPr>
        <w:kinsoku/>
        <w:spacing w:before="78" w:line="220" w:lineRule="auto"/>
        <w:ind w:left="274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（二）投标人企业组织机构框图</w:t>
      </w:r>
    </w:p>
    <w:p w14:paraId="138F46C2">
      <w:pPr>
        <w:kinsoku/>
        <w:spacing w:before="22"/>
        <w:rPr>
          <w:rFonts w:ascii="宋体" w:hAnsi="宋体" w:eastAsia="宋体" w:cs="宋体"/>
          <w:color w:val="000000" w:themeColor="text1"/>
          <w:highlight w:val="none"/>
          <w:lang w:eastAsia="zh-CN"/>
          <w14:textFill>
            <w14:solidFill>
              <w14:schemeClr w14:val="tx1"/>
            </w14:solidFill>
          </w14:textFill>
        </w:rPr>
      </w:pPr>
    </w:p>
    <w:tbl>
      <w:tblPr>
        <w:tblStyle w:val="26"/>
        <w:tblW w:w="88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97"/>
      </w:tblGrid>
      <w:tr w14:paraId="78227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2" w:hRule="atLeast"/>
        </w:trPr>
        <w:tc>
          <w:tcPr>
            <w:tcW w:w="8897" w:type="dxa"/>
          </w:tcPr>
          <w:p w14:paraId="70097A04">
            <w:pPr>
              <w:kinsoku/>
              <w:spacing w:line="304" w:lineRule="auto"/>
              <w:rPr>
                <w:rFonts w:ascii="宋体" w:hAnsi="宋体" w:eastAsia="宋体" w:cs="宋体"/>
                <w:color w:val="000000" w:themeColor="text1"/>
                <w:highlight w:val="none"/>
                <w:lang w:eastAsia="zh-CN"/>
                <w14:textFill>
                  <w14:solidFill>
                    <w14:schemeClr w14:val="tx1"/>
                  </w14:solidFill>
                </w14:textFill>
              </w:rPr>
            </w:pPr>
          </w:p>
          <w:p w14:paraId="3A0B6A79">
            <w:pPr>
              <w:kinsoku/>
              <w:spacing w:before="68" w:line="221" w:lineRule="auto"/>
              <w:ind w:left="40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以框图方式表示。</w:t>
            </w:r>
          </w:p>
        </w:tc>
      </w:tr>
      <w:tr w14:paraId="3F60C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12" w:hRule="atLeast"/>
        </w:trPr>
        <w:tc>
          <w:tcPr>
            <w:tcW w:w="8897" w:type="dxa"/>
          </w:tcPr>
          <w:p w14:paraId="52988D50">
            <w:pPr>
              <w:kinsoku/>
              <w:spacing w:before="160" w:line="221" w:lineRule="auto"/>
              <w:ind w:left="38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说明</w:t>
            </w:r>
          </w:p>
        </w:tc>
      </w:tr>
    </w:tbl>
    <w:p w14:paraId="1BAE3245">
      <w:pPr>
        <w:kinsoku/>
        <w:rPr>
          <w:rFonts w:ascii="宋体" w:hAnsi="宋体" w:eastAsia="宋体" w:cs="宋体"/>
          <w:color w:val="000000" w:themeColor="text1"/>
          <w:highlight w:val="none"/>
          <w14:textFill>
            <w14:solidFill>
              <w14:schemeClr w14:val="tx1"/>
            </w14:solidFill>
          </w14:textFill>
        </w:rPr>
      </w:pPr>
    </w:p>
    <w:p w14:paraId="6F6718C3">
      <w:pPr>
        <w:kinsoku/>
        <w:rPr>
          <w:rFonts w:ascii="宋体" w:hAnsi="宋体" w:eastAsia="宋体" w:cs="宋体"/>
          <w:color w:val="000000" w:themeColor="text1"/>
          <w:highlight w:val="none"/>
          <w14:textFill>
            <w14:solidFill>
              <w14:schemeClr w14:val="tx1"/>
            </w14:solidFill>
          </w14:textFill>
        </w:rPr>
        <w:sectPr>
          <w:headerReference r:id="rId51" w:type="default"/>
          <w:footerReference r:id="rId52" w:type="default"/>
          <w:pgSz w:w="11907" w:h="16839"/>
          <w:pgMar w:top="1173" w:right="1411" w:bottom="1254" w:left="1586" w:header="862" w:footer="1093" w:gutter="0"/>
          <w:cols w:space="720" w:num="1"/>
        </w:sectPr>
      </w:pPr>
    </w:p>
    <w:p w14:paraId="663A1010">
      <w:pPr>
        <w:kinsoku/>
        <w:spacing w:before="78" w:line="360" w:lineRule="auto"/>
        <w:ind w:left="2617"/>
        <w:rPr>
          <w:rFonts w:ascii="宋体" w:hAnsi="宋体" w:eastAsia="宋体" w:cs="宋体"/>
          <w:color w:val="000000" w:themeColor="text1"/>
          <w:sz w:val="24"/>
          <w:szCs w:val="24"/>
          <w:highlight w:val="none"/>
          <w:lang w:eastAsia="zh-CN"/>
          <w14:textFill>
            <w14:solidFill>
              <w14:schemeClr w14:val="tx1"/>
            </w14:solidFill>
          </w14:textFill>
        </w:rPr>
      </w:pPr>
      <w:bookmarkStart w:id="474" w:name="bookmark292"/>
      <w:bookmarkEnd w:id="474"/>
      <w:bookmarkStart w:id="475" w:name="bookmark291"/>
      <w:bookmarkEnd w:id="475"/>
      <w:r>
        <w:rPr>
          <w:rFonts w:hint="eastAsia" w:ascii="宋体" w:hAnsi="宋体" w:eastAsia="宋体" w:cs="宋体"/>
          <w:color w:val="000000" w:themeColor="text1"/>
          <w:sz w:val="24"/>
          <w:szCs w:val="24"/>
          <w:highlight w:val="none"/>
          <w:lang w:eastAsia="zh-CN"/>
          <w14:textFill>
            <w14:solidFill>
              <w14:schemeClr w14:val="tx1"/>
            </w14:solidFill>
          </w14:textFill>
        </w:rPr>
        <w:t>（三）近年完成的类似项目情况表</w:t>
      </w:r>
    </w:p>
    <w:p w14:paraId="28D77BD8">
      <w:pPr>
        <w:kinsoku/>
        <w:spacing w:before="78" w:line="360" w:lineRule="auto"/>
        <w:ind w:left="2617"/>
        <w:rPr>
          <w:rFonts w:ascii="宋体" w:hAnsi="宋体" w:eastAsia="宋体" w:cs="宋体"/>
          <w:color w:val="000000" w:themeColor="text1"/>
          <w:sz w:val="24"/>
          <w:szCs w:val="24"/>
          <w:highlight w:val="none"/>
          <w:lang w:eastAsia="zh-CN"/>
          <w14:textFill>
            <w14:solidFill>
              <w14:schemeClr w14:val="tx1"/>
            </w14:solidFill>
          </w14:textFill>
        </w:rPr>
      </w:pPr>
      <w:bookmarkStart w:id="476" w:name="_Toc4841"/>
      <w:bookmarkStart w:id="477" w:name="_Toc29"/>
      <w:r>
        <w:rPr>
          <w:rFonts w:hint="eastAsia" w:ascii="宋体" w:hAnsi="宋体" w:eastAsia="宋体" w:cs="宋体"/>
          <w:color w:val="000000" w:themeColor="text1"/>
          <w:sz w:val="24"/>
          <w:szCs w:val="24"/>
          <w:highlight w:val="none"/>
          <w:lang w:eastAsia="zh-CN"/>
          <w14:textFill>
            <w14:solidFill>
              <w14:schemeClr w14:val="tx1"/>
            </w14:solidFill>
          </w14:textFill>
        </w:rPr>
        <w:t>表 3-1 完成的类似项目情况汇总表</w:t>
      </w:r>
      <w:bookmarkEnd w:id="476"/>
      <w:bookmarkEnd w:id="477"/>
    </w:p>
    <w:tbl>
      <w:tblPr>
        <w:tblStyle w:val="18"/>
        <w:tblW w:w="7622" w:type="dxa"/>
        <w:jc w:val="center"/>
        <w:tblLayout w:type="fixed"/>
        <w:tblCellMar>
          <w:top w:w="0" w:type="dxa"/>
          <w:left w:w="0" w:type="dxa"/>
          <w:bottom w:w="0" w:type="dxa"/>
          <w:right w:w="0" w:type="dxa"/>
        </w:tblCellMar>
      </w:tblPr>
      <w:tblGrid>
        <w:gridCol w:w="832"/>
        <w:gridCol w:w="2062"/>
        <w:gridCol w:w="1706"/>
        <w:gridCol w:w="1194"/>
        <w:gridCol w:w="944"/>
        <w:gridCol w:w="884"/>
      </w:tblGrid>
      <w:tr w14:paraId="071C757C">
        <w:tblPrEx>
          <w:tblCellMar>
            <w:top w:w="0" w:type="dxa"/>
            <w:left w:w="0" w:type="dxa"/>
            <w:bottom w:w="0" w:type="dxa"/>
            <w:right w:w="0" w:type="dxa"/>
          </w:tblCellMar>
        </w:tblPrEx>
        <w:trPr>
          <w:trHeight w:val="631" w:hRule="atLeast"/>
          <w:jc w:val="center"/>
        </w:trPr>
        <w:tc>
          <w:tcPr>
            <w:tcW w:w="832" w:type="dxa"/>
            <w:tcBorders>
              <w:top w:val="single" w:color="auto" w:sz="12" w:space="0"/>
              <w:left w:val="single" w:color="auto" w:sz="12" w:space="0"/>
              <w:bottom w:val="single" w:color="auto" w:sz="8" w:space="0"/>
              <w:right w:val="single" w:color="auto" w:sz="4" w:space="0"/>
            </w:tcBorders>
            <w:vAlign w:val="center"/>
          </w:tcPr>
          <w:p w14:paraId="1CA1719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序号</w:t>
            </w:r>
          </w:p>
        </w:tc>
        <w:tc>
          <w:tcPr>
            <w:tcW w:w="2062" w:type="dxa"/>
            <w:tcBorders>
              <w:top w:val="single" w:color="auto" w:sz="12" w:space="0"/>
              <w:left w:val="single" w:color="auto" w:sz="4" w:space="0"/>
              <w:bottom w:val="single" w:color="auto" w:sz="8" w:space="0"/>
              <w:right w:val="single" w:color="auto" w:sz="4" w:space="0"/>
            </w:tcBorders>
            <w:vAlign w:val="center"/>
          </w:tcPr>
          <w:p w14:paraId="0633A07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项目名称</w:t>
            </w:r>
          </w:p>
        </w:tc>
        <w:tc>
          <w:tcPr>
            <w:tcW w:w="1706" w:type="dxa"/>
            <w:tcBorders>
              <w:top w:val="single" w:color="auto" w:sz="12" w:space="0"/>
              <w:left w:val="single" w:color="auto" w:sz="4" w:space="0"/>
              <w:bottom w:val="single" w:color="auto" w:sz="8" w:space="0"/>
              <w:right w:val="single" w:color="auto" w:sz="4" w:space="0"/>
            </w:tcBorders>
            <w:vAlign w:val="center"/>
          </w:tcPr>
          <w:p w14:paraId="6D4EEAC7">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土建工程里程（km）</w:t>
            </w:r>
          </w:p>
        </w:tc>
        <w:tc>
          <w:tcPr>
            <w:tcW w:w="1194" w:type="dxa"/>
            <w:tcBorders>
              <w:top w:val="single" w:color="auto" w:sz="12" w:space="0"/>
              <w:left w:val="single" w:color="auto" w:sz="4" w:space="0"/>
              <w:bottom w:val="single" w:color="auto" w:sz="8" w:space="0"/>
              <w:right w:val="single" w:color="auto" w:sz="4" w:space="0"/>
            </w:tcBorders>
            <w:vAlign w:val="center"/>
          </w:tcPr>
          <w:p w14:paraId="6BBA4F4D">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大桥（座）</w:t>
            </w:r>
          </w:p>
        </w:tc>
        <w:tc>
          <w:tcPr>
            <w:tcW w:w="944" w:type="dxa"/>
            <w:tcBorders>
              <w:top w:val="single" w:color="auto" w:sz="12" w:space="0"/>
              <w:left w:val="single" w:color="auto" w:sz="4" w:space="0"/>
              <w:bottom w:val="single" w:color="auto" w:sz="8" w:space="0"/>
              <w:right w:val="single" w:color="auto" w:sz="4" w:space="0"/>
            </w:tcBorders>
            <w:vAlign w:val="center"/>
          </w:tcPr>
          <w:p w14:paraId="6EE856B9">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桥梁工程（座）</w:t>
            </w:r>
          </w:p>
        </w:tc>
        <w:tc>
          <w:tcPr>
            <w:tcW w:w="884" w:type="dxa"/>
            <w:tcBorders>
              <w:top w:val="single" w:color="auto" w:sz="12" w:space="0"/>
              <w:left w:val="single" w:color="auto" w:sz="4" w:space="0"/>
              <w:bottom w:val="single" w:color="auto" w:sz="8" w:space="0"/>
              <w:right w:val="single" w:color="auto" w:sz="12" w:space="0"/>
            </w:tcBorders>
            <w:vAlign w:val="center"/>
          </w:tcPr>
          <w:p w14:paraId="30DC851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备注</w:t>
            </w:r>
          </w:p>
        </w:tc>
      </w:tr>
      <w:tr w14:paraId="5A502DFE">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7FC590D2">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1</w:t>
            </w:r>
          </w:p>
        </w:tc>
        <w:tc>
          <w:tcPr>
            <w:tcW w:w="2062" w:type="dxa"/>
            <w:tcBorders>
              <w:top w:val="single" w:color="auto" w:sz="8" w:space="0"/>
              <w:left w:val="single" w:color="auto" w:sz="4" w:space="0"/>
              <w:bottom w:val="single" w:color="auto" w:sz="8" w:space="0"/>
              <w:right w:val="single" w:color="auto" w:sz="4" w:space="0"/>
            </w:tcBorders>
            <w:vAlign w:val="center"/>
          </w:tcPr>
          <w:p w14:paraId="6395FEF4">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4F23E20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2B8D4983">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540CF6A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902AF7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1AF1ED27">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09CACF64">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2</w:t>
            </w:r>
          </w:p>
        </w:tc>
        <w:tc>
          <w:tcPr>
            <w:tcW w:w="2062" w:type="dxa"/>
            <w:tcBorders>
              <w:top w:val="single" w:color="auto" w:sz="8" w:space="0"/>
              <w:left w:val="single" w:color="auto" w:sz="4" w:space="0"/>
              <w:bottom w:val="single" w:color="auto" w:sz="8" w:space="0"/>
              <w:right w:val="single" w:color="auto" w:sz="4" w:space="0"/>
            </w:tcBorders>
            <w:vAlign w:val="center"/>
          </w:tcPr>
          <w:p w14:paraId="62D9A778">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5D90AD07">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36DE1CEF">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7A744D7F">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324B0C3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52A5712F">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4DA1138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3</w:t>
            </w:r>
          </w:p>
        </w:tc>
        <w:tc>
          <w:tcPr>
            <w:tcW w:w="2062" w:type="dxa"/>
            <w:tcBorders>
              <w:top w:val="single" w:color="auto" w:sz="8" w:space="0"/>
              <w:left w:val="single" w:color="auto" w:sz="4" w:space="0"/>
              <w:bottom w:val="single" w:color="auto" w:sz="8" w:space="0"/>
              <w:right w:val="single" w:color="auto" w:sz="4" w:space="0"/>
            </w:tcBorders>
            <w:vAlign w:val="center"/>
          </w:tcPr>
          <w:p w14:paraId="0B126BD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0BA6576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0B63FE20">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158F4B86">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6E65F13">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39BB9047">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5685618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4</w:t>
            </w:r>
          </w:p>
        </w:tc>
        <w:tc>
          <w:tcPr>
            <w:tcW w:w="2062" w:type="dxa"/>
            <w:tcBorders>
              <w:top w:val="single" w:color="auto" w:sz="8" w:space="0"/>
              <w:left w:val="single" w:color="auto" w:sz="4" w:space="0"/>
              <w:bottom w:val="single" w:color="auto" w:sz="8" w:space="0"/>
              <w:right w:val="single" w:color="auto" w:sz="4" w:space="0"/>
            </w:tcBorders>
            <w:vAlign w:val="center"/>
          </w:tcPr>
          <w:p w14:paraId="4C8F57C6">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41686DE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796DD433">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002BE41B">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7898157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052DC03A">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3AAD788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5</w:t>
            </w:r>
          </w:p>
        </w:tc>
        <w:tc>
          <w:tcPr>
            <w:tcW w:w="2062" w:type="dxa"/>
            <w:tcBorders>
              <w:top w:val="single" w:color="auto" w:sz="8" w:space="0"/>
              <w:left w:val="single" w:color="auto" w:sz="4" w:space="0"/>
              <w:bottom w:val="single" w:color="auto" w:sz="8" w:space="0"/>
              <w:right w:val="single" w:color="auto" w:sz="4" w:space="0"/>
            </w:tcBorders>
            <w:vAlign w:val="center"/>
          </w:tcPr>
          <w:p w14:paraId="0BEA1B6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76A47923">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180A6ADB">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0D947F85">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A72FCD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0D9FB61B">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05CF249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6</w:t>
            </w:r>
          </w:p>
        </w:tc>
        <w:tc>
          <w:tcPr>
            <w:tcW w:w="2062" w:type="dxa"/>
            <w:tcBorders>
              <w:top w:val="single" w:color="auto" w:sz="8" w:space="0"/>
              <w:left w:val="single" w:color="auto" w:sz="4" w:space="0"/>
              <w:bottom w:val="single" w:color="auto" w:sz="8" w:space="0"/>
              <w:right w:val="single" w:color="auto" w:sz="4" w:space="0"/>
            </w:tcBorders>
            <w:vAlign w:val="center"/>
          </w:tcPr>
          <w:p w14:paraId="40A53D7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38B5500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25C7E699">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7A641BF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0F55DB7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0E836A18">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308A52D2">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7</w:t>
            </w:r>
          </w:p>
        </w:tc>
        <w:tc>
          <w:tcPr>
            <w:tcW w:w="2062" w:type="dxa"/>
            <w:tcBorders>
              <w:top w:val="single" w:color="auto" w:sz="8" w:space="0"/>
              <w:left w:val="single" w:color="auto" w:sz="4" w:space="0"/>
              <w:bottom w:val="single" w:color="auto" w:sz="8" w:space="0"/>
              <w:right w:val="single" w:color="auto" w:sz="4" w:space="0"/>
            </w:tcBorders>
            <w:vAlign w:val="center"/>
          </w:tcPr>
          <w:p w14:paraId="414655C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7FFD4BC2">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6805314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2015DBDF">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7D6EAFD2">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6279B8BB">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6AAD1A4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56A97A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1302475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6B7377F2">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1812888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0F57DF6C">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23E72042">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5D4BFF6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21D5728">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3B48B28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3E18DB36">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18F3F5D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3AE924F6">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7939D738">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27A0A1B4">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D0763B0">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6CB0B73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40FAFB4A">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2F26756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5298FB7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4FA015A7">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5097E110">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8D4A9D8">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02CFDB2B">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3F98227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2C0B8430">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653972A">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6F226764">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5F44EE5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17DA27D3">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52E4CB51">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1DFAC47C">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045DC8D7">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335E63D2">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73AF0442">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1023B62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228DEBC6">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185493A7">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4C9567A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42212C27">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740ADA39">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2ADA0D72">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2A25D50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1BA030B">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558BDCA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56262493">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456A5D0F">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EF4F6C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3EFCC56D">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0EDBA5B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w:t>
            </w:r>
          </w:p>
        </w:tc>
        <w:tc>
          <w:tcPr>
            <w:tcW w:w="2062" w:type="dxa"/>
            <w:tcBorders>
              <w:top w:val="single" w:color="auto" w:sz="8" w:space="0"/>
              <w:left w:val="single" w:color="auto" w:sz="4" w:space="0"/>
              <w:bottom w:val="single" w:color="auto" w:sz="8" w:space="0"/>
              <w:right w:val="single" w:color="auto" w:sz="4" w:space="0"/>
            </w:tcBorders>
            <w:vAlign w:val="center"/>
          </w:tcPr>
          <w:p w14:paraId="13D0BD40">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7617E99B">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705AD8B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1DE2D998">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51488F7C">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768C2196">
        <w:tblPrEx>
          <w:tblCellMar>
            <w:top w:w="0" w:type="dxa"/>
            <w:left w:w="0" w:type="dxa"/>
            <w:bottom w:w="0" w:type="dxa"/>
            <w:right w:w="0" w:type="dxa"/>
          </w:tblCellMar>
        </w:tblPrEx>
        <w:trPr>
          <w:trHeight w:val="567" w:hRule="atLeast"/>
          <w:jc w:val="center"/>
        </w:trPr>
        <w:tc>
          <w:tcPr>
            <w:tcW w:w="2894" w:type="dxa"/>
            <w:gridSpan w:val="2"/>
            <w:tcBorders>
              <w:top w:val="single" w:color="auto" w:sz="8" w:space="0"/>
              <w:left w:val="single" w:color="auto" w:sz="12" w:space="0"/>
              <w:bottom w:val="single" w:color="auto" w:sz="8" w:space="0"/>
              <w:right w:val="single" w:color="auto" w:sz="4" w:space="0"/>
            </w:tcBorders>
            <w:vAlign w:val="center"/>
          </w:tcPr>
          <w:p w14:paraId="1A4C1E0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业绩合计</w:t>
            </w:r>
          </w:p>
        </w:tc>
        <w:tc>
          <w:tcPr>
            <w:tcW w:w="1706" w:type="dxa"/>
            <w:tcBorders>
              <w:top w:val="single" w:color="auto" w:sz="8" w:space="0"/>
              <w:left w:val="single" w:color="auto" w:sz="4" w:space="0"/>
              <w:bottom w:val="single" w:color="auto" w:sz="8" w:space="0"/>
              <w:right w:val="single" w:color="auto" w:sz="4" w:space="0"/>
            </w:tcBorders>
            <w:vAlign w:val="center"/>
          </w:tcPr>
          <w:p w14:paraId="68C23137">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1D3E79D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5E5FBFC5">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F73E5E9">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bl>
    <w:p w14:paraId="36C8C6D8">
      <w:pPr>
        <w:kinsoku/>
        <w:spacing w:before="78" w:line="218" w:lineRule="auto"/>
        <w:ind w:left="2617"/>
        <w:rPr>
          <w:rFonts w:ascii="宋体" w:hAnsi="宋体" w:eastAsia="宋体" w:cs="宋体"/>
          <w:color w:val="000000" w:themeColor="text1"/>
          <w:sz w:val="24"/>
          <w:szCs w:val="24"/>
          <w:highlight w:val="none"/>
          <w:lang w:eastAsia="zh-CN"/>
          <w14:textFill>
            <w14:solidFill>
              <w14:schemeClr w14:val="tx1"/>
            </w14:solidFill>
          </w14:textFill>
        </w:rPr>
      </w:pPr>
      <w:bookmarkStart w:id="478" w:name="_Toc14879"/>
    </w:p>
    <w:p w14:paraId="10ABC426">
      <w:pPr>
        <w:kinsoku/>
        <w:autoSpaceDE/>
        <w:autoSpaceDN/>
        <w:adjustRightInd/>
        <w:snapToGrid/>
        <w:textAlignment w:val="auto"/>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br w:type="page"/>
      </w:r>
    </w:p>
    <w:p w14:paraId="67C84345">
      <w:pPr>
        <w:kinsoku/>
        <w:spacing w:before="78" w:line="218" w:lineRule="auto"/>
        <w:ind w:left="2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表 3-2近年完成的类似项目情况表</w:t>
      </w:r>
      <w:bookmarkEnd w:id="478"/>
    </w:p>
    <w:p w14:paraId="770E5E33">
      <w:pPr>
        <w:kinsoku/>
        <w:spacing w:before="69"/>
        <w:rPr>
          <w:rFonts w:ascii="宋体" w:hAnsi="宋体" w:eastAsia="宋体" w:cs="宋体"/>
          <w:color w:val="000000" w:themeColor="text1"/>
          <w:highlight w:val="none"/>
          <w:lang w:eastAsia="zh-CN"/>
          <w14:textFill>
            <w14:solidFill>
              <w14:schemeClr w14:val="tx1"/>
            </w14:solidFill>
          </w14:textFill>
        </w:rPr>
      </w:pPr>
    </w:p>
    <w:tbl>
      <w:tblPr>
        <w:tblStyle w:val="26"/>
        <w:tblW w:w="8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6528"/>
      </w:tblGrid>
      <w:tr w14:paraId="026FD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0" w:type="dxa"/>
          </w:tcPr>
          <w:p w14:paraId="764A218A">
            <w:pPr>
              <w:kinsoku/>
              <w:spacing w:before="274" w:line="222" w:lineRule="auto"/>
              <w:ind w:left="77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    号</w:t>
            </w:r>
          </w:p>
        </w:tc>
        <w:tc>
          <w:tcPr>
            <w:tcW w:w="6528" w:type="dxa"/>
          </w:tcPr>
          <w:p w14:paraId="209E83A0">
            <w:pPr>
              <w:kinsoku/>
              <w:rPr>
                <w:rFonts w:ascii="宋体" w:hAnsi="宋体" w:eastAsia="宋体" w:cs="宋体"/>
                <w:color w:val="000000" w:themeColor="text1"/>
                <w:highlight w:val="none"/>
                <w14:textFill>
                  <w14:solidFill>
                    <w14:schemeClr w14:val="tx1"/>
                  </w14:solidFill>
                </w14:textFill>
              </w:rPr>
            </w:pPr>
          </w:p>
        </w:tc>
      </w:tr>
      <w:tr w14:paraId="341EF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70" w:type="dxa"/>
          </w:tcPr>
          <w:p w14:paraId="056C7822">
            <w:pPr>
              <w:kinsoku/>
              <w:spacing w:before="270" w:line="221" w:lineRule="auto"/>
              <w:ind w:left="77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tc>
        <w:tc>
          <w:tcPr>
            <w:tcW w:w="6528" w:type="dxa"/>
          </w:tcPr>
          <w:p w14:paraId="250F642A">
            <w:pPr>
              <w:kinsoku/>
              <w:rPr>
                <w:rFonts w:ascii="宋体" w:hAnsi="宋体" w:eastAsia="宋体" w:cs="宋体"/>
                <w:color w:val="000000" w:themeColor="text1"/>
                <w:highlight w:val="none"/>
                <w14:textFill>
                  <w14:solidFill>
                    <w14:schemeClr w14:val="tx1"/>
                  </w14:solidFill>
                </w14:textFill>
              </w:rPr>
            </w:pPr>
          </w:p>
        </w:tc>
      </w:tr>
      <w:tr w14:paraId="2BEF0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1AECBF55">
            <w:pPr>
              <w:kinsoku/>
              <w:spacing w:before="267"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项目所在地</w:t>
            </w:r>
          </w:p>
        </w:tc>
        <w:tc>
          <w:tcPr>
            <w:tcW w:w="6528" w:type="dxa"/>
          </w:tcPr>
          <w:p w14:paraId="127271BC">
            <w:pPr>
              <w:kinsoku/>
              <w:rPr>
                <w:rFonts w:ascii="宋体" w:hAnsi="宋体" w:eastAsia="宋体" w:cs="宋体"/>
                <w:color w:val="000000" w:themeColor="text1"/>
                <w:highlight w:val="none"/>
                <w14:textFill>
                  <w14:solidFill>
                    <w14:schemeClr w14:val="tx1"/>
                  </w14:solidFill>
                </w14:textFill>
              </w:rPr>
            </w:pPr>
          </w:p>
        </w:tc>
      </w:tr>
      <w:tr w14:paraId="024C7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1A1B4BBE">
            <w:pPr>
              <w:kinsoku/>
              <w:spacing w:before="270"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发包人名称</w:t>
            </w:r>
          </w:p>
        </w:tc>
        <w:tc>
          <w:tcPr>
            <w:tcW w:w="6528" w:type="dxa"/>
          </w:tcPr>
          <w:p w14:paraId="2D678751">
            <w:pPr>
              <w:kinsoku/>
              <w:rPr>
                <w:rFonts w:ascii="宋体" w:hAnsi="宋体" w:eastAsia="宋体" w:cs="宋体"/>
                <w:color w:val="000000" w:themeColor="text1"/>
                <w:highlight w:val="none"/>
                <w14:textFill>
                  <w14:solidFill>
                    <w14:schemeClr w14:val="tx1"/>
                  </w14:solidFill>
                </w14:textFill>
              </w:rPr>
            </w:pPr>
          </w:p>
        </w:tc>
      </w:tr>
      <w:tr w14:paraId="4F035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tcPr>
          <w:p w14:paraId="4FF63DBE">
            <w:pPr>
              <w:kinsoku/>
              <w:spacing w:before="272"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发包人地址</w:t>
            </w:r>
          </w:p>
        </w:tc>
        <w:tc>
          <w:tcPr>
            <w:tcW w:w="6528" w:type="dxa"/>
          </w:tcPr>
          <w:p w14:paraId="6B2383D6">
            <w:pPr>
              <w:kinsoku/>
              <w:rPr>
                <w:rFonts w:ascii="宋体" w:hAnsi="宋体" w:eastAsia="宋体" w:cs="宋体"/>
                <w:color w:val="000000" w:themeColor="text1"/>
                <w:highlight w:val="none"/>
                <w14:textFill>
                  <w14:solidFill>
                    <w14:schemeClr w14:val="tx1"/>
                  </w14:solidFill>
                </w14:textFill>
              </w:rPr>
            </w:pPr>
          </w:p>
        </w:tc>
      </w:tr>
      <w:tr w14:paraId="29E82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6F01EEF6">
            <w:pPr>
              <w:kinsoku/>
              <w:spacing w:before="271"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发包人电话</w:t>
            </w:r>
          </w:p>
        </w:tc>
        <w:tc>
          <w:tcPr>
            <w:tcW w:w="6528" w:type="dxa"/>
          </w:tcPr>
          <w:p w14:paraId="25371B5A">
            <w:pPr>
              <w:kinsoku/>
              <w:rPr>
                <w:rFonts w:ascii="宋体" w:hAnsi="宋体" w:eastAsia="宋体" w:cs="宋体"/>
                <w:color w:val="000000" w:themeColor="text1"/>
                <w:highlight w:val="none"/>
                <w14:textFill>
                  <w14:solidFill>
                    <w14:schemeClr w14:val="tx1"/>
                  </w14:solidFill>
                </w14:textFill>
              </w:rPr>
            </w:pPr>
          </w:p>
        </w:tc>
      </w:tr>
      <w:tr w14:paraId="2428B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135F53A7">
            <w:pPr>
              <w:kinsoku/>
              <w:spacing w:before="271" w:line="221" w:lineRule="auto"/>
              <w:ind w:left="77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项目等级</w:t>
            </w:r>
          </w:p>
        </w:tc>
        <w:tc>
          <w:tcPr>
            <w:tcW w:w="6528" w:type="dxa"/>
          </w:tcPr>
          <w:p w14:paraId="49A60279">
            <w:pPr>
              <w:kinsoku/>
              <w:rPr>
                <w:rFonts w:ascii="宋体" w:hAnsi="宋体" w:eastAsia="宋体" w:cs="宋体"/>
                <w:color w:val="000000" w:themeColor="text1"/>
                <w:highlight w:val="none"/>
                <w14:textFill>
                  <w14:solidFill>
                    <w14:schemeClr w14:val="tx1"/>
                  </w14:solidFill>
                </w14:textFill>
              </w:rPr>
            </w:pPr>
          </w:p>
        </w:tc>
      </w:tr>
      <w:tr w14:paraId="1F665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70" w:type="dxa"/>
          </w:tcPr>
          <w:p w14:paraId="0C5B9907">
            <w:pPr>
              <w:kinsoku/>
              <w:spacing w:before="272"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项目总投资</w:t>
            </w:r>
          </w:p>
        </w:tc>
        <w:tc>
          <w:tcPr>
            <w:tcW w:w="6528" w:type="dxa"/>
          </w:tcPr>
          <w:p w14:paraId="1DD0E6E0">
            <w:pPr>
              <w:kinsoku/>
              <w:rPr>
                <w:rFonts w:ascii="宋体" w:hAnsi="宋体" w:eastAsia="宋体" w:cs="宋体"/>
                <w:color w:val="000000" w:themeColor="text1"/>
                <w:highlight w:val="none"/>
                <w14:textFill>
                  <w14:solidFill>
                    <w14:schemeClr w14:val="tx1"/>
                  </w14:solidFill>
                </w14:textFill>
              </w:rPr>
            </w:pPr>
          </w:p>
        </w:tc>
      </w:tr>
      <w:tr w14:paraId="1A580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089651C4">
            <w:pPr>
              <w:kinsoku/>
              <w:spacing w:before="270" w:line="219" w:lineRule="auto"/>
              <w:ind w:left="77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合同价格</w:t>
            </w:r>
          </w:p>
        </w:tc>
        <w:tc>
          <w:tcPr>
            <w:tcW w:w="6528" w:type="dxa"/>
          </w:tcPr>
          <w:p w14:paraId="4F2EF178">
            <w:pPr>
              <w:kinsoku/>
              <w:rPr>
                <w:rFonts w:ascii="宋体" w:hAnsi="宋体" w:eastAsia="宋体" w:cs="宋体"/>
                <w:color w:val="000000" w:themeColor="text1"/>
                <w:highlight w:val="none"/>
                <w14:textFill>
                  <w14:solidFill>
                    <w14:schemeClr w14:val="tx1"/>
                  </w14:solidFill>
                </w14:textFill>
              </w:rPr>
            </w:pPr>
          </w:p>
        </w:tc>
      </w:tr>
      <w:tr w14:paraId="705B1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tcPr>
          <w:p w14:paraId="77E3B3C7">
            <w:pPr>
              <w:kinsoku/>
              <w:spacing w:before="270" w:line="219"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承担的设计工作</w:t>
            </w:r>
          </w:p>
        </w:tc>
        <w:tc>
          <w:tcPr>
            <w:tcW w:w="6528" w:type="dxa"/>
          </w:tcPr>
          <w:p w14:paraId="1949A613">
            <w:pPr>
              <w:kinsoku/>
              <w:rPr>
                <w:rFonts w:ascii="宋体" w:hAnsi="宋体" w:eastAsia="宋体" w:cs="宋体"/>
                <w:color w:val="000000" w:themeColor="text1"/>
                <w:highlight w:val="none"/>
                <w14:textFill>
                  <w14:solidFill>
                    <w14:schemeClr w14:val="tx1"/>
                  </w14:solidFill>
                </w14:textFill>
              </w:rPr>
            </w:pPr>
          </w:p>
        </w:tc>
      </w:tr>
      <w:tr w14:paraId="3932A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35638059">
            <w:pPr>
              <w:kinsoku/>
              <w:spacing w:before="270" w:line="219"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设计服务期限</w:t>
            </w:r>
          </w:p>
        </w:tc>
        <w:tc>
          <w:tcPr>
            <w:tcW w:w="6528" w:type="dxa"/>
          </w:tcPr>
          <w:p w14:paraId="22F3D6AC">
            <w:pPr>
              <w:kinsoku/>
              <w:rPr>
                <w:rFonts w:ascii="宋体" w:hAnsi="宋体" w:eastAsia="宋体" w:cs="宋体"/>
                <w:color w:val="000000" w:themeColor="text1"/>
                <w:highlight w:val="none"/>
                <w14:textFill>
                  <w14:solidFill>
                    <w14:schemeClr w14:val="tx1"/>
                  </w14:solidFill>
                </w14:textFill>
              </w:rPr>
            </w:pPr>
          </w:p>
        </w:tc>
      </w:tr>
      <w:tr w14:paraId="3BA15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73A380A8">
            <w:pPr>
              <w:kinsoku/>
              <w:spacing w:before="273"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项目负责人</w:t>
            </w:r>
          </w:p>
        </w:tc>
        <w:tc>
          <w:tcPr>
            <w:tcW w:w="6528" w:type="dxa"/>
          </w:tcPr>
          <w:p w14:paraId="7F2AB379">
            <w:pPr>
              <w:kinsoku/>
              <w:rPr>
                <w:rFonts w:ascii="宋体" w:hAnsi="宋体" w:eastAsia="宋体" w:cs="宋体"/>
                <w:color w:val="000000" w:themeColor="text1"/>
                <w:highlight w:val="none"/>
                <w14:textFill>
                  <w14:solidFill>
                    <w14:schemeClr w14:val="tx1"/>
                  </w14:solidFill>
                </w14:textFill>
              </w:rPr>
            </w:pPr>
          </w:p>
        </w:tc>
      </w:tr>
      <w:tr w14:paraId="54142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2989125C">
            <w:pPr>
              <w:kinsoku/>
              <w:spacing w:before="273" w:line="221" w:lineRule="auto"/>
              <w:ind w:left="56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项目完成情况</w:t>
            </w:r>
          </w:p>
        </w:tc>
        <w:tc>
          <w:tcPr>
            <w:tcW w:w="6528" w:type="dxa"/>
          </w:tcPr>
          <w:p w14:paraId="6C53C044">
            <w:pPr>
              <w:kinsoku/>
              <w:rPr>
                <w:rFonts w:ascii="宋体" w:hAnsi="宋体" w:eastAsia="宋体" w:cs="宋体"/>
                <w:color w:val="000000" w:themeColor="text1"/>
                <w:highlight w:val="none"/>
                <w14:textFill>
                  <w14:solidFill>
                    <w14:schemeClr w14:val="tx1"/>
                  </w14:solidFill>
                </w14:textFill>
              </w:rPr>
            </w:pPr>
          </w:p>
        </w:tc>
      </w:tr>
      <w:tr w14:paraId="3689F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2370" w:type="dxa"/>
            <w:vAlign w:val="center"/>
          </w:tcPr>
          <w:p w14:paraId="0579D4A4">
            <w:pPr>
              <w:kinsoku/>
              <w:spacing w:before="69" w:line="221" w:lineRule="auto"/>
              <w:ind w:left="0" w:leftChars="0" w:firstLine="0" w:firstLineChars="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项目描述</w:t>
            </w:r>
          </w:p>
        </w:tc>
        <w:tc>
          <w:tcPr>
            <w:tcW w:w="6528" w:type="dxa"/>
          </w:tcPr>
          <w:p w14:paraId="2454AD66">
            <w:pPr>
              <w:kinsoku/>
              <w:rPr>
                <w:rFonts w:ascii="宋体" w:hAnsi="宋体" w:eastAsia="宋体" w:cs="宋体"/>
                <w:color w:val="000000" w:themeColor="text1"/>
                <w:highlight w:val="none"/>
                <w14:textFill>
                  <w14:solidFill>
                    <w14:schemeClr w14:val="tx1"/>
                  </w14:solidFill>
                </w14:textFill>
              </w:rPr>
            </w:pPr>
          </w:p>
        </w:tc>
      </w:tr>
      <w:tr w14:paraId="6F635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2370" w:type="dxa"/>
            <w:vAlign w:val="center"/>
          </w:tcPr>
          <w:p w14:paraId="6335CFEC">
            <w:pPr>
              <w:kinsoku/>
              <w:spacing w:before="68" w:line="222" w:lineRule="auto"/>
              <w:ind w:left="0" w:leftChars="0" w:firstLine="0" w:firstLineChars="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6528" w:type="dxa"/>
          </w:tcPr>
          <w:p w14:paraId="5AF66C17">
            <w:pPr>
              <w:kinsoku/>
              <w:rPr>
                <w:rFonts w:ascii="宋体" w:hAnsi="宋体" w:eastAsia="宋体" w:cs="宋体"/>
                <w:color w:val="000000" w:themeColor="text1"/>
                <w:highlight w:val="none"/>
                <w14:textFill>
                  <w14:solidFill>
                    <w14:schemeClr w14:val="tx1"/>
                  </w14:solidFill>
                </w14:textFill>
              </w:rPr>
            </w:pPr>
          </w:p>
        </w:tc>
      </w:tr>
    </w:tbl>
    <w:p w14:paraId="6A3BB275">
      <w:pPr>
        <w:kinsoku/>
        <w:spacing w:before="41" w:line="221" w:lineRule="auto"/>
        <w:ind w:left="121" w:right="-134" w:rightChars="-6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注：1.每张表格只填写一个项目，并标明序号。</w:t>
      </w:r>
    </w:p>
    <w:p w14:paraId="199E9692">
      <w:pPr>
        <w:kinsoku/>
        <w:spacing w:before="26" w:line="234" w:lineRule="auto"/>
        <w:ind w:left="709" w:right="-134" w:rightChars="-64" w:hanging="17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2.项目完成情况：根据先后顺序分为“初步设计已批复”“施工图设计已审批”等不同阶段，投标人应根据项目实际完成情况进行填报。</w:t>
      </w:r>
    </w:p>
    <w:p w14:paraId="2F8F9BAF">
      <w:pPr>
        <w:kinsoku/>
        <w:spacing w:before="30" w:line="233" w:lineRule="auto"/>
        <w:ind w:left="708" w:right="-134" w:rightChars="-64" w:hanging="16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3.投标人应根据招标文件第二章“投标人须知第3.5.2项的要求在本表后附相关证明材料。</w:t>
      </w:r>
    </w:p>
    <w:p w14:paraId="39018D31">
      <w:pPr>
        <w:kinsoku/>
        <w:spacing w:before="30" w:line="233" w:lineRule="auto"/>
        <w:ind w:left="709" w:right="-134" w:rightChars="-64" w:hanging="17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4.如近年来，投标人法人机构发生合法变更或重组或法人名称变更时，应提供相关部门的合法批件或其他相关证明材料来证明其所附业绩的继承性。</w:t>
      </w:r>
    </w:p>
    <w:p w14:paraId="352E05DC">
      <w:pPr>
        <w:kinsoku/>
        <w:spacing w:before="29" w:line="221" w:lineRule="auto"/>
        <w:ind w:left="542" w:right="-134" w:rightChars="-64"/>
        <w:rPr>
          <w:rFonts w:ascii="宋体" w:hAnsi="宋体" w:eastAsia="宋体" w:cs="宋体"/>
          <w:color w:val="000000" w:themeColor="text1"/>
          <w:highlight w:val="none"/>
          <w:lang w:eastAsia="zh-CN"/>
          <w14:textFill>
            <w14:solidFill>
              <w14:schemeClr w14:val="tx1"/>
            </w14:solidFill>
          </w14:textFill>
        </w:rPr>
      </w:pPr>
    </w:p>
    <w:p w14:paraId="619E7177">
      <w:pPr>
        <w:kinsoku/>
        <w:spacing w:line="221" w:lineRule="auto"/>
        <w:rPr>
          <w:rFonts w:ascii="宋体" w:hAnsi="宋体" w:eastAsia="宋体" w:cs="宋体"/>
          <w:color w:val="000000" w:themeColor="text1"/>
          <w:highlight w:val="none"/>
          <w:lang w:eastAsia="zh-CN"/>
          <w14:textFill>
            <w14:solidFill>
              <w14:schemeClr w14:val="tx1"/>
            </w14:solidFill>
          </w14:textFill>
        </w:rPr>
        <w:sectPr>
          <w:headerReference r:id="rId53" w:type="default"/>
          <w:footerReference r:id="rId54" w:type="default"/>
          <w:pgSz w:w="11907" w:h="16839"/>
          <w:pgMar w:top="1173" w:right="1414" w:bottom="1254" w:left="1589" w:header="862" w:footer="1093" w:gutter="0"/>
          <w:cols w:space="720" w:num="1"/>
        </w:sectPr>
      </w:pPr>
    </w:p>
    <w:p w14:paraId="43DE0CC0">
      <w:pPr>
        <w:kinsoku/>
        <w:spacing w:before="78" w:line="220" w:lineRule="auto"/>
        <w:ind w:left="2977"/>
        <w:rPr>
          <w:rFonts w:ascii="宋体" w:hAnsi="宋体" w:eastAsia="宋体" w:cs="宋体"/>
          <w:color w:val="000000" w:themeColor="text1"/>
          <w:sz w:val="24"/>
          <w:szCs w:val="24"/>
          <w:highlight w:val="none"/>
          <w:lang w:eastAsia="zh-CN"/>
          <w14:textFill>
            <w14:solidFill>
              <w14:schemeClr w14:val="tx1"/>
            </w14:solidFill>
          </w14:textFill>
        </w:rPr>
      </w:pPr>
      <w:bookmarkStart w:id="479" w:name="bookmark293"/>
      <w:bookmarkEnd w:id="479"/>
      <w:bookmarkStart w:id="480" w:name="bookmark294"/>
      <w:bookmarkEnd w:id="480"/>
      <w:r>
        <w:rPr>
          <w:rFonts w:hint="eastAsia" w:ascii="宋体" w:hAnsi="宋体" w:eastAsia="宋体" w:cs="宋体"/>
          <w:color w:val="000000" w:themeColor="text1"/>
          <w:sz w:val="24"/>
          <w:szCs w:val="24"/>
          <w:highlight w:val="none"/>
          <w:lang w:eastAsia="zh-CN"/>
          <w14:textFill>
            <w14:solidFill>
              <w14:schemeClr w14:val="tx1"/>
            </w14:solidFill>
          </w14:textFill>
        </w:rPr>
        <w:t>（四）投标人的信誉情况表</w:t>
      </w:r>
    </w:p>
    <w:p w14:paraId="7336008A">
      <w:pPr>
        <w:kinsoku/>
        <w:spacing w:before="128"/>
        <w:rPr>
          <w:rFonts w:ascii="宋体" w:hAnsi="宋体" w:eastAsia="宋体" w:cs="宋体"/>
          <w:color w:val="000000" w:themeColor="text1"/>
          <w:highlight w:val="none"/>
          <w:lang w:eastAsia="zh-CN"/>
          <w14:textFill>
            <w14:solidFill>
              <w14:schemeClr w14:val="tx1"/>
            </w14:solidFill>
          </w14:textFill>
        </w:rPr>
      </w:pPr>
    </w:p>
    <w:tbl>
      <w:tblPr>
        <w:tblStyle w:val="26"/>
        <w:tblW w:w="85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5"/>
      </w:tblGrid>
      <w:tr w14:paraId="4FA27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4263" w:type="dxa"/>
          </w:tcPr>
          <w:p w14:paraId="63922C6B">
            <w:pPr>
              <w:kinsoku/>
              <w:spacing w:line="338" w:lineRule="auto"/>
              <w:rPr>
                <w:rFonts w:ascii="宋体" w:hAnsi="宋体" w:eastAsia="宋体" w:cs="宋体"/>
                <w:color w:val="000000" w:themeColor="text1"/>
                <w:highlight w:val="none"/>
                <w:lang w:eastAsia="zh-CN"/>
                <w14:textFill>
                  <w14:solidFill>
                    <w14:schemeClr w14:val="tx1"/>
                  </w14:solidFill>
                </w14:textFill>
              </w:rPr>
            </w:pPr>
          </w:p>
          <w:p w14:paraId="50ADF673">
            <w:pPr>
              <w:kinsoku/>
              <w:spacing w:before="62" w:line="229" w:lineRule="auto"/>
              <w:ind w:left="1889"/>
              <w:rPr>
                <w:rFonts w:ascii="宋体" w:hAnsi="宋体" w:eastAsia="宋体" w:cs="宋体"/>
                <w:color w:val="000000" w:themeColor="text1"/>
                <w:sz w:val="19"/>
                <w:szCs w:val="19"/>
                <w:highlight w:val="none"/>
                <w14:textFill>
                  <w14:solidFill>
                    <w14:schemeClr w14:val="tx1"/>
                  </w14:solidFill>
                </w14:textFill>
              </w:rPr>
            </w:pPr>
            <w:r>
              <w:rPr>
                <w:rFonts w:hint="eastAsia" w:ascii="宋体" w:hAnsi="宋体" w:eastAsia="宋体" w:cs="宋体"/>
                <w:color w:val="000000" w:themeColor="text1"/>
                <w:sz w:val="19"/>
                <w:szCs w:val="19"/>
                <w:highlight w:val="none"/>
                <w14:textFill>
                  <w14:solidFill>
                    <w14:schemeClr w14:val="tx1"/>
                  </w14:solidFill>
                </w14:textFill>
              </w:rPr>
              <w:t>项 目</w:t>
            </w:r>
          </w:p>
        </w:tc>
        <w:tc>
          <w:tcPr>
            <w:tcW w:w="4265" w:type="dxa"/>
          </w:tcPr>
          <w:p w14:paraId="2F7B08C3">
            <w:pPr>
              <w:kinsoku/>
              <w:spacing w:line="338" w:lineRule="auto"/>
              <w:rPr>
                <w:rFonts w:ascii="宋体" w:hAnsi="宋体" w:eastAsia="宋体" w:cs="宋体"/>
                <w:color w:val="000000" w:themeColor="text1"/>
                <w:highlight w:val="none"/>
                <w14:textFill>
                  <w14:solidFill>
                    <w14:schemeClr w14:val="tx1"/>
                  </w14:solidFill>
                </w14:textFill>
              </w:rPr>
            </w:pPr>
          </w:p>
          <w:p w14:paraId="4F83B9AC">
            <w:pPr>
              <w:kinsoku/>
              <w:spacing w:before="62" w:line="228" w:lineRule="auto"/>
              <w:ind w:left="1438"/>
              <w:rPr>
                <w:rFonts w:ascii="宋体" w:hAnsi="宋体" w:eastAsia="宋体" w:cs="宋体"/>
                <w:color w:val="000000" w:themeColor="text1"/>
                <w:sz w:val="19"/>
                <w:szCs w:val="19"/>
                <w:highlight w:val="none"/>
                <w14:textFill>
                  <w14:solidFill>
                    <w14:schemeClr w14:val="tx1"/>
                  </w14:solidFill>
                </w14:textFill>
              </w:rPr>
            </w:pPr>
            <w:r>
              <w:rPr>
                <w:rFonts w:hint="eastAsia" w:ascii="宋体" w:hAnsi="宋体" w:eastAsia="宋体" w:cs="宋体"/>
                <w:color w:val="000000" w:themeColor="text1"/>
                <w:sz w:val="19"/>
                <w:szCs w:val="19"/>
                <w:highlight w:val="none"/>
                <w14:textFill>
                  <w14:solidFill>
                    <w14:schemeClr w14:val="tx1"/>
                  </w14:solidFill>
                </w14:textFill>
              </w:rPr>
              <w:t>投标人情况说明</w:t>
            </w:r>
          </w:p>
        </w:tc>
      </w:tr>
      <w:tr w14:paraId="57018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6" w:hRule="atLeast"/>
        </w:trPr>
        <w:tc>
          <w:tcPr>
            <w:tcW w:w="4263" w:type="dxa"/>
          </w:tcPr>
          <w:p w14:paraId="6AE37ABB">
            <w:pPr>
              <w:kinsoku/>
              <w:rPr>
                <w:rFonts w:ascii="宋体" w:hAnsi="宋体" w:eastAsia="宋体" w:cs="宋体"/>
                <w:color w:val="000000" w:themeColor="text1"/>
                <w:highlight w:val="none"/>
                <w14:textFill>
                  <w14:solidFill>
                    <w14:schemeClr w14:val="tx1"/>
                  </w14:solidFill>
                </w14:textFill>
              </w:rPr>
            </w:pPr>
          </w:p>
        </w:tc>
        <w:tc>
          <w:tcPr>
            <w:tcW w:w="4265" w:type="dxa"/>
          </w:tcPr>
          <w:p w14:paraId="5A4FF771">
            <w:pPr>
              <w:kinsoku/>
              <w:rPr>
                <w:rFonts w:ascii="宋体" w:hAnsi="宋体" w:eastAsia="宋体" w:cs="宋体"/>
                <w:color w:val="000000" w:themeColor="text1"/>
                <w:highlight w:val="none"/>
                <w14:textFill>
                  <w14:solidFill>
                    <w14:schemeClr w14:val="tx1"/>
                  </w14:solidFill>
                </w14:textFill>
              </w:rPr>
            </w:pPr>
          </w:p>
        </w:tc>
      </w:tr>
      <w:tr w14:paraId="7CFA5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3" w:hRule="atLeast"/>
        </w:trPr>
        <w:tc>
          <w:tcPr>
            <w:tcW w:w="4263" w:type="dxa"/>
          </w:tcPr>
          <w:p w14:paraId="06641373">
            <w:pPr>
              <w:kinsoku/>
              <w:rPr>
                <w:rFonts w:ascii="宋体" w:hAnsi="宋体" w:eastAsia="宋体" w:cs="宋体"/>
                <w:color w:val="000000" w:themeColor="text1"/>
                <w:highlight w:val="none"/>
                <w14:textFill>
                  <w14:solidFill>
                    <w14:schemeClr w14:val="tx1"/>
                  </w14:solidFill>
                </w14:textFill>
              </w:rPr>
            </w:pPr>
          </w:p>
        </w:tc>
        <w:tc>
          <w:tcPr>
            <w:tcW w:w="4265" w:type="dxa"/>
          </w:tcPr>
          <w:p w14:paraId="6836647A">
            <w:pPr>
              <w:kinsoku/>
              <w:rPr>
                <w:rFonts w:ascii="宋体" w:hAnsi="宋体" w:eastAsia="宋体" w:cs="宋体"/>
                <w:color w:val="000000" w:themeColor="text1"/>
                <w:highlight w:val="none"/>
                <w14:textFill>
                  <w14:solidFill>
                    <w14:schemeClr w14:val="tx1"/>
                  </w14:solidFill>
                </w14:textFill>
              </w:rPr>
            </w:pPr>
          </w:p>
        </w:tc>
      </w:tr>
      <w:tr w14:paraId="53951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6" w:hRule="atLeast"/>
        </w:trPr>
        <w:tc>
          <w:tcPr>
            <w:tcW w:w="4263" w:type="dxa"/>
          </w:tcPr>
          <w:p w14:paraId="13624563">
            <w:pPr>
              <w:kinsoku/>
              <w:rPr>
                <w:rFonts w:ascii="宋体" w:hAnsi="宋体" w:eastAsia="宋体" w:cs="宋体"/>
                <w:color w:val="000000" w:themeColor="text1"/>
                <w:highlight w:val="none"/>
                <w14:textFill>
                  <w14:solidFill>
                    <w14:schemeClr w14:val="tx1"/>
                  </w14:solidFill>
                </w14:textFill>
              </w:rPr>
            </w:pPr>
          </w:p>
        </w:tc>
        <w:tc>
          <w:tcPr>
            <w:tcW w:w="4265" w:type="dxa"/>
          </w:tcPr>
          <w:p w14:paraId="5B07BA02">
            <w:pPr>
              <w:kinsoku/>
              <w:rPr>
                <w:rFonts w:ascii="宋体" w:hAnsi="宋体" w:eastAsia="宋体" w:cs="宋体"/>
                <w:color w:val="000000" w:themeColor="text1"/>
                <w:highlight w:val="none"/>
                <w14:textFill>
                  <w14:solidFill>
                    <w14:schemeClr w14:val="tx1"/>
                  </w14:solidFill>
                </w14:textFill>
              </w:rPr>
            </w:pPr>
          </w:p>
        </w:tc>
      </w:tr>
      <w:tr w14:paraId="58773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3" w:hRule="atLeast"/>
        </w:trPr>
        <w:tc>
          <w:tcPr>
            <w:tcW w:w="4263" w:type="dxa"/>
          </w:tcPr>
          <w:p w14:paraId="0A77E2F6">
            <w:pPr>
              <w:kinsoku/>
              <w:rPr>
                <w:rFonts w:ascii="宋体" w:hAnsi="宋体" w:eastAsia="宋体" w:cs="宋体"/>
                <w:color w:val="000000" w:themeColor="text1"/>
                <w:highlight w:val="none"/>
                <w14:textFill>
                  <w14:solidFill>
                    <w14:schemeClr w14:val="tx1"/>
                  </w14:solidFill>
                </w14:textFill>
              </w:rPr>
            </w:pPr>
          </w:p>
        </w:tc>
        <w:tc>
          <w:tcPr>
            <w:tcW w:w="4265" w:type="dxa"/>
          </w:tcPr>
          <w:p w14:paraId="3FBDA2B7">
            <w:pPr>
              <w:kinsoku/>
              <w:rPr>
                <w:rFonts w:ascii="宋体" w:hAnsi="宋体" w:eastAsia="宋体" w:cs="宋体"/>
                <w:color w:val="000000" w:themeColor="text1"/>
                <w:highlight w:val="none"/>
                <w14:textFill>
                  <w14:solidFill>
                    <w14:schemeClr w14:val="tx1"/>
                  </w14:solidFill>
                </w14:textFill>
              </w:rPr>
            </w:pPr>
          </w:p>
        </w:tc>
      </w:tr>
      <w:tr w14:paraId="02379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0" w:hRule="atLeast"/>
        </w:trPr>
        <w:tc>
          <w:tcPr>
            <w:tcW w:w="4263" w:type="dxa"/>
          </w:tcPr>
          <w:p w14:paraId="453D76FE">
            <w:pPr>
              <w:kinsoku/>
              <w:rPr>
                <w:rFonts w:ascii="宋体" w:hAnsi="宋体" w:eastAsia="宋体" w:cs="宋体"/>
                <w:color w:val="000000" w:themeColor="text1"/>
                <w:highlight w:val="none"/>
                <w14:textFill>
                  <w14:solidFill>
                    <w14:schemeClr w14:val="tx1"/>
                  </w14:solidFill>
                </w14:textFill>
              </w:rPr>
            </w:pPr>
          </w:p>
        </w:tc>
        <w:tc>
          <w:tcPr>
            <w:tcW w:w="4265" w:type="dxa"/>
          </w:tcPr>
          <w:p w14:paraId="55C604CA">
            <w:pPr>
              <w:kinsoku/>
              <w:rPr>
                <w:rFonts w:ascii="宋体" w:hAnsi="宋体" w:eastAsia="宋体" w:cs="宋体"/>
                <w:color w:val="000000" w:themeColor="text1"/>
                <w:highlight w:val="none"/>
                <w14:textFill>
                  <w14:solidFill>
                    <w14:schemeClr w14:val="tx1"/>
                  </w14:solidFill>
                </w14:textFill>
              </w:rPr>
            </w:pPr>
          </w:p>
        </w:tc>
      </w:tr>
    </w:tbl>
    <w:p w14:paraId="003BA39D">
      <w:pPr>
        <w:kinsoku/>
        <w:spacing w:before="158" w:line="338" w:lineRule="auto"/>
        <w:ind w:left="541" w:right="71" w:hanging="42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w:t>
      </w:r>
    </w:p>
    <w:p w14:paraId="2EB51A0D">
      <w:pPr>
        <w:kinsoku/>
        <w:spacing w:before="158"/>
        <w:ind w:right="71" w:firstLine="4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1.投标人应按照招标文件第二章“投标人须知”前附表附录 3 和“投标人须知”正文第1.4.4项规定，逐条说明其信誉情况。</w:t>
      </w:r>
    </w:p>
    <w:p w14:paraId="2F9D4FA9">
      <w:pPr>
        <w:kinsoku/>
        <w:spacing w:before="158"/>
        <w:ind w:right="71" w:firstLine="4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2.投标人应根据招标文件第二章“投标人须知 ”第3.5.3项的要求在本表后附相关证明材料。</w:t>
      </w:r>
    </w:p>
    <w:p w14:paraId="5EA4FBED">
      <w:pPr>
        <w:kinsoku/>
        <w:spacing w:before="158"/>
        <w:ind w:right="71" w:firstLine="420"/>
        <w:rPr>
          <w:rFonts w:ascii="宋体" w:hAnsi="宋体" w:eastAsia="宋体" w:cs="宋体"/>
          <w:color w:val="000000" w:themeColor="text1"/>
          <w:highlight w:val="none"/>
          <w:lang w:eastAsia="zh-CN"/>
          <w14:textFill>
            <w14:solidFill>
              <w14:schemeClr w14:val="tx1"/>
            </w14:solidFill>
          </w14:textFill>
        </w:rPr>
      </w:pPr>
    </w:p>
    <w:p w14:paraId="53FA2786">
      <w:pPr>
        <w:kinsoku/>
        <w:spacing w:line="339" w:lineRule="auto"/>
        <w:rPr>
          <w:rFonts w:ascii="宋体" w:hAnsi="宋体" w:eastAsia="宋体" w:cs="宋体"/>
          <w:color w:val="000000" w:themeColor="text1"/>
          <w:highlight w:val="none"/>
          <w:lang w:eastAsia="zh-CN"/>
          <w14:textFill>
            <w14:solidFill>
              <w14:schemeClr w14:val="tx1"/>
            </w14:solidFill>
          </w14:textFill>
        </w:rPr>
        <w:sectPr>
          <w:headerReference r:id="rId55" w:type="default"/>
          <w:footerReference r:id="rId56" w:type="default"/>
          <w:pgSz w:w="11907" w:h="16839"/>
          <w:pgMar w:top="1173" w:right="1565" w:bottom="1254" w:left="1589" w:header="862" w:footer="1093" w:gutter="0"/>
          <w:cols w:space="720" w:num="1"/>
        </w:sectPr>
      </w:pPr>
    </w:p>
    <w:p w14:paraId="01B8CD8B">
      <w:pPr>
        <w:numPr>
          <w:ilvl w:val="0"/>
          <w:numId w:val="3"/>
        </w:numPr>
        <w:kinsoku/>
        <w:spacing w:before="78" w:line="218" w:lineRule="auto"/>
        <w:ind w:left="2538"/>
        <w:rPr>
          <w:color w:val="000000" w:themeColor="text1"/>
          <w:highlight w:val="none"/>
          <w:lang w:eastAsia="zh-CN"/>
          <w14:textFill>
            <w14:solidFill>
              <w14:schemeClr w14:val="tx1"/>
            </w14:solidFill>
          </w14:textFill>
        </w:rPr>
      </w:pPr>
      <w:bookmarkStart w:id="481" w:name="bookmark295"/>
      <w:bookmarkEnd w:id="481"/>
      <w:bookmarkStart w:id="482" w:name="bookmark296"/>
      <w:bookmarkEnd w:id="482"/>
      <w:r>
        <w:rPr>
          <w:rFonts w:hint="eastAsia" w:ascii="宋体" w:hAnsi="宋体" w:eastAsia="宋体" w:cs="宋体"/>
          <w:color w:val="000000" w:themeColor="text1"/>
          <w:sz w:val="24"/>
          <w:szCs w:val="24"/>
          <w:highlight w:val="none"/>
          <w:lang w:eastAsia="zh-CN"/>
          <w14:textFill>
            <w14:solidFill>
              <w14:schemeClr w14:val="tx1"/>
            </w14:solidFill>
          </w14:textFill>
        </w:rPr>
        <w:t>拟委任的项目负责人资历表</w:t>
      </w:r>
    </w:p>
    <w:p w14:paraId="591A82A7">
      <w:pPr>
        <w:rPr>
          <w:rFonts w:ascii="宋体" w:hAnsi="宋体" w:eastAsia="宋体" w:cs="宋体"/>
          <w:color w:val="000000" w:themeColor="text1"/>
          <w:sz w:val="24"/>
          <w:szCs w:val="24"/>
          <w:highlight w:val="none"/>
          <w:lang w:eastAsia="zh-CN"/>
          <w14:textFill>
            <w14:solidFill>
              <w14:schemeClr w14:val="tx1"/>
            </w14:solidFill>
          </w14:textFill>
        </w:rPr>
      </w:pPr>
    </w:p>
    <w:p w14:paraId="48F6D9CC">
      <w:pPr>
        <w:pStyle w:val="37"/>
        <w:spacing w:line="600" w:lineRule="auto"/>
        <w:jc w:val="center"/>
        <w:outlineLvl w:val="9"/>
        <w:rPr>
          <w:rFonts w:ascii="宋体" w:hAnsi="宋体" w:eastAsia="宋体"/>
          <w:color w:val="000000" w:themeColor="text1"/>
          <w:szCs w:val="24"/>
          <w:highlight w:val="none"/>
          <w:lang w:eastAsia="zh-CN"/>
          <w14:textFill>
            <w14:solidFill>
              <w14:schemeClr w14:val="tx1"/>
            </w14:solidFill>
          </w14:textFill>
        </w:rPr>
      </w:pPr>
      <w:bookmarkStart w:id="483" w:name="_Toc23512"/>
      <w:r>
        <w:rPr>
          <w:rFonts w:hint="eastAsia" w:ascii="宋体" w:hAnsi="宋体" w:eastAsia="宋体"/>
          <w:color w:val="000000" w:themeColor="text1"/>
          <w:szCs w:val="24"/>
          <w:highlight w:val="none"/>
          <w:lang w:eastAsia="zh-CN"/>
          <w14:textFill>
            <w14:solidFill>
              <w14:schemeClr w14:val="tx1"/>
            </w14:solidFill>
          </w14:textFill>
        </w:rPr>
        <w:t>表 5-1 拟委任的项目负责人汇总表</w:t>
      </w:r>
      <w:bookmarkEnd w:id="483"/>
      <w:r>
        <w:rPr>
          <w:rFonts w:hint="eastAsia" w:ascii="宋体" w:hAnsi="宋体" w:eastAsia="宋体"/>
          <w:color w:val="000000" w:themeColor="text1"/>
          <w:szCs w:val="24"/>
          <w:highlight w:val="none"/>
          <w:lang w:eastAsia="zh-CN"/>
          <w14:textFill>
            <w14:solidFill>
              <w14:schemeClr w14:val="tx1"/>
            </w14:solidFill>
          </w14:textFill>
        </w:rPr>
        <w:tab/>
      </w:r>
    </w:p>
    <w:tbl>
      <w:tblPr>
        <w:tblStyle w:val="18"/>
        <w:tblW w:w="9472" w:type="dxa"/>
        <w:jc w:val="center"/>
        <w:tblLayout w:type="fixed"/>
        <w:tblCellMar>
          <w:top w:w="0" w:type="dxa"/>
          <w:left w:w="0" w:type="dxa"/>
          <w:bottom w:w="0" w:type="dxa"/>
          <w:right w:w="0" w:type="dxa"/>
        </w:tblCellMar>
      </w:tblPr>
      <w:tblGrid>
        <w:gridCol w:w="674"/>
        <w:gridCol w:w="1860"/>
        <w:gridCol w:w="1200"/>
        <w:gridCol w:w="810"/>
        <w:gridCol w:w="675"/>
        <w:gridCol w:w="919"/>
        <w:gridCol w:w="919"/>
        <w:gridCol w:w="920"/>
        <w:gridCol w:w="1495"/>
      </w:tblGrid>
      <w:tr w14:paraId="24EAECD5">
        <w:tblPrEx>
          <w:tblCellMar>
            <w:top w:w="0" w:type="dxa"/>
            <w:left w:w="0" w:type="dxa"/>
            <w:bottom w:w="0" w:type="dxa"/>
            <w:right w:w="0" w:type="dxa"/>
          </w:tblCellMar>
        </w:tblPrEx>
        <w:trPr>
          <w:trHeight w:val="435" w:hRule="atLeast"/>
          <w:jc w:val="center"/>
        </w:trPr>
        <w:tc>
          <w:tcPr>
            <w:tcW w:w="674" w:type="dxa"/>
            <w:vMerge w:val="restart"/>
            <w:tcBorders>
              <w:top w:val="single" w:color="auto" w:sz="12" w:space="0"/>
              <w:left w:val="single" w:color="auto" w:sz="12" w:space="0"/>
              <w:right w:val="single" w:color="auto" w:sz="8" w:space="0"/>
            </w:tcBorders>
            <w:vAlign w:val="center"/>
          </w:tcPr>
          <w:p w14:paraId="520C1AFB">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860" w:type="dxa"/>
            <w:vMerge w:val="restart"/>
            <w:tcBorders>
              <w:top w:val="single" w:color="auto" w:sz="12" w:space="0"/>
              <w:left w:val="single" w:color="auto" w:sz="8" w:space="0"/>
              <w:right w:val="single" w:color="auto" w:sz="8" w:space="0"/>
            </w:tcBorders>
            <w:vAlign w:val="center"/>
          </w:tcPr>
          <w:p w14:paraId="2D3D6B3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本标段任职</w:t>
            </w:r>
          </w:p>
        </w:tc>
        <w:tc>
          <w:tcPr>
            <w:tcW w:w="1200" w:type="dxa"/>
            <w:vMerge w:val="restart"/>
            <w:tcBorders>
              <w:top w:val="single" w:color="auto" w:sz="12" w:space="0"/>
              <w:left w:val="single" w:color="auto" w:sz="8" w:space="0"/>
              <w:right w:val="single" w:color="auto" w:sz="8" w:space="0"/>
            </w:tcBorders>
            <w:vAlign w:val="center"/>
          </w:tcPr>
          <w:p w14:paraId="7198411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姓名</w:t>
            </w:r>
          </w:p>
        </w:tc>
        <w:tc>
          <w:tcPr>
            <w:tcW w:w="810" w:type="dxa"/>
            <w:vMerge w:val="restart"/>
            <w:tcBorders>
              <w:top w:val="single" w:color="auto" w:sz="12" w:space="0"/>
              <w:left w:val="single" w:color="auto" w:sz="8" w:space="0"/>
              <w:right w:val="single" w:color="auto" w:sz="8" w:space="0"/>
            </w:tcBorders>
            <w:vAlign w:val="center"/>
          </w:tcPr>
          <w:p w14:paraId="46D5533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技术职称</w:t>
            </w:r>
          </w:p>
        </w:tc>
        <w:tc>
          <w:tcPr>
            <w:tcW w:w="675" w:type="dxa"/>
            <w:vMerge w:val="restart"/>
            <w:tcBorders>
              <w:top w:val="single" w:color="auto" w:sz="12" w:space="0"/>
              <w:left w:val="single" w:color="auto" w:sz="8" w:space="0"/>
              <w:right w:val="single" w:color="auto" w:sz="4" w:space="0"/>
            </w:tcBorders>
            <w:vAlign w:val="center"/>
          </w:tcPr>
          <w:p w14:paraId="71032E0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专业</w:t>
            </w:r>
          </w:p>
        </w:tc>
        <w:tc>
          <w:tcPr>
            <w:tcW w:w="2758" w:type="dxa"/>
            <w:gridSpan w:val="3"/>
            <w:tcBorders>
              <w:top w:val="single" w:color="auto" w:sz="12" w:space="0"/>
              <w:left w:val="single" w:color="auto" w:sz="4" w:space="0"/>
              <w:bottom w:val="single" w:color="auto" w:sz="4" w:space="0"/>
              <w:right w:val="single" w:color="auto" w:sz="8" w:space="0"/>
            </w:tcBorders>
            <w:vAlign w:val="center"/>
          </w:tcPr>
          <w:p w14:paraId="05C3F915">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执业或职业资格证明</w:t>
            </w:r>
          </w:p>
        </w:tc>
        <w:tc>
          <w:tcPr>
            <w:tcW w:w="1495" w:type="dxa"/>
            <w:vMerge w:val="restart"/>
            <w:tcBorders>
              <w:top w:val="single" w:color="auto" w:sz="12" w:space="0"/>
              <w:left w:val="single" w:color="auto" w:sz="4" w:space="0"/>
              <w:right w:val="single" w:color="auto" w:sz="12" w:space="0"/>
            </w:tcBorders>
            <w:vAlign w:val="center"/>
          </w:tcPr>
          <w:p w14:paraId="7B2528C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442CEC8B">
        <w:tblPrEx>
          <w:tblCellMar>
            <w:top w:w="0" w:type="dxa"/>
            <w:left w:w="0" w:type="dxa"/>
            <w:bottom w:w="0" w:type="dxa"/>
            <w:right w:w="0" w:type="dxa"/>
          </w:tblCellMar>
        </w:tblPrEx>
        <w:trPr>
          <w:trHeight w:val="415" w:hRule="atLeast"/>
          <w:jc w:val="center"/>
        </w:trPr>
        <w:tc>
          <w:tcPr>
            <w:tcW w:w="674" w:type="dxa"/>
            <w:vMerge w:val="continue"/>
            <w:tcBorders>
              <w:left w:val="single" w:color="auto" w:sz="12" w:space="0"/>
              <w:bottom w:val="single" w:color="auto" w:sz="8" w:space="0"/>
              <w:right w:val="single" w:color="auto" w:sz="8" w:space="0"/>
            </w:tcBorders>
          </w:tcPr>
          <w:p w14:paraId="411CB0DF">
            <w:pPr>
              <w:jc w:val="center"/>
              <w:rPr>
                <w:rFonts w:ascii="宋体" w:hAnsi="宋体" w:cs="宋体"/>
                <w:color w:val="000000" w:themeColor="text1"/>
                <w:sz w:val="24"/>
                <w:highlight w:val="none"/>
                <w14:textFill>
                  <w14:solidFill>
                    <w14:schemeClr w14:val="tx1"/>
                  </w14:solidFill>
                </w14:textFill>
              </w:rPr>
            </w:pPr>
          </w:p>
        </w:tc>
        <w:tc>
          <w:tcPr>
            <w:tcW w:w="1860" w:type="dxa"/>
            <w:vMerge w:val="continue"/>
            <w:tcBorders>
              <w:left w:val="single" w:color="auto" w:sz="8" w:space="0"/>
              <w:bottom w:val="single" w:color="auto" w:sz="8" w:space="0"/>
              <w:right w:val="single" w:color="auto" w:sz="8" w:space="0"/>
            </w:tcBorders>
          </w:tcPr>
          <w:p w14:paraId="49D6C14C">
            <w:pPr>
              <w:jc w:val="center"/>
              <w:rPr>
                <w:rFonts w:ascii="宋体" w:hAnsi="宋体" w:cs="宋体"/>
                <w:color w:val="000000" w:themeColor="text1"/>
                <w:sz w:val="24"/>
                <w:highlight w:val="none"/>
                <w14:textFill>
                  <w14:solidFill>
                    <w14:schemeClr w14:val="tx1"/>
                  </w14:solidFill>
                </w14:textFill>
              </w:rPr>
            </w:pPr>
          </w:p>
        </w:tc>
        <w:tc>
          <w:tcPr>
            <w:tcW w:w="1200" w:type="dxa"/>
            <w:vMerge w:val="continue"/>
            <w:tcBorders>
              <w:left w:val="single" w:color="auto" w:sz="8" w:space="0"/>
              <w:bottom w:val="single" w:color="auto" w:sz="8" w:space="0"/>
              <w:right w:val="single" w:color="auto" w:sz="8" w:space="0"/>
            </w:tcBorders>
          </w:tcPr>
          <w:p w14:paraId="217CABFF">
            <w:pPr>
              <w:jc w:val="center"/>
              <w:rPr>
                <w:rFonts w:ascii="宋体" w:hAnsi="宋体" w:cs="宋体"/>
                <w:color w:val="000000" w:themeColor="text1"/>
                <w:sz w:val="24"/>
                <w:highlight w:val="none"/>
                <w14:textFill>
                  <w14:solidFill>
                    <w14:schemeClr w14:val="tx1"/>
                  </w14:solidFill>
                </w14:textFill>
              </w:rPr>
            </w:pPr>
          </w:p>
        </w:tc>
        <w:tc>
          <w:tcPr>
            <w:tcW w:w="810" w:type="dxa"/>
            <w:vMerge w:val="continue"/>
            <w:tcBorders>
              <w:left w:val="single" w:color="auto" w:sz="8" w:space="0"/>
              <w:bottom w:val="single" w:color="auto" w:sz="8" w:space="0"/>
              <w:right w:val="single" w:color="auto" w:sz="8" w:space="0"/>
            </w:tcBorders>
          </w:tcPr>
          <w:p w14:paraId="053FA6F3">
            <w:pPr>
              <w:jc w:val="center"/>
              <w:rPr>
                <w:rFonts w:ascii="宋体" w:hAnsi="宋体" w:cs="宋体"/>
                <w:color w:val="000000" w:themeColor="text1"/>
                <w:sz w:val="24"/>
                <w:highlight w:val="none"/>
                <w14:textFill>
                  <w14:solidFill>
                    <w14:schemeClr w14:val="tx1"/>
                  </w14:solidFill>
                </w14:textFill>
              </w:rPr>
            </w:pPr>
          </w:p>
        </w:tc>
        <w:tc>
          <w:tcPr>
            <w:tcW w:w="675" w:type="dxa"/>
            <w:vMerge w:val="continue"/>
            <w:tcBorders>
              <w:left w:val="single" w:color="auto" w:sz="8" w:space="0"/>
              <w:bottom w:val="single" w:color="auto" w:sz="8" w:space="0"/>
              <w:right w:val="single" w:color="auto" w:sz="4" w:space="0"/>
            </w:tcBorders>
          </w:tcPr>
          <w:p w14:paraId="72AD259E">
            <w:pPr>
              <w:jc w:val="center"/>
              <w:rPr>
                <w:rFonts w:ascii="宋体" w:hAnsi="宋体" w:cs="宋体"/>
                <w:color w:val="000000" w:themeColor="text1"/>
                <w:sz w:val="24"/>
                <w:highlight w:val="none"/>
                <w14:textFill>
                  <w14:solidFill>
                    <w14:schemeClr w14:val="tx1"/>
                  </w14:solidFill>
                </w14:textFill>
              </w:rPr>
            </w:pPr>
          </w:p>
        </w:tc>
        <w:tc>
          <w:tcPr>
            <w:tcW w:w="919" w:type="dxa"/>
            <w:tcBorders>
              <w:top w:val="single" w:color="auto" w:sz="4" w:space="0"/>
              <w:left w:val="single" w:color="auto" w:sz="4" w:space="0"/>
              <w:bottom w:val="single" w:color="auto" w:sz="8" w:space="0"/>
              <w:right w:val="single" w:color="auto" w:sz="4" w:space="0"/>
            </w:tcBorders>
            <w:vAlign w:val="center"/>
          </w:tcPr>
          <w:p w14:paraId="6EB7D413">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证书</w:t>
            </w:r>
          </w:p>
          <w:p w14:paraId="5BE414DB">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名称</w:t>
            </w:r>
          </w:p>
        </w:tc>
        <w:tc>
          <w:tcPr>
            <w:tcW w:w="919" w:type="dxa"/>
            <w:tcBorders>
              <w:top w:val="single" w:color="auto" w:sz="4" w:space="0"/>
              <w:left w:val="single" w:color="auto" w:sz="4" w:space="0"/>
              <w:bottom w:val="single" w:color="auto" w:sz="8" w:space="0"/>
              <w:right w:val="single" w:color="auto" w:sz="4" w:space="0"/>
            </w:tcBorders>
            <w:vAlign w:val="center"/>
          </w:tcPr>
          <w:p w14:paraId="0335A74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级别</w:t>
            </w:r>
          </w:p>
        </w:tc>
        <w:tc>
          <w:tcPr>
            <w:tcW w:w="920" w:type="dxa"/>
            <w:tcBorders>
              <w:top w:val="single" w:color="auto" w:sz="4" w:space="0"/>
              <w:left w:val="single" w:color="auto" w:sz="4" w:space="0"/>
              <w:bottom w:val="single" w:color="auto" w:sz="8" w:space="0"/>
              <w:right w:val="single" w:color="auto" w:sz="8" w:space="0"/>
            </w:tcBorders>
            <w:vAlign w:val="center"/>
          </w:tcPr>
          <w:p w14:paraId="614EC3F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证号</w:t>
            </w:r>
          </w:p>
        </w:tc>
        <w:tc>
          <w:tcPr>
            <w:tcW w:w="1495" w:type="dxa"/>
            <w:vMerge w:val="continue"/>
            <w:tcBorders>
              <w:left w:val="single" w:color="auto" w:sz="4" w:space="0"/>
              <w:bottom w:val="single" w:color="auto" w:sz="8" w:space="0"/>
              <w:right w:val="single" w:color="auto" w:sz="12" w:space="0"/>
            </w:tcBorders>
          </w:tcPr>
          <w:p w14:paraId="248FA1DE">
            <w:pPr>
              <w:jc w:val="center"/>
              <w:rPr>
                <w:rFonts w:ascii="宋体" w:hAnsi="宋体" w:cs="宋体"/>
                <w:color w:val="000000" w:themeColor="text1"/>
                <w:sz w:val="24"/>
                <w:highlight w:val="none"/>
                <w14:textFill>
                  <w14:solidFill>
                    <w14:schemeClr w14:val="tx1"/>
                  </w14:solidFill>
                </w14:textFill>
              </w:rPr>
            </w:pPr>
          </w:p>
        </w:tc>
      </w:tr>
      <w:tr w14:paraId="4A91975B">
        <w:tblPrEx>
          <w:tblCellMar>
            <w:top w:w="0" w:type="dxa"/>
            <w:left w:w="0" w:type="dxa"/>
            <w:bottom w:w="0" w:type="dxa"/>
            <w:right w:w="0" w:type="dxa"/>
          </w:tblCellMar>
        </w:tblPrEx>
        <w:trPr>
          <w:trHeight w:val="844" w:hRule="atLeast"/>
          <w:jc w:val="center"/>
        </w:trPr>
        <w:tc>
          <w:tcPr>
            <w:tcW w:w="674" w:type="dxa"/>
            <w:tcBorders>
              <w:top w:val="single" w:color="auto" w:sz="8" w:space="0"/>
              <w:left w:val="single" w:color="auto" w:sz="12" w:space="0"/>
              <w:bottom w:val="single" w:color="auto" w:sz="8" w:space="0"/>
              <w:right w:val="single" w:color="auto" w:sz="8" w:space="0"/>
            </w:tcBorders>
          </w:tcPr>
          <w:p w14:paraId="74F30CCD">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707FCD01">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6E5BB355">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1479D5AA">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7FCECF82">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545781A">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2B2AF9B3">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7ACAE132">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1540BA2B">
            <w:pPr>
              <w:rPr>
                <w:rFonts w:ascii="宋体" w:hAnsi="宋体" w:cs="宋体"/>
                <w:color w:val="000000" w:themeColor="text1"/>
                <w:sz w:val="24"/>
                <w:highlight w:val="none"/>
                <w14:textFill>
                  <w14:solidFill>
                    <w14:schemeClr w14:val="tx1"/>
                  </w14:solidFill>
                </w14:textFill>
              </w:rPr>
            </w:pPr>
          </w:p>
        </w:tc>
      </w:tr>
      <w:tr w14:paraId="5C7475D0">
        <w:tblPrEx>
          <w:tblCellMar>
            <w:top w:w="0" w:type="dxa"/>
            <w:left w:w="0" w:type="dxa"/>
            <w:bottom w:w="0" w:type="dxa"/>
            <w:right w:w="0" w:type="dxa"/>
          </w:tblCellMar>
        </w:tblPrEx>
        <w:trPr>
          <w:trHeight w:val="844" w:hRule="atLeast"/>
          <w:jc w:val="center"/>
        </w:trPr>
        <w:tc>
          <w:tcPr>
            <w:tcW w:w="674" w:type="dxa"/>
            <w:tcBorders>
              <w:top w:val="single" w:color="auto" w:sz="8" w:space="0"/>
              <w:left w:val="single" w:color="auto" w:sz="12" w:space="0"/>
              <w:bottom w:val="single" w:color="auto" w:sz="8" w:space="0"/>
              <w:right w:val="single" w:color="auto" w:sz="8" w:space="0"/>
            </w:tcBorders>
          </w:tcPr>
          <w:p w14:paraId="59A85232">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0180EF2C">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5F3C595D">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1FE95C33">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1354F1B7">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58A311E">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0BC159CB">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55608AE9">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5145E069">
            <w:pPr>
              <w:rPr>
                <w:rFonts w:ascii="宋体" w:hAnsi="宋体" w:cs="宋体"/>
                <w:color w:val="000000" w:themeColor="text1"/>
                <w:sz w:val="24"/>
                <w:highlight w:val="none"/>
                <w14:textFill>
                  <w14:solidFill>
                    <w14:schemeClr w14:val="tx1"/>
                  </w14:solidFill>
                </w14:textFill>
              </w:rPr>
            </w:pPr>
          </w:p>
        </w:tc>
      </w:tr>
      <w:tr w14:paraId="6206E331">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67133C09">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7355AEAC">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2CC2282A">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40957C8C">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0D4B1389">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70827C18">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20923B79">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684277DB">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5AADB5C4">
            <w:pPr>
              <w:rPr>
                <w:rFonts w:ascii="宋体" w:hAnsi="宋体" w:cs="宋体"/>
                <w:color w:val="000000" w:themeColor="text1"/>
                <w:sz w:val="24"/>
                <w:highlight w:val="none"/>
                <w14:textFill>
                  <w14:solidFill>
                    <w14:schemeClr w14:val="tx1"/>
                  </w14:solidFill>
                </w14:textFill>
              </w:rPr>
            </w:pPr>
          </w:p>
        </w:tc>
      </w:tr>
      <w:tr w14:paraId="1A86498A">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1B5819F3">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1AD82E03">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5C5E8153">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338A1FB0">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16F38B52">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26CEDC6D">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60589BFE">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0EF86A21">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4FF95187">
            <w:pPr>
              <w:rPr>
                <w:rFonts w:ascii="宋体" w:hAnsi="宋体" w:cs="宋体"/>
                <w:color w:val="000000" w:themeColor="text1"/>
                <w:sz w:val="24"/>
                <w:highlight w:val="none"/>
                <w14:textFill>
                  <w14:solidFill>
                    <w14:schemeClr w14:val="tx1"/>
                  </w14:solidFill>
                </w14:textFill>
              </w:rPr>
            </w:pPr>
          </w:p>
        </w:tc>
      </w:tr>
      <w:tr w14:paraId="0EAFE51C">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24279800">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584AA3B2">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3D571D15">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3D7A2EF5">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45008E37">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6048D660">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F8600E1">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1304E22F">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46B85807">
            <w:pPr>
              <w:rPr>
                <w:rFonts w:ascii="宋体" w:hAnsi="宋体" w:cs="宋体"/>
                <w:color w:val="000000" w:themeColor="text1"/>
                <w:sz w:val="24"/>
                <w:highlight w:val="none"/>
                <w14:textFill>
                  <w14:solidFill>
                    <w14:schemeClr w14:val="tx1"/>
                  </w14:solidFill>
                </w14:textFill>
              </w:rPr>
            </w:pPr>
          </w:p>
        </w:tc>
      </w:tr>
      <w:tr w14:paraId="5D0D1B83">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71E73FD3">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69945DBF">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2CB19641">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0BF95C4F">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67F8CF23">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79CC9E4C">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4FFD34A3">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128D75BC">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40211E1B">
            <w:pPr>
              <w:rPr>
                <w:rFonts w:ascii="宋体" w:hAnsi="宋体" w:cs="宋体"/>
                <w:color w:val="000000" w:themeColor="text1"/>
                <w:sz w:val="24"/>
                <w:highlight w:val="none"/>
                <w14:textFill>
                  <w14:solidFill>
                    <w14:schemeClr w14:val="tx1"/>
                  </w14:solidFill>
                </w14:textFill>
              </w:rPr>
            </w:pPr>
          </w:p>
        </w:tc>
      </w:tr>
      <w:tr w14:paraId="70261D5D">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354B98B6">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31ADACE9">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77244B57">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308EC018">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0F26313D">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2FFC6497">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02BB9BC9">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33F01A55">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551D8064">
            <w:pPr>
              <w:rPr>
                <w:rFonts w:ascii="宋体" w:hAnsi="宋体" w:cs="宋体"/>
                <w:color w:val="000000" w:themeColor="text1"/>
                <w:sz w:val="24"/>
                <w:highlight w:val="none"/>
                <w14:textFill>
                  <w14:solidFill>
                    <w14:schemeClr w14:val="tx1"/>
                  </w14:solidFill>
                </w14:textFill>
              </w:rPr>
            </w:pPr>
          </w:p>
        </w:tc>
      </w:tr>
      <w:tr w14:paraId="44FE6B97">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1838C365">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30655358">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07F08448">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621BC057">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1A619B9E">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735BA97">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7488D6C2">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0A1AF8D4">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43B6D0B6">
            <w:pPr>
              <w:rPr>
                <w:rFonts w:ascii="宋体" w:hAnsi="宋体" w:cs="宋体"/>
                <w:color w:val="000000" w:themeColor="text1"/>
                <w:sz w:val="24"/>
                <w:highlight w:val="none"/>
                <w14:textFill>
                  <w14:solidFill>
                    <w14:schemeClr w14:val="tx1"/>
                  </w14:solidFill>
                </w14:textFill>
              </w:rPr>
            </w:pPr>
          </w:p>
        </w:tc>
      </w:tr>
      <w:tr w14:paraId="019A4993">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60441BCB">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74EA0AD2">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4C29E480">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4C1547F4">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29A3EC4F">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04515AC2">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33BE67B">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7949BE15">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2BBA47F7">
            <w:pPr>
              <w:rPr>
                <w:rFonts w:ascii="宋体" w:hAnsi="宋体" w:cs="宋体"/>
                <w:color w:val="000000" w:themeColor="text1"/>
                <w:sz w:val="24"/>
                <w:highlight w:val="none"/>
                <w14:textFill>
                  <w14:solidFill>
                    <w14:schemeClr w14:val="tx1"/>
                  </w14:solidFill>
                </w14:textFill>
              </w:rPr>
            </w:pPr>
          </w:p>
        </w:tc>
      </w:tr>
      <w:tr w14:paraId="0C457820">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6F775F44">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78B986DB">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5373FD57">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2D03717E">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0579B71F">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83519A1">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16C598C">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4FECDDDF">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6C81309F">
            <w:pPr>
              <w:rPr>
                <w:rFonts w:ascii="宋体" w:hAnsi="宋体" w:cs="宋体"/>
                <w:color w:val="000000" w:themeColor="text1"/>
                <w:sz w:val="24"/>
                <w:highlight w:val="none"/>
                <w14:textFill>
                  <w14:solidFill>
                    <w14:schemeClr w14:val="tx1"/>
                  </w14:solidFill>
                </w14:textFill>
              </w:rPr>
            </w:pPr>
          </w:p>
        </w:tc>
      </w:tr>
      <w:tr w14:paraId="474F9F8C">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0CD5278B">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62EB8D18">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30087CA4">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171530C4">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562DED1E">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7F921481">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DDA3E80">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10803820">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12A39158">
            <w:pPr>
              <w:rPr>
                <w:rFonts w:ascii="宋体" w:hAnsi="宋体" w:cs="宋体"/>
                <w:color w:val="000000" w:themeColor="text1"/>
                <w:sz w:val="24"/>
                <w:highlight w:val="none"/>
                <w14:textFill>
                  <w14:solidFill>
                    <w14:schemeClr w14:val="tx1"/>
                  </w14:solidFill>
                </w14:textFill>
              </w:rPr>
            </w:pPr>
          </w:p>
        </w:tc>
      </w:tr>
      <w:tr w14:paraId="5EE45A56">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4BEE7FD6">
            <w:pPr>
              <w:spacing w:line="600" w:lineRule="auto"/>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18111618">
            <w:pPr>
              <w:spacing w:line="600" w:lineRule="auto"/>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1BDF82C3">
            <w:pPr>
              <w:spacing w:line="600" w:lineRule="auto"/>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4880DD51">
            <w:pPr>
              <w:spacing w:line="600" w:lineRule="auto"/>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16D56395">
            <w:pPr>
              <w:spacing w:line="600" w:lineRule="auto"/>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2639246">
            <w:pPr>
              <w:spacing w:line="600" w:lineRule="auto"/>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439458B">
            <w:pPr>
              <w:spacing w:line="600" w:lineRule="auto"/>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5B4D8588">
            <w:pPr>
              <w:spacing w:line="600" w:lineRule="auto"/>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75722B18">
            <w:pPr>
              <w:spacing w:line="600" w:lineRule="auto"/>
              <w:rPr>
                <w:rFonts w:ascii="宋体" w:hAnsi="宋体" w:cs="宋体"/>
                <w:color w:val="000000" w:themeColor="text1"/>
                <w:sz w:val="24"/>
                <w:highlight w:val="none"/>
                <w14:textFill>
                  <w14:solidFill>
                    <w14:schemeClr w14:val="tx1"/>
                  </w14:solidFill>
                </w14:textFill>
              </w:rPr>
            </w:pPr>
          </w:p>
        </w:tc>
      </w:tr>
    </w:tbl>
    <w:p w14:paraId="4A0AFE5B">
      <w:pPr>
        <w:spacing w:line="600" w:lineRule="auto"/>
        <w:jc w:val="center"/>
        <w:rPr>
          <w:rFonts w:ascii="宋体" w:hAnsi="宋体"/>
          <w:color w:val="000000" w:themeColor="text1"/>
          <w:sz w:val="28"/>
          <w:highlight w:val="none"/>
          <w14:textFill>
            <w14:solidFill>
              <w14:schemeClr w14:val="tx1"/>
            </w14:solidFill>
          </w14:textFill>
        </w:rPr>
      </w:pPr>
    </w:p>
    <w:p w14:paraId="3C2D511D">
      <w:pPr>
        <w:rPr>
          <w:color w:val="000000" w:themeColor="text1"/>
          <w:highlight w:val="none"/>
          <w14:textFill>
            <w14:solidFill>
              <w14:schemeClr w14:val="tx1"/>
            </w14:solidFill>
          </w14:textFill>
        </w:rPr>
      </w:pPr>
    </w:p>
    <w:p w14:paraId="2C004F70">
      <w:pPr>
        <w:rPr>
          <w:rFonts w:ascii="宋体" w:hAnsi="宋体"/>
          <w:color w:val="000000" w:themeColor="text1"/>
          <w:sz w:val="28"/>
          <w:highlight w:val="none"/>
          <w14:textFill>
            <w14:solidFill>
              <w14:schemeClr w14:val="tx1"/>
            </w14:solidFill>
          </w14:textFill>
        </w:rPr>
      </w:pPr>
      <w:r>
        <w:rPr>
          <w:rFonts w:hint="eastAsia" w:ascii="宋体" w:hAnsi="宋体"/>
          <w:color w:val="000000" w:themeColor="text1"/>
          <w:sz w:val="28"/>
          <w:highlight w:val="none"/>
          <w14:textFill>
            <w14:solidFill>
              <w14:schemeClr w14:val="tx1"/>
            </w14:solidFill>
          </w14:textFill>
        </w:rPr>
        <w:br w:type="page"/>
      </w:r>
    </w:p>
    <w:p w14:paraId="381FA982">
      <w:pPr>
        <w:spacing w:line="600" w:lineRule="auto"/>
        <w:jc w:val="center"/>
        <w:rPr>
          <w:rFonts w:ascii="宋体" w:hAnsi="宋体" w:cs="宋体"/>
          <w:color w:val="000000" w:themeColor="text1"/>
          <w:sz w:val="28"/>
          <w:highlight w:val="none"/>
          <w:lang w:eastAsia="zh-CN"/>
          <w14:textFill>
            <w14:solidFill>
              <w14:schemeClr w14:val="tx1"/>
            </w14:solidFill>
          </w14:textFill>
        </w:rPr>
      </w:pPr>
      <w:r>
        <w:rPr>
          <w:rFonts w:hint="eastAsia" w:ascii="宋体" w:hAnsi="宋体"/>
          <w:color w:val="000000" w:themeColor="text1"/>
          <w:sz w:val="28"/>
          <w:highlight w:val="none"/>
          <w:lang w:eastAsia="zh-CN"/>
          <w14:textFill>
            <w14:solidFill>
              <w14:schemeClr w14:val="tx1"/>
            </w14:solidFill>
          </w14:textFill>
        </w:rPr>
        <w:t>表 5-2 拟委任的项目负责人资历表</w:t>
      </w:r>
    </w:p>
    <w:tbl>
      <w:tblPr>
        <w:tblStyle w:val="26"/>
        <w:tblW w:w="86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3"/>
        <w:gridCol w:w="50"/>
        <w:gridCol w:w="1334"/>
        <w:gridCol w:w="101"/>
        <w:gridCol w:w="1046"/>
        <w:gridCol w:w="1363"/>
        <w:gridCol w:w="333"/>
        <w:gridCol w:w="1521"/>
        <w:gridCol w:w="382"/>
        <w:gridCol w:w="1271"/>
      </w:tblGrid>
      <w:tr w14:paraId="0AB62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1223" w:type="dxa"/>
            <w:vAlign w:val="center"/>
          </w:tcPr>
          <w:p w14:paraId="3FA44169">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    名</w:t>
            </w:r>
          </w:p>
        </w:tc>
        <w:tc>
          <w:tcPr>
            <w:tcW w:w="1485" w:type="dxa"/>
            <w:gridSpan w:val="3"/>
            <w:vAlign w:val="center"/>
          </w:tcPr>
          <w:p w14:paraId="7EC4289E">
            <w:pPr>
              <w:kinsoku/>
              <w:jc w:val="center"/>
              <w:rPr>
                <w:rFonts w:ascii="宋体" w:hAnsi="宋体" w:eastAsia="宋体" w:cs="宋体"/>
                <w:color w:val="000000" w:themeColor="text1"/>
                <w:highlight w:val="none"/>
                <w14:textFill>
                  <w14:solidFill>
                    <w14:schemeClr w14:val="tx1"/>
                  </w14:solidFill>
                </w14:textFill>
              </w:rPr>
            </w:pPr>
          </w:p>
        </w:tc>
        <w:tc>
          <w:tcPr>
            <w:tcW w:w="1046" w:type="dxa"/>
            <w:vAlign w:val="center"/>
          </w:tcPr>
          <w:p w14:paraId="5E3497D8">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    龄</w:t>
            </w:r>
          </w:p>
        </w:tc>
        <w:tc>
          <w:tcPr>
            <w:tcW w:w="1363" w:type="dxa"/>
            <w:vAlign w:val="center"/>
          </w:tcPr>
          <w:p w14:paraId="5205A49D">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1AD607A7">
            <w:pPr>
              <w:kinsoku/>
              <w:spacing w:before="219" w:line="307" w:lineRule="auto"/>
              <w:ind w:right="82"/>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执业或职业资格证书名称</w:t>
            </w:r>
          </w:p>
        </w:tc>
        <w:tc>
          <w:tcPr>
            <w:tcW w:w="1653" w:type="dxa"/>
            <w:gridSpan w:val="2"/>
          </w:tcPr>
          <w:p w14:paraId="2AB913AD">
            <w:pPr>
              <w:kinsoku/>
              <w:rPr>
                <w:rFonts w:ascii="宋体" w:hAnsi="宋体" w:eastAsia="宋体" w:cs="宋体"/>
                <w:color w:val="000000" w:themeColor="text1"/>
                <w:highlight w:val="none"/>
                <w:lang w:eastAsia="zh-CN"/>
                <w14:textFill>
                  <w14:solidFill>
                    <w14:schemeClr w14:val="tx1"/>
                  </w14:solidFill>
                </w14:textFill>
              </w:rPr>
            </w:pPr>
          </w:p>
        </w:tc>
      </w:tr>
      <w:tr w14:paraId="02AF2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1223" w:type="dxa"/>
            <w:vAlign w:val="center"/>
          </w:tcPr>
          <w:p w14:paraId="525F61AA">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485" w:type="dxa"/>
            <w:gridSpan w:val="3"/>
            <w:vAlign w:val="center"/>
          </w:tcPr>
          <w:p w14:paraId="55FD8B80">
            <w:pPr>
              <w:kinsoku/>
              <w:jc w:val="center"/>
              <w:rPr>
                <w:rFonts w:ascii="宋体" w:hAnsi="宋体" w:eastAsia="宋体" w:cs="宋体"/>
                <w:color w:val="000000" w:themeColor="text1"/>
                <w:highlight w:val="none"/>
                <w14:textFill>
                  <w14:solidFill>
                    <w14:schemeClr w14:val="tx1"/>
                  </w14:solidFill>
                </w14:textFill>
              </w:rPr>
            </w:pPr>
          </w:p>
        </w:tc>
        <w:tc>
          <w:tcPr>
            <w:tcW w:w="1046" w:type="dxa"/>
            <w:vAlign w:val="center"/>
          </w:tcPr>
          <w:p w14:paraId="35B780FC">
            <w:pPr>
              <w:kinsoku/>
              <w:spacing w:before="69"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学    历</w:t>
            </w:r>
          </w:p>
        </w:tc>
        <w:tc>
          <w:tcPr>
            <w:tcW w:w="1363" w:type="dxa"/>
            <w:vAlign w:val="center"/>
          </w:tcPr>
          <w:p w14:paraId="0EDDDE94">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74F028C8">
            <w:pPr>
              <w:kinsoku/>
              <w:spacing w:before="213" w:line="335" w:lineRule="auto"/>
              <w:ind w:right="3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拟在本标段工程任职</w:t>
            </w:r>
          </w:p>
        </w:tc>
        <w:tc>
          <w:tcPr>
            <w:tcW w:w="1653" w:type="dxa"/>
            <w:gridSpan w:val="2"/>
          </w:tcPr>
          <w:p w14:paraId="57138D0B">
            <w:pPr>
              <w:kinsoku/>
              <w:rPr>
                <w:rFonts w:ascii="宋体" w:hAnsi="宋体" w:eastAsia="宋体" w:cs="宋体"/>
                <w:color w:val="000000" w:themeColor="text1"/>
                <w:highlight w:val="none"/>
                <w14:textFill>
                  <w14:solidFill>
                    <w14:schemeClr w14:val="tx1"/>
                  </w14:solidFill>
                </w14:textFill>
              </w:rPr>
            </w:pPr>
          </w:p>
        </w:tc>
      </w:tr>
      <w:tr w14:paraId="021D7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223" w:type="dxa"/>
            <w:vAlign w:val="center"/>
          </w:tcPr>
          <w:p w14:paraId="47543D8B">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工作年限</w:t>
            </w:r>
          </w:p>
        </w:tc>
        <w:tc>
          <w:tcPr>
            <w:tcW w:w="3894" w:type="dxa"/>
            <w:gridSpan w:val="5"/>
            <w:vAlign w:val="center"/>
          </w:tcPr>
          <w:p w14:paraId="15E6AD89">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4311BD93">
            <w:pPr>
              <w:kinsoku/>
              <w:spacing w:before="215" w:line="307" w:lineRule="auto"/>
              <w:ind w:right="8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从事设计工作年限</w:t>
            </w:r>
          </w:p>
        </w:tc>
        <w:tc>
          <w:tcPr>
            <w:tcW w:w="1653" w:type="dxa"/>
            <w:gridSpan w:val="2"/>
          </w:tcPr>
          <w:p w14:paraId="7761B25C">
            <w:pPr>
              <w:kinsoku/>
              <w:rPr>
                <w:rFonts w:ascii="宋体" w:hAnsi="宋体" w:eastAsia="宋体" w:cs="宋体"/>
                <w:color w:val="000000" w:themeColor="text1"/>
                <w:highlight w:val="none"/>
                <w14:textFill>
                  <w14:solidFill>
                    <w14:schemeClr w14:val="tx1"/>
                  </w14:solidFill>
                </w14:textFill>
              </w:rPr>
            </w:pPr>
          </w:p>
        </w:tc>
      </w:tr>
      <w:tr w14:paraId="42BF8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23" w:type="dxa"/>
          </w:tcPr>
          <w:p w14:paraId="222009DA">
            <w:pPr>
              <w:kinsoku/>
              <w:spacing w:before="215" w:line="221" w:lineRule="auto"/>
              <w:ind w:left="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毕业学校</w:t>
            </w:r>
          </w:p>
        </w:tc>
        <w:tc>
          <w:tcPr>
            <w:tcW w:w="7401" w:type="dxa"/>
            <w:gridSpan w:val="9"/>
          </w:tcPr>
          <w:p w14:paraId="1B3CE0B1">
            <w:pPr>
              <w:tabs>
                <w:tab w:val="left" w:pos="529"/>
              </w:tabs>
              <w:kinsoku/>
              <w:spacing w:before="215" w:line="221"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年</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月毕业于</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学校</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专业，学制</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年</w:t>
            </w:r>
          </w:p>
        </w:tc>
      </w:tr>
      <w:tr w14:paraId="6B152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24" w:type="dxa"/>
            <w:gridSpan w:val="10"/>
          </w:tcPr>
          <w:p w14:paraId="4A02FDFA">
            <w:pPr>
              <w:kinsoku/>
              <w:spacing w:before="216" w:line="223" w:lineRule="auto"/>
              <w:ind w:left="3636"/>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         历</w:t>
            </w:r>
          </w:p>
        </w:tc>
      </w:tr>
      <w:tr w14:paraId="43FD1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273" w:type="dxa"/>
            <w:gridSpan w:val="2"/>
            <w:vAlign w:val="center"/>
          </w:tcPr>
          <w:p w14:paraId="4E766BA7">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  间</w:t>
            </w:r>
          </w:p>
        </w:tc>
        <w:tc>
          <w:tcPr>
            <w:tcW w:w="4177" w:type="dxa"/>
            <w:gridSpan w:val="5"/>
            <w:vAlign w:val="center"/>
          </w:tcPr>
          <w:p w14:paraId="30DD53BB">
            <w:pPr>
              <w:kinsoku/>
              <w:spacing w:before="68" w:line="221"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参加过的类似工程项目名称</w:t>
            </w:r>
          </w:p>
        </w:tc>
        <w:tc>
          <w:tcPr>
            <w:tcW w:w="1903" w:type="dxa"/>
            <w:gridSpan w:val="2"/>
            <w:vAlign w:val="center"/>
          </w:tcPr>
          <w:p w14:paraId="74FD4CD8">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担任职务</w:t>
            </w:r>
          </w:p>
        </w:tc>
        <w:tc>
          <w:tcPr>
            <w:tcW w:w="1271" w:type="dxa"/>
            <w:vAlign w:val="center"/>
          </w:tcPr>
          <w:p w14:paraId="41833A78">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发包人及联系电话</w:t>
            </w:r>
          </w:p>
        </w:tc>
      </w:tr>
      <w:tr w14:paraId="38510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6EF401BF">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32A48EC5">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63B962D5">
            <w:pPr>
              <w:kinsoku/>
              <w:rPr>
                <w:rFonts w:ascii="宋体" w:hAnsi="宋体" w:eastAsia="宋体" w:cs="宋体"/>
                <w:color w:val="000000" w:themeColor="text1"/>
                <w:highlight w:val="none"/>
                <w14:textFill>
                  <w14:solidFill>
                    <w14:schemeClr w14:val="tx1"/>
                  </w14:solidFill>
                </w14:textFill>
              </w:rPr>
            </w:pPr>
          </w:p>
        </w:tc>
        <w:tc>
          <w:tcPr>
            <w:tcW w:w="1271" w:type="dxa"/>
          </w:tcPr>
          <w:p w14:paraId="1B61B6A3">
            <w:pPr>
              <w:kinsoku/>
              <w:rPr>
                <w:rFonts w:ascii="宋体" w:hAnsi="宋体" w:eastAsia="宋体" w:cs="宋体"/>
                <w:color w:val="000000" w:themeColor="text1"/>
                <w:highlight w:val="none"/>
                <w14:textFill>
                  <w14:solidFill>
                    <w14:schemeClr w14:val="tx1"/>
                  </w14:solidFill>
                </w14:textFill>
              </w:rPr>
            </w:pPr>
          </w:p>
        </w:tc>
      </w:tr>
      <w:tr w14:paraId="44D15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1EF2D950">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7FCAF5AC">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1C8C012">
            <w:pPr>
              <w:kinsoku/>
              <w:rPr>
                <w:rFonts w:ascii="宋体" w:hAnsi="宋体" w:eastAsia="宋体" w:cs="宋体"/>
                <w:color w:val="000000" w:themeColor="text1"/>
                <w:highlight w:val="none"/>
                <w14:textFill>
                  <w14:solidFill>
                    <w14:schemeClr w14:val="tx1"/>
                  </w14:solidFill>
                </w14:textFill>
              </w:rPr>
            </w:pPr>
          </w:p>
        </w:tc>
        <w:tc>
          <w:tcPr>
            <w:tcW w:w="1271" w:type="dxa"/>
          </w:tcPr>
          <w:p w14:paraId="0F7110D3">
            <w:pPr>
              <w:kinsoku/>
              <w:rPr>
                <w:rFonts w:ascii="宋体" w:hAnsi="宋体" w:eastAsia="宋体" w:cs="宋体"/>
                <w:color w:val="000000" w:themeColor="text1"/>
                <w:highlight w:val="none"/>
                <w14:textFill>
                  <w14:solidFill>
                    <w14:schemeClr w14:val="tx1"/>
                  </w14:solidFill>
                </w14:textFill>
              </w:rPr>
            </w:pPr>
          </w:p>
        </w:tc>
      </w:tr>
      <w:tr w14:paraId="76F53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273" w:type="dxa"/>
            <w:gridSpan w:val="2"/>
          </w:tcPr>
          <w:p w14:paraId="4B325A1F">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42A239CF">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7B9DECB">
            <w:pPr>
              <w:kinsoku/>
              <w:rPr>
                <w:rFonts w:ascii="宋体" w:hAnsi="宋体" w:eastAsia="宋体" w:cs="宋体"/>
                <w:color w:val="000000" w:themeColor="text1"/>
                <w:highlight w:val="none"/>
                <w14:textFill>
                  <w14:solidFill>
                    <w14:schemeClr w14:val="tx1"/>
                  </w14:solidFill>
                </w14:textFill>
              </w:rPr>
            </w:pPr>
          </w:p>
        </w:tc>
        <w:tc>
          <w:tcPr>
            <w:tcW w:w="1271" w:type="dxa"/>
          </w:tcPr>
          <w:p w14:paraId="0324AF49">
            <w:pPr>
              <w:kinsoku/>
              <w:rPr>
                <w:rFonts w:ascii="宋体" w:hAnsi="宋体" w:eastAsia="宋体" w:cs="宋体"/>
                <w:color w:val="000000" w:themeColor="text1"/>
                <w:highlight w:val="none"/>
                <w14:textFill>
                  <w14:solidFill>
                    <w14:schemeClr w14:val="tx1"/>
                  </w14:solidFill>
                </w14:textFill>
              </w:rPr>
            </w:pPr>
          </w:p>
        </w:tc>
      </w:tr>
      <w:tr w14:paraId="3ED9E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2CCDAD15">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26A354DB">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6468C338">
            <w:pPr>
              <w:kinsoku/>
              <w:rPr>
                <w:rFonts w:ascii="宋体" w:hAnsi="宋体" w:eastAsia="宋体" w:cs="宋体"/>
                <w:color w:val="000000" w:themeColor="text1"/>
                <w:highlight w:val="none"/>
                <w14:textFill>
                  <w14:solidFill>
                    <w14:schemeClr w14:val="tx1"/>
                  </w14:solidFill>
                </w14:textFill>
              </w:rPr>
            </w:pPr>
          </w:p>
        </w:tc>
        <w:tc>
          <w:tcPr>
            <w:tcW w:w="1271" w:type="dxa"/>
          </w:tcPr>
          <w:p w14:paraId="53C9F4C9">
            <w:pPr>
              <w:kinsoku/>
              <w:rPr>
                <w:rFonts w:ascii="宋体" w:hAnsi="宋体" w:eastAsia="宋体" w:cs="宋体"/>
                <w:color w:val="000000" w:themeColor="text1"/>
                <w:highlight w:val="none"/>
                <w14:textFill>
                  <w14:solidFill>
                    <w14:schemeClr w14:val="tx1"/>
                  </w14:solidFill>
                </w14:textFill>
              </w:rPr>
            </w:pPr>
          </w:p>
        </w:tc>
      </w:tr>
      <w:tr w14:paraId="045B7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73" w:type="dxa"/>
            <w:gridSpan w:val="2"/>
          </w:tcPr>
          <w:p w14:paraId="441FA2D5">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2DCA7014">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718157DE">
            <w:pPr>
              <w:kinsoku/>
              <w:rPr>
                <w:rFonts w:ascii="宋体" w:hAnsi="宋体" w:eastAsia="宋体" w:cs="宋体"/>
                <w:color w:val="000000" w:themeColor="text1"/>
                <w:highlight w:val="none"/>
                <w14:textFill>
                  <w14:solidFill>
                    <w14:schemeClr w14:val="tx1"/>
                  </w14:solidFill>
                </w14:textFill>
              </w:rPr>
            </w:pPr>
          </w:p>
        </w:tc>
        <w:tc>
          <w:tcPr>
            <w:tcW w:w="1271" w:type="dxa"/>
          </w:tcPr>
          <w:p w14:paraId="6009C4FD">
            <w:pPr>
              <w:kinsoku/>
              <w:rPr>
                <w:rFonts w:ascii="宋体" w:hAnsi="宋体" w:eastAsia="宋体" w:cs="宋体"/>
                <w:color w:val="000000" w:themeColor="text1"/>
                <w:highlight w:val="none"/>
                <w14:textFill>
                  <w14:solidFill>
                    <w14:schemeClr w14:val="tx1"/>
                  </w14:solidFill>
                </w14:textFill>
              </w:rPr>
            </w:pPr>
          </w:p>
        </w:tc>
      </w:tr>
      <w:tr w14:paraId="0246E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2370A06E">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5A1A6550">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68E3D477">
            <w:pPr>
              <w:kinsoku/>
              <w:rPr>
                <w:rFonts w:ascii="宋体" w:hAnsi="宋体" w:eastAsia="宋体" w:cs="宋体"/>
                <w:color w:val="000000" w:themeColor="text1"/>
                <w:highlight w:val="none"/>
                <w14:textFill>
                  <w14:solidFill>
                    <w14:schemeClr w14:val="tx1"/>
                  </w14:solidFill>
                </w14:textFill>
              </w:rPr>
            </w:pPr>
          </w:p>
        </w:tc>
        <w:tc>
          <w:tcPr>
            <w:tcW w:w="1271" w:type="dxa"/>
          </w:tcPr>
          <w:p w14:paraId="60B1B61B">
            <w:pPr>
              <w:kinsoku/>
              <w:rPr>
                <w:rFonts w:ascii="宋体" w:hAnsi="宋体" w:eastAsia="宋体" w:cs="宋体"/>
                <w:color w:val="000000" w:themeColor="text1"/>
                <w:highlight w:val="none"/>
                <w14:textFill>
                  <w14:solidFill>
                    <w14:schemeClr w14:val="tx1"/>
                  </w14:solidFill>
                </w14:textFill>
              </w:rPr>
            </w:pPr>
          </w:p>
        </w:tc>
      </w:tr>
      <w:tr w14:paraId="3200E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487181E0">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68E0E48A">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5DC54BA5">
            <w:pPr>
              <w:kinsoku/>
              <w:rPr>
                <w:rFonts w:ascii="宋体" w:hAnsi="宋体" w:eastAsia="宋体" w:cs="宋体"/>
                <w:color w:val="000000" w:themeColor="text1"/>
                <w:highlight w:val="none"/>
                <w14:textFill>
                  <w14:solidFill>
                    <w14:schemeClr w14:val="tx1"/>
                  </w14:solidFill>
                </w14:textFill>
              </w:rPr>
            </w:pPr>
          </w:p>
        </w:tc>
        <w:tc>
          <w:tcPr>
            <w:tcW w:w="1271" w:type="dxa"/>
          </w:tcPr>
          <w:p w14:paraId="3A8828F3">
            <w:pPr>
              <w:kinsoku/>
              <w:rPr>
                <w:rFonts w:ascii="宋体" w:hAnsi="宋体" w:eastAsia="宋体" w:cs="宋体"/>
                <w:color w:val="000000" w:themeColor="text1"/>
                <w:highlight w:val="none"/>
                <w14:textFill>
                  <w14:solidFill>
                    <w14:schemeClr w14:val="tx1"/>
                  </w14:solidFill>
                </w14:textFill>
              </w:rPr>
            </w:pPr>
          </w:p>
        </w:tc>
      </w:tr>
      <w:tr w14:paraId="53D8E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607" w:type="dxa"/>
            <w:gridSpan w:val="3"/>
            <w:vAlign w:val="center"/>
          </w:tcPr>
          <w:p w14:paraId="23D6D763">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获奖情况</w:t>
            </w:r>
          </w:p>
        </w:tc>
        <w:tc>
          <w:tcPr>
            <w:tcW w:w="6017" w:type="dxa"/>
            <w:gridSpan w:val="7"/>
          </w:tcPr>
          <w:p w14:paraId="53B1B699">
            <w:pPr>
              <w:kinsoku/>
              <w:rPr>
                <w:rFonts w:ascii="宋体" w:hAnsi="宋体" w:eastAsia="宋体" w:cs="宋体"/>
                <w:color w:val="000000" w:themeColor="text1"/>
                <w:highlight w:val="none"/>
                <w14:textFill>
                  <w14:solidFill>
                    <w14:schemeClr w14:val="tx1"/>
                  </w14:solidFill>
                </w14:textFill>
              </w:rPr>
            </w:pPr>
          </w:p>
        </w:tc>
      </w:tr>
      <w:tr w14:paraId="546DE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2607" w:type="dxa"/>
            <w:gridSpan w:val="3"/>
            <w:vAlign w:val="center"/>
          </w:tcPr>
          <w:p w14:paraId="3E491E12">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目前承担的任务</w:t>
            </w:r>
          </w:p>
        </w:tc>
        <w:tc>
          <w:tcPr>
            <w:tcW w:w="6017" w:type="dxa"/>
            <w:gridSpan w:val="7"/>
          </w:tcPr>
          <w:p w14:paraId="76E35923">
            <w:pPr>
              <w:kinsoku/>
              <w:rPr>
                <w:rFonts w:ascii="宋体" w:hAnsi="宋体" w:eastAsia="宋体" w:cs="宋体"/>
                <w:color w:val="000000" w:themeColor="text1"/>
                <w:highlight w:val="none"/>
                <w14:textFill>
                  <w14:solidFill>
                    <w14:schemeClr w14:val="tx1"/>
                  </w14:solidFill>
                </w14:textFill>
              </w:rPr>
            </w:pPr>
          </w:p>
        </w:tc>
      </w:tr>
      <w:tr w14:paraId="48815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2607" w:type="dxa"/>
            <w:gridSpan w:val="3"/>
            <w:vAlign w:val="center"/>
          </w:tcPr>
          <w:p w14:paraId="0D2D2CFF">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     注</w:t>
            </w:r>
          </w:p>
        </w:tc>
        <w:tc>
          <w:tcPr>
            <w:tcW w:w="6017" w:type="dxa"/>
            <w:gridSpan w:val="7"/>
          </w:tcPr>
          <w:p w14:paraId="1E314208">
            <w:pPr>
              <w:kinsoku/>
              <w:rPr>
                <w:rFonts w:ascii="宋体" w:hAnsi="宋体" w:eastAsia="宋体" w:cs="宋体"/>
                <w:color w:val="000000" w:themeColor="text1"/>
                <w:highlight w:val="none"/>
                <w14:textFill>
                  <w14:solidFill>
                    <w14:schemeClr w14:val="tx1"/>
                  </w14:solidFill>
                </w14:textFill>
              </w:rPr>
            </w:pPr>
          </w:p>
        </w:tc>
      </w:tr>
    </w:tbl>
    <w:p w14:paraId="75D90400">
      <w:pPr>
        <w:kinsoku/>
        <w:spacing w:before="156" w:line="220" w:lineRule="auto"/>
        <w:ind w:left="4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注：1.本表应填写项目负责人相关情况。</w:t>
      </w:r>
    </w:p>
    <w:p w14:paraId="069EAB3D">
      <w:pPr>
        <w:kinsoku/>
        <w:spacing w:before="150" w:line="220" w:lineRule="auto"/>
        <w:jc w:val="right"/>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2.投标人应根据招标文件第二章“投标人须知 ”第3.5.4项的要求在本表后附相关证明材料。</w:t>
      </w:r>
    </w:p>
    <w:p w14:paraId="28574497">
      <w:pPr>
        <w:kinsoku/>
        <w:spacing w:line="220" w:lineRule="auto"/>
        <w:rPr>
          <w:rFonts w:ascii="宋体" w:hAnsi="宋体" w:eastAsia="宋体" w:cs="宋体"/>
          <w:color w:val="000000" w:themeColor="text1"/>
          <w:highlight w:val="none"/>
          <w:lang w:eastAsia="zh-CN"/>
          <w14:textFill>
            <w14:solidFill>
              <w14:schemeClr w14:val="tx1"/>
            </w14:solidFill>
          </w14:textFill>
        </w:rPr>
        <w:sectPr>
          <w:headerReference r:id="rId57" w:type="default"/>
          <w:footerReference r:id="rId58" w:type="default"/>
          <w:pgSz w:w="11907" w:h="16839"/>
          <w:pgMar w:top="1173" w:right="1565" w:bottom="1254" w:left="1668" w:header="862" w:footer="1093" w:gutter="0"/>
          <w:cols w:space="720" w:num="1"/>
        </w:sectPr>
      </w:pPr>
    </w:p>
    <w:p w14:paraId="53B930A6">
      <w:pPr>
        <w:kinsoku/>
        <w:spacing w:before="78" w:line="224" w:lineRule="auto"/>
        <w:ind w:left="2473"/>
        <w:rPr>
          <w:rFonts w:ascii="宋体" w:hAnsi="宋体" w:eastAsia="宋体" w:cs="宋体"/>
          <w:color w:val="000000" w:themeColor="text1"/>
          <w:sz w:val="12"/>
          <w:szCs w:val="12"/>
          <w:highlight w:val="none"/>
          <w:lang w:eastAsia="zh-CN"/>
          <w14:textFill>
            <w14:solidFill>
              <w14:schemeClr w14:val="tx1"/>
            </w14:solidFill>
          </w14:textFill>
        </w:rPr>
      </w:pPr>
      <w:bookmarkStart w:id="484" w:name="bookmark297"/>
      <w:bookmarkEnd w:id="484"/>
      <w:bookmarkStart w:id="485" w:name="bookmark298"/>
      <w:bookmarkEnd w:id="485"/>
      <w:r>
        <w:rPr>
          <w:rFonts w:hint="eastAsia" w:ascii="宋体" w:hAnsi="宋体" w:eastAsia="宋体" w:cs="宋体"/>
          <w:color w:val="000000" w:themeColor="text1"/>
          <w:sz w:val="24"/>
          <w:szCs w:val="24"/>
          <w:highlight w:val="none"/>
          <w:lang w:eastAsia="zh-CN"/>
          <w14:textFill>
            <w14:solidFill>
              <w14:schemeClr w14:val="tx1"/>
            </w14:solidFill>
          </w14:textFill>
        </w:rPr>
        <w:t>（六）拟委任的分项负责人汇总表</w:t>
      </w:r>
    </w:p>
    <w:p w14:paraId="46FF601F">
      <w:pPr>
        <w:kinsoku/>
        <w:spacing w:before="151"/>
        <w:rPr>
          <w:rFonts w:ascii="宋体" w:hAnsi="宋体" w:eastAsia="宋体" w:cs="宋体"/>
          <w:color w:val="000000" w:themeColor="text1"/>
          <w:highlight w:val="none"/>
          <w:lang w:eastAsia="zh-CN"/>
          <w14:textFill>
            <w14:solidFill>
              <w14:schemeClr w14:val="tx1"/>
            </w14:solidFill>
          </w14:textFill>
        </w:rPr>
      </w:pPr>
    </w:p>
    <w:tbl>
      <w:tblPr>
        <w:tblStyle w:val="26"/>
        <w:tblW w:w="8029"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1274"/>
        <w:gridCol w:w="902"/>
        <w:gridCol w:w="693"/>
        <w:gridCol w:w="487"/>
        <w:gridCol w:w="1135"/>
        <w:gridCol w:w="707"/>
        <w:gridCol w:w="871"/>
        <w:gridCol w:w="1140"/>
      </w:tblGrid>
      <w:tr w14:paraId="68B05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20" w:type="dxa"/>
            <w:vMerge w:val="restart"/>
            <w:tcBorders>
              <w:bottom w:val="nil"/>
            </w:tcBorders>
            <w:vAlign w:val="center"/>
          </w:tcPr>
          <w:p w14:paraId="73EB85F1">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274" w:type="dxa"/>
            <w:vMerge w:val="restart"/>
            <w:tcBorders>
              <w:bottom w:val="nil"/>
            </w:tcBorders>
            <w:vAlign w:val="center"/>
          </w:tcPr>
          <w:p w14:paraId="41C2B9BD">
            <w:pPr>
              <w:kinsoku/>
              <w:spacing w:before="68" w:line="22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本标段任职</w:t>
            </w:r>
          </w:p>
        </w:tc>
        <w:tc>
          <w:tcPr>
            <w:tcW w:w="902" w:type="dxa"/>
            <w:vMerge w:val="restart"/>
            <w:tcBorders>
              <w:bottom w:val="nil"/>
            </w:tcBorders>
            <w:vAlign w:val="center"/>
          </w:tcPr>
          <w:p w14:paraId="4C4F7959">
            <w:pPr>
              <w:kinsoku/>
              <w:spacing w:before="69"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693" w:type="dxa"/>
            <w:vMerge w:val="restart"/>
            <w:tcBorders>
              <w:bottom w:val="nil"/>
            </w:tcBorders>
            <w:vAlign w:val="center"/>
          </w:tcPr>
          <w:p w14:paraId="6E00FDFE">
            <w:pPr>
              <w:kinsoku/>
              <w:spacing w:before="181" w:line="311" w:lineRule="auto"/>
              <w:ind w:right="13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487" w:type="dxa"/>
            <w:vMerge w:val="restart"/>
            <w:tcBorders>
              <w:bottom w:val="nil"/>
            </w:tcBorders>
            <w:vAlign w:val="center"/>
          </w:tcPr>
          <w:p w14:paraId="03F1D46C">
            <w:pPr>
              <w:kinsoku/>
              <w:spacing w:before="136" w:line="21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专业</w:t>
            </w:r>
          </w:p>
        </w:tc>
        <w:tc>
          <w:tcPr>
            <w:tcW w:w="2713" w:type="dxa"/>
            <w:gridSpan w:val="3"/>
            <w:vAlign w:val="center"/>
          </w:tcPr>
          <w:p w14:paraId="29760540">
            <w:pPr>
              <w:kinsoku/>
              <w:spacing w:before="175"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执业或职业资格证明</w:t>
            </w:r>
          </w:p>
        </w:tc>
        <w:tc>
          <w:tcPr>
            <w:tcW w:w="1140" w:type="dxa"/>
            <w:vMerge w:val="restart"/>
            <w:tcBorders>
              <w:bottom w:val="nil"/>
            </w:tcBorders>
            <w:vAlign w:val="center"/>
          </w:tcPr>
          <w:p w14:paraId="3C0E7D8E">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7832F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vMerge w:val="continue"/>
            <w:tcBorders>
              <w:top w:val="nil"/>
            </w:tcBorders>
            <w:vAlign w:val="center"/>
          </w:tcPr>
          <w:p w14:paraId="7665F286">
            <w:pPr>
              <w:kinsoku/>
              <w:jc w:val="center"/>
              <w:rPr>
                <w:rFonts w:ascii="宋体" w:hAnsi="宋体" w:eastAsia="宋体" w:cs="宋体"/>
                <w:color w:val="000000" w:themeColor="text1"/>
                <w:highlight w:val="none"/>
                <w14:textFill>
                  <w14:solidFill>
                    <w14:schemeClr w14:val="tx1"/>
                  </w14:solidFill>
                </w14:textFill>
              </w:rPr>
            </w:pPr>
          </w:p>
        </w:tc>
        <w:tc>
          <w:tcPr>
            <w:tcW w:w="1274" w:type="dxa"/>
            <w:vMerge w:val="continue"/>
            <w:tcBorders>
              <w:top w:val="nil"/>
            </w:tcBorders>
            <w:vAlign w:val="center"/>
          </w:tcPr>
          <w:p w14:paraId="10FB0949">
            <w:pPr>
              <w:kinsoku/>
              <w:jc w:val="center"/>
              <w:rPr>
                <w:rFonts w:ascii="宋体" w:hAnsi="宋体" w:eastAsia="宋体" w:cs="宋体"/>
                <w:color w:val="000000" w:themeColor="text1"/>
                <w:highlight w:val="none"/>
                <w14:textFill>
                  <w14:solidFill>
                    <w14:schemeClr w14:val="tx1"/>
                  </w14:solidFill>
                </w14:textFill>
              </w:rPr>
            </w:pPr>
          </w:p>
        </w:tc>
        <w:tc>
          <w:tcPr>
            <w:tcW w:w="902" w:type="dxa"/>
            <w:vMerge w:val="continue"/>
            <w:tcBorders>
              <w:top w:val="nil"/>
            </w:tcBorders>
            <w:vAlign w:val="center"/>
          </w:tcPr>
          <w:p w14:paraId="255882B3">
            <w:pPr>
              <w:kinsoku/>
              <w:jc w:val="center"/>
              <w:rPr>
                <w:rFonts w:ascii="宋体" w:hAnsi="宋体" w:eastAsia="宋体" w:cs="宋体"/>
                <w:color w:val="000000" w:themeColor="text1"/>
                <w:highlight w:val="none"/>
                <w14:textFill>
                  <w14:solidFill>
                    <w14:schemeClr w14:val="tx1"/>
                  </w14:solidFill>
                </w14:textFill>
              </w:rPr>
            </w:pPr>
          </w:p>
        </w:tc>
        <w:tc>
          <w:tcPr>
            <w:tcW w:w="693" w:type="dxa"/>
            <w:vMerge w:val="continue"/>
            <w:tcBorders>
              <w:top w:val="nil"/>
            </w:tcBorders>
            <w:vAlign w:val="center"/>
          </w:tcPr>
          <w:p w14:paraId="69DC509C">
            <w:pPr>
              <w:kinsoku/>
              <w:jc w:val="center"/>
              <w:rPr>
                <w:rFonts w:ascii="宋体" w:hAnsi="宋体" w:eastAsia="宋体" w:cs="宋体"/>
                <w:color w:val="000000" w:themeColor="text1"/>
                <w:highlight w:val="none"/>
                <w14:textFill>
                  <w14:solidFill>
                    <w14:schemeClr w14:val="tx1"/>
                  </w14:solidFill>
                </w14:textFill>
              </w:rPr>
            </w:pPr>
          </w:p>
        </w:tc>
        <w:tc>
          <w:tcPr>
            <w:tcW w:w="487" w:type="dxa"/>
            <w:vMerge w:val="continue"/>
            <w:tcBorders>
              <w:top w:val="nil"/>
            </w:tcBorders>
            <w:textDirection w:val="tbRlV"/>
            <w:vAlign w:val="center"/>
          </w:tcPr>
          <w:p w14:paraId="716D7DFE">
            <w:pPr>
              <w:kinsoku/>
              <w:jc w:val="center"/>
              <w:rPr>
                <w:rFonts w:ascii="宋体" w:hAnsi="宋体" w:eastAsia="宋体" w:cs="宋体"/>
                <w:color w:val="000000" w:themeColor="text1"/>
                <w:highlight w:val="none"/>
                <w14:textFill>
                  <w14:solidFill>
                    <w14:schemeClr w14:val="tx1"/>
                  </w14:solidFill>
                </w14:textFill>
              </w:rPr>
            </w:pPr>
          </w:p>
        </w:tc>
        <w:tc>
          <w:tcPr>
            <w:tcW w:w="1135" w:type="dxa"/>
            <w:vAlign w:val="center"/>
          </w:tcPr>
          <w:p w14:paraId="007F3388">
            <w:pPr>
              <w:kinsoku/>
              <w:spacing w:before="171" w:line="22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证书名称</w:t>
            </w:r>
          </w:p>
        </w:tc>
        <w:tc>
          <w:tcPr>
            <w:tcW w:w="707" w:type="dxa"/>
            <w:vAlign w:val="center"/>
          </w:tcPr>
          <w:p w14:paraId="26E86A24">
            <w:pPr>
              <w:kinsoku/>
              <w:spacing w:before="172"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级别</w:t>
            </w:r>
          </w:p>
        </w:tc>
        <w:tc>
          <w:tcPr>
            <w:tcW w:w="871" w:type="dxa"/>
            <w:vAlign w:val="center"/>
          </w:tcPr>
          <w:p w14:paraId="410D2F6E">
            <w:pPr>
              <w:kinsoku/>
              <w:spacing w:before="171"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证号</w:t>
            </w:r>
          </w:p>
        </w:tc>
        <w:tc>
          <w:tcPr>
            <w:tcW w:w="1140" w:type="dxa"/>
            <w:vMerge w:val="continue"/>
            <w:tcBorders>
              <w:top w:val="nil"/>
            </w:tcBorders>
            <w:vAlign w:val="center"/>
          </w:tcPr>
          <w:p w14:paraId="6A13D038">
            <w:pPr>
              <w:kinsoku/>
              <w:jc w:val="center"/>
              <w:rPr>
                <w:rFonts w:ascii="宋体" w:hAnsi="宋体" w:eastAsia="宋体" w:cs="宋体"/>
                <w:color w:val="000000" w:themeColor="text1"/>
                <w:highlight w:val="none"/>
                <w14:textFill>
                  <w14:solidFill>
                    <w14:schemeClr w14:val="tx1"/>
                  </w14:solidFill>
                </w14:textFill>
              </w:rPr>
            </w:pPr>
          </w:p>
        </w:tc>
      </w:tr>
      <w:tr w14:paraId="3FBE5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vAlign w:val="center"/>
          </w:tcPr>
          <w:p w14:paraId="4ECF5913">
            <w:pPr>
              <w:kinsoku/>
              <w:jc w:val="center"/>
              <w:rPr>
                <w:rFonts w:ascii="宋体" w:hAnsi="宋体" w:eastAsia="宋体" w:cs="宋体"/>
                <w:color w:val="000000" w:themeColor="text1"/>
                <w:highlight w:val="none"/>
                <w14:textFill>
                  <w14:solidFill>
                    <w14:schemeClr w14:val="tx1"/>
                  </w14:solidFill>
                </w14:textFill>
              </w:rPr>
            </w:pPr>
          </w:p>
        </w:tc>
        <w:tc>
          <w:tcPr>
            <w:tcW w:w="1274" w:type="dxa"/>
            <w:vAlign w:val="center"/>
          </w:tcPr>
          <w:p w14:paraId="70EC254C">
            <w:pPr>
              <w:kinsoku/>
              <w:jc w:val="center"/>
              <w:rPr>
                <w:rFonts w:ascii="宋体" w:hAnsi="宋体" w:eastAsia="宋体" w:cs="宋体"/>
                <w:color w:val="000000" w:themeColor="text1"/>
                <w:highlight w:val="none"/>
                <w14:textFill>
                  <w14:solidFill>
                    <w14:schemeClr w14:val="tx1"/>
                  </w14:solidFill>
                </w14:textFill>
              </w:rPr>
            </w:pPr>
          </w:p>
        </w:tc>
        <w:tc>
          <w:tcPr>
            <w:tcW w:w="902" w:type="dxa"/>
            <w:vAlign w:val="center"/>
          </w:tcPr>
          <w:p w14:paraId="28BBD46C">
            <w:pPr>
              <w:kinsoku/>
              <w:jc w:val="center"/>
              <w:rPr>
                <w:rFonts w:ascii="宋体" w:hAnsi="宋体" w:eastAsia="宋体" w:cs="宋体"/>
                <w:color w:val="000000" w:themeColor="text1"/>
                <w:highlight w:val="none"/>
                <w14:textFill>
                  <w14:solidFill>
                    <w14:schemeClr w14:val="tx1"/>
                  </w14:solidFill>
                </w14:textFill>
              </w:rPr>
            </w:pPr>
          </w:p>
        </w:tc>
        <w:tc>
          <w:tcPr>
            <w:tcW w:w="693" w:type="dxa"/>
            <w:vAlign w:val="center"/>
          </w:tcPr>
          <w:p w14:paraId="6639C31B">
            <w:pPr>
              <w:kinsoku/>
              <w:jc w:val="center"/>
              <w:rPr>
                <w:rFonts w:ascii="宋体" w:hAnsi="宋体" w:eastAsia="宋体" w:cs="宋体"/>
                <w:color w:val="000000" w:themeColor="text1"/>
                <w:highlight w:val="none"/>
                <w14:textFill>
                  <w14:solidFill>
                    <w14:schemeClr w14:val="tx1"/>
                  </w14:solidFill>
                </w14:textFill>
              </w:rPr>
            </w:pPr>
          </w:p>
        </w:tc>
        <w:tc>
          <w:tcPr>
            <w:tcW w:w="487" w:type="dxa"/>
            <w:vAlign w:val="center"/>
          </w:tcPr>
          <w:p w14:paraId="68E7F731">
            <w:pPr>
              <w:kinsoku/>
              <w:jc w:val="center"/>
              <w:rPr>
                <w:rFonts w:ascii="宋体" w:hAnsi="宋体" w:eastAsia="宋体" w:cs="宋体"/>
                <w:color w:val="000000" w:themeColor="text1"/>
                <w:highlight w:val="none"/>
                <w14:textFill>
                  <w14:solidFill>
                    <w14:schemeClr w14:val="tx1"/>
                  </w14:solidFill>
                </w14:textFill>
              </w:rPr>
            </w:pPr>
          </w:p>
        </w:tc>
        <w:tc>
          <w:tcPr>
            <w:tcW w:w="1135" w:type="dxa"/>
            <w:vAlign w:val="center"/>
          </w:tcPr>
          <w:p w14:paraId="0B449339">
            <w:pPr>
              <w:kinsoku/>
              <w:jc w:val="center"/>
              <w:rPr>
                <w:rFonts w:ascii="宋体" w:hAnsi="宋体" w:eastAsia="宋体" w:cs="宋体"/>
                <w:color w:val="000000" w:themeColor="text1"/>
                <w:highlight w:val="none"/>
                <w14:textFill>
                  <w14:solidFill>
                    <w14:schemeClr w14:val="tx1"/>
                  </w14:solidFill>
                </w14:textFill>
              </w:rPr>
            </w:pPr>
          </w:p>
        </w:tc>
        <w:tc>
          <w:tcPr>
            <w:tcW w:w="707" w:type="dxa"/>
            <w:vAlign w:val="center"/>
          </w:tcPr>
          <w:p w14:paraId="2A12F4BB">
            <w:pPr>
              <w:kinsoku/>
              <w:jc w:val="center"/>
              <w:rPr>
                <w:rFonts w:ascii="宋体" w:hAnsi="宋体" w:eastAsia="宋体" w:cs="宋体"/>
                <w:color w:val="000000" w:themeColor="text1"/>
                <w:highlight w:val="none"/>
                <w14:textFill>
                  <w14:solidFill>
                    <w14:schemeClr w14:val="tx1"/>
                  </w14:solidFill>
                </w14:textFill>
              </w:rPr>
            </w:pPr>
          </w:p>
        </w:tc>
        <w:tc>
          <w:tcPr>
            <w:tcW w:w="871" w:type="dxa"/>
            <w:vAlign w:val="center"/>
          </w:tcPr>
          <w:p w14:paraId="3000C5C8">
            <w:pPr>
              <w:kinsoku/>
              <w:jc w:val="center"/>
              <w:rPr>
                <w:rFonts w:ascii="宋体" w:hAnsi="宋体" w:eastAsia="宋体" w:cs="宋体"/>
                <w:color w:val="000000" w:themeColor="text1"/>
                <w:highlight w:val="none"/>
                <w14:textFill>
                  <w14:solidFill>
                    <w14:schemeClr w14:val="tx1"/>
                  </w14:solidFill>
                </w14:textFill>
              </w:rPr>
            </w:pPr>
          </w:p>
        </w:tc>
        <w:tc>
          <w:tcPr>
            <w:tcW w:w="1140" w:type="dxa"/>
            <w:vAlign w:val="center"/>
          </w:tcPr>
          <w:p w14:paraId="22B2EE15">
            <w:pPr>
              <w:kinsoku/>
              <w:jc w:val="center"/>
              <w:rPr>
                <w:rFonts w:ascii="宋体" w:hAnsi="宋体" w:eastAsia="宋体" w:cs="宋体"/>
                <w:color w:val="000000" w:themeColor="text1"/>
                <w:highlight w:val="none"/>
                <w14:textFill>
                  <w14:solidFill>
                    <w14:schemeClr w14:val="tx1"/>
                  </w14:solidFill>
                </w14:textFill>
              </w:rPr>
            </w:pPr>
          </w:p>
        </w:tc>
      </w:tr>
      <w:tr w14:paraId="238DD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1F3AEF32">
            <w:pPr>
              <w:kinsoku/>
              <w:rPr>
                <w:rFonts w:ascii="宋体" w:hAnsi="宋体" w:eastAsia="宋体" w:cs="宋体"/>
                <w:color w:val="000000" w:themeColor="text1"/>
                <w:highlight w:val="none"/>
                <w14:textFill>
                  <w14:solidFill>
                    <w14:schemeClr w14:val="tx1"/>
                  </w14:solidFill>
                </w14:textFill>
              </w:rPr>
            </w:pPr>
          </w:p>
        </w:tc>
        <w:tc>
          <w:tcPr>
            <w:tcW w:w="1274" w:type="dxa"/>
          </w:tcPr>
          <w:p w14:paraId="6B8DFD11">
            <w:pPr>
              <w:kinsoku/>
              <w:rPr>
                <w:rFonts w:ascii="宋体" w:hAnsi="宋体" w:eastAsia="宋体" w:cs="宋体"/>
                <w:color w:val="000000" w:themeColor="text1"/>
                <w:highlight w:val="none"/>
                <w14:textFill>
                  <w14:solidFill>
                    <w14:schemeClr w14:val="tx1"/>
                  </w14:solidFill>
                </w14:textFill>
              </w:rPr>
            </w:pPr>
          </w:p>
        </w:tc>
        <w:tc>
          <w:tcPr>
            <w:tcW w:w="902" w:type="dxa"/>
          </w:tcPr>
          <w:p w14:paraId="77E5B31E">
            <w:pPr>
              <w:kinsoku/>
              <w:rPr>
                <w:rFonts w:ascii="宋体" w:hAnsi="宋体" w:eastAsia="宋体" w:cs="宋体"/>
                <w:color w:val="000000" w:themeColor="text1"/>
                <w:highlight w:val="none"/>
                <w14:textFill>
                  <w14:solidFill>
                    <w14:schemeClr w14:val="tx1"/>
                  </w14:solidFill>
                </w14:textFill>
              </w:rPr>
            </w:pPr>
          </w:p>
        </w:tc>
        <w:tc>
          <w:tcPr>
            <w:tcW w:w="693" w:type="dxa"/>
          </w:tcPr>
          <w:p w14:paraId="6552D67E">
            <w:pPr>
              <w:kinsoku/>
              <w:rPr>
                <w:rFonts w:ascii="宋体" w:hAnsi="宋体" w:eastAsia="宋体" w:cs="宋体"/>
                <w:color w:val="000000" w:themeColor="text1"/>
                <w:highlight w:val="none"/>
                <w14:textFill>
                  <w14:solidFill>
                    <w14:schemeClr w14:val="tx1"/>
                  </w14:solidFill>
                </w14:textFill>
              </w:rPr>
            </w:pPr>
          </w:p>
        </w:tc>
        <w:tc>
          <w:tcPr>
            <w:tcW w:w="487" w:type="dxa"/>
          </w:tcPr>
          <w:p w14:paraId="0769A94B">
            <w:pPr>
              <w:kinsoku/>
              <w:rPr>
                <w:rFonts w:ascii="宋体" w:hAnsi="宋体" w:eastAsia="宋体" w:cs="宋体"/>
                <w:color w:val="000000" w:themeColor="text1"/>
                <w:highlight w:val="none"/>
                <w14:textFill>
                  <w14:solidFill>
                    <w14:schemeClr w14:val="tx1"/>
                  </w14:solidFill>
                </w14:textFill>
              </w:rPr>
            </w:pPr>
          </w:p>
        </w:tc>
        <w:tc>
          <w:tcPr>
            <w:tcW w:w="1135" w:type="dxa"/>
          </w:tcPr>
          <w:p w14:paraId="6B007410">
            <w:pPr>
              <w:kinsoku/>
              <w:rPr>
                <w:rFonts w:ascii="宋体" w:hAnsi="宋体" w:eastAsia="宋体" w:cs="宋体"/>
                <w:color w:val="000000" w:themeColor="text1"/>
                <w:highlight w:val="none"/>
                <w14:textFill>
                  <w14:solidFill>
                    <w14:schemeClr w14:val="tx1"/>
                  </w14:solidFill>
                </w14:textFill>
              </w:rPr>
            </w:pPr>
          </w:p>
        </w:tc>
        <w:tc>
          <w:tcPr>
            <w:tcW w:w="707" w:type="dxa"/>
          </w:tcPr>
          <w:p w14:paraId="2C3D6F6C">
            <w:pPr>
              <w:kinsoku/>
              <w:rPr>
                <w:rFonts w:ascii="宋体" w:hAnsi="宋体" w:eastAsia="宋体" w:cs="宋体"/>
                <w:color w:val="000000" w:themeColor="text1"/>
                <w:highlight w:val="none"/>
                <w14:textFill>
                  <w14:solidFill>
                    <w14:schemeClr w14:val="tx1"/>
                  </w14:solidFill>
                </w14:textFill>
              </w:rPr>
            </w:pPr>
          </w:p>
        </w:tc>
        <w:tc>
          <w:tcPr>
            <w:tcW w:w="871" w:type="dxa"/>
          </w:tcPr>
          <w:p w14:paraId="48189AD0">
            <w:pPr>
              <w:kinsoku/>
              <w:rPr>
                <w:rFonts w:ascii="宋体" w:hAnsi="宋体" w:eastAsia="宋体" w:cs="宋体"/>
                <w:color w:val="000000" w:themeColor="text1"/>
                <w:highlight w:val="none"/>
                <w14:textFill>
                  <w14:solidFill>
                    <w14:schemeClr w14:val="tx1"/>
                  </w14:solidFill>
                </w14:textFill>
              </w:rPr>
            </w:pPr>
          </w:p>
        </w:tc>
        <w:tc>
          <w:tcPr>
            <w:tcW w:w="1140" w:type="dxa"/>
          </w:tcPr>
          <w:p w14:paraId="194D2155">
            <w:pPr>
              <w:kinsoku/>
              <w:rPr>
                <w:rFonts w:ascii="宋体" w:hAnsi="宋体" w:eastAsia="宋体" w:cs="宋体"/>
                <w:color w:val="000000" w:themeColor="text1"/>
                <w:highlight w:val="none"/>
                <w14:textFill>
                  <w14:solidFill>
                    <w14:schemeClr w14:val="tx1"/>
                  </w14:solidFill>
                </w14:textFill>
              </w:rPr>
            </w:pPr>
          </w:p>
        </w:tc>
      </w:tr>
      <w:tr w14:paraId="705BC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2811E534">
            <w:pPr>
              <w:kinsoku/>
              <w:rPr>
                <w:rFonts w:ascii="宋体" w:hAnsi="宋体" w:eastAsia="宋体" w:cs="宋体"/>
                <w:color w:val="000000" w:themeColor="text1"/>
                <w:highlight w:val="none"/>
                <w14:textFill>
                  <w14:solidFill>
                    <w14:schemeClr w14:val="tx1"/>
                  </w14:solidFill>
                </w14:textFill>
              </w:rPr>
            </w:pPr>
          </w:p>
        </w:tc>
        <w:tc>
          <w:tcPr>
            <w:tcW w:w="1274" w:type="dxa"/>
          </w:tcPr>
          <w:p w14:paraId="76712492">
            <w:pPr>
              <w:kinsoku/>
              <w:rPr>
                <w:rFonts w:ascii="宋体" w:hAnsi="宋体" w:eastAsia="宋体" w:cs="宋体"/>
                <w:color w:val="000000" w:themeColor="text1"/>
                <w:highlight w:val="none"/>
                <w14:textFill>
                  <w14:solidFill>
                    <w14:schemeClr w14:val="tx1"/>
                  </w14:solidFill>
                </w14:textFill>
              </w:rPr>
            </w:pPr>
          </w:p>
        </w:tc>
        <w:tc>
          <w:tcPr>
            <w:tcW w:w="902" w:type="dxa"/>
          </w:tcPr>
          <w:p w14:paraId="542DA714">
            <w:pPr>
              <w:kinsoku/>
              <w:rPr>
                <w:rFonts w:ascii="宋体" w:hAnsi="宋体" w:eastAsia="宋体" w:cs="宋体"/>
                <w:color w:val="000000" w:themeColor="text1"/>
                <w:highlight w:val="none"/>
                <w14:textFill>
                  <w14:solidFill>
                    <w14:schemeClr w14:val="tx1"/>
                  </w14:solidFill>
                </w14:textFill>
              </w:rPr>
            </w:pPr>
          </w:p>
        </w:tc>
        <w:tc>
          <w:tcPr>
            <w:tcW w:w="693" w:type="dxa"/>
          </w:tcPr>
          <w:p w14:paraId="4A5DCF11">
            <w:pPr>
              <w:kinsoku/>
              <w:rPr>
                <w:rFonts w:ascii="宋体" w:hAnsi="宋体" w:eastAsia="宋体" w:cs="宋体"/>
                <w:color w:val="000000" w:themeColor="text1"/>
                <w:highlight w:val="none"/>
                <w14:textFill>
                  <w14:solidFill>
                    <w14:schemeClr w14:val="tx1"/>
                  </w14:solidFill>
                </w14:textFill>
              </w:rPr>
            </w:pPr>
          </w:p>
        </w:tc>
        <w:tc>
          <w:tcPr>
            <w:tcW w:w="487" w:type="dxa"/>
          </w:tcPr>
          <w:p w14:paraId="5EEC398A">
            <w:pPr>
              <w:kinsoku/>
              <w:rPr>
                <w:rFonts w:ascii="宋体" w:hAnsi="宋体" w:eastAsia="宋体" w:cs="宋体"/>
                <w:color w:val="000000" w:themeColor="text1"/>
                <w:highlight w:val="none"/>
                <w14:textFill>
                  <w14:solidFill>
                    <w14:schemeClr w14:val="tx1"/>
                  </w14:solidFill>
                </w14:textFill>
              </w:rPr>
            </w:pPr>
          </w:p>
        </w:tc>
        <w:tc>
          <w:tcPr>
            <w:tcW w:w="1135" w:type="dxa"/>
          </w:tcPr>
          <w:p w14:paraId="2E5829EF">
            <w:pPr>
              <w:kinsoku/>
              <w:rPr>
                <w:rFonts w:ascii="宋体" w:hAnsi="宋体" w:eastAsia="宋体" w:cs="宋体"/>
                <w:color w:val="000000" w:themeColor="text1"/>
                <w:highlight w:val="none"/>
                <w14:textFill>
                  <w14:solidFill>
                    <w14:schemeClr w14:val="tx1"/>
                  </w14:solidFill>
                </w14:textFill>
              </w:rPr>
            </w:pPr>
          </w:p>
        </w:tc>
        <w:tc>
          <w:tcPr>
            <w:tcW w:w="707" w:type="dxa"/>
          </w:tcPr>
          <w:p w14:paraId="4E45FE29">
            <w:pPr>
              <w:kinsoku/>
              <w:rPr>
                <w:rFonts w:ascii="宋体" w:hAnsi="宋体" w:eastAsia="宋体" w:cs="宋体"/>
                <w:color w:val="000000" w:themeColor="text1"/>
                <w:highlight w:val="none"/>
                <w14:textFill>
                  <w14:solidFill>
                    <w14:schemeClr w14:val="tx1"/>
                  </w14:solidFill>
                </w14:textFill>
              </w:rPr>
            </w:pPr>
          </w:p>
        </w:tc>
        <w:tc>
          <w:tcPr>
            <w:tcW w:w="871" w:type="dxa"/>
          </w:tcPr>
          <w:p w14:paraId="29143B46">
            <w:pPr>
              <w:kinsoku/>
              <w:rPr>
                <w:rFonts w:ascii="宋体" w:hAnsi="宋体" w:eastAsia="宋体" w:cs="宋体"/>
                <w:color w:val="000000" w:themeColor="text1"/>
                <w:highlight w:val="none"/>
                <w14:textFill>
                  <w14:solidFill>
                    <w14:schemeClr w14:val="tx1"/>
                  </w14:solidFill>
                </w14:textFill>
              </w:rPr>
            </w:pPr>
          </w:p>
        </w:tc>
        <w:tc>
          <w:tcPr>
            <w:tcW w:w="1140" w:type="dxa"/>
          </w:tcPr>
          <w:p w14:paraId="54D8DBF2">
            <w:pPr>
              <w:kinsoku/>
              <w:rPr>
                <w:rFonts w:ascii="宋体" w:hAnsi="宋体" w:eastAsia="宋体" w:cs="宋体"/>
                <w:color w:val="000000" w:themeColor="text1"/>
                <w:highlight w:val="none"/>
                <w14:textFill>
                  <w14:solidFill>
                    <w14:schemeClr w14:val="tx1"/>
                  </w14:solidFill>
                </w14:textFill>
              </w:rPr>
            </w:pPr>
          </w:p>
        </w:tc>
      </w:tr>
      <w:tr w14:paraId="790A1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38AC2682">
            <w:pPr>
              <w:kinsoku/>
              <w:rPr>
                <w:rFonts w:ascii="宋体" w:hAnsi="宋体" w:eastAsia="宋体" w:cs="宋体"/>
                <w:color w:val="000000" w:themeColor="text1"/>
                <w:highlight w:val="none"/>
                <w14:textFill>
                  <w14:solidFill>
                    <w14:schemeClr w14:val="tx1"/>
                  </w14:solidFill>
                </w14:textFill>
              </w:rPr>
            </w:pPr>
          </w:p>
        </w:tc>
        <w:tc>
          <w:tcPr>
            <w:tcW w:w="1274" w:type="dxa"/>
          </w:tcPr>
          <w:p w14:paraId="58E53F66">
            <w:pPr>
              <w:kinsoku/>
              <w:rPr>
                <w:rFonts w:ascii="宋体" w:hAnsi="宋体" w:eastAsia="宋体" w:cs="宋体"/>
                <w:color w:val="000000" w:themeColor="text1"/>
                <w:highlight w:val="none"/>
                <w14:textFill>
                  <w14:solidFill>
                    <w14:schemeClr w14:val="tx1"/>
                  </w14:solidFill>
                </w14:textFill>
              </w:rPr>
            </w:pPr>
          </w:p>
        </w:tc>
        <w:tc>
          <w:tcPr>
            <w:tcW w:w="902" w:type="dxa"/>
          </w:tcPr>
          <w:p w14:paraId="40C34B9E">
            <w:pPr>
              <w:kinsoku/>
              <w:rPr>
                <w:rFonts w:ascii="宋体" w:hAnsi="宋体" w:eastAsia="宋体" w:cs="宋体"/>
                <w:color w:val="000000" w:themeColor="text1"/>
                <w:highlight w:val="none"/>
                <w14:textFill>
                  <w14:solidFill>
                    <w14:schemeClr w14:val="tx1"/>
                  </w14:solidFill>
                </w14:textFill>
              </w:rPr>
            </w:pPr>
          </w:p>
        </w:tc>
        <w:tc>
          <w:tcPr>
            <w:tcW w:w="693" w:type="dxa"/>
          </w:tcPr>
          <w:p w14:paraId="69C148A7">
            <w:pPr>
              <w:kinsoku/>
              <w:rPr>
                <w:rFonts w:ascii="宋体" w:hAnsi="宋体" w:eastAsia="宋体" w:cs="宋体"/>
                <w:color w:val="000000" w:themeColor="text1"/>
                <w:highlight w:val="none"/>
                <w14:textFill>
                  <w14:solidFill>
                    <w14:schemeClr w14:val="tx1"/>
                  </w14:solidFill>
                </w14:textFill>
              </w:rPr>
            </w:pPr>
          </w:p>
        </w:tc>
        <w:tc>
          <w:tcPr>
            <w:tcW w:w="487" w:type="dxa"/>
          </w:tcPr>
          <w:p w14:paraId="59324E6A">
            <w:pPr>
              <w:kinsoku/>
              <w:rPr>
                <w:rFonts w:ascii="宋体" w:hAnsi="宋体" w:eastAsia="宋体" w:cs="宋体"/>
                <w:color w:val="000000" w:themeColor="text1"/>
                <w:highlight w:val="none"/>
                <w14:textFill>
                  <w14:solidFill>
                    <w14:schemeClr w14:val="tx1"/>
                  </w14:solidFill>
                </w14:textFill>
              </w:rPr>
            </w:pPr>
          </w:p>
        </w:tc>
        <w:tc>
          <w:tcPr>
            <w:tcW w:w="1135" w:type="dxa"/>
          </w:tcPr>
          <w:p w14:paraId="3016B542">
            <w:pPr>
              <w:kinsoku/>
              <w:rPr>
                <w:rFonts w:ascii="宋体" w:hAnsi="宋体" w:eastAsia="宋体" w:cs="宋体"/>
                <w:color w:val="000000" w:themeColor="text1"/>
                <w:highlight w:val="none"/>
                <w14:textFill>
                  <w14:solidFill>
                    <w14:schemeClr w14:val="tx1"/>
                  </w14:solidFill>
                </w14:textFill>
              </w:rPr>
            </w:pPr>
          </w:p>
        </w:tc>
        <w:tc>
          <w:tcPr>
            <w:tcW w:w="707" w:type="dxa"/>
          </w:tcPr>
          <w:p w14:paraId="17E70007">
            <w:pPr>
              <w:kinsoku/>
              <w:rPr>
                <w:rFonts w:ascii="宋体" w:hAnsi="宋体" w:eastAsia="宋体" w:cs="宋体"/>
                <w:color w:val="000000" w:themeColor="text1"/>
                <w:highlight w:val="none"/>
                <w14:textFill>
                  <w14:solidFill>
                    <w14:schemeClr w14:val="tx1"/>
                  </w14:solidFill>
                </w14:textFill>
              </w:rPr>
            </w:pPr>
          </w:p>
        </w:tc>
        <w:tc>
          <w:tcPr>
            <w:tcW w:w="871" w:type="dxa"/>
          </w:tcPr>
          <w:p w14:paraId="2D8E76FB">
            <w:pPr>
              <w:kinsoku/>
              <w:rPr>
                <w:rFonts w:ascii="宋体" w:hAnsi="宋体" w:eastAsia="宋体" w:cs="宋体"/>
                <w:color w:val="000000" w:themeColor="text1"/>
                <w:highlight w:val="none"/>
                <w14:textFill>
                  <w14:solidFill>
                    <w14:schemeClr w14:val="tx1"/>
                  </w14:solidFill>
                </w14:textFill>
              </w:rPr>
            </w:pPr>
          </w:p>
        </w:tc>
        <w:tc>
          <w:tcPr>
            <w:tcW w:w="1140" w:type="dxa"/>
          </w:tcPr>
          <w:p w14:paraId="1A00EA1B">
            <w:pPr>
              <w:kinsoku/>
              <w:rPr>
                <w:rFonts w:ascii="宋体" w:hAnsi="宋体" w:eastAsia="宋体" w:cs="宋体"/>
                <w:color w:val="000000" w:themeColor="text1"/>
                <w:highlight w:val="none"/>
                <w14:textFill>
                  <w14:solidFill>
                    <w14:schemeClr w14:val="tx1"/>
                  </w14:solidFill>
                </w14:textFill>
              </w:rPr>
            </w:pPr>
          </w:p>
        </w:tc>
      </w:tr>
      <w:tr w14:paraId="68A6B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20" w:type="dxa"/>
          </w:tcPr>
          <w:p w14:paraId="7AEFBA7A">
            <w:pPr>
              <w:kinsoku/>
              <w:rPr>
                <w:rFonts w:ascii="宋体" w:hAnsi="宋体" w:eastAsia="宋体" w:cs="宋体"/>
                <w:color w:val="000000" w:themeColor="text1"/>
                <w:highlight w:val="none"/>
                <w14:textFill>
                  <w14:solidFill>
                    <w14:schemeClr w14:val="tx1"/>
                  </w14:solidFill>
                </w14:textFill>
              </w:rPr>
            </w:pPr>
          </w:p>
        </w:tc>
        <w:tc>
          <w:tcPr>
            <w:tcW w:w="1274" w:type="dxa"/>
          </w:tcPr>
          <w:p w14:paraId="01874EF0">
            <w:pPr>
              <w:kinsoku/>
              <w:rPr>
                <w:rFonts w:ascii="宋体" w:hAnsi="宋体" w:eastAsia="宋体" w:cs="宋体"/>
                <w:color w:val="000000" w:themeColor="text1"/>
                <w:highlight w:val="none"/>
                <w14:textFill>
                  <w14:solidFill>
                    <w14:schemeClr w14:val="tx1"/>
                  </w14:solidFill>
                </w14:textFill>
              </w:rPr>
            </w:pPr>
          </w:p>
        </w:tc>
        <w:tc>
          <w:tcPr>
            <w:tcW w:w="902" w:type="dxa"/>
          </w:tcPr>
          <w:p w14:paraId="1C427A61">
            <w:pPr>
              <w:kinsoku/>
              <w:rPr>
                <w:rFonts w:ascii="宋体" w:hAnsi="宋体" w:eastAsia="宋体" w:cs="宋体"/>
                <w:color w:val="000000" w:themeColor="text1"/>
                <w:highlight w:val="none"/>
                <w14:textFill>
                  <w14:solidFill>
                    <w14:schemeClr w14:val="tx1"/>
                  </w14:solidFill>
                </w14:textFill>
              </w:rPr>
            </w:pPr>
          </w:p>
        </w:tc>
        <w:tc>
          <w:tcPr>
            <w:tcW w:w="693" w:type="dxa"/>
          </w:tcPr>
          <w:p w14:paraId="2575ED69">
            <w:pPr>
              <w:kinsoku/>
              <w:rPr>
                <w:rFonts w:ascii="宋体" w:hAnsi="宋体" w:eastAsia="宋体" w:cs="宋体"/>
                <w:color w:val="000000" w:themeColor="text1"/>
                <w:highlight w:val="none"/>
                <w14:textFill>
                  <w14:solidFill>
                    <w14:schemeClr w14:val="tx1"/>
                  </w14:solidFill>
                </w14:textFill>
              </w:rPr>
            </w:pPr>
          </w:p>
        </w:tc>
        <w:tc>
          <w:tcPr>
            <w:tcW w:w="487" w:type="dxa"/>
          </w:tcPr>
          <w:p w14:paraId="05284295">
            <w:pPr>
              <w:kinsoku/>
              <w:rPr>
                <w:rFonts w:ascii="宋体" w:hAnsi="宋体" w:eastAsia="宋体" w:cs="宋体"/>
                <w:color w:val="000000" w:themeColor="text1"/>
                <w:highlight w:val="none"/>
                <w14:textFill>
                  <w14:solidFill>
                    <w14:schemeClr w14:val="tx1"/>
                  </w14:solidFill>
                </w14:textFill>
              </w:rPr>
            </w:pPr>
          </w:p>
        </w:tc>
        <w:tc>
          <w:tcPr>
            <w:tcW w:w="1135" w:type="dxa"/>
          </w:tcPr>
          <w:p w14:paraId="6B53F17D">
            <w:pPr>
              <w:kinsoku/>
              <w:rPr>
                <w:rFonts w:ascii="宋体" w:hAnsi="宋体" w:eastAsia="宋体" w:cs="宋体"/>
                <w:color w:val="000000" w:themeColor="text1"/>
                <w:highlight w:val="none"/>
                <w14:textFill>
                  <w14:solidFill>
                    <w14:schemeClr w14:val="tx1"/>
                  </w14:solidFill>
                </w14:textFill>
              </w:rPr>
            </w:pPr>
          </w:p>
        </w:tc>
        <w:tc>
          <w:tcPr>
            <w:tcW w:w="707" w:type="dxa"/>
          </w:tcPr>
          <w:p w14:paraId="4C78DD8A">
            <w:pPr>
              <w:kinsoku/>
              <w:rPr>
                <w:rFonts w:ascii="宋体" w:hAnsi="宋体" w:eastAsia="宋体" w:cs="宋体"/>
                <w:color w:val="000000" w:themeColor="text1"/>
                <w:highlight w:val="none"/>
                <w14:textFill>
                  <w14:solidFill>
                    <w14:schemeClr w14:val="tx1"/>
                  </w14:solidFill>
                </w14:textFill>
              </w:rPr>
            </w:pPr>
          </w:p>
        </w:tc>
        <w:tc>
          <w:tcPr>
            <w:tcW w:w="871" w:type="dxa"/>
          </w:tcPr>
          <w:p w14:paraId="057BA1D9">
            <w:pPr>
              <w:kinsoku/>
              <w:rPr>
                <w:rFonts w:ascii="宋体" w:hAnsi="宋体" w:eastAsia="宋体" w:cs="宋体"/>
                <w:color w:val="000000" w:themeColor="text1"/>
                <w:highlight w:val="none"/>
                <w14:textFill>
                  <w14:solidFill>
                    <w14:schemeClr w14:val="tx1"/>
                  </w14:solidFill>
                </w14:textFill>
              </w:rPr>
            </w:pPr>
          </w:p>
        </w:tc>
        <w:tc>
          <w:tcPr>
            <w:tcW w:w="1140" w:type="dxa"/>
          </w:tcPr>
          <w:p w14:paraId="1BE2B5D8">
            <w:pPr>
              <w:kinsoku/>
              <w:rPr>
                <w:rFonts w:ascii="宋体" w:hAnsi="宋体" w:eastAsia="宋体" w:cs="宋体"/>
                <w:color w:val="000000" w:themeColor="text1"/>
                <w:highlight w:val="none"/>
                <w14:textFill>
                  <w14:solidFill>
                    <w14:schemeClr w14:val="tx1"/>
                  </w14:solidFill>
                </w14:textFill>
              </w:rPr>
            </w:pPr>
          </w:p>
        </w:tc>
      </w:tr>
      <w:tr w14:paraId="4954C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6AA7D5C8">
            <w:pPr>
              <w:kinsoku/>
              <w:rPr>
                <w:rFonts w:ascii="宋体" w:hAnsi="宋体" w:eastAsia="宋体" w:cs="宋体"/>
                <w:color w:val="000000" w:themeColor="text1"/>
                <w:highlight w:val="none"/>
                <w14:textFill>
                  <w14:solidFill>
                    <w14:schemeClr w14:val="tx1"/>
                  </w14:solidFill>
                </w14:textFill>
              </w:rPr>
            </w:pPr>
          </w:p>
        </w:tc>
        <w:tc>
          <w:tcPr>
            <w:tcW w:w="1274" w:type="dxa"/>
          </w:tcPr>
          <w:p w14:paraId="48EB7C42">
            <w:pPr>
              <w:kinsoku/>
              <w:rPr>
                <w:rFonts w:ascii="宋体" w:hAnsi="宋体" w:eastAsia="宋体" w:cs="宋体"/>
                <w:color w:val="000000" w:themeColor="text1"/>
                <w:highlight w:val="none"/>
                <w14:textFill>
                  <w14:solidFill>
                    <w14:schemeClr w14:val="tx1"/>
                  </w14:solidFill>
                </w14:textFill>
              </w:rPr>
            </w:pPr>
          </w:p>
        </w:tc>
        <w:tc>
          <w:tcPr>
            <w:tcW w:w="902" w:type="dxa"/>
          </w:tcPr>
          <w:p w14:paraId="2D1589BD">
            <w:pPr>
              <w:kinsoku/>
              <w:rPr>
                <w:rFonts w:ascii="宋体" w:hAnsi="宋体" w:eastAsia="宋体" w:cs="宋体"/>
                <w:color w:val="000000" w:themeColor="text1"/>
                <w:highlight w:val="none"/>
                <w14:textFill>
                  <w14:solidFill>
                    <w14:schemeClr w14:val="tx1"/>
                  </w14:solidFill>
                </w14:textFill>
              </w:rPr>
            </w:pPr>
          </w:p>
        </w:tc>
        <w:tc>
          <w:tcPr>
            <w:tcW w:w="693" w:type="dxa"/>
          </w:tcPr>
          <w:p w14:paraId="62F2C96D">
            <w:pPr>
              <w:kinsoku/>
              <w:rPr>
                <w:rFonts w:ascii="宋体" w:hAnsi="宋体" w:eastAsia="宋体" w:cs="宋体"/>
                <w:color w:val="000000" w:themeColor="text1"/>
                <w:highlight w:val="none"/>
                <w14:textFill>
                  <w14:solidFill>
                    <w14:schemeClr w14:val="tx1"/>
                  </w14:solidFill>
                </w14:textFill>
              </w:rPr>
            </w:pPr>
          </w:p>
        </w:tc>
        <w:tc>
          <w:tcPr>
            <w:tcW w:w="487" w:type="dxa"/>
          </w:tcPr>
          <w:p w14:paraId="4D506729">
            <w:pPr>
              <w:kinsoku/>
              <w:rPr>
                <w:rFonts w:ascii="宋体" w:hAnsi="宋体" w:eastAsia="宋体" w:cs="宋体"/>
                <w:color w:val="000000" w:themeColor="text1"/>
                <w:highlight w:val="none"/>
                <w14:textFill>
                  <w14:solidFill>
                    <w14:schemeClr w14:val="tx1"/>
                  </w14:solidFill>
                </w14:textFill>
              </w:rPr>
            </w:pPr>
          </w:p>
        </w:tc>
        <w:tc>
          <w:tcPr>
            <w:tcW w:w="1135" w:type="dxa"/>
          </w:tcPr>
          <w:p w14:paraId="1ACEF269">
            <w:pPr>
              <w:kinsoku/>
              <w:rPr>
                <w:rFonts w:ascii="宋体" w:hAnsi="宋体" w:eastAsia="宋体" w:cs="宋体"/>
                <w:color w:val="000000" w:themeColor="text1"/>
                <w:highlight w:val="none"/>
                <w14:textFill>
                  <w14:solidFill>
                    <w14:schemeClr w14:val="tx1"/>
                  </w14:solidFill>
                </w14:textFill>
              </w:rPr>
            </w:pPr>
          </w:p>
        </w:tc>
        <w:tc>
          <w:tcPr>
            <w:tcW w:w="707" w:type="dxa"/>
          </w:tcPr>
          <w:p w14:paraId="2EF960E9">
            <w:pPr>
              <w:kinsoku/>
              <w:rPr>
                <w:rFonts w:ascii="宋体" w:hAnsi="宋体" w:eastAsia="宋体" w:cs="宋体"/>
                <w:color w:val="000000" w:themeColor="text1"/>
                <w:highlight w:val="none"/>
                <w14:textFill>
                  <w14:solidFill>
                    <w14:schemeClr w14:val="tx1"/>
                  </w14:solidFill>
                </w14:textFill>
              </w:rPr>
            </w:pPr>
          </w:p>
        </w:tc>
        <w:tc>
          <w:tcPr>
            <w:tcW w:w="871" w:type="dxa"/>
          </w:tcPr>
          <w:p w14:paraId="3437854D">
            <w:pPr>
              <w:kinsoku/>
              <w:rPr>
                <w:rFonts w:ascii="宋体" w:hAnsi="宋体" w:eastAsia="宋体" w:cs="宋体"/>
                <w:color w:val="000000" w:themeColor="text1"/>
                <w:highlight w:val="none"/>
                <w14:textFill>
                  <w14:solidFill>
                    <w14:schemeClr w14:val="tx1"/>
                  </w14:solidFill>
                </w14:textFill>
              </w:rPr>
            </w:pPr>
          </w:p>
        </w:tc>
        <w:tc>
          <w:tcPr>
            <w:tcW w:w="1140" w:type="dxa"/>
          </w:tcPr>
          <w:p w14:paraId="5D98FA13">
            <w:pPr>
              <w:kinsoku/>
              <w:rPr>
                <w:rFonts w:ascii="宋体" w:hAnsi="宋体" w:eastAsia="宋体" w:cs="宋体"/>
                <w:color w:val="000000" w:themeColor="text1"/>
                <w:highlight w:val="none"/>
                <w14:textFill>
                  <w14:solidFill>
                    <w14:schemeClr w14:val="tx1"/>
                  </w14:solidFill>
                </w14:textFill>
              </w:rPr>
            </w:pPr>
          </w:p>
        </w:tc>
      </w:tr>
      <w:tr w14:paraId="02B03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20" w:type="dxa"/>
          </w:tcPr>
          <w:p w14:paraId="7766152B">
            <w:pPr>
              <w:kinsoku/>
              <w:rPr>
                <w:rFonts w:ascii="宋体" w:hAnsi="宋体" w:eastAsia="宋体" w:cs="宋体"/>
                <w:color w:val="000000" w:themeColor="text1"/>
                <w:highlight w:val="none"/>
                <w14:textFill>
                  <w14:solidFill>
                    <w14:schemeClr w14:val="tx1"/>
                  </w14:solidFill>
                </w14:textFill>
              </w:rPr>
            </w:pPr>
          </w:p>
        </w:tc>
        <w:tc>
          <w:tcPr>
            <w:tcW w:w="1274" w:type="dxa"/>
          </w:tcPr>
          <w:p w14:paraId="5A3D9EFB">
            <w:pPr>
              <w:kinsoku/>
              <w:rPr>
                <w:rFonts w:ascii="宋体" w:hAnsi="宋体" w:eastAsia="宋体" w:cs="宋体"/>
                <w:color w:val="000000" w:themeColor="text1"/>
                <w:highlight w:val="none"/>
                <w14:textFill>
                  <w14:solidFill>
                    <w14:schemeClr w14:val="tx1"/>
                  </w14:solidFill>
                </w14:textFill>
              </w:rPr>
            </w:pPr>
          </w:p>
        </w:tc>
        <w:tc>
          <w:tcPr>
            <w:tcW w:w="902" w:type="dxa"/>
          </w:tcPr>
          <w:p w14:paraId="1F3440A9">
            <w:pPr>
              <w:kinsoku/>
              <w:rPr>
                <w:rFonts w:ascii="宋体" w:hAnsi="宋体" w:eastAsia="宋体" w:cs="宋体"/>
                <w:color w:val="000000" w:themeColor="text1"/>
                <w:highlight w:val="none"/>
                <w14:textFill>
                  <w14:solidFill>
                    <w14:schemeClr w14:val="tx1"/>
                  </w14:solidFill>
                </w14:textFill>
              </w:rPr>
            </w:pPr>
          </w:p>
        </w:tc>
        <w:tc>
          <w:tcPr>
            <w:tcW w:w="693" w:type="dxa"/>
          </w:tcPr>
          <w:p w14:paraId="105B5EA4">
            <w:pPr>
              <w:kinsoku/>
              <w:rPr>
                <w:rFonts w:ascii="宋体" w:hAnsi="宋体" w:eastAsia="宋体" w:cs="宋体"/>
                <w:color w:val="000000" w:themeColor="text1"/>
                <w:highlight w:val="none"/>
                <w14:textFill>
                  <w14:solidFill>
                    <w14:schemeClr w14:val="tx1"/>
                  </w14:solidFill>
                </w14:textFill>
              </w:rPr>
            </w:pPr>
          </w:p>
        </w:tc>
        <w:tc>
          <w:tcPr>
            <w:tcW w:w="487" w:type="dxa"/>
          </w:tcPr>
          <w:p w14:paraId="685BB0CD">
            <w:pPr>
              <w:kinsoku/>
              <w:rPr>
                <w:rFonts w:ascii="宋体" w:hAnsi="宋体" w:eastAsia="宋体" w:cs="宋体"/>
                <w:color w:val="000000" w:themeColor="text1"/>
                <w:highlight w:val="none"/>
                <w14:textFill>
                  <w14:solidFill>
                    <w14:schemeClr w14:val="tx1"/>
                  </w14:solidFill>
                </w14:textFill>
              </w:rPr>
            </w:pPr>
          </w:p>
        </w:tc>
        <w:tc>
          <w:tcPr>
            <w:tcW w:w="1135" w:type="dxa"/>
          </w:tcPr>
          <w:p w14:paraId="7D57AA8F">
            <w:pPr>
              <w:kinsoku/>
              <w:rPr>
                <w:rFonts w:ascii="宋体" w:hAnsi="宋体" w:eastAsia="宋体" w:cs="宋体"/>
                <w:color w:val="000000" w:themeColor="text1"/>
                <w:highlight w:val="none"/>
                <w14:textFill>
                  <w14:solidFill>
                    <w14:schemeClr w14:val="tx1"/>
                  </w14:solidFill>
                </w14:textFill>
              </w:rPr>
            </w:pPr>
          </w:p>
        </w:tc>
        <w:tc>
          <w:tcPr>
            <w:tcW w:w="707" w:type="dxa"/>
          </w:tcPr>
          <w:p w14:paraId="3BDDF3B7">
            <w:pPr>
              <w:kinsoku/>
              <w:rPr>
                <w:rFonts w:ascii="宋体" w:hAnsi="宋体" w:eastAsia="宋体" w:cs="宋体"/>
                <w:color w:val="000000" w:themeColor="text1"/>
                <w:highlight w:val="none"/>
                <w14:textFill>
                  <w14:solidFill>
                    <w14:schemeClr w14:val="tx1"/>
                  </w14:solidFill>
                </w14:textFill>
              </w:rPr>
            </w:pPr>
          </w:p>
        </w:tc>
        <w:tc>
          <w:tcPr>
            <w:tcW w:w="871" w:type="dxa"/>
          </w:tcPr>
          <w:p w14:paraId="4F679190">
            <w:pPr>
              <w:kinsoku/>
              <w:rPr>
                <w:rFonts w:ascii="宋体" w:hAnsi="宋体" w:eastAsia="宋体" w:cs="宋体"/>
                <w:color w:val="000000" w:themeColor="text1"/>
                <w:highlight w:val="none"/>
                <w14:textFill>
                  <w14:solidFill>
                    <w14:schemeClr w14:val="tx1"/>
                  </w14:solidFill>
                </w14:textFill>
              </w:rPr>
            </w:pPr>
          </w:p>
        </w:tc>
        <w:tc>
          <w:tcPr>
            <w:tcW w:w="1140" w:type="dxa"/>
          </w:tcPr>
          <w:p w14:paraId="11C284AD">
            <w:pPr>
              <w:kinsoku/>
              <w:rPr>
                <w:rFonts w:ascii="宋体" w:hAnsi="宋体" w:eastAsia="宋体" w:cs="宋体"/>
                <w:color w:val="000000" w:themeColor="text1"/>
                <w:highlight w:val="none"/>
                <w14:textFill>
                  <w14:solidFill>
                    <w14:schemeClr w14:val="tx1"/>
                  </w14:solidFill>
                </w14:textFill>
              </w:rPr>
            </w:pPr>
          </w:p>
        </w:tc>
      </w:tr>
      <w:tr w14:paraId="539B1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3DC27D47">
            <w:pPr>
              <w:kinsoku/>
              <w:rPr>
                <w:rFonts w:ascii="宋体" w:hAnsi="宋体" w:eastAsia="宋体" w:cs="宋体"/>
                <w:color w:val="000000" w:themeColor="text1"/>
                <w:highlight w:val="none"/>
                <w14:textFill>
                  <w14:solidFill>
                    <w14:schemeClr w14:val="tx1"/>
                  </w14:solidFill>
                </w14:textFill>
              </w:rPr>
            </w:pPr>
          </w:p>
        </w:tc>
        <w:tc>
          <w:tcPr>
            <w:tcW w:w="1274" w:type="dxa"/>
          </w:tcPr>
          <w:p w14:paraId="1E4D8927">
            <w:pPr>
              <w:kinsoku/>
              <w:rPr>
                <w:rFonts w:ascii="宋体" w:hAnsi="宋体" w:eastAsia="宋体" w:cs="宋体"/>
                <w:color w:val="000000" w:themeColor="text1"/>
                <w:highlight w:val="none"/>
                <w14:textFill>
                  <w14:solidFill>
                    <w14:schemeClr w14:val="tx1"/>
                  </w14:solidFill>
                </w14:textFill>
              </w:rPr>
            </w:pPr>
          </w:p>
        </w:tc>
        <w:tc>
          <w:tcPr>
            <w:tcW w:w="902" w:type="dxa"/>
          </w:tcPr>
          <w:p w14:paraId="014FCF05">
            <w:pPr>
              <w:kinsoku/>
              <w:rPr>
                <w:rFonts w:ascii="宋体" w:hAnsi="宋体" w:eastAsia="宋体" w:cs="宋体"/>
                <w:color w:val="000000" w:themeColor="text1"/>
                <w:highlight w:val="none"/>
                <w14:textFill>
                  <w14:solidFill>
                    <w14:schemeClr w14:val="tx1"/>
                  </w14:solidFill>
                </w14:textFill>
              </w:rPr>
            </w:pPr>
          </w:p>
        </w:tc>
        <w:tc>
          <w:tcPr>
            <w:tcW w:w="693" w:type="dxa"/>
          </w:tcPr>
          <w:p w14:paraId="3B9EC5BF">
            <w:pPr>
              <w:kinsoku/>
              <w:rPr>
                <w:rFonts w:ascii="宋体" w:hAnsi="宋体" w:eastAsia="宋体" w:cs="宋体"/>
                <w:color w:val="000000" w:themeColor="text1"/>
                <w:highlight w:val="none"/>
                <w14:textFill>
                  <w14:solidFill>
                    <w14:schemeClr w14:val="tx1"/>
                  </w14:solidFill>
                </w14:textFill>
              </w:rPr>
            </w:pPr>
          </w:p>
        </w:tc>
        <w:tc>
          <w:tcPr>
            <w:tcW w:w="487" w:type="dxa"/>
          </w:tcPr>
          <w:p w14:paraId="57334CE5">
            <w:pPr>
              <w:kinsoku/>
              <w:rPr>
                <w:rFonts w:ascii="宋体" w:hAnsi="宋体" w:eastAsia="宋体" w:cs="宋体"/>
                <w:color w:val="000000" w:themeColor="text1"/>
                <w:highlight w:val="none"/>
                <w14:textFill>
                  <w14:solidFill>
                    <w14:schemeClr w14:val="tx1"/>
                  </w14:solidFill>
                </w14:textFill>
              </w:rPr>
            </w:pPr>
          </w:p>
        </w:tc>
        <w:tc>
          <w:tcPr>
            <w:tcW w:w="1135" w:type="dxa"/>
          </w:tcPr>
          <w:p w14:paraId="509E070D">
            <w:pPr>
              <w:kinsoku/>
              <w:rPr>
                <w:rFonts w:ascii="宋体" w:hAnsi="宋体" w:eastAsia="宋体" w:cs="宋体"/>
                <w:color w:val="000000" w:themeColor="text1"/>
                <w:highlight w:val="none"/>
                <w14:textFill>
                  <w14:solidFill>
                    <w14:schemeClr w14:val="tx1"/>
                  </w14:solidFill>
                </w14:textFill>
              </w:rPr>
            </w:pPr>
          </w:p>
        </w:tc>
        <w:tc>
          <w:tcPr>
            <w:tcW w:w="707" w:type="dxa"/>
          </w:tcPr>
          <w:p w14:paraId="228F8FE2">
            <w:pPr>
              <w:kinsoku/>
              <w:rPr>
                <w:rFonts w:ascii="宋体" w:hAnsi="宋体" w:eastAsia="宋体" w:cs="宋体"/>
                <w:color w:val="000000" w:themeColor="text1"/>
                <w:highlight w:val="none"/>
                <w14:textFill>
                  <w14:solidFill>
                    <w14:schemeClr w14:val="tx1"/>
                  </w14:solidFill>
                </w14:textFill>
              </w:rPr>
            </w:pPr>
          </w:p>
        </w:tc>
        <w:tc>
          <w:tcPr>
            <w:tcW w:w="871" w:type="dxa"/>
          </w:tcPr>
          <w:p w14:paraId="199007E7">
            <w:pPr>
              <w:kinsoku/>
              <w:rPr>
                <w:rFonts w:ascii="宋体" w:hAnsi="宋体" w:eastAsia="宋体" w:cs="宋体"/>
                <w:color w:val="000000" w:themeColor="text1"/>
                <w:highlight w:val="none"/>
                <w14:textFill>
                  <w14:solidFill>
                    <w14:schemeClr w14:val="tx1"/>
                  </w14:solidFill>
                </w14:textFill>
              </w:rPr>
            </w:pPr>
          </w:p>
        </w:tc>
        <w:tc>
          <w:tcPr>
            <w:tcW w:w="1140" w:type="dxa"/>
          </w:tcPr>
          <w:p w14:paraId="7D3EF3BE">
            <w:pPr>
              <w:kinsoku/>
              <w:rPr>
                <w:rFonts w:ascii="宋体" w:hAnsi="宋体" w:eastAsia="宋体" w:cs="宋体"/>
                <w:color w:val="000000" w:themeColor="text1"/>
                <w:highlight w:val="none"/>
                <w14:textFill>
                  <w14:solidFill>
                    <w14:schemeClr w14:val="tx1"/>
                  </w14:solidFill>
                </w14:textFill>
              </w:rPr>
            </w:pPr>
          </w:p>
        </w:tc>
      </w:tr>
      <w:tr w14:paraId="4C930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348F2251">
            <w:pPr>
              <w:kinsoku/>
              <w:rPr>
                <w:rFonts w:ascii="宋体" w:hAnsi="宋体" w:eastAsia="宋体" w:cs="宋体"/>
                <w:color w:val="000000" w:themeColor="text1"/>
                <w:highlight w:val="none"/>
                <w14:textFill>
                  <w14:solidFill>
                    <w14:schemeClr w14:val="tx1"/>
                  </w14:solidFill>
                </w14:textFill>
              </w:rPr>
            </w:pPr>
          </w:p>
        </w:tc>
        <w:tc>
          <w:tcPr>
            <w:tcW w:w="1274" w:type="dxa"/>
          </w:tcPr>
          <w:p w14:paraId="6B1B1FC0">
            <w:pPr>
              <w:kinsoku/>
              <w:rPr>
                <w:rFonts w:ascii="宋体" w:hAnsi="宋体" w:eastAsia="宋体" w:cs="宋体"/>
                <w:color w:val="000000" w:themeColor="text1"/>
                <w:highlight w:val="none"/>
                <w14:textFill>
                  <w14:solidFill>
                    <w14:schemeClr w14:val="tx1"/>
                  </w14:solidFill>
                </w14:textFill>
              </w:rPr>
            </w:pPr>
          </w:p>
        </w:tc>
        <w:tc>
          <w:tcPr>
            <w:tcW w:w="902" w:type="dxa"/>
          </w:tcPr>
          <w:p w14:paraId="2E12574B">
            <w:pPr>
              <w:kinsoku/>
              <w:rPr>
                <w:rFonts w:ascii="宋体" w:hAnsi="宋体" w:eastAsia="宋体" w:cs="宋体"/>
                <w:color w:val="000000" w:themeColor="text1"/>
                <w:highlight w:val="none"/>
                <w14:textFill>
                  <w14:solidFill>
                    <w14:schemeClr w14:val="tx1"/>
                  </w14:solidFill>
                </w14:textFill>
              </w:rPr>
            </w:pPr>
          </w:p>
        </w:tc>
        <w:tc>
          <w:tcPr>
            <w:tcW w:w="693" w:type="dxa"/>
          </w:tcPr>
          <w:p w14:paraId="3EFF594A">
            <w:pPr>
              <w:kinsoku/>
              <w:rPr>
                <w:rFonts w:ascii="宋体" w:hAnsi="宋体" w:eastAsia="宋体" w:cs="宋体"/>
                <w:color w:val="000000" w:themeColor="text1"/>
                <w:highlight w:val="none"/>
                <w14:textFill>
                  <w14:solidFill>
                    <w14:schemeClr w14:val="tx1"/>
                  </w14:solidFill>
                </w14:textFill>
              </w:rPr>
            </w:pPr>
          </w:p>
        </w:tc>
        <w:tc>
          <w:tcPr>
            <w:tcW w:w="487" w:type="dxa"/>
          </w:tcPr>
          <w:p w14:paraId="5FEAD22E">
            <w:pPr>
              <w:kinsoku/>
              <w:rPr>
                <w:rFonts w:ascii="宋体" w:hAnsi="宋体" w:eastAsia="宋体" w:cs="宋体"/>
                <w:color w:val="000000" w:themeColor="text1"/>
                <w:highlight w:val="none"/>
                <w14:textFill>
                  <w14:solidFill>
                    <w14:schemeClr w14:val="tx1"/>
                  </w14:solidFill>
                </w14:textFill>
              </w:rPr>
            </w:pPr>
          </w:p>
        </w:tc>
        <w:tc>
          <w:tcPr>
            <w:tcW w:w="1135" w:type="dxa"/>
          </w:tcPr>
          <w:p w14:paraId="3B249788">
            <w:pPr>
              <w:kinsoku/>
              <w:rPr>
                <w:rFonts w:ascii="宋体" w:hAnsi="宋体" w:eastAsia="宋体" w:cs="宋体"/>
                <w:color w:val="000000" w:themeColor="text1"/>
                <w:highlight w:val="none"/>
                <w14:textFill>
                  <w14:solidFill>
                    <w14:schemeClr w14:val="tx1"/>
                  </w14:solidFill>
                </w14:textFill>
              </w:rPr>
            </w:pPr>
          </w:p>
        </w:tc>
        <w:tc>
          <w:tcPr>
            <w:tcW w:w="707" w:type="dxa"/>
          </w:tcPr>
          <w:p w14:paraId="6C5A436C">
            <w:pPr>
              <w:kinsoku/>
              <w:rPr>
                <w:rFonts w:ascii="宋体" w:hAnsi="宋体" w:eastAsia="宋体" w:cs="宋体"/>
                <w:color w:val="000000" w:themeColor="text1"/>
                <w:highlight w:val="none"/>
                <w14:textFill>
                  <w14:solidFill>
                    <w14:schemeClr w14:val="tx1"/>
                  </w14:solidFill>
                </w14:textFill>
              </w:rPr>
            </w:pPr>
          </w:p>
        </w:tc>
        <w:tc>
          <w:tcPr>
            <w:tcW w:w="871" w:type="dxa"/>
          </w:tcPr>
          <w:p w14:paraId="2CE9C81D">
            <w:pPr>
              <w:kinsoku/>
              <w:rPr>
                <w:rFonts w:ascii="宋体" w:hAnsi="宋体" w:eastAsia="宋体" w:cs="宋体"/>
                <w:color w:val="000000" w:themeColor="text1"/>
                <w:highlight w:val="none"/>
                <w14:textFill>
                  <w14:solidFill>
                    <w14:schemeClr w14:val="tx1"/>
                  </w14:solidFill>
                </w14:textFill>
              </w:rPr>
            </w:pPr>
          </w:p>
        </w:tc>
        <w:tc>
          <w:tcPr>
            <w:tcW w:w="1140" w:type="dxa"/>
          </w:tcPr>
          <w:p w14:paraId="40CBD14A">
            <w:pPr>
              <w:kinsoku/>
              <w:rPr>
                <w:rFonts w:ascii="宋体" w:hAnsi="宋体" w:eastAsia="宋体" w:cs="宋体"/>
                <w:color w:val="000000" w:themeColor="text1"/>
                <w:highlight w:val="none"/>
                <w14:textFill>
                  <w14:solidFill>
                    <w14:schemeClr w14:val="tx1"/>
                  </w14:solidFill>
                </w14:textFill>
              </w:rPr>
            </w:pPr>
          </w:p>
        </w:tc>
      </w:tr>
      <w:tr w14:paraId="765E0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489F97AE">
            <w:pPr>
              <w:kinsoku/>
              <w:rPr>
                <w:rFonts w:ascii="宋体" w:hAnsi="宋体" w:eastAsia="宋体" w:cs="宋体"/>
                <w:color w:val="000000" w:themeColor="text1"/>
                <w:highlight w:val="none"/>
                <w14:textFill>
                  <w14:solidFill>
                    <w14:schemeClr w14:val="tx1"/>
                  </w14:solidFill>
                </w14:textFill>
              </w:rPr>
            </w:pPr>
          </w:p>
        </w:tc>
        <w:tc>
          <w:tcPr>
            <w:tcW w:w="1274" w:type="dxa"/>
          </w:tcPr>
          <w:p w14:paraId="3C3B1CF2">
            <w:pPr>
              <w:kinsoku/>
              <w:rPr>
                <w:rFonts w:ascii="宋体" w:hAnsi="宋体" w:eastAsia="宋体" w:cs="宋体"/>
                <w:color w:val="000000" w:themeColor="text1"/>
                <w:highlight w:val="none"/>
                <w14:textFill>
                  <w14:solidFill>
                    <w14:schemeClr w14:val="tx1"/>
                  </w14:solidFill>
                </w14:textFill>
              </w:rPr>
            </w:pPr>
          </w:p>
        </w:tc>
        <w:tc>
          <w:tcPr>
            <w:tcW w:w="902" w:type="dxa"/>
          </w:tcPr>
          <w:p w14:paraId="07F47503">
            <w:pPr>
              <w:kinsoku/>
              <w:rPr>
                <w:rFonts w:ascii="宋体" w:hAnsi="宋体" w:eastAsia="宋体" w:cs="宋体"/>
                <w:color w:val="000000" w:themeColor="text1"/>
                <w:highlight w:val="none"/>
                <w14:textFill>
                  <w14:solidFill>
                    <w14:schemeClr w14:val="tx1"/>
                  </w14:solidFill>
                </w14:textFill>
              </w:rPr>
            </w:pPr>
          </w:p>
        </w:tc>
        <w:tc>
          <w:tcPr>
            <w:tcW w:w="693" w:type="dxa"/>
          </w:tcPr>
          <w:p w14:paraId="3CA25630">
            <w:pPr>
              <w:kinsoku/>
              <w:rPr>
                <w:rFonts w:ascii="宋体" w:hAnsi="宋体" w:eastAsia="宋体" w:cs="宋体"/>
                <w:color w:val="000000" w:themeColor="text1"/>
                <w:highlight w:val="none"/>
                <w14:textFill>
                  <w14:solidFill>
                    <w14:schemeClr w14:val="tx1"/>
                  </w14:solidFill>
                </w14:textFill>
              </w:rPr>
            </w:pPr>
          </w:p>
        </w:tc>
        <w:tc>
          <w:tcPr>
            <w:tcW w:w="487" w:type="dxa"/>
          </w:tcPr>
          <w:p w14:paraId="47B4A51F">
            <w:pPr>
              <w:kinsoku/>
              <w:rPr>
                <w:rFonts w:ascii="宋体" w:hAnsi="宋体" w:eastAsia="宋体" w:cs="宋体"/>
                <w:color w:val="000000" w:themeColor="text1"/>
                <w:highlight w:val="none"/>
                <w14:textFill>
                  <w14:solidFill>
                    <w14:schemeClr w14:val="tx1"/>
                  </w14:solidFill>
                </w14:textFill>
              </w:rPr>
            </w:pPr>
          </w:p>
        </w:tc>
        <w:tc>
          <w:tcPr>
            <w:tcW w:w="1135" w:type="dxa"/>
          </w:tcPr>
          <w:p w14:paraId="675E7D78">
            <w:pPr>
              <w:kinsoku/>
              <w:rPr>
                <w:rFonts w:ascii="宋体" w:hAnsi="宋体" w:eastAsia="宋体" w:cs="宋体"/>
                <w:color w:val="000000" w:themeColor="text1"/>
                <w:highlight w:val="none"/>
                <w14:textFill>
                  <w14:solidFill>
                    <w14:schemeClr w14:val="tx1"/>
                  </w14:solidFill>
                </w14:textFill>
              </w:rPr>
            </w:pPr>
          </w:p>
        </w:tc>
        <w:tc>
          <w:tcPr>
            <w:tcW w:w="707" w:type="dxa"/>
          </w:tcPr>
          <w:p w14:paraId="4F938A03">
            <w:pPr>
              <w:kinsoku/>
              <w:rPr>
                <w:rFonts w:ascii="宋体" w:hAnsi="宋体" w:eastAsia="宋体" w:cs="宋体"/>
                <w:color w:val="000000" w:themeColor="text1"/>
                <w:highlight w:val="none"/>
                <w14:textFill>
                  <w14:solidFill>
                    <w14:schemeClr w14:val="tx1"/>
                  </w14:solidFill>
                </w14:textFill>
              </w:rPr>
            </w:pPr>
          </w:p>
        </w:tc>
        <w:tc>
          <w:tcPr>
            <w:tcW w:w="871" w:type="dxa"/>
          </w:tcPr>
          <w:p w14:paraId="286C7E71">
            <w:pPr>
              <w:kinsoku/>
              <w:rPr>
                <w:rFonts w:ascii="宋体" w:hAnsi="宋体" w:eastAsia="宋体" w:cs="宋体"/>
                <w:color w:val="000000" w:themeColor="text1"/>
                <w:highlight w:val="none"/>
                <w14:textFill>
                  <w14:solidFill>
                    <w14:schemeClr w14:val="tx1"/>
                  </w14:solidFill>
                </w14:textFill>
              </w:rPr>
            </w:pPr>
          </w:p>
        </w:tc>
        <w:tc>
          <w:tcPr>
            <w:tcW w:w="1140" w:type="dxa"/>
          </w:tcPr>
          <w:p w14:paraId="362166E2">
            <w:pPr>
              <w:kinsoku/>
              <w:rPr>
                <w:rFonts w:ascii="宋体" w:hAnsi="宋体" w:eastAsia="宋体" w:cs="宋体"/>
                <w:color w:val="000000" w:themeColor="text1"/>
                <w:highlight w:val="none"/>
                <w14:textFill>
                  <w14:solidFill>
                    <w14:schemeClr w14:val="tx1"/>
                  </w14:solidFill>
                </w14:textFill>
              </w:rPr>
            </w:pPr>
          </w:p>
        </w:tc>
      </w:tr>
      <w:tr w14:paraId="7FD2F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63A91189">
            <w:pPr>
              <w:kinsoku/>
              <w:rPr>
                <w:rFonts w:ascii="宋体" w:hAnsi="宋体" w:eastAsia="宋体" w:cs="宋体"/>
                <w:color w:val="000000" w:themeColor="text1"/>
                <w:highlight w:val="none"/>
                <w14:textFill>
                  <w14:solidFill>
                    <w14:schemeClr w14:val="tx1"/>
                  </w14:solidFill>
                </w14:textFill>
              </w:rPr>
            </w:pPr>
          </w:p>
        </w:tc>
        <w:tc>
          <w:tcPr>
            <w:tcW w:w="1274" w:type="dxa"/>
          </w:tcPr>
          <w:p w14:paraId="0037C2A8">
            <w:pPr>
              <w:kinsoku/>
              <w:rPr>
                <w:rFonts w:ascii="宋体" w:hAnsi="宋体" w:eastAsia="宋体" w:cs="宋体"/>
                <w:color w:val="000000" w:themeColor="text1"/>
                <w:highlight w:val="none"/>
                <w14:textFill>
                  <w14:solidFill>
                    <w14:schemeClr w14:val="tx1"/>
                  </w14:solidFill>
                </w14:textFill>
              </w:rPr>
            </w:pPr>
          </w:p>
        </w:tc>
        <w:tc>
          <w:tcPr>
            <w:tcW w:w="902" w:type="dxa"/>
          </w:tcPr>
          <w:p w14:paraId="15A90073">
            <w:pPr>
              <w:kinsoku/>
              <w:rPr>
                <w:rFonts w:ascii="宋体" w:hAnsi="宋体" w:eastAsia="宋体" w:cs="宋体"/>
                <w:color w:val="000000" w:themeColor="text1"/>
                <w:highlight w:val="none"/>
                <w14:textFill>
                  <w14:solidFill>
                    <w14:schemeClr w14:val="tx1"/>
                  </w14:solidFill>
                </w14:textFill>
              </w:rPr>
            </w:pPr>
          </w:p>
        </w:tc>
        <w:tc>
          <w:tcPr>
            <w:tcW w:w="693" w:type="dxa"/>
          </w:tcPr>
          <w:p w14:paraId="4A2782C9">
            <w:pPr>
              <w:kinsoku/>
              <w:rPr>
                <w:rFonts w:ascii="宋体" w:hAnsi="宋体" w:eastAsia="宋体" w:cs="宋体"/>
                <w:color w:val="000000" w:themeColor="text1"/>
                <w:highlight w:val="none"/>
                <w14:textFill>
                  <w14:solidFill>
                    <w14:schemeClr w14:val="tx1"/>
                  </w14:solidFill>
                </w14:textFill>
              </w:rPr>
            </w:pPr>
          </w:p>
        </w:tc>
        <w:tc>
          <w:tcPr>
            <w:tcW w:w="487" w:type="dxa"/>
          </w:tcPr>
          <w:p w14:paraId="7464C31A">
            <w:pPr>
              <w:kinsoku/>
              <w:rPr>
                <w:rFonts w:ascii="宋体" w:hAnsi="宋体" w:eastAsia="宋体" w:cs="宋体"/>
                <w:color w:val="000000" w:themeColor="text1"/>
                <w:highlight w:val="none"/>
                <w14:textFill>
                  <w14:solidFill>
                    <w14:schemeClr w14:val="tx1"/>
                  </w14:solidFill>
                </w14:textFill>
              </w:rPr>
            </w:pPr>
          </w:p>
        </w:tc>
        <w:tc>
          <w:tcPr>
            <w:tcW w:w="1135" w:type="dxa"/>
          </w:tcPr>
          <w:p w14:paraId="77038A16">
            <w:pPr>
              <w:kinsoku/>
              <w:rPr>
                <w:rFonts w:ascii="宋体" w:hAnsi="宋体" w:eastAsia="宋体" w:cs="宋体"/>
                <w:color w:val="000000" w:themeColor="text1"/>
                <w:highlight w:val="none"/>
                <w14:textFill>
                  <w14:solidFill>
                    <w14:schemeClr w14:val="tx1"/>
                  </w14:solidFill>
                </w14:textFill>
              </w:rPr>
            </w:pPr>
          </w:p>
        </w:tc>
        <w:tc>
          <w:tcPr>
            <w:tcW w:w="707" w:type="dxa"/>
          </w:tcPr>
          <w:p w14:paraId="22F8A150">
            <w:pPr>
              <w:kinsoku/>
              <w:rPr>
                <w:rFonts w:ascii="宋体" w:hAnsi="宋体" w:eastAsia="宋体" w:cs="宋体"/>
                <w:color w:val="000000" w:themeColor="text1"/>
                <w:highlight w:val="none"/>
                <w14:textFill>
                  <w14:solidFill>
                    <w14:schemeClr w14:val="tx1"/>
                  </w14:solidFill>
                </w14:textFill>
              </w:rPr>
            </w:pPr>
          </w:p>
        </w:tc>
        <w:tc>
          <w:tcPr>
            <w:tcW w:w="871" w:type="dxa"/>
          </w:tcPr>
          <w:p w14:paraId="0B018DAA">
            <w:pPr>
              <w:kinsoku/>
              <w:rPr>
                <w:rFonts w:ascii="宋体" w:hAnsi="宋体" w:eastAsia="宋体" w:cs="宋体"/>
                <w:color w:val="000000" w:themeColor="text1"/>
                <w:highlight w:val="none"/>
                <w14:textFill>
                  <w14:solidFill>
                    <w14:schemeClr w14:val="tx1"/>
                  </w14:solidFill>
                </w14:textFill>
              </w:rPr>
            </w:pPr>
          </w:p>
        </w:tc>
        <w:tc>
          <w:tcPr>
            <w:tcW w:w="1140" w:type="dxa"/>
          </w:tcPr>
          <w:p w14:paraId="64FF23A8">
            <w:pPr>
              <w:kinsoku/>
              <w:rPr>
                <w:rFonts w:ascii="宋体" w:hAnsi="宋体" w:eastAsia="宋体" w:cs="宋体"/>
                <w:color w:val="000000" w:themeColor="text1"/>
                <w:highlight w:val="none"/>
                <w14:textFill>
                  <w14:solidFill>
                    <w14:schemeClr w14:val="tx1"/>
                  </w14:solidFill>
                </w14:textFill>
              </w:rPr>
            </w:pPr>
          </w:p>
        </w:tc>
      </w:tr>
      <w:tr w14:paraId="2BCB1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3A5FE647">
            <w:pPr>
              <w:kinsoku/>
              <w:rPr>
                <w:rFonts w:ascii="宋体" w:hAnsi="宋体" w:eastAsia="宋体" w:cs="宋体"/>
                <w:color w:val="000000" w:themeColor="text1"/>
                <w:highlight w:val="none"/>
                <w14:textFill>
                  <w14:solidFill>
                    <w14:schemeClr w14:val="tx1"/>
                  </w14:solidFill>
                </w14:textFill>
              </w:rPr>
            </w:pPr>
          </w:p>
        </w:tc>
        <w:tc>
          <w:tcPr>
            <w:tcW w:w="1274" w:type="dxa"/>
          </w:tcPr>
          <w:p w14:paraId="727AA048">
            <w:pPr>
              <w:kinsoku/>
              <w:rPr>
                <w:rFonts w:ascii="宋体" w:hAnsi="宋体" w:eastAsia="宋体" w:cs="宋体"/>
                <w:color w:val="000000" w:themeColor="text1"/>
                <w:highlight w:val="none"/>
                <w14:textFill>
                  <w14:solidFill>
                    <w14:schemeClr w14:val="tx1"/>
                  </w14:solidFill>
                </w14:textFill>
              </w:rPr>
            </w:pPr>
          </w:p>
        </w:tc>
        <w:tc>
          <w:tcPr>
            <w:tcW w:w="902" w:type="dxa"/>
          </w:tcPr>
          <w:p w14:paraId="76F7DE3A">
            <w:pPr>
              <w:kinsoku/>
              <w:rPr>
                <w:rFonts w:ascii="宋体" w:hAnsi="宋体" w:eastAsia="宋体" w:cs="宋体"/>
                <w:color w:val="000000" w:themeColor="text1"/>
                <w:highlight w:val="none"/>
                <w14:textFill>
                  <w14:solidFill>
                    <w14:schemeClr w14:val="tx1"/>
                  </w14:solidFill>
                </w14:textFill>
              </w:rPr>
            </w:pPr>
          </w:p>
        </w:tc>
        <w:tc>
          <w:tcPr>
            <w:tcW w:w="693" w:type="dxa"/>
          </w:tcPr>
          <w:p w14:paraId="109A7F35">
            <w:pPr>
              <w:kinsoku/>
              <w:rPr>
                <w:rFonts w:ascii="宋体" w:hAnsi="宋体" w:eastAsia="宋体" w:cs="宋体"/>
                <w:color w:val="000000" w:themeColor="text1"/>
                <w:highlight w:val="none"/>
                <w14:textFill>
                  <w14:solidFill>
                    <w14:schemeClr w14:val="tx1"/>
                  </w14:solidFill>
                </w14:textFill>
              </w:rPr>
            </w:pPr>
          </w:p>
        </w:tc>
        <w:tc>
          <w:tcPr>
            <w:tcW w:w="487" w:type="dxa"/>
          </w:tcPr>
          <w:p w14:paraId="4362EEA8">
            <w:pPr>
              <w:kinsoku/>
              <w:rPr>
                <w:rFonts w:ascii="宋体" w:hAnsi="宋体" w:eastAsia="宋体" w:cs="宋体"/>
                <w:color w:val="000000" w:themeColor="text1"/>
                <w:highlight w:val="none"/>
                <w14:textFill>
                  <w14:solidFill>
                    <w14:schemeClr w14:val="tx1"/>
                  </w14:solidFill>
                </w14:textFill>
              </w:rPr>
            </w:pPr>
          </w:p>
        </w:tc>
        <w:tc>
          <w:tcPr>
            <w:tcW w:w="1135" w:type="dxa"/>
          </w:tcPr>
          <w:p w14:paraId="6677F5F5">
            <w:pPr>
              <w:kinsoku/>
              <w:rPr>
                <w:rFonts w:ascii="宋体" w:hAnsi="宋体" w:eastAsia="宋体" w:cs="宋体"/>
                <w:color w:val="000000" w:themeColor="text1"/>
                <w:highlight w:val="none"/>
                <w14:textFill>
                  <w14:solidFill>
                    <w14:schemeClr w14:val="tx1"/>
                  </w14:solidFill>
                </w14:textFill>
              </w:rPr>
            </w:pPr>
          </w:p>
        </w:tc>
        <w:tc>
          <w:tcPr>
            <w:tcW w:w="707" w:type="dxa"/>
          </w:tcPr>
          <w:p w14:paraId="6041788F">
            <w:pPr>
              <w:kinsoku/>
              <w:rPr>
                <w:rFonts w:ascii="宋体" w:hAnsi="宋体" w:eastAsia="宋体" w:cs="宋体"/>
                <w:color w:val="000000" w:themeColor="text1"/>
                <w:highlight w:val="none"/>
                <w14:textFill>
                  <w14:solidFill>
                    <w14:schemeClr w14:val="tx1"/>
                  </w14:solidFill>
                </w14:textFill>
              </w:rPr>
            </w:pPr>
          </w:p>
        </w:tc>
        <w:tc>
          <w:tcPr>
            <w:tcW w:w="871" w:type="dxa"/>
          </w:tcPr>
          <w:p w14:paraId="513E84A6">
            <w:pPr>
              <w:kinsoku/>
              <w:rPr>
                <w:rFonts w:ascii="宋体" w:hAnsi="宋体" w:eastAsia="宋体" w:cs="宋体"/>
                <w:color w:val="000000" w:themeColor="text1"/>
                <w:highlight w:val="none"/>
                <w14:textFill>
                  <w14:solidFill>
                    <w14:schemeClr w14:val="tx1"/>
                  </w14:solidFill>
                </w14:textFill>
              </w:rPr>
            </w:pPr>
          </w:p>
        </w:tc>
        <w:tc>
          <w:tcPr>
            <w:tcW w:w="1140" w:type="dxa"/>
          </w:tcPr>
          <w:p w14:paraId="3B48D144">
            <w:pPr>
              <w:kinsoku/>
              <w:rPr>
                <w:rFonts w:ascii="宋体" w:hAnsi="宋体" w:eastAsia="宋体" w:cs="宋体"/>
                <w:color w:val="000000" w:themeColor="text1"/>
                <w:highlight w:val="none"/>
                <w14:textFill>
                  <w14:solidFill>
                    <w14:schemeClr w14:val="tx1"/>
                  </w14:solidFill>
                </w14:textFill>
              </w:rPr>
            </w:pPr>
          </w:p>
        </w:tc>
      </w:tr>
      <w:tr w14:paraId="79BB6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54BC4EB7">
            <w:pPr>
              <w:kinsoku/>
              <w:rPr>
                <w:rFonts w:ascii="宋体" w:hAnsi="宋体" w:eastAsia="宋体" w:cs="宋体"/>
                <w:color w:val="000000" w:themeColor="text1"/>
                <w:highlight w:val="none"/>
                <w14:textFill>
                  <w14:solidFill>
                    <w14:schemeClr w14:val="tx1"/>
                  </w14:solidFill>
                </w14:textFill>
              </w:rPr>
            </w:pPr>
          </w:p>
        </w:tc>
        <w:tc>
          <w:tcPr>
            <w:tcW w:w="1274" w:type="dxa"/>
          </w:tcPr>
          <w:p w14:paraId="13CEC9FD">
            <w:pPr>
              <w:kinsoku/>
              <w:rPr>
                <w:rFonts w:ascii="宋体" w:hAnsi="宋体" w:eastAsia="宋体" w:cs="宋体"/>
                <w:color w:val="000000" w:themeColor="text1"/>
                <w:highlight w:val="none"/>
                <w14:textFill>
                  <w14:solidFill>
                    <w14:schemeClr w14:val="tx1"/>
                  </w14:solidFill>
                </w14:textFill>
              </w:rPr>
            </w:pPr>
          </w:p>
        </w:tc>
        <w:tc>
          <w:tcPr>
            <w:tcW w:w="902" w:type="dxa"/>
          </w:tcPr>
          <w:p w14:paraId="0815C92A">
            <w:pPr>
              <w:kinsoku/>
              <w:rPr>
                <w:rFonts w:ascii="宋体" w:hAnsi="宋体" w:eastAsia="宋体" w:cs="宋体"/>
                <w:color w:val="000000" w:themeColor="text1"/>
                <w:highlight w:val="none"/>
                <w14:textFill>
                  <w14:solidFill>
                    <w14:schemeClr w14:val="tx1"/>
                  </w14:solidFill>
                </w14:textFill>
              </w:rPr>
            </w:pPr>
          </w:p>
        </w:tc>
        <w:tc>
          <w:tcPr>
            <w:tcW w:w="693" w:type="dxa"/>
          </w:tcPr>
          <w:p w14:paraId="30917AFD">
            <w:pPr>
              <w:kinsoku/>
              <w:rPr>
                <w:rFonts w:ascii="宋体" w:hAnsi="宋体" w:eastAsia="宋体" w:cs="宋体"/>
                <w:color w:val="000000" w:themeColor="text1"/>
                <w:highlight w:val="none"/>
                <w14:textFill>
                  <w14:solidFill>
                    <w14:schemeClr w14:val="tx1"/>
                  </w14:solidFill>
                </w14:textFill>
              </w:rPr>
            </w:pPr>
          </w:p>
        </w:tc>
        <w:tc>
          <w:tcPr>
            <w:tcW w:w="487" w:type="dxa"/>
          </w:tcPr>
          <w:p w14:paraId="50BDF2D7">
            <w:pPr>
              <w:kinsoku/>
              <w:rPr>
                <w:rFonts w:ascii="宋体" w:hAnsi="宋体" w:eastAsia="宋体" w:cs="宋体"/>
                <w:color w:val="000000" w:themeColor="text1"/>
                <w:highlight w:val="none"/>
                <w14:textFill>
                  <w14:solidFill>
                    <w14:schemeClr w14:val="tx1"/>
                  </w14:solidFill>
                </w14:textFill>
              </w:rPr>
            </w:pPr>
          </w:p>
        </w:tc>
        <w:tc>
          <w:tcPr>
            <w:tcW w:w="1135" w:type="dxa"/>
          </w:tcPr>
          <w:p w14:paraId="06C3D4AE">
            <w:pPr>
              <w:kinsoku/>
              <w:rPr>
                <w:rFonts w:ascii="宋体" w:hAnsi="宋体" w:eastAsia="宋体" w:cs="宋体"/>
                <w:color w:val="000000" w:themeColor="text1"/>
                <w:highlight w:val="none"/>
                <w14:textFill>
                  <w14:solidFill>
                    <w14:schemeClr w14:val="tx1"/>
                  </w14:solidFill>
                </w14:textFill>
              </w:rPr>
            </w:pPr>
          </w:p>
        </w:tc>
        <w:tc>
          <w:tcPr>
            <w:tcW w:w="707" w:type="dxa"/>
          </w:tcPr>
          <w:p w14:paraId="450490E8">
            <w:pPr>
              <w:kinsoku/>
              <w:rPr>
                <w:rFonts w:ascii="宋体" w:hAnsi="宋体" w:eastAsia="宋体" w:cs="宋体"/>
                <w:color w:val="000000" w:themeColor="text1"/>
                <w:highlight w:val="none"/>
                <w14:textFill>
                  <w14:solidFill>
                    <w14:schemeClr w14:val="tx1"/>
                  </w14:solidFill>
                </w14:textFill>
              </w:rPr>
            </w:pPr>
          </w:p>
        </w:tc>
        <w:tc>
          <w:tcPr>
            <w:tcW w:w="871" w:type="dxa"/>
          </w:tcPr>
          <w:p w14:paraId="0EDCB491">
            <w:pPr>
              <w:kinsoku/>
              <w:rPr>
                <w:rFonts w:ascii="宋体" w:hAnsi="宋体" w:eastAsia="宋体" w:cs="宋体"/>
                <w:color w:val="000000" w:themeColor="text1"/>
                <w:highlight w:val="none"/>
                <w14:textFill>
                  <w14:solidFill>
                    <w14:schemeClr w14:val="tx1"/>
                  </w14:solidFill>
                </w14:textFill>
              </w:rPr>
            </w:pPr>
          </w:p>
        </w:tc>
        <w:tc>
          <w:tcPr>
            <w:tcW w:w="1140" w:type="dxa"/>
          </w:tcPr>
          <w:p w14:paraId="1B56B788">
            <w:pPr>
              <w:kinsoku/>
              <w:rPr>
                <w:rFonts w:ascii="宋体" w:hAnsi="宋体" w:eastAsia="宋体" w:cs="宋体"/>
                <w:color w:val="000000" w:themeColor="text1"/>
                <w:highlight w:val="none"/>
                <w14:textFill>
                  <w14:solidFill>
                    <w14:schemeClr w14:val="tx1"/>
                  </w14:solidFill>
                </w14:textFill>
              </w:rPr>
            </w:pPr>
          </w:p>
        </w:tc>
      </w:tr>
      <w:tr w14:paraId="3BD6A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7D4629A8">
            <w:pPr>
              <w:kinsoku/>
              <w:rPr>
                <w:rFonts w:ascii="宋体" w:hAnsi="宋体" w:eastAsia="宋体" w:cs="宋体"/>
                <w:color w:val="000000" w:themeColor="text1"/>
                <w:highlight w:val="none"/>
                <w14:textFill>
                  <w14:solidFill>
                    <w14:schemeClr w14:val="tx1"/>
                  </w14:solidFill>
                </w14:textFill>
              </w:rPr>
            </w:pPr>
          </w:p>
        </w:tc>
        <w:tc>
          <w:tcPr>
            <w:tcW w:w="1274" w:type="dxa"/>
          </w:tcPr>
          <w:p w14:paraId="557525F3">
            <w:pPr>
              <w:kinsoku/>
              <w:rPr>
                <w:rFonts w:ascii="宋体" w:hAnsi="宋体" w:eastAsia="宋体" w:cs="宋体"/>
                <w:color w:val="000000" w:themeColor="text1"/>
                <w:highlight w:val="none"/>
                <w14:textFill>
                  <w14:solidFill>
                    <w14:schemeClr w14:val="tx1"/>
                  </w14:solidFill>
                </w14:textFill>
              </w:rPr>
            </w:pPr>
          </w:p>
        </w:tc>
        <w:tc>
          <w:tcPr>
            <w:tcW w:w="902" w:type="dxa"/>
          </w:tcPr>
          <w:p w14:paraId="531761B2">
            <w:pPr>
              <w:kinsoku/>
              <w:rPr>
                <w:rFonts w:ascii="宋体" w:hAnsi="宋体" w:eastAsia="宋体" w:cs="宋体"/>
                <w:color w:val="000000" w:themeColor="text1"/>
                <w:highlight w:val="none"/>
                <w14:textFill>
                  <w14:solidFill>
                    <w14:schemeClr w14:val="tx1"/>
                  </w14:solidFill>
                </w14:textFill>
              </w:rPr>
            </w:pPr>
          </w:p>
        </w:tc>
        <w:tc>
          <w:tcPr>
            <w:tcW w:w="693" w:type="dxa"/>
          </w:tcPr>
          <w:p w14:paraId="4FEA1F77">
            <w:pPr>
              <w:kinsoku/>
              <w:rPr>
                <w:rFonts w:ascii="宋体" w:hAnsi="宋体" w:eastAsia="宋体" w:cs="宋体"/>
                <w:color w:val="000000" w:themeColor="text1"/>
                <w:highlight w:val="none"/>
                <w14:textFill>
                  <w14:solidFill>
                    <w14:schemeClr w14:val="tx1"/>
                  </w14:solidFill>
                </w14:textFill>
              </w:rPr>
            </w:pPr>
          </w:p>
        </w:tc>
        <w:tc>
          <w:tcPr>
            <w:tcW w:w="487" w:type="dxa"/>
          </w:tcPr>
          <w:p w14:paraId="13C0D60D">
            <w:pPr>
              <w:kinsoku/>
              <w:rPr>
                <w:rFonts w:ascii="宋体" w:hAnsi="宋体" w:eastAsia="宋体" w:cs="宋体"/>
                <w:color w:val="000000" w:themeColor="text1"/>
                <w:highlight w:val="none"/>
                <w14:textFill>
                  <w14:solidFill>
                    <w14:schemeClr w14:val="tx1"/>
                  </w14:solidFill>
                </w14:textFill>
              </w:rPr>
            </w:pPr>
          </w:p>
        </w:tc>
        <w:tc>
          <w:tcPr>
            <w:tcW w:w="1135" w:type="dxa"/>
          </w:tcPr>
          <w:p w14:paraId="15CF8A8B">
            <w:pPr>
              <w:kinsoku/>
              <w:rPr>
                <w:rFonts w:ascii="宋体" w:hAnsi="宋体" w:eastAsia="宋体" w:cs="宋体"/>
                <w:color w:val="000000" w:themeColor="text1"/>
                <w:highlight w:val="none"/>
                <w14:textFill>
                  <w14:solidFill>
                    <w14:schemeClr w14:val="tx1"/>
                  </w14:solidFill>
                </w14:textFill>
              </w:rPr>
            </w:pPr>
          </w:p>
        </w:tc>
        <w:tc>
          <w:tcPr>
            <w:tcW w:w="707" w:type="dxa"/>
          </w:tcPr>
          <w:p w14:paraId="5BFEFA09">
            <w:pPr>
              <w:kinsoku/>
              <w:rPr>
                <w:rFonts w:ascii="宋体" w:hAnsi="宋体" w:eastAsia="宋体" w:cs="宋体"/>
                <w:color w:val="000000" w:themeColor="text1"/>
                <w:highlight w:val="none"/>
                <w14:textFill>
                  <w14:solidFill>
                    <w14:schemeClr w14:val="tx1"/>
                  </w14:solidFill>
                </w14:textFill>
              </w:rPr>
            </w:pPr>
          </w:p>
        </w:tc>
        <w:tc>
          <w:tcPr>
            <w:tcW w:w="871" w:type="dxa"/>
          </w:tcPr>
          <w:p w14:paraId="165BF223">
            <w:pPr>
              <w:kinsoku/>
              <w:rPr>
                <w:rFonts w:ascii="宋体" w:hAnsi="宋体" w:eastAsia="宋体" w:cs="宋体"/>
                <w:color w:val="000000" w:themeColor="text1"/>
                <w:highlight w:val="none"/>
                <w14:textFill>
                  <w14:solidFill>
                    <w14:schemeClr w14:val="tx1"/>
                  </w14:solidFill>
                </w14:textFill>
              </w:rPr>
            </w:pPr>
          </w:p>
        </w:tc>
        <w:tc>
          <w:tcPr>
            <w:tcW w:w="1140" w:type="dxa"/>
          </w:tcPr>
          <w:p w14:paraId="5F14619C">
            <w:pPr>
              <w:kinsoku/>
              <w:rPr>
                <w:rFonts w:ascii="宋体" w:hAnsi="宋体" w:eastAsia="宋体" w:cs="宋体"/>
                <w:color w:val="000000" w:themeColor="text1"/>
                <w:highlight w:val="none"/>
                <w14:textFill>
                  <w14:solidFill>
                    <w14:schemeClr w14:val="tx1"/>
                  </w14:solidFill>
                </w14:textFill>
              </w:rPr>
            </w:pPr>
          </w:p>
        </w:tc>
      </w:tr>
      <w:tr w14:paraId="36DC3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7FF8B07D">
            <w:pPr>
              <w:kinsoku/>
              <w:rPr>
                <w:rFonts w:ascii="宋体" w:hAnsi="宋体" w:eastAsia="宋体" w:cs="宋体"/>
                <w:color w:val="000000" w:themeColor="text1"/>
                <w:highlight w:val="none"/>
                <w14:textFill>
                  <w14:solidFill>
                    <w14:schemeClr w14:val="tx1"/>
                  </w14:solidFill>
                </w14:textFill>
              </w:rPr>
            </w:pPr>
          </w:p>
        </w:tc>
        <w:tc>
          <w:tcPr>
            <w:tcW w:w="1274" w:type="dxa"/>
          </w:tcPr>
          <w:p w14:paraId="0C0D9AC1">
            <w:pPr>
              <w:kinsoku/>
              <w:rPr>
                <w:rFonts w:ascii="宋体" w:hAnsi="宋体" w:eastAsia="宋体" w:cs="宋体"/>
                <w:color w:val="000000" w:themeColor="text1"/>
                <w:highlight w:val="none"/>
                <w14:textFill>
                  <w14:solidFill>
                    <w14:schemeClr w14:val="tx1"/>
                  </w14:solidFill>
                </w14:textFill>
              </w:rPr>
            </w:pPr>
          </w:p>
        </w:tc>
        <w:tc>
          <w:tcPr>
            <w:tcW w:w="902" w:type="dxa"/>
          </w:tcPr>
          <w:p w14:paraId="6E5D3411">
            <w:pPr>
              <w:kinsoku/>
              <w:rPr>
                <w:rFonts w:ascii="宋体" w:hAnsi="宋体" w:eastAsia="宋体" w:cs="宋体"/>
                <w:color w:val="000000" w:themeColor="text1"/>
                <w:highlight w:val="none"/>
                <w14:textFill>
                  <w14:solidFill>
                    <w14:schemeClr w14:val="tx1"/>
                  </w14:solidFill>
                </w14:textFill>
              </w:rPr>
            </w:pPr>
          </w:p>
        </w:tc>
        <w:tc>
          <w:tcPr>
            <w:tcW w:w="693" w:type="dxa"/>
          </w:tcPr>
          <w:p w14:paraId="2FE38365">
            <w:pPr>
              <w:kinsoku/>
              <w:rPr>
                <w:rFonts w:ascii="宋体" w:hAnsi="宋体" w:eastAsia="宋体" w:cs="宋体"/>
                <w:color w:val="000000" w:themeColor="text1"/>
                <w:highlight w:val="none"/>
                <w14:textFill>
                  <w14:solidFill>
                    <w14:schemeClr w14:val="tx1"/>
                  </w14:solidFill>
                </w14:textFill>
              </w:rPr>
            </w:pPr>
          </w:p>
        </w:tc>
        <w:tc>
          <w:tcPr>
            <w:tcW w:w="487" w:type="dxa"/>
          </w:tcPr>
          <w:p w14:paraId="44429CE8">
            <w:pPr>
              <w:kinsoku/>
              <w:rPr>
                <w:rFonts w:ascii="宋体" w:hAnsi="宋体" w:eastAsia="宋体" w:cs="宋体"/>
                <w:color w:val="000000" w:themeColor="text1"/>
                <w:highlight w:val="none"/>
                <w14:textFill>
                  <w14:solidFill>
                    <w14:schemeClr w14:val="tx1"/>
                  </w14:solidFill>
                </w14:textFill>
              </w:rPr>
            </w:pPr>
          </w:p>
        </w:tc>
        <w:tc>
          <w:tcPr>
            <w:tcW w:w="1135" w:type="dxa"/>
          </w:tcPr>
          <w:p w14:paraId="3BDC24FC">
            <w:pPr>
              <w:kinsoku/>
              <w:rPr>
                <w:rFonts w:ascii="宋体" w:hAnsi="宋体" w:eastAsia="宋体" w:cs="宋体"/>
                <w:color w:val="000000" w:themeColor="text1"/>
                <w:highlight w:val="none"/>
                <w14:textFill>
                  <w14:solidFill>
                    <w14:schemeClr w14:val="tx1"/>
                  </w14:solidFill>
                </w14:textFill>
              </w:rPr>
            </w:pPr>
          </w:p>
        </w:tc>
        <w:tc>
          <w:tcPr>
            <w:tcW w:w="707" w:type="dxa"/>
          </w:tcPr>
          <w:p w14:paraId="058A101B">
            <w:pPr>
              <w:kinsoku/>
              <w:rPr>
                <w:rFonts w:ascii="宋体" w:hAnsi="宋体" w:eastAsia="宋体" w:cs="宋体"/>
                <w:color w:val="000000" w:themeColor="text1"/>
                <w:highlight w:val="none"/>
                <w14:textFill>
                  <w14:solidFill>
                    <w14:schemeClr w14:val="tx1"/>
                  </w14:solidFill>
                </w14:textFill>
              </w:rPr>
            </w:pPr>
          </w:p>
        </w:tc>
        <w:tc>
          <w:tcPr>
            <w:tcW w:w="871" w:type="dxa"/>
          </w:tcPr>
          <w:p w14:paraId="2312A514">
            <w:pPr>
              <w:kinsoku/>
              <w:rPr>
                <w:rFonts w:ascii="宋体" w:hAnsi="宋体" w:eastAsia="宋体" w:cs="宋体"/>
                <w:color w:val="000000" w:themeColor="text1"/>
                <w:highlight w:val="none"/>
                <w14:textFill>
                  <w14:solidFill>
                    <w14:schemeClr w14:val="tx1"/>
                  </w14:solidFill>
                </w14:textFill>
              </w:rPr>
            </w:pPr>
          </w:p>
        </w:tc>
        <w:tc>
          <w:tcPr>
            <w:tcW w:w="1140" w:type="dxa"/>
          </w:tcPr>
          <w:p w14:paraId="0A07B767">
            <w:pPr>
              <w:kinsoku/>
              <w:rPr>
                <w:rFonts w:ascii="宋体" w:hAnsi="宋体" w:eastAsia="宋体" w:cs="宋体"/>
                <w:color w:val="000000" w:themeColor="text1"/>
                <w:highlight w:val="none"/>
                <w14:textFill>
                  <w14:solidFill>
                    <w14:schemeClr w14:val="tx1"/>
                  </w14:solidFill>
                </w14:textFill>
              </w:rPr>
            </w:pPr>
          </w:p>
        </w:tc>
      </w:tr>
      <w:tr w14:paraId="58A64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6AF85CF8">
            <w:pPr>
              <w:kinsoku/>
              <w:rPr>
                <w:rFonts w:ascii="宋体" w:hAnsi="宋体" w:eastAsia="宋体" w:cs="宋体"/>
                <w:color w:val="000000" w:themeColor="text1"/>
                <w:highlight w:val="none"/>
                <w14:textFill>
                  <w14:solidFill>
                    <w14:schemeClr w14:val="tx1"/>
                  </w14:solidFill>
                </w14:textFill>
              </w:rPr>
            </w:pPr>
          </w:p>
        </w:tc>
        <w:tc>
          <w:tcPr>
            <w:tcW w:w="1274" w:type="dxa"/>
          </w:tcPr>
          <w:p w14:paraId="54F28645">
            <w:pPr>
              <w:kinsoku/>
              <w:rPr>
                <w:rFonts w:ascii="宋体" w:hAnsi="宋体" w:eastAsia="宋体" w:cs="宋体"/>
                <w:color w:val="000000" w:themeColor="text1"/>
                <w:highlight w:val="none"/>
                <w14:textFill>
                  <w14:solidFill>
                    <w14:schemeClr w14:val="tx1"/>
                  </w14:solidFill>
                </w14:textFill>
              </w:rPr>
            </w:pPr>
          </w:p>
        </w:tc>
        <w:tc>
          <w:tcPr>
            <w:tcW w:w="902" w:type="dxa"/>
          </w:tcPr>
          <w:p w14:paraId="1803BD08">
            <w:pPr>
              <w:kinsoku/>
              <w:rPr>
                <w:rFonts w:ascii="宋体" w:hAnsi="宋体" w:eastAsia="宋体" w:cs="宋体"/>
                <w:color w:val="000000" w:themeColor="text1"/>
                <w:highlight w:val="none"/>
                <w14:textFill>
                  <w14:solidFill>
                    <w14:schemeClr w14:val="tx1"/>
                  </w14:solidFill>
                </w14:textFill>
              </w:rPr>
            </w:pPr>
          </w:p>
        </w:tc>
        <w:tc>
          <w:tcPr>
            <w:tcW w:w="693" w:type="dxa"/>
          </w:tcPr>
          <w:p w14:paraId="7CEBE7FE">
            <w:pPr>
              <w:kinsoku/>
              <w:rPr>
                <w:rFonts w:ascii="宋体" w:hAnsi="宋体" w:eastAsia="宋体" w:cs="宋体"/>
                <w:color w:val="000000" w:themeColor="text1"/>
                <w:highlight w:val="none"/>
                <w14:textFill>
                  <w14:solidFill>
                    <w14:schemeClr w14:val="tx1"/>
                  </w14:solidFill>
                </w14:textFill>
              </w:rPr>
            </w:pPr>
          </w:p>
        </w:tc>
        <w:tc>
          <w:tcPr>
            <w:tcW w:w="487" w:type="dxa"/>
          </w:tcPr>
          <w:p w14:paraId="2790B1DA">
            <w:pPr>
              <w:kinsoku/>
              <w:rPr>
                <w:rFonts w:ascii="宋体" w:hAnsi="宋体" w:eastAsia="宋体" w:cs="宋体"/>
                <w:color w:val="000000" w:themeColor="text1"/>
                <w:highlight w:val="none"/>
                <w14:textFill>
                  <w14:solidFill>
                    <w14:schemeClr w14:val="tx1"/>
                  </w14:solidFill>
                </w14:textFill>
              </w:rPr>
            </w:pPr>
          </w:p>
        </w:tc>
        <w:tc>
          <w:tcPr>
            <w:tcW w:w="1135" w:type="dxa"/>
          </w:tcPr>
          <w:p w14:paraId="25A4B267">
            <w:pPr>
              <w:kinsoku/>
              <w:rPr>
                <w:rFonts w:ascii="宋体" w:hAnsi="宋体" w:eastAsia="宋体" w:cs="宋体"/>
                <w:color w:val="000000" w:themeColor="text1"/>
                <w:highlight w:val="none"/>
                <w14:textFill>
                  <w14:solidFill>
                    <w14:schemeClr w14:val="tx1"/>
                  </w14:solidFill>
                </w14:textFill>
              </w:rPr>
            </w:pPr>
          </w:p>
        </w:tc>
        <w:tc>
          <w:tcPr>
            <w:tcW w:w="707" w:type="dxa"/>
          </w:tcPr>
          <w:p w14:paraId="6ADD2827">
            <w:pPr>
              <w:kinsoku/>
              <w:rPr>
                <w:rFonts w:ascii="宋体" w:hAnsi="宋体" w:eastAsia="宋体" w:cs="宋体"/>
                <w:color w:val="000000" w:themeColor="text1"/>
                <w:highlight w:val="none"/>
                <w14:textFill>
                  <w14:solidFill>
                    <w14:schemeClr w14:val="tx1"/>
                  </w14:solidFill>
                </w14:textFill>
              </w:rPr>
            </w:pPr>
          </w:p>
        </w:tc>
        <w:tc>
          <w:tcPr>
            <w:tcW w:w="871" w:type="dxa"/>
          </w:tcPr>
          <w:p w14:paraId="2DC2BF1B">
            <w:pPr>
              <w:kinsoku/>
              <w:rPr>
                <w:rFonts w:ascii="宋体" w:hAnsi="宋体" w:eastAsia="宋体" w:cs="宋体"/>
                <w:color w:val="000000" w:themeColor="text1"/>
                <w:highlight w:val="none"/>
                <w14:textFill>
                  <w14:solidFill>
                    <w14:schemeClr w14:val="tx1"/>
                  </w14:solidFill>
                </w14:textFill>
              </w:rPr>
            </w:pPr>
          </w:p>
        </w:tc>
        <w:tc>
          <w:tcPr>
            <w:tcW w:w="1140" w:type="dxa"/>
          </w:tcPr>
          <w:p w14:paraId="24DEA698">
            <w:pPr>
              <w:kinsoku/>
              <w:rPr>
                <w:rFonts w:ascii="宋体" w:hAnsi="宋体" w:eastAsia="宋体" w:cs="宋体"/>
                <w:color w:val="000000" w:themeColor="text1"/>
                <w:highlight w:val="none"/>
                <w14:textFill>
                  <w14:solidFill>
                    <w14:schemeClr w14:val="tx1"/>
                  </w14:solidFill>
                </w14:textFill>
              </w:rPr>
            </w:pPr>
          </w:p>
        </w:tc>
      </w:tr>
      <w:tr w14:paraId="36345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2D0CBDFF">
            <w:pPr>
              <w:kinsoku/>
              <w:rPr>
                <w:rFonts w:ascii="宋体" w:hAnsi="宋体" w:eastAsia="宋体" w:cs="宋体"/>
                <w:color w:val="000000" w:themeColor="text1"/>
                <w:highlight w:val="none"/>
                <w14:textFill>
                  <w14:solidFill>
                    <w14:schemeClr w14:val="tx1"/>
                  </w14:solidFill>
                </w14:textFill>
              </w:rPr>
            </w:pPr>
          </w:p>
        </w:tc>
        <w:tc>
          <w:tcPr>
            <w:tcW w:w="1274" w:type="dxa"/>
          </w:tcPr>
          <w:p w14:paraId="65984E1A">
            <w:pPr>
              <w:kinsoku/>
              <w:rPr>
                <w:rFonts w:ascii="宋体" w:hAnsi="宋体" w:eastAsia="宋体" w:cs="宋体"/>
                <w:color w:val="000000" w:themeColor="text1"/>
                <w:highlight w:val="none"/>
                <w14:textFill>
                  <w14:solidFill>
                    <w14:schemeClr w14:val="tx1"/>
                  </w14:solidFill>
                </w14:textFill>
              </w:rPr>
            </w:pPr>
          </w:p>
        </w:tc>
        <w:tc>
          <w:tcPr>
            <w:tcW w:w="902" w:type="dxa"/>
          </w:tcPr>
          <w:p w14:paraId="049C14E8">
            <w:pPr>
              <w:kinsoku/>
              <w:rPr>
                <w:rFonts w:ascii="宋体" w:hAnsi="宋体" w:eastAsia="宋体" w:cs="宋体"/>
                <w:color w:val="000000" w:themeColor="text1"/>
                <w:highlight w:val="none"/>
                <w14:textFill>
                  <w14:solidFill>
                    <w14:schemeClr w14:val="tx1"/>
                  </w14:solidFill>
                </w14:textFill>
              </w:rPr>
            </w:pPr>
          </w:p>
        </w:tc>
        <w:tc>
          <w:tcPr>
            <w:tcW w:w="693" w:type="dxa"/>
          </w:tcPr>
          <w:p w14:paraId="61CF785E">
            <w:pPr>
              <w:kinsoku/>
              <w:rPr>
                <w:rFonts w:ascii="宋体" w:hAnsi="宋体" w:eastAsia="宋体" w:cs="宋体"/>
                <w:color w:val="000000" w:themeColor="text1"/>
                <w:highlight w:val="none"/>
                <w14:textFill>
                  <w14:solidFill>
                    <w14:schemeClr w14:val="tx1"/>
                  </w14:solidFill>
                </w14:textFill>
              </w:rPr>
            </w:pPr>
          </w:p>
        </w:tc>
        <w:tc>
          <w:tcPr>
            <w:tcW w:w="487" w:type="dxa"/>
          </w:tcPr>
          <w:p w14:paraId="69506C62">
            <w:pPr>
              <w:kinsoku/>
              <w:rPr>
                <w:rFonts w:ascii="宋体" w:hAnsi="宋体" w:eastAsia="宋体" w:cs="宋体"/>
                <w:color w:val="000000" w:themeColor="text1"/>
                <w:highlight w:val="none"/>
                <w14:textFill>
                  <w14:solidFill>
                    <w14:schemeClr w14:val="tx1"/>
                  </w14:solidFill>
                </w14:textFill>
              </w:rPr>
            </w:pPr>
          </w:p>
        </w:tc>
        <w:tc>
          <w:tcPr>
            <w:tcW w:w="1135" w:type="dxa"/>
          </w:tcPr>
          <w:p w14:paraId="6D3D1141">
            <w:pPr>
              <w:kinsoku/>
              <w:rPr>
                <w:rFonts w:ascii="宋体" w:hAnsi="宋体" w:eastAsia="宋体" w:cs="宋体"/>
                <w:color w:val="000000" w:themeColor="text1"/>
                <w:highlight w:val="none"/>
                <w14:textFill>
                  <w14:solidFill>
                    <w14:schemeClr w14:val="tx1"/>
                  </w14:solidFill>
                </w14:textFill>
              </w:rPr>
            </w:pPr>
          </w:p>
        </w:tc>
        <w:tc>
          <w:tcPr>
            <w:tcW w:w="707" w:type="dxa"/>
          </w:tcPr>
          <w:p w14:paraId="62F72C41">
            <w:pPr>
              <w:kinsoku/>
              <w:rPr>
                <w:rFonts w:ascii="宋体" w:hAnsi="宋体" w:eastAsia="宋体" w:cs="宋体"/>
                <w:color w:val="000000" w:themeColor="text1"/>
                <w:highlight w:val="none"/>
                <w14:textFill>
                  <w14:solidFill>
                    <w14:schemeClr w14:val="tx1"/>
                  </w14:solidFill>
                </w14:textFill>
              </w:rPr>
            </w:pPr>
          </w:p>
        </w:tc>
        <w:tc>
          <w:tcPr>
            <w:tcW w:w="871" w:type="dxa"/>
          </w:tcPr>
          <w:p w14:paraId="7EB8EF0F">
            <w:pPr>
              <w:kinsoku/>
              <w:rPr>
                <w:rFonts w:ascii="宋体" w:hAnsi="宋体" w:eastAsia="宋体" w:cs="宋体"/>
                <w:color w:val="000000" w:themeColor="text1"/>
                <w:highlight w:val="none"/>
                <w14:textFill>
                  <w14:solidFill>
                    <w14:schemeClr w14:val="tx1"/>
                  </w14:solidFill>
                </w14:textFill>
              </w:rPr>
            </w:pPr>
          </w:p>
        </w:tc>
        <w:tc>
          <w:tcPr>
            <w:tcW w:w="1140" w:type="dxa"/>
          </w:tcPr>
          <w:p w14:paraId="78B6EBAF">
            <w:pPr>
              <w:kinsoku/>
              <w:rPr>
                <w:rFonts w:ascii="宋体" w:hAnsi="宋体" w:eastAsia="宋体" w:cs="宋体"/>
                <w:color w:val="000000" w:themeColor="text1"/>
                <w:highlight w:val="none"/>
                <w14:textFill>
                  <w14:solidFill>
                    <w14:schemeClr w14:val="tx1"/>
                  </w14:solidFill>
                </w14:textFill>
              </w:rPr>
            </w:pPr>
          </w:p>
        </w:tc>
      </w:tr>
      <w:tr w14:paraId="0215A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72B9F6E1">
            <w:pPr>
              <w:kinsoku/>
              <w:rPr>
                <w:rFonts w:ascii="宋体" w:hAnsi="宋体" w:eastAsia="宋体" w:cs="宋体"/>
                <w:color w:val="000000" w:themeColor="text1"/>
                <w:highlight w:val="none"/>
                <w14:textFill>
                  <w14:solidFill>
                    <w14:schemeClr w14:val="tx1"/>
                  </w14:solidFill>
                </w14:textFill>
              </w:rPr>
            </w:pPr>
          </w:p>
        </w:tc>
        <w:tc>
          <w:tcPr>
            <w:tcW w:w="1274" w:type="dxa"/>
          </w:tcPr>
          <w:p w14:paraId="244AEE9C">
            <w:pPr>
              <w:kinsoku/>
              <w:rPr>
                <w:rFonts w:ascii="宋体" w:hAnsi="宋体" w:eastAsia="宋体" w:cs="宋体"/>
                <w:color w:val="000000" w:themeColor="text1"/>
                <w:highlight w:val="none"/>
                <w14:textFill>
                  <w14:solidFill>
                    <w14:schemeClr w14:val="tx1"/>
                  </w14:solidFill>
                </w14:textFill>
              </w:rPr>
            </w:pPr>
          </w:p>
        </w:tc>
        <w:tc>
          <w:tcPr>
            <w:tcW w:w="902" w:type="dxa"/>
          </w:tcPr>
          <w:p w14:paraId="3BFD795A">
            <w:pPr>
              <w:kinsoku/>
              <w:rPr>
                <w:rFonts w:ascii="宋体" w:hAnsi="宋体" w:eastAsia="宋体" w:cs="宋体"/>
                <w:color w:val="000000" w:themeColor="text1"/>
                <w:highlight w:val="none"/>
                <w14:textFill>
                  <w14:solidFill>
                    <w14:schemeClr w14:val="tx1"/>
                  </w14:solidFill>
                </w14:textFill>
              </w:rPr>
            </w:pPr>
          </w:p>
        </w:tc>
        <w:tc>
          <w:tcPr>
            <w:tcW w:w="693" w:type="dxa"/>
          </w:tcPr>
          <w:p w14:paraId="6BB6F0C7">
            <w:pPr>
              <w:kinsoku/>
              <w:rPr>
                <w:rFonts w:ascii="宋体" w:hAnsi="宋体" w:eastAsia="宋体" w:cs="宋体"/>
                <w:color w:val="000000" w:themeColor="text1"/>
                <w:highlight w:val="none"/>
                <w14:textFill>
                  <w14:solidFill>
                    <w14:schemeClr w14:val="tx1"/>
                  </w14:solidFill>
                </w14:textFill>
              </w:rPr>
            </w:pPr>
          </w:p>
        </w:tc>
        <w:tc>
          <w:tcPr>
            <w:tcW w:w="487" w:type="dxa"/>
          </w:tcPr>
          <w:p w14:paraId="4D12E5E4">
            <w:pPr>
              <w:kinsoku/>
              <w:rPr>
                <w:rFonts w:ascii="宋体" w:hAnsi="宋体" w:eastAsia="宋体" w:cs="宋体"/>
                <w:color w:val="000000" w:themeColor="text1"/>
                <w:highlight w:val="none"/>
                <w14:textFill>
                  <w14:solidFill>
                    <w14:schemeClr w14:val="tx1"/>
                  </w14:solidFill>
                </w14:textFill>
              </w:rPr>
            </w:pPr>
          </w:p>
        </w:tc>
        <w:tc>
          <w:tcPr>
            <w:tcW w:w="1135" w:type="dxa"/>
          </w:tcPr>
          <w:p w14:paraId="2D9D317D">
            <w:pPr>
              <w:kinsoku/>
              <w:rPr>
                <w:rFonts w:ascii="宋体" w:hAnsi="宋体" w:eastAsia="宋体" w:cs="宋体"/>
                <w:color w:val="000000" w:themeColor="text1"/>
                <w:highlight w:val="none"/>
                <w14:textFill>
                  <w14:solidFill>
                    <w14:schemeClr w14:val="tx1"/>
                  </w14:solidFill>
                </w14:textFill>
              </w:rPr>
            </w:pPr>
          </w:p>
        </w:tc>
        <w:tc>
          <w:tcPr>
            <w:tcW w:w="707" w:type="dxa"/>
          </w:tcPr>
          <w:p w14:paraId="3CFEB73A">
            <w:pPr>
              <w:kinsoku/>
              <w:rPr>
                <w:rFonts w:ascii="宋体" w:hAnsi="宋体" w:eastAsia="宋体" w:cs="宋体"/>
                <w:color w:val="000000" w:themeColor="text1"/>
                <w:highlight w:val="none"/>
                <w14:textFill>
                  <w14:solidFill>
                    <w14:schemeClr w14:val="tx1"/>
                  </w14:solidFill>
                </w14:textFill>
              </w:rPr>
            </w:pPr>
          </w:p>
        </w:tc>
        <w:tc>
          <w:tcPr>
            <w:tcW w:w="871" w:type="dxa"/>
          </w:tcPr>
          <w:p w14:paraId="6B9DBA9C">
            <w:pPr>
              <w:kinsoku/>
              <w:rPr>
                <w:rFonts w:ascii="宋体" w:hAnsi="宋体" w:eastAsia="宋体" w:cs="宋体"/>
                <w:color w:val="000000" w:themeColor="text1"/>
                <w:highlight w:val="none"/>
                <w14:textFill>
                  <w14:solidFill>
                    <w14:schemeClr w14:val="tx1"/>
                  </w14:solidFill>
                </w14:textFill>
              </w:rPr>
            </w:pPr>
          </w:p>
        </w:tc>
        <w:tc>
          <w:tcPr>
            <w:tcW w:w="1140" w:type="dxa"/>
          </w:tcPr>
          <w:p w14:paraId="7182647C">
            <w:pPr>
              <w:kinsoku/>
              <w:rPr>
                <w:rFonts w:ascii="宋体" w:hAnsi="宋体" w:eastAsia="宋体" w:cs="宋体"/>
                <w:color w:val="000000" w:themeColor="text1"/>
                <w:highlight w:val="none"/>
                <w14:textFill>
                  <w14:solidFill>
                    <w14:schemeClr w14:val="tx1"/>
                  </w14:solidFill>
                </w14:textFill>
              </w:rPr>
            </w:pPr>
          </w:p>
        </w:tc>
      </w:tr>
      <w:tr w14:paraId="30481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1B2DB27F">
            <w:pPr>
              <w:kinsoku/>
              <w:rPr>
                <w:rFonts w:ascii="宋体" w:hAnsi="宋体" w:eastAsia="宋体" w:cs="宋体"/>
                <w:color w:val="000000" w:themeColor="text1"/>
                <w:highlight w:val="none"/>
                <w14:textFill>
                  <w14:solidFill>
                    <w14:schemeClr w14:val="tx1"/>
                  </w14:solidFill>
                </w14:textFill>
              </w:rPr>
            </w:pPr>
          </w:p>
        </w:tc>
        <w:tc>
          <w:tcPr>
            <w:tcW w:w="1274" w:type="dxa"/>
          </w:tcPr>
          <w:p w14:paraId="7EC59539">
            <w:pPr>
              <w:kinsoku/>
              <w:rPr>
                <w:rFonts w:ascii="宋体" w:hAnsi="宋体" w:eastAsia="宋体" w:cs="宋体"/>
                <w:color w:val="000000" w:themeColor="text1"/>
                <w:highlight w:val="none"/>
                <w14:textFill>
                  <w14:solidFill>
                    <w14:schemeClr w14:val="tx1"/>
                  </w14:solidFill>
                </w14:textFill>
              </w:rPr>
            </w:pPr>
          </w:p>
        </w:tc>
        <w:tc>
          <w:tcPr>
            <w:tcW w:w="902" w:type="dxa"/>
          </w:tcPr>
          <w:p w14:paraId="606A5EAF">
            <w:pPr>
              <w:kinsoku/>
              <w:rPr>
                <w:rFonts w:ascii="宋体" w:hAnsi="宋体" w:eastAsia="宋体" w:cs="宋体"/>
                <w:color w:val="000000" w:themeColor="text1"/>
                <w:highlight w:val="none"/>
                <w14:textFill>
                  <w14:solidFill>
                    <w14:schemeClr w14:val="tx1"/>
                  </w14:solidFill>
                </w14:textFill>
              </w:rPr>
            </w:pPr>
          </w:p>
        </w:tc>
        <w:tc>
          <w:tcPr>
            <w:tcW w:w="693" w:type="dxa"/>
          </w:tcPr>
          <w:p w14:paraId="38543D75">
            <w:pPr>
              <w:kinsoku/>
              <w:rPr>
                <w:rFonts w:ascii="宋体" w:hAnsi="宋体" w:eastAsia="宋体" w:cs="宋体"/>
                <w:color w:val="000000" w:themeColor="text1"/>
                <w:highlight w:val="none"/>
                <w14:textFill>
                  <w14:solidFill>
                    <w14:schemeClr w14:val="tx1"/>
                  </w14:solidFill>
                </w14:textFill>
              </w:rPr>
            </w:pPr>
          </w:p>
        </w:tc>
        <w:tc>
          <w:tcPr>
            <w:tcW w:w="487" w:type="dxa"/>
          </w:tcPr>
          <w:p w14:paraId="2BB43A1A">
            <w:pPr>
              <w:kinsoku/>
              <w:rPr>
                <w:rFonts w:ascii="宋体" w:hAnsi="宋体" w:eastAsia="宋体" w:cs="宋体"/>
                <w:color w:val="000000" w:themeColor="text1"/>
                <w:highlight w:val="none"/>
                <w14:textFill>
                  <w14:solidFill>
                    <w14:schemeClr w14:val="tx1"/>
                  </w14:solidFill>
                </w14:textFill>
              </w:rPr>
            </w:pPr>
          </w:p>
        </w:tc>
        <w:tc>
          <w:tcPr>
            <w:tcW w:w="1135" w:type="dxa"/>
          </w:tcPr>
          <w:p w14:paraId="314945FE">
            <w:pPr>
              <w:kinsoku/>
              <w:rPr>
                <w:rFonts w:ascii="宋体" w:hAnsi="宋体" w:eastAsia="宋体" w:cs="宋体"/>
                <w:color w:val="000000" w:themeColor="text1"/>
                <w:highlight w:val="none"/>
                <w14:textFill>
                  <w14:solidFill>
                    <w14:schemeClr w14:val="tx1"/>
                  </w14:solidFill>
                </w14:textFill>
              </w:rPr>
            </w:pPr>
          </w:p>
        </w:tc>
        <w:tc>
          <w:tcPr>
            <w:tcW w:w="707" w:type="dxa"/>
          </w:tcPr>
          <w:p w14:paraId="654CACBA">
            <w:pPr>
              <w:kinsoku/>
              <w:rPr>
                <w:rFonts w:ascii="宋体" w:hAnsi="宋体" w:eastAsia="宋体" w:cs="宋体"/>
                <w:color w:val="000000" w:themeColor="text1"/>
                <w:highlight w:val="none"/>
                <w14:textFill>
                  <w14:solidFill>
                    <w14:schemeClr w14:val="tx1"/>
                  </w14:solidFill>
                </w14:textFill>
              </w:rPr>
            </w:pPr>
          </w:p>
        </w:tc>
        <w:tc>
          <w:tcPr>
            <w:tcW w:w="871" w:type="dxa"/>
          </w:tcPr>
          <w:p w14:paraId="6E155F7E">
            <w:pPr>
              <w:kinsoku/>
              <w:rPr>
                <w:rFonts w:ascii="宋体" w:hAnsi="宋体" w:eastAsia="宋体" w:cs="宋体"/>
                <w:color w:val="000000" w:themeColor="text1"/>
                <w:highlight w:val="none"/>
                <w14:textFill>
                  <w14:solidFill>
                    <w14:schemeClr w14:val="tx1"/>
                  </w14:solidFill>
                </w14:textFill>
              </w:rPr>
            </w:pPr>
          </w:p>
        </w:tc>
        <w:tc>
          <w:tcPr>
            <w:tcW w:w="1140" w:type="dxa"/>
          </w:tcPr>
          <w:p w14:paraId="66522263">
            <w:pPr>
              <w:kinsoku/>
              <w:rPr>
                <w:rFonts w:ascii="宋体" w:hAnsi="宋体" w:eastAsia="宋体" w:cs="宋体"/>
                <w:color w:val="000000" w:themeColor="text1"/>
                <w:highlight w:val="none"/>
                <w14:textFill>
                  <w14:solidFill>
                    <w14:schemeClr w14:val="tx1"/>
                  </w14:solidFill>
                </w14:textFill>
              </w:rPr>
            </w:pPr>
          </w:p>
        </w:tc>
      </w:tr>
      <w:tr w14:paraId="7D502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53A9B7D9">
            <w:pPr>
              <w:kinsoku/>
              <w:rPr>
                <w:rFonts w:ascii="宋体" w:hAnsi="宋体" w:eastAsia="宋体" w:cs="宋体"/>
                <w:color w:val="000000" w:themeColor="text1"/>
                <w:highlight w:val="none"/>
                <w14:textFill>
                  <w14:solidFill>
                    <w14:schemeClr w14:val="tx1"/>
                  </w14:solidFill>
                </w14:textFill>
              </w:rPr>
            </w:pPr>
          </w:p>
        </w:tc>
        <w:tc>
          <w:tcPr>
            <w:tcW w:w="1274" w:type="dxa"/>
          </w:tcPr>
          <w:p w14:paraId="7C86E060">
            <w:pPr>
              <w:kinsoku/>
              <w:rPr>
                <w:rFonts w:ascii="宋体" w:hAnsi="宋体" w:eastAsia="宋体" w:cs="宋体"/>
                <w:color w:val="000000" w:themeColor="text1"/>
                <w:highlight w:val="none"/>
                <w14:textFill>
                  <w14:solidFill>
                    <w14:schemeClr w14:val="tx1"/>
                  </w14:solidFill>
                </w14:textFill>
              </w:rPr>
            </w:pPr>
          </w:p>
        </w:tc>
        <w:tc>
          <w:tcPr>
            <w:tcW w:w="902" w:type="dxa"/>
          </w:tcPr>
          <w:p w14:paraId="3BB44556">
            <w:pPr>
              <w:kinsoku/>
              <w:rPr>
                <w:rFonts w:ascii="宋体" w:hAnsi="宋体" w:eastAsia="宋体" w:cs="宋体"/>
                <w:color w:val="000000" w:themeColor="text1"/>
                <w:highlight w:val="none"/>
                <w14:textFill>
                  <w14:solidFill>
                    <w14:schemeClr w14:val="tx1"/>
                  </w14:solidFill>
                </w14:textFill>
              </w:rPr>
            </w:pPr>
          </w:p>
        </w:tc>
        <w:tc>
          <w:tcPr>
            <w:tcW w:w="693" w:type="dxa"/>
          </w:tcPr>
          <w:p w14:paraId="4F7D04E2">
            <w:pPr>
              <w:kinsoku/>
              <w:rPr>
                <w:rFonts w:ascii="宋体" w:hAnsi="宋体" w:eastAsia="宋体" w:cs="宋体"/>
                <w:color w:val="000000" w:themeColor="text1"/>
                <w:highlight w:val="none"/>
                <w14:textFill>
                  <w14:solidFill>
                    <w14:schemeClr w14:val="tx1"/>
                  </w14:solidFill>
                </w14:textFill>
              </w:rPr>
            </w:pPr>
          </w:p>
        </w:tc>
        <w:tc>
          <w:tcPr>
            <w:tcW w:w="487" w:type="dxa"/>
          </w:tcPr>
          <w:p w14:paraId="701EB3E8">
            <w:pPr>
              <w:kinsoku/>
              <w:rPr>
                <w:rFonts w:ascii="宋体" w:hAnsi="宋体" w:eastAsia="宋体" w:cs="宋体"/>
                <w:color w:val="000000" w:themeColor="text1"/>
                <w:highlight w:val="none"/>
                <w14:textFill>
                  <w14:solidFill>
                    <w14:schemeClr w14:val="tx1"/>
                  </w14:solidFill>
                </w14:textFill>
              </w:rPr>
            </w:pPr>
          </w:p>
        </w:tc>
        <w:tc>
          <w:tcPr>
            <w:tcW w:w="1135" w:type="dxa"/>
          </w:tcPr>
          <w:p w14:paraId="395A979F">
            <w:pPr>
              <w:kinsoku/>
              <w:rPr>
                <w:rFonts w:ascii="宋体" w:hAnsi="宋体" w:eastAsia="宋体" w:cs="宋体"/>
                <w:color w:val="000000" w:themeColor="text1"/>
                <w:highlight w:val="none"/>
                <w14:textFill>
                  <w14:solidFill>
                    <w14:schemeClr w14:val="tx1"/>
                  </w14:solidFill>
                </w14:textFill>
              </w:rPr>
            </w:pPr>
          </w:p>
        </w:tc>
        <w:tc>
          <w:tcPr>
            <w:tcW w:w="707" w:type="dxa"/>
          </w:tcPr>
          <w:p w14:paraId="4303E510">
            <w:pPr>
              <w:kinsoku/>
              <w:rPr>
                <w:rFonts w:ascii="宋体" w:hAnsi="宋体" w:eastAsia="宋体" w:cs="宋体"/>
                <w:color w:val="000000" w:themeColor="text1"/>
                <w:highlight w:val="none"/>
                <w14:textFill>
                  <w14:solidFill>
                    <w14:schemeClr w14:val="tx1"/>
                  </w14:solidFill>
                </w14:textFill>
              </w:rPr>
            </w:pPr>
          </w:p>
        </w:tc>
        <w:tc>
          <w:tcPr>
            <w:tcW w:w="871" w:type="dxa"/>
          </w:tcPr>
          <w:p w14:paraId="3AE75410">
            <w:pPr>
              <w:kinsoku/>
              <w:rPr>
                <w:rFonts w:ascii="宋体" w:hAnsi="宋体" w:eastAsia="宋体" w:cs="宋体"/>
                <w:color w:val="000000" w:themeColor="text1"/>
                <w:highlight w:val="none"/>
                <w14:textFill>
                  <w14:solidFill>
                    <w14:schemeClr w14:val="tx1"/>
                  </w14:solidFill>
                </w14:textFill>
              </w:rPr>
            </w:pPr>
          </w:p>
        </w:tc>
        <w:tc>
          <w:tcPr>
            <w:tcW w:w="1140" w:type="dxa"/>
          </w:tcPr>
          <w:p w14:paraId="243FFAFA">
            <w:pPr>
              <w:kinsoku/>
              <w:rPr>
                <w:rFonts w:ascii="宋体" w:hAnsi="宋体" w:eastAsia="宋体" w:cs="宋体"/>
                <w:color w:val="000000" w:themeColor="text1"/>
                <w:highlight w:val="none"/>
                <w14:textFill>
                  <w14:solidFill>
                    <w14:schemeClr w14:val="tx1"/>
                  </w14:solidFill>
                </w14:textFill>
              </w:rPr>
            </w:pPr>
          </w:p>
        </w:tc>
      </w:tr>
      <w:tr w14:paraId="2C9AE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20" w:type="dxa"/>
          </w:tcPr>
          <w:p w14:paraId="376618BB">
            <w:pPr>
              <w:kinsoku/>
              <w:rPr>
                <w:rFonts w:ascii="宋体" w:hAnsi="宋体" w:eastAsia="宋体" w:cs="宋体"/>
                <w:color w:val="000000" w:themeColor="text1"/>
                <w:highlight w:val="none"/>
                <w14:textFill>
                  <w14:solidFill>
                    <w14:schemeClr w14:val="tx1"/>
                  </w14:solidFill>
                </w14:textFill>
              </w:rPr>
            </w:pPr>
          </w:p>
        </w:tc>
        <w:tc>
          <w:tcPr>
            <w:tcW w:w="1274" w:type="dxa"/>
          </w:tcPr>
          <w:p w14:paraId="1851D905">
            <w:pPr>
              <w:kinsoku/>
              <w:rPr>
                <w:rFonts w:ascii="宋体" w:hAnsi="宋体" w:eastAsia="宋体" w:cs="宋体"/>
                <w:color w:val="000000" w:themeColor="text1"/>
                <w:highlight w:val="none"/>
                <w14:textFill>
                  <w14:solidFill>
                    <w14:schemeClr w14:val="tx1"/>
                  </w14:solidFill>
                </w14:textFill>
              </w:rPr>
            </w:pPr>
          </w:p>
        </w:tc>
        <w:tc>
          <w:tcPr>
            <w:tcW w:w="902" w:type="dxa"/>
          </w:tcPr>
          <w:p w14:paraId="17C0BB7F">
            <w:pPr>
              <w:kinsoku/>
              <w:rPr>
                <w:rFonts w:ascii="宋体" w:hAnsi="宋体" w:eastAsia="宋体" w:cs="宋体"/>
                <w:color w:val="000000" w:themeColor="text1"/>
                <w:highlight w:val="none"/>
                <w14:textFill>
                  <w14:solidFill>
                    <w14:schemeClr w14:val="tx1"/>
                  </w14:solidFill>
                </w14:textFill>
              </w:rPr>
            </w:pPr>
          </w:p>
        </w:tc>
        <w:tc>
          <w:tcPr>
            <w:tcW w:w="693" w:type="dxa"/>
          </w:tcPr>
          <w:p w14:paraId="5B695978">
            <w:pPr>
              <w:kinsoku/>
              <w:rPr>
                <w:rFonts w:ascii="宋体" w:hAnsi="宋体" w:eastAsia="宋体" w:cs="宋体"/>
                <w:color w:val="000000" w:themeColor="text1"/>
                <w:highlight w:val="none"/>
                <w14:textFill>
                  <w14:solidFill>
                    <w14:schemeClr w14:val="tx1"/>
                  </w14:solidFill>
                </w14:textFill>
              </w:rPr>
            </w:pPr>
          </w:p>
        </w:tc>
        <w:tc>
          <w:tcPr>
            <w:tcW w:w="487" w:type="dxa"/>
          </w:tcPr>
          <w:p w14:paraId="2BD3FCCA">
            <w:pPr>
              <w:kinsoku/>
              <w:rPr>
                <w:rFonts w:ascii="宋体" w:hAnsi="宋体" w:eastAsia="宋体" w:cs="宋体"/>
                <w:color w:val="000000" w:themeColor="text1"/>
                <w:highlight w:val="none"/>
                <w14:textFill>
                  <w14:solidFill>
                    <w14:schemeClr w14:val="tx1"/>
                  </w14:solidFill>
                </w14:textFill>
              </w:rPr>
            </w:pPr>
          </w:p>
        </w:tc>
        <w:tc>
          <w:tcPr>
            <w:tcW w:w="1135" w:type="dxa"/>
          </w:tcPr>
          <w:p w14:paraId="322ED502">
            <w:pPr>
              <w:kinsoku/>
              <w:rPr>
                <w:rFonts w:ascii="宋体" w:hAnsi="宋体" w:eastAsia="宋体" w:cs="宋体"/>
                <w:color w:val="000000" w:themeColor="text1"/>
                <w:highlight w:val="none"/>
                <w14:textFill>
                  <w14:solidFill>
                    <w14:schemeClr w14:val="tx1"/>
                  </w14:solidFill>
                </w14:textFill>
              </w:rPr>
            </w:pPr>
          </w:p>
        </w:tc>
        <w:tc>
          <w:tcPr>
            <w:tcW w:w="707" w:type="dxa"/>
          </w:tcPr>
          <w:p w14:paraId="7BE320FE">
            <w:pPr>
              <w:kinsoku/>
              <w:rPr>
                <w:rFonts w:ascii="宋体" w:hAnsi="宋体" w:eastAsia="宋体" w:cs="宋体"/>
                <w:color w:val="000000" w:themeColor="text1"/>
                <w:highlight w:val="none"/>
                <w14:textFill>
                  <w14:solidFill>
                    <w14:schemeClr w14:val="tx1"/>
                  </w14:solidFill>
                </w14:textFill>
              </w:rPr>
            </w:pPr>
          </w:p>
        </w:tc>
        <w:tc>
          <w:tcPr>
            <w:tcW w:w="871" w:type="dxa"/>
          </w:tcPr>
          <w:p w14:paraId="2FF5F9A4">
            <w:pPr>
              <w:kinsoku/>
              <w:rPr>
                <w:rFonts w:ascii="宋体" w:hAnsi="宋体" w:eastAsia="宋体" w:cs="宋体"/>
                <w:color w:val="000000" w:themeColor="text1"/>
                <w:highlight w:val="none"/>
                <w14:textFill>
                  <w14:solidFill>
                    <w14:schemeClr w14:val="tx1"/>
                  </w14:solidFill>
                </w14:textFill>
              </w:rPr>
            </w:pPr>
          </w:p>
        </w:tc>
        <w:tc>
          <w:tcPr>
            <w:tcW w:w="1140" w:type="dxa"/>
          </w:tcPr>
          <w:p w14:paraId="3A876C9F">
            <w:pPr>
              <w:kinsoku/>
              <w:rPr>
                <w:rFonts w:ascii="宋体" w:hAnsi="宋体" w:eastAsia="宋体" w:cs="宋体"/>
                <w:color w:val="000000" w:themeColor="text1"/>
                <w:highlight w:val="none"/>
                <w14:textFill>
                  <w14:solidFill>
                    <w14:schemeClr w14:val="tx1"/>
                  </w14:solidFill>
                </w14:textFill>
              </w:rPr>
            </w:pPr>
          </w:p>
        </w:tc>
      </w:tr>
    </w:tbl>
    <w:p w14:paraId="67B76831">
      <w:pPr>
        <w:kinsoku/>
        <w:spacing w:before="156" w:line="220" w:lineRule="auto"/>
        <w:ind w:left="3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注：本表填报的人员应满足招标文件第二章“投标人须知 ”前附表附录5的要求。</w:t>
      </w:r>
    </w:p>
    <w:p w14:paraId="37C8F335">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0DAED5D">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CF4258E">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A44A993">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6FFB9B9E">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B8093CD">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ADE77B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093C16E">
      <w:pPr>
        <w:kinsoku/>
        <w:spacing w:line="430" w:lineRule="auto"/>
        <w:rPr>
          <w:rFonts w:ascii="宋体" w:hAnsi="宋体" w:eastAsia="宋体" w:cs="宋体"/>
          <w:color w:val="000000" w:themeColor="text1"/>
          <w:highlight w:val="none"/>
          <w:lang w:eastAsia="zh-CN"/>
          <w14:textFill>
            <w14:solidFill>
              <w14:schemeClr w14:val="tx1"/>
            </w14:solidFill>
          </w14:textFill>
        </w:rPr>
      </w:pPr>
    </w:p>
    <w:p w14:paraId="47C04F90">
      <w:pPr>
        <w:kinsoku/>
        <w:rPr>
          <w:rFonts w:ascii="宋体" w:hAnsi="宋体" w:eastAsia="宋体" w:cs="宋体"/>
          <w:color w:val="000000" w:themeColor="text1"/>
          <w:sz w:val="24"/>
          <w:szCs w:val="24"/>
          <w:highlight w:val="none"/>
          <w:lang w:eastAsia="zh-CN"/>
          <w14:textFill>
            <w14:solidFill>
              <w14:schemeClr w14:val="tx1"/>
            </w14:solidFill>
          </w14:textFill>
        </w:rPr>
      </w:pPr>
      <w:bookmarkStart w:id="486" w:name="bookmark300"/>
      <w:bookmarkEnd w:id="486"/>
      <w:bookmarkStart w:id="487" w:name="bookmark299"/>
      <w:bookmarkEnd w:id="487"/>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3AFCA52F">
      <w:pPr>
        <w:kinsoku/>
        <w:spacing w:before="78" w:line="224" w:lineRule="auto"/>
        <w:ind w:left="2418"/>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（七）拟委任的分项负责人资历表</w:t>
      </w:r>
    </w:p>
    <w:p w14:paraId="1F20784E">
      <w:pPr>
        <w:kinsoku/>
        <w:spacing w:line="234"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6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3"/>
        <w:gridCol w:w="50"/>
        <w:gridCol w:w="1334"/>
        <w:gridCol w:w="101"/>
        <w:gridCol w:w="1046"/>
        <w:gridCol w:w="1363"/>
        <w:gridCol w:w="333"/>
        <w:gridCol w:w="1521"/>
        <w:gridCol w:w="382"/>
        <w:gridCol w:w="1271"/>
      </w:tblGrid>
      <w:tr w14:paraId="78750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1223" w:type="dxa"/>
            <w:vAlign w:val="center"/>
          </w:tcPr>
          <w:p w14:paraId="19F28759">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    名</w:t>
            </w:r>
          </w:p>
        </w:tc>
        <w:tc>
          <w:tcPr>
            <w:tcW w:w="1485" w:type="dxa"/>
            <w:gridSpan w:val="3"/>
            <w:vAlign w:val="center"/>
          </w:tcPr>
          <w:p w14:paraId="47DF80B7">
            <w:pPr>
              <w:kinsoku/>
              <w:jc w:val="center"/>
              <w:rPr>
                <w:rFonts w:ascii="宋体" w:hAnsi="宋体" w:eastAsia="宋体" w:cs="宋体"/>
                <w:color w:val="000000" w:themeColor="text1"/>
                <w:highlight w:val="none"/>
                <w14:textFill>
                  <w14:solidFill>
                    <w14:schemeClr w14:val="tx1"/>
                  </w14:solidFill>
                </w14:textFill>
              </w:rPr>
            </w:pPr>
          </w:p>
        </w:tc>
        <w:tc>
          <w:tcPr>
            <w:tcW w:w="1046" w:type="dxa"/>
            <w:vAlign w:val="center"/>
          </w:tcPr>
          <w:p w14:paraId="066B5F23">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    龄</w:t>
            </w:r>
          </w:p>
        </w:tc>
        <w:tc>
          <w:tcPr>
            <w:tcW w:w="1363" w:type="dxa"/>
            <w:vAlign w:val="center"/>
          </w:tcPr>
          <w:p w14:paraId="40C42DF4">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7BB7F07C">
            <w:pPr>
              <w:kinsoku/>
              <w:spacing w:before="219" w:line="307" w:lineRule="auto"/>
              <w:ind w:right="82"/>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执业或职业资格证书名称</w:t>
            </w:r>
          </w:p>
        </w:tc>
        <w:tc>
          <w:tcPr>
            <w:tcW w:w="1653" w:type="dxa"/>
            <w:gridSpan w:val="2"/>
            <w:vAlign w:val="center"/>
          </w:tcPr>
          <w:p w14:paraId="37C8BA73">
            <w:pPr>
              <w:kinsoku/>
              <w:jc w:val="center"/>
              <w:rPr>
                <w:rFonts w:ascii="宋体" w:hAnsi="宋体" w:eastAsia="宋体" w:cs="宋体"/>
                <w:color w:val="000000" w:themeColor="text1"/>
                <w:highlight w:val="none"/>
                <w:lang w:eastAsia="zh-CN"/>
                <w14:textFill>
                  <w14:solidFill>
                    <w14:schemeClr w14:val="tx1"/>
                  </w14:solidFill>
                </w14:textFill>
              </w:rPr>
            </w:pPr>
          </w:p>
        </w:tc>
      </w:tr>
      <w:tr w14:paraId="2B096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1223" w:type="dxa"/>
            <w:vAlign w:val="center"/>
          </w:tcPr>
          <w:p w14:paraId="16FAB4D2">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485" w:type="dxa"/>
            <w:gridSpan w:val="3"/>
            <w:vAlign w:val="center"/>
          </w:tcPr>
          <w:p w14:paraId="527D3E0A">
            <w:pPr>
              <w:kinsoku/>
              <w:jc w:val="center"/>
              <w:rPr>
                <w:rFonts w:ascii="宋体" w:hAnsi="宋体" w:eastAsia="宋体" w:cs="宋体"/>
                <w:color w:val="000000" w:themeColor="text1"/>
                <w:highlight w:val="none"/>
                <w14:textFill>
                  <w14:solidFill>
                    <w14:schemeClr w14:val="tx1"/>
                  </w14:solidFill>
                </w14:textFill>
              </w:rPr>
            </w:pPr>
          </w:p>
        </w:tc>
        <w:tc>
          <w:tcPr>
            <w:tcW w:w="1046" w:type="dxa"/>
            <w:vAlign w:val="center"/>
          </w:tcPr>
          <w:p w14:paraId="5B2CDE5E">
            <w:pPr>
              <w:kinsoku/>
              <w:spacing w:before="69"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学    历</w:t>
            </w:r>
          </w:p>
        </w:tc>
        <w:tc>
          <w:tcPr>
            <w:tcW w:w="1363" w:type="dxa"/>
            <w:vAlign w:val="center"/>
          </w:tcPr>
          <w:p w14:paraId="773F2477">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372E07A2">
            <w:pPr>
              <w:tabs>
                <w:tab w:val="left" w:pos="1830"/>
              </w:tabs>
              <w:kinsoku/>
              <w:spacing w:before="213" w:line="335" w:lineRule="auto"/>
              <w:ind w:right="24"/>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拟在本标段工程任职</w:t>
            </w:r>
          </w:p>
        </w:tc>
        <w:tc>
          <w:tcPr>
            <w:tcW w:w="1653" w:type="dxa"/>
            <w:gridSpan w:val="2"/>
            <w:vAlign w:val="center"/>
          </w:tcPr>
          <w:p w14:paraId="7FA0CE94">
            <w:pPr>
              <w:kinsoku/>
              <w:jc w:val="center"/>
              <w:rPr>
                <w:rFonts w:ascii="宋体" w:hAnsi="宋体" w:eastAsia="宋体" w:cs="宋体"/>
                <w:color w:val="000000" w:themeColor="text1"/>
                <w:highlight w:val="none"/>
                <w14:textFill>
                  <w14:solidFill>
                    <w14:schemeClr w14:val="tx1"/>
                  </w14:solidFill>
                </w14:textFill>
              </w:rPr>
            </w:pPr>
          </w:p>
        </w:tc>
      </w:tr>
      <w:tr w14:paraId="5460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223" w:type="dxa"/>
            <w:vAlign w:val="center"/>
          </w:tcPr>
          <w:p w14:paraId="331DD7D1">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工作年限</w:t>
            </w:r>
          </w:p>
        </w:tc>
        <w:tc>
          <w:tcPr>
            <w:tcW w:w="3894" w:type="dxa"/>
            <w:gridSpan w:val="5"/>
            <w:vAlign w:val="center"/>
          </w:tcPr>
          <w:p w14:paraId="6C47176A">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1D2B4421">
            <w:pPr>
              <w:kinsoku/>
              <w:spacing w:before="215" w:line="307" w:lineRule="auto"/>
              <w:ind w:right="8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类似设计工作年限</w:t>
            </w:r>
          </w:p>
        </w:tc>
        <w:tc>
          <w:tcPr>
            <w:tcW w:w="1653" w:type="dxa"/>
            <w:gridSpan w:val="2"/>
            <w:vAlign w:val="center"/>
          </w:tcPr>
          <w:p w14:paraId="1E754446">
            <w:pPr>
              <w:kinsoku/>
              <w:jc w:val="center"/>
              <w:rPr>
                <w:rFonts w:ascii="宋体" w:hAnsi="宋体" w:eastAsia="宋体" w:cs="宋体"/>
                <w:color w:val="000000" w:themeColor="text1"/>
                <w:highlight w:val="none"/>
                <w14:textFill>
                  <w14:solidFill>
                    <w14:schemeClr w14:val="tx1"/>
                  </w14:solidFill>
                </w14:textFill>
              </w:rPr>
            </w:pPr>
          </w:p>
        </w:tc>
      </w:tr>
      <w:tr w14:paraId="287E9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23" w:type="dxa"/>
          </w:tcPr>
          <w:p w14:paraId="04D7679D">
            <w:pPr>
              <w:kinsoku/>
              <w:spacing w:before="215" w:line="221" w:lineRule="auto"/>
              <w:ind w:left="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毕业学校</w:t>
            </w:r>
          </w:p>
        </w:tc>
        <w:tc>
          <w:tcPr>
            <w:tcW w:w="7401" w:type="dxa"/>
            <w:gridSpan w:val="9"/>
          </w:tcPr>
          <w:p w14:paraId="326724B2">
            <w:pPr>
              <w:tabs>
                <w:tab w:val="left" w:pos="529"/>
              </w:tabs>
              <w:kinsoku/>
              <w:spacing w:before="215" w:line="221"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年</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月毕业于</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学校</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专业，学制</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年</w:t>
            </w:r>
          </w:p>
        </w:tc>
      </w:tr>
      <w:tr w14:paraId="6640A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24" w:type="dxa"/>
            <w:gridSpan w:val="10"/>
          </w:tcPr>
          <w:p w14:paraId="75C65EB7">
            <w:pPr>
              <w:kinsoku/>
              <w:spacing w:before="216" w:line="223" w:lineRule="auto"/>
              <w:ind w:left="3636"/>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         历</w:t>
            </w:r>
          </w:p>
        </w:tc>
      </w:tr>
      <w:tr w14:paraId="0304D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273" w:type="dxa"/>
            <w:gridSpan w:val="2"/>
            <w:vAlign w:val="center"/>
          </w:tcPr>
          <w:p w14:paraId="73F5F4B9">
            <w:pPr>
              <w:kinsoku/>
              <w:spacing w:before="69" w:line="223"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  间</w:t>
            </w:r>
          </w:p>
        </w:tc>
        <w:tc>
          <w:tcPr>
            <w:tcW w:w="4177" w:type="dxa"/>
            <w:gridSpan w:val="5"/>
            <w:vAlign w:val="center"/>
          </w:tcPr>
          <w:p w14:paraId="31026BE0">
            <w:pPr>
              <w:kinsoku/>
              <w:spacing w:before="68" w:line="221"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参加过的类似工程项目名称</w:t>
            </w:r>
          </w:p>
        </w:tc>
        <w:tc>
          <w:tcPr>
            <w:tcW w:w="1903" w:type="dxa"/>
            <w:gridSpan w:val="2"/>
            <w:vAlign w:val="center"/>
          </w:tcPr>
          <w:p w14:paraId="5637421B">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担任职务</w:t>
            </w:r>
          </w:p>
        </w:tc>
        <w:tc>
          <w:tcPr>
            <w:tcW w:w="1271" w:type="dxa"/>
            <w:vAlign w:val="center"/>
          </w:tcPr>
          <w:p w14:paraId="7CB220E8">
            <w:pPr>
              <w:kinsoku/>
              <w:spacing w:before="216" w:line="306" w:lineRule="auto"/>
              <w:ind w:right="107"/>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发包人及联系电话</w:t>
            </w:r>
          </w:p>
        </w:tc>
      </w:tr>
      <w:tr w14:paraId="367A4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55F625BE">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1290E87C">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785B0814">
            <w:pPr>
              <w:kinsoku/>
              <w:rPr>
                <w:rFonts w:ascii="宋体" w:hAnsi="宋体" w:eastAsia="宋体" w:cs="宋体"/>
                <w:color w:val="000000" w:themeColor="text1"/>
                <w:highlight w:val="none"/>
                <w14:textFill>
                  <w14:solidFill>
                    <w14:schemeClr w14:val="tx1"/>
                  </w14:solidFill>
                </w14:textFill>
              </w:rPr>
            </w:pPr>
          </w:p>
        </w:tc>
        <w:tc>
          <w:tcPr>
            <w:tcW w:w="1271" w:type="dxa"/>
          </w:tcPr>
          <w:p w14:paraId="17C3F764">
            <w:pPr>
              <w:kinsoku/>
              <w:rPr>
                <w:rFonts w:ascii="宋体" w:hAnsi="宋体" w:eastAsia="宋体" w:cs="宋体"/>
                <w:color w:val="000000" w:themeColor="text1"/>
                <w:highlight w:val="none"/>
                <w14:textFill>
                  <w14:solidFill>
                    <w14:schemeClr w14:val="tx1"/>
                  </w14:solidFill>
                </w14:textFill>
              </w:rPr>
            </w:pPr>
          </w:p>
        </w:tc>
      </w:tr>
      <w:tr w14:paraId="7DA4C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1F4CC122">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4DBE1810">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0C2C4F17">
            <w:pPr>
              <w:kinsoku/>
              <w:rPr>
                <w:rFonts w:ascii="宋体" w:hAnsi="宋体" w:eastAsia="宋体" w:cs="宋体"/>
                <w:color w:val="000000" w:themeColor="text1"/>
                <w:highlight w:val="none"/>
                <w14:textFill>
                  <w14:solidFill>
                    <w14:schemeClr w14:val="tx1"/>
                  </w14:solidFill>
                </w14:textFill>
              </w:rPr>
            </w:pPr>
          </w:p>
        </w:tc>
        <w:tc>
          <w:tcPr>
            <w:tcW w:w="1271" w:type="dxa"/>
          </w:tcPr>
          <w:p w14:paraId="2B5F48EB">
            <w:pPr>
              <w:kinsoku/>
              <w:rPr>
                <w:rFonts w:ascii="宋体" w:hAnsi="宋体" w:eastAsia="宋体" w:cs="宋体"/>
                <w:color w:val="000000" w:themeColor="text1"/>
                <w:highlight w:val="none"/>
                <w14:textFill>
                  <w14:solidFill>
                    <w14:schemeClr w14:val="tx1"/>
                  </w14:solidFill>
                </w14:textFill>
              </w:rPr>
            </w:pPr>
          </w:p>
        </w:tc>
      </w:tr>
      <w:tr w14:paraId="6FF0C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273" w:type="dxa"/>
            <w:gridSpan w:val="2"/>
          </w:tcPr>
          <w:p w14:paraId="0D2EE8CD">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1818B85A">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9025E52">
            <w:pPr>
              <w:kinsoku/>
              <w:rPr>
                <w:rFonts w:ascii="宋体" w:hAnsi="宋体" w:eastAsia="宋体" w:cs="宋体"/>
                <w:color w:val="000000" w:themeColor="text1"/>
                <w:highlight w:val="none"/>
                <w14:textFill>
                  <w14:solidFill>
                    <w14:schemeClr w14:val="tx1"/>
                  </w14:solidFill>
                </w14:textFill>
              </w:rPr>
            </w:pPr>
          </w:p>
        </w:tc>
        <w:tc>
          <w:tcPr>
            <w:tcW w:w="1271" w:type="dxa"/>
          </w:tcPr>
          <w:p w14:paraId="2D079EBA">
            <w:pPr>
              <w:kinsoku/>
              <w:rPr>
                <w:rFonts w:ascii="宋体" w:hAnsi="宋体" w:eastAsia="宋体" w:cs="宋体"/>
                <w:color w:val="000000" w:themeColor="text1"/>
                <w:highlight w:val="none"/>
                <w14:textFill>
                  <w14:solidFill>
                    <w14:schemeClr w14:val="tx1"/>
                  </w14:solidFill>
                </w14:textFill>
              </w:rPr>
            </w:pPr>
          </w:p>
        </w:tc>
      </w:tr>
      <w:tr w14:paraId="1D4EF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0D76E6F7">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25CED0E5">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05722D3F">
            <w:pPr>
              <w:kinsoku/>
              <w:rPr>
                <w:rFonts w:ascii="宋体" w:hAnsi="宋体" w:eastAsia="宋体" w:cs="宋体"/>
                <w:color w:val="000000" w:themeColor="text1"/>
                <w:highlight w:val="none"/>
                <w14:textFill>
                  <w14:solidFill>
                    <w14:schemeClr w14:val="tx1"/>
                  </w14:solidFill>
                </w14:textFill>
              </w:rPr>
            </w:pPr>
          </w:p>
        </w:tc>
        <w:tc>
          <w:tcPr>
            <w:tcW w:w="1271" w:type="dxa"/>
          </w:tcPr>
          <w:p w14:paraId="6FF26383">
            <w:pPr>
              <w:kinsoku/>
              <w:rPr>
                <w:rFonts w:ascii="宋体" w:hAnsi="宋体" w:eastAsia="宋体" w:cs="宋体"/>
                <w:color w:val="000000" w:themeColor="text1"/>
                <w:highlight w:val="none"/>
                <w14:textFill>
                  <w14:solidFill>
                    <w14:schemeClr w14:val="tx1"/>
                  </w14:solidFill>
                </w14:textFill>
              </w:rPr>
            </w:pPr>
          </w:p>
        </w:tc>
      </w:tr>
      <w:tr w14:paraId="700DE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73" w:type="dxa"/>
            <w:gridSpan w:val="2"/>
          </w:tcPr>
          <w:p w14:paraId="5A8BCCFB">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5F43E5BA">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AB62335">
            <w:pPr>
              <w:kinsoku/>
              <w:rPr>
                <w:rFonts w:ascii="宋体" w:hAnsi="宋体" w:eastAsia="宋体" w:cs="宋体"/>
                <w:color w:val="000000" w:themeColor="text1"/>
                <w:highlight w:val="none"/>
                <w14:textFill>
                  <w14:solidFill>
                    <w14:schemeClr w14:val="tx1"/>
                  </w14:solidFill>
                </w14:textFill>
              </w:rPr>
            </w:pPr>
          </w:p>
        </w:tc>
        <w:tc>
          <w:tcPr>
            <w:tcW w:w="1271" w:type="dxa"/>
          </w:tcPr>
          <w:p w14:paraId="60410DE5">
            <w:pPr>
              <w:kinsoku/>
              <w:rPr>
                <w:rFonts w:ascii="宋体" w:hAnsi="宋体" w:eastAsia="宋体" w:cs="宋体"/>
                <w:color w:val="000000" w:themeColor="text1"/>
                <w:highlight w:val="none"/>
                <w14:textFill>
                  <w14:solidFill>
                    <w14:schemeClr w14:val="tx1"/>
                  </w14:solidFill>
                </w14:textFill>
              </w:rPr>
            </w:pPr>
          </w:p>
        </w:tc>
      </w:tr>
      <w:tr w14:paraId="5549F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51130501">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529BD240">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522546F7">
            <w:pPr>
              <w:kinsoku/>
              <w:rPr>
                <w:rFonts w:ascii="宋体" w:hAnsi="宋体" w:eastAsia="宋体" w:cs="宋体"/>
                <w:color w:val="000000" w:themeColor="text1"/>
                <w:highlight w:val="none"/>
                <w14:textFill>
                  <w14:solidFill>
                    <w14:schemeClr w14:val="tx1"/>
                  </w14:solidFill>
                </w14:textFill>
              </w:rPr>
            </w:pPr>
          </w:p>
        </w:tc>
        <w:tc>
          <w:tcPr>
            <w:tcW w:w="1271" w:type="dxa"/>
          </w:tcPr>
          <w:p w14:paraId="05EAF82C">
            <w:pPr>
              <w:kinsoku/>
              <w:rPr>
                <w:rFonts w:ascii="宋体" w:hAnsi="宋体" w:eastAsia="宋体" w:cs="宋体"/>
                <w:color w:val="000000" w:themeColor="text1"/>
                <w:highlight w:val="none"/>
                <w14:textFill>
                  <w14:solidFill>
                    <w14:schemeClr w14:val="tx1"/>
                  </w14:solidFill>
                </w14:textFill>
              </w:rPr>
            </w:pPr>
          </w:p>
        </w:tc>
      </w:tr>
      <w:tr w14:paraId="1CAED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69E14382">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684A32B8">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F5891F2">
            <w:pPr>
              <w:kinsoku/>
              <w:rPr>
                <w:rFonts w:ascii="宋体" w:hAnsi="宋体" w:eastAsia="宋体" w:cs="宋体"/>
                <w:color w:val="000000" w:themeColor="text1"/>
                <w:highlight w:val="none"/>
                <w14:textFill>
                  <w14:solidFill>
                    <w14:schemeClr w14:val="tx1"/>
                  </w14:solidFill>
                </w14:textFill>
              </w:rPr>
            </w:pPr>
          </w:p>
        </w:tc>
        <w:tc>
          <w:tcPr>
            <w:tcW w:w="1271" w:type="dxa"/>
          </w:tcPr>
          <w:p w14:paraId="4C2A9BBC">
            <w:pPr>
              <w:kinsoku/>
              <w:rPr>
                <w:rFonts w:ascii="宋体" w:hAnsi="宋体" w:eastAsia="宋体" w:cs="宋体"/>
                <w:color w:val="000000" w:themeColor="text1"/>
                <w:highlight w:val="none"/>
                <w14:textFill>
                  <w14:solidFill>
                    <w14:schemeClr w14:val="tx1"/>
                  </w14:solidFill>
                </w14:textFill>
              </w:rPr>
            </w:pPr>
          </w:p>
        </w:tc>
      </w:tr>
      <w:tr w14:paraId="372BA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607" w:type="dxa"/>
            <w:gridSpan w:val="3"/>
            <w:vAlign w:val="center"/>
          </w:tcPr>
          <w:p w14:paraId="0B1CBFAC">
            <w:pPr>
              <w:kinsoku/>
              <w:spacing w:before="21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获奖情况</w:t>
            </w:r>
          </w:p>
        </w:tc>
        <w:tc>
          <w:tcPr>
            <w:tcW w:w="6017" w:type="dxa"/>
            <w:gridSpan w:val="7"/>
          </w:tcPr>
          <w:p w14:paraId="7F473829">
            <w:pPr>
              <w:kinsoku/>
              <w:rPr>
                <w:rFonts w:ascii="宋体" w:hAnsi="宋体" w:eastAsia="宋体" w:cs="宋体"/>
                <w:color w:val="000000" w:themeColor="text1"/>
                <w:highlight w:val="none"/>
                <w14:textFill>
                  <w14:solidFill>
                    <w14:schemeClr w14:val="tx1"/>
                  </w14:solidFill>
                </w14:textFill>
              </w:rPr>
            </w:pPr>
          </w:p>
        </w:tc>
      </w:tr>
      <w:tr w14:paraId="09FD4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2607" w:type="dxa"/>
            <w:gridSpan w:val="3"/>
            <w:vAlign w:val="center"/>
          </w:tcPr>
          <w:p w14:paraId="62CEE082">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目前承担的任务</w:t>
            </w:r>
          </w:p>
        </w:tc>
        <w:tc>
          <w:tcPr>
            <w:tcW w:w="6017" w:type="dxa"/>
            <w:gridSpan w:val="7"/>
          </w:tcPr>
          <w:p w14:paraId="25B0976A">
            <w:pPr>
              <w:kinsoku/>
              <w:rPr>
                <w:rFonts w:ascii="宋体" w:hAnsi="宋体" w:eastAsia="宋体" w:cs="宋体"/>
                <w:color w:val="000000" w:themeColor="text1"/>
                <w:highlight w:val="none"/>
                <w14:textFill>
                  <w14:solidFill>
                    <w14:schemeClr w14:val="tx1"/>
                  </w14:solidFill>
                </w14:textFill>
              </w:rPr>
            </w:pPr>
          </w:p>
        </w:tc>
      </w:tr>
      <w:tr w14:paraId="52435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2607" w:type="dxa"/>
            <w:gridSpan w:val="3"/>
            <w:vAlign w:val="center"/>
          </w:tcPr>
          <w:p w14:paraId="21601256">
            <w:pPr>
              <w:kinsoku/>
              <w:spacing w:before="69"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     注</w:t>
            </w:r>
          </w:p>
        </w:tc>
        <w:tc>
          <w:tcPr>
            <w:tcW w:w="6017" w:type="dxa"/>
            <w:gridSpan w:val="7"/>
          </w:tcPr>
          <w:p w14:paraId="14E3AC44">
            <w:pPr>
              <w:kinsoku/>
              <w:rPr>
                <w:rFonts w:ascii="宋体" w:hAnsi="宋体" w:eastAsia="宋体" w:cs="宋体"/>
                <w:color w:val="000000" w:themeColor="text1"/>
                <w:highlight w:val="none"/>
                <w14:textFill>
                  <w14:solidFill>
                    <w14:schemeClr w14:val="tx1"/>
                  </w14:solidFill>
                </w14:textFill>
              </w:rPr>
            </w:pPr>
          </w:p>
        </w:tc>
      </w:tr>
    </w:tbl>
    <w:p w14:paraId="2B27E093">
      <w:pPr>
        <w:kinsoku/>
        <w:spacing w:before="156" w:line="220" w:lineRule="auto"/>
        <w:ind w:left="4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注：1.本表人员应与表（六）中所列人员相一致。</w:t>
      </w:r>
    </w:p>
    <w:p w14:paraId="608FD610">
      <w:pPr>
        <w:kinsoku/>
        <w:spacing w:before="52" w:line="220" w:lineRule="auto"/>
        <w:jc w:val="right"/>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2.投标人应根据招标文件第二章“投标人须知 ”第3.5.5项的要求在本表后附相关证明材料。</w:t>
      </w:r>
    </w:p>
    <w:p w14:paraId="72E39E3A">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6CE53E6">
      <w:pPr>
        <w:kinsoku/>
        <w:autoSpaceDE/>
        <w:autoSpaceDN/>
        <w:adjustRightInd/>
        <w:snapToGrid/>
        <w:textAlignment w:val="auto"/>
        <w:rPr>
          <w:rFonts w:ascii="宋体" w:hAnsi="宋体" w:eastAsia="宋体" w:cs="宋体"/>
          <w:color w:val="000000" w:themeColor="text1"/>
          <w:sz w:val="28"/>
          <w:szCs w:val="28"/>
          <w:highlight w:val="none"/>
          <w:lang w:eastAsia="zh-CN"/>
          <w14:textFill>
            <w14:solidFill>
              <w14:schemeClr w14:val="tx1"/>
            </w14:solidFill>
          </w14:textFill>
        </w:rPr>
      </w:pPr>
      <w:r>
        <w:rPr>
          <w:rFonts w:ascii="宋体" w:hAnsi="宋体" w:eastAsia="宋体" w:cs="宋体"/>
          <w:color w:val="000000" w:themeColor="text1"/>
          <w:sz w:val="28"/>
          <w:szCs w:val="28"/>
          <w:highlight w:val="none"/>
          <w:lang w:eastAsia="zh-CN"/>
          <w14:textFill>
            <w14:solidFill>
              <w14:schemeClr w14:val="tx1"/>
            </w14:solidFill>
          </w14:textFill>
        </w:rPr>
        <w:br w:type="page"/>
      </w:r>
    </w:p>
    <w:p w14:paraId="29FAE97A">
      <w:pPr>
        <w:kinsoku/>
        <w:spacing w:before="91" w:line="219" w:lineRule="auto"/>
        <w:ind w:left="3478"/>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七、其他资料</w:t>
      </w:r>
    </w:p>
    <w:p w14:paraId="382884C1">
      <w:pPr>
        <w:pStyle w:val="25"/>
        <w:ind w:firstLine="0"/>
        <w:rPr>
          <w:color w:val="000000" w:themeColor="text1"/>
          <w:highlight w:val="none"/>
          <w:lang w:eastAsia="zh-CN"/>
          <w14:textFill>
            <w14:solidFill>
              <w14:schemeClr w14:val="tx1"/>
            </w14:solidFill>
          </w14:textFill>
        </w:rPr>
      </w:pPr>
    </w:p>
    <w:p w14:paraId="07DBD5DD">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488" w:name="_Toc24696"/>
      <w:r>
        <w:rPr>
          <w:rFonts w:hint="eastAsia" w:ascii="宋体" w:hAnsi="宋体" w:eastAsia="宋体" w:cs="宋体"/>
          <w:color w:val="000000" w:themeColor="text1"/>
          <w:sz w:val="24"/>
          <w:szCs w:val="24"/>
          <w:highlight w:val="none"/>
          <w:lang w:eastAsia="zh-CN"/>
          <w14:textFill>
            <w14:solidFill>
              <w14:schemeClr w14:val="tx1"/>
            </w14:solidFill>
          </w14:textFill>
        </w:rPr>
        <w:t>1.提供“7‐1使用广东省信用评价等级的申请承诺书及附表”</w:t>
      </w:r>
      <w:bookmarkEnd w:id="488"/>
    </w:p>
    <w:p w14:paraId="0307B44E">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489" w:name="_Toc2150"/>
      <w:bookmarkStart w:id="490" w:name="_Toc6667"/>
      <w:r>
        <w:rPr>
          <w:rFonts w:hint="eastAsia" w:ascii="宋体" w:hAnsi="宋体" w:eastAsia="宋体" w:cs="宋体"/>
          <w:color w:val="000000" w:themeColor="text1"/>
          <w:sz w:val="24"/>
          <w:szCs w:val="24"/>
          <w:highlight w:val="none"/>
          <w:lang w:eastAsia="zh-CN"/>
          <w14:textFill>
            <w14:solidFill>
              <w14:schemeClr w14:val="tx1"/>
            </w14:solidFill>
          </w14:textFill>
        </w:rPr>
        <w:t>2.“7‐2投标人自评分表”；</w:t>
      </w:r>
      <w:bookmarkEnd w:id="489"/>
      <w:bookmarkEnd w:id="490"/>
    </w:p>
    <w:p w14:paraId="0FAA1321">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491" w:name="_Toc19963"/>
      <w:bookmarkStart w:id="492" w:name="_Toc13721"/>
      <w:r>
        <w:rPr>
          <w:rFonts w:hint="eastAsia" w:ascii="宋体" w:hAnsi="宋体" w:eastAsia="宋体" w:cs="宋体"/>
          <w:color w:val="000000" w:themeColor="text1"/>
          <w:sz w:val="24"/>
          <w:szCs w:val="24"/>
          <w:highlight w:val="none"/>
          <w:lang w:eastAsia="zh-CN"/>
          <w14:textFill>
            <w14:solidFill>
              <w14:schemeClr w14:val="tx1"/>
            </w14:solidFill>
          </w14:textFill>
        </w:rPr>
        <w:t>3.提供最新年度广东省公路工程从业单位信用评价等级（若有），并</w:t>
      </w:r>
      <w:bookmarkEnd w:id="491"/>
      <w:bookmarkStart w:id="493" w:name="_Toc27293"/>
      <w:r>
        <w:rPr>
          <w:rFonts w:hint="eastAsia" w:ascii="宋体" w:hAnsi="宋体" w:eastAsia="宋体" w:cs="宋体"/>
          <w:color w:val="000000" w:themeColor="text1"/>
          <w:sz w:val="24"/>
          <w:szCs w:val="24"/>
          <w:highlight w:val="none"/>
          <w:lang w:eastAsia="zh-CN"/>
          <w14:textFill>
            <w14:solidFill>
              <w14:schemeClr w14:val="tx1"/>
            </w14:solidFill>
          </w14:textFill>
        </w:rPr>
        <w:t>标识单位所在位置；</w:t>
      </w:r>
      <w:bookmarkEnd w:id="492"/>
      <w:bookmarkEnd w:id="493"/>
    </w:p>
    <w:p w14:paraId="4C6C943E">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494" w:name="_Toc11797"/>
      <w:bookmarkStart w:id="495" w:name="_Toc13429"/>
      <w:r>
        <w:rPr>
          <w:rFonts w:hint="eastAsia" w:ascii="宋体" w:hAnsi="宋体" w:eastAsia="宋体" w:cs="宋体"/>
          <w:color w:val="000000" w:themeColor="text1"/>
          <w:sz w:val="24"/>
          <w:szCs w:val="24"/>
          <w:highlight w:val="none"/>
          <w:lang w:eastAsia="zh-CN"/>
          <w14:textFill>
            <w14:solidFill>
              <w14:schemeClr w14:val="tx1"/>
            </w14:solidFill>
          </w14:textFill>
        </w:rPr>
        <w:t>4.初次进入广东省且在在最新年度的全国综合评价结果为C级或D级</w:t>
      </w:r>
      <w:bookmarkEnd w:id="494"/>
      <w:bookmarkStart w:id="496" w:name="_Toc3974"/>
      <w:r>
        <w:rPr>
          <w:rFonts w:hint="eastAsia" w:ascii="宋体" w:hAnsi="宋体" w:eastAsia="宋体" w:cs="宋体"/>
          <w:color w:val="000000" w:themeColor="text1"/>
          <w:sz w:val="24"/>
          <w:szCs w:val="24"/>
          <w:highlight w:val="none"/>
          <w:lang w:eastAsia="zh-CN"/>
          <w14:textFill>
            <w14:solidFill>
              <w14:schemeClr w14:val="tx1"/>
            </w14:solidFill>
          </w14:textFill>
        </w:rPr>
        <w:t>的，提供最新年度的全国综合评价结果单位查询所在页；</w:t>
      </w:r>
      <w:bookmarkEnd w:id="495"/>
      <w:bookmarkEnd w:id="496"/>
    </w:p>
    <w:p w14:paraId="5ABFD75B">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497" w:name="_Toc16345"/>
      <w:bookmarkStart w:id="498" w:name="_Toc1078"/>
      <w:r>
        <w:rPr>
          <w:rFonts w:hint="eastAsia" w:ascii="宋体" w:hAnsi="宋体" w:eastAsia="宋体" w:cs="宋体"/>
          <w:color w:val="000000" w:themeColor="text1"/>
          <w:sz w:val="24"/>
          <w:szCs w:val="24"/>
          <w:highlight w:val="none"/>
          <w:lang w:eastAsia="zh-CN"/>
          <w14:textFill>
            <w14:solidFill>
              <w14:schemeClr w14:val="tx1"/>
            </w14:solidFill>
          </w14:textFill>
        </w:rPr>
        <w:t>5.如上一年度有信用评价而最新年度在广东省无信用等级的需提供上</w:t>
      </w:r>
      <w:bookmarkEnd w:id="497"/>
      <w:bookmarkStart w:id="499" w:name="_Toc26715"/>
      <w:r>
        <w:rPr>
          <w:rFonts w:hint="eastAsia" w:ascii="宋体" w:hAnsi="宋体" w:eastAsia="宋体" w:cs="宋体"/>
          <w:color w:val="000000" w:themeColor="text1"/>
          <w:sz w:val="24"/>
          <w:szCs w:val="24"/>
          <w:highlight w:val="none"/>
          <w:lang w:eastAsia="zh-CN"/>
          <w14:textFill>
            <w14:solidFill>
              <w14:schemeClr w14:val="tx1"/>
            </w14:solidFill>
          </w14:textFill>
        </w:rPr>
        <w:t>一年度有信用评价（若有），并标识单位所在位置。</w:t>
      </w:r>
      <w:bookmarkEnd w:id="498"/>
      <w:bookmarkEnd w:id="499"/>
    </w:p>
    <w:p w14:paraId="6255D947">
      <w:pPr>
        <w:spacing w:line="360" w:lineRule="auto"/>
        <w:rPr>
          <w:rFonts w:ascii="宋体" w:hAnsi="宋体" w:eastAsia="宋体" w:cs="宋体"/>
          <w:color w:val="000000" w:themeColor="text1"/>
          <w:sz w:val="24"/>
          <w:szCs w:val="24"/>
          <w:highlight w:val="none"/>
          <w:u w:val="none" w:color="auto"/>
          <w:lang w:eastAsia="zh-CN"/>
          <w14:textFill>
            <w14:solidFill>
              <w14:schemeClr w14:val="tx1"/>
            </w14:solidFill>
          </w14:textFill>
        </w:rPr>
      </w:pPr>
      <w:bookmarkStart w:id="500" w:name="_Toc23573"/>
      <w:bookmarkStart w:id="501" w:name="_Toc20713"/>
      <w:r>
        <w:rPr>
          <w:rFonts w:hint="eastAsia" w:ascii="宋体" w:hAnsi="宋体" w:eastAsia="宋体" w:cs="宋体"/>
          <w:color w:val="000000" w:themeColor="text1"/>
          <w:sz w:val="24"/>
          <w:szCs w:val="24"/>
          <w:highlight w:val="none"/>
          <w:lang w:eastAsia="zh-CN"/>
          <w14:textFill>
            <w14:solidFill>
              <w14:schemeClr w14:val="tx1"/>
            </w14:solidFill>
          </w14:textFill>
        </w:rPr>
        <w:t>6.</w:t>
      </w:r>
      <w:bookmarkEnd w:id="500"/>
      <w:bookmarkStart w:id="502" w:name="_Toc6770"/>
      <w:r>
        <w:rPr>
          <w:rFonts w:ascii="宋体" w:hAnsi="宋体" w:eastAsia="宋体" w:cs="宋体"/>
          <w:color w:val="000000" w:themeColor="text1"/>
          <w:spacing w:val="-1"/>
          <w:sz w:val="24"/>
          <w:szCs w:val="24"/>
          <w:highlight w:val="none"/>
          <w14:textFill>
            <w14:solidFill>
              <w14:schemeClr w14:val="tx1"/>
            </w14:solidFill>
          </w14:textFill>
        </w:rPr>
        <w:t>详细说明投标人在递交投标文件截止日前</w:t>
      </w:r>
      <w:r>
        <w:rPr>
          <w:rFonts w:ascii="宋体" w:hAnsi="宋体" w:eastAsia="宋体" w:cs="宋体"/>
          <w:color w:val="000000" w:themeColor="text1"/>
          <w:spacing w:val="-25"/>
          <w:sz w:val="24"/>
          <w:szCs w:val="24"/>
          <w:highlight w:val="none"/>
          <w14:textFill>
            <w14:solidFill>
              <w14:schemeClr w14:val="tx1"/>
            </w14:solidFill>
          </w14:textFill>
        </w:rPr>
        <w:t xml:space="preserve"> </w:t>
      </w:r>
      <w:r>
        <w:rPr>
          <w:rFonts w:ascii="Times New Roman" w:hAnsi="Times New Roman" w:eastAsia="Times New Roman" w:cs="Times New Roman"/>
          <w:color w:val="000000" w:themeColor="text1"/>
          <w:spacing w:val="-1"/>
          <w:sz w:val="24"/>
          <w:szCs w:val="24"/>
          <w:highlight w:val="none"/>
          <w14:textFill>
            <w14:solidFill>
              <w14:schemeClr w14:val="tx1"/>
            </w14:solidFill>
          </w14:textFill>
        </w:rPr>
        <w:t xml:space="preserve">1 </w:t>
      </w:r>
      <w:r>
        <w:rPr>
          <w:rFonts w:ascii="宋体" w:hAnsi="宋体" w:eastAsia="宋体" w:cs="宋体"/>
          <w:color w:val="000000" w:themeColor="text1"/>
          <w:spacing w:val="-1"/>
          <w:sz w:val="24"/>
          <w:szCs w:val="24"/>
          <w:highlight w:val="none"/>
          <w14:textFill>
            <w14:solidFill>
              <w14:schemeClr w14:val="tx1"/>
            </w14:solidFill>
          </w14:textFill>
        </w:rPr>
        <w:t>年内，因公路工程（含附属设施）质量、</w:t>
      </w:r>
      <w:r>
        <w:rPr>
          <w:rFonts w:ascii="宋体" w:hAnsi="宋体" w:eastAsia="宋体" w:cs="宋体"/>
          <w:color w:val="000000" w:themeColor="text1"/>
          <w:spacing w:val="-2"/>
          <w:sz w:val="24"/>
          <w:szCs w:val="24"/>
          <w:highlight w:val="none"/>
          <w14:textFill>
            <w14:solidFill>
              <w14:schemeClr w14:val="tx1"/>
            </w14:solidFill>
          </w14:textFill>
        </w:rPr>
        <w:t>安全事故被交通</w:t>
      </w:r>
      <w:r>
        <w:rPr>
          <w:rFonts w:ascii="宋体" w:hAnsi="宋体" w:eastAsia="宋体" w:cs="宋体"/>
          <w:color w:val="000000" w:themeColor="text1"/>
          <w:spacing w:val="-2"/>
          <w:sz w:val="24"/>
          <w:szCs w:val="24"/>
          <w:highlight w:val="none"/>
          <w:u w:val="none" w:color="auto"/>
          <w14:textFill>
            <w14:solidFill>
              <w14:schemeClr w14:val="tx1"/>
            </w14:solidFill>
          </w14:textFill>
        </w:rPr>
        <w:t>运输部行政处罚且在处罚信息公示期内、广东省交通运输厅行政处罚且在处罚信息公示期内、</w:t>
      </w:r>
      <w:r>
        <w:rPr>
          <w:rFonts w:hint="eastAsia" w:ascii="宋体" w:hAnsi="宋体" w:eastAsia="宋体" w:cs="宋体"/>
          <w:color w:val="000000" w:themeColor="text1"/>
          <w:spacing w:val="-2"/>
          <w:sz w:val="24"/>
          <w:szCs w:val="24"/>
          <w:highlight w:val="none"/>
          <w:u w:val="none" w:color="auto"/>
          <w:lang w:eastAsia="zh-CN"/>
          <w14:textFill>
            <w14:solidFill>
              <w14:schemeClr w14:val="tx1"/>
            </w14:solidFill>
          </w14:textFill>
        </w:rPr>
        <w:t>项目所在地地市级</w:t>
      </w:r>
      <w:r>
        <w:rPr>
          <w:rFonts w:ascii="宋体" w:hAnsi="宋体" w:eastAsia="宋体" w:cs="宋体"/>
          <w:color w:val="000000" w:themeColor="text1"/>
          <w:spacing w:val="-2"/>
          <w:sz w:val="24"/>
          <w:szCs w:val="24"/>
          <w:highlight w:val="none"/>
          <w:u w:val="none" w:color="auto"/>
          <w14:textFill>
            <w14:solidFill>
              <w14:schemeClr w14:val="tx1"/>
            </w14:solidFill>
          </w14:textFill>
        </w:rPr>
        <w:t>交通运输局行政处罚且在处罚信息公示期内的文件</w:t>
      </w:r>
      <w:r>
        <w:rPr>
          <w:rFonts w:hint="eastAsia" w:ascii="宋体" w:hAnsi="宋体" w:eastAsia="宋体" w:cs="宋体"/>
          <w:color w:val="000000" w:themeColor="text1"/>
          <w:sz w:val="24"/>
          <w:szCs w:val="24"/>
          <w:highlight w:val="none"/>
          <w:u w:val="none" w:color="auto"/>
          <w:lang w:eastAsia="zh-CN"/>
          <w14:textFill>
            <w14:solidFill>
              <w14:schemeClr w14:val="tx1"/>
            </w14:solidFill>
          </w14:textFill>
        </w:rPr>
        <w:t>。</w:t>
      </w:r>
      <w:bookmarkEnd w:id="501"/>
      <w:bookmarkEnd w:id="502"/>
      <w:bookmarkStart w:id="503" w:name="_Toc17454"/>
      <w:bookmarkStart w:id="504" w:name="_Toc5149"/>
    </w:p>
    <w:p w14:paraId="2EB12A67">
      <w:pPr>
        <w:spacing w:line="360" w:lineRule="auto"/>
        <w:rPr>
          <w:rFonts w:ascii="宋体" w:hAnsi="宋体" w:eastAsia="宋体"/>
          <w:color w:val="000000" w:themeColor="text1"/>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7.投标人认为需要的其它内容</w:t>
      </w:r>
      <w:bookmarkEnd w:id="503"/>
      <w:r>
        <w:rPr>
          <w:rFonts w:hint="eastAsia" w:ascii="宋体" w:hAnsi="宋体" w:eastAsia="宋体" w:cs="宋体"/>
          <w:color w:val="000000" w:themeColor="text1"/>
          <w:sz w:val="24"/>
          <w:szCs w:val="24"/>
          <w:highlight w:val="none"/>
          <w:lang w:eastAsia="zh-CN"/>
          <w14:textFill>
            <w14:solidFill>
              <w14:schemeClr w14:val="tx1"/>
            </w14:solidFill>
          </w14:textFill>
        </w:rPr>
        <w:t>。</w:t>
      </w:r>
      <w:bookmarkEnd w:id="504"/>
    </w:p>
    <w:p w14:paraId="2E31D57C">
      <w:pPr>
        <w:rPr>
          <w:color w:val="000000" w:themeColor="text1"/>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br w:type="page"/>
      </w:r>
    </w:p>
    <w:p w14:paraId="6E542A5D">
      <w:pPr>
        <w:pStyle w:val="37"/>
        <w:spacing w:line="360" w:lineRule="auto"/>
        <w:jc w:val="center"/>
        <w:outlineLvl w:val="9"/>
        <w:rPr>
          <w:rFonts w:asciiTheme="majorEastAsia" w:hAnsiTheme="majorEastAsia" w:eastAsiaTheme="majorEastAsia" w:cstheme="majorEastAsia"/>
          <w:color w:val="000000" w:themeColor="text1"/>
          <w:sz w:val="28"/>
          <w:szCs w:val="28"/>
          <w:highlight w:val="none"/>
          <w:lang w:eastAsia="zh-CN"/>
          <w14:textFill>
            <w14:solidFill>
              <w14:schemeClr w14:val="tx1"/>
            </w14:solidFill>
          </w14:textFill>
        </w:rPr>
      </w:pPr>
      <w:bookmarkStart w:id="505" w:name="_Toc26863"/>
      <w:bookmarkStart w:id="506" w:name="_Toc30468"/>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7-1 使用广东省信用评价等级的申请承诺书（格式）</w:t>
      </w:r>
      <w:bookmarkEnd w:id="505"/>
      <w:bookmarkEnd w:id="506"/>
    </w:p>
    <w:p w14:paraId="31BEE71D">
      <w:pPr>
        <w:pStyle w:val="37"/>
        <w:spacing w:line="360" w:lineRule="auto"/>
        <w:outlineLvl w:val="9"/>
        <w:rPr>
          <w:rFonts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pPr>
      <w:bookmarkStart w:id="507" w:name="_Toc3960"/>
      <w:bookmarkStart w:id="508" w:name="_Toc15104"/>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致招标人：</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（招标人全称）</w:t>
      </w:r>
      <w:bookmarkEnd w:id="507"/>
      <w:bookmarkEnd w:id="508"/>
    </w:p>
    <w:p w14:paraId="6BB3AC06">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509" w:name="_Toc20801"/>
      <w:bookmarkStart w:id="510" w:name="_Toc28302"/>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按照《广东省交通运输厅关于进一步贯彻广东省公路水运工程从业企业信用</w:t>
      </w:r>
      <w:bookmarkEnd w:id="509"/>
      <w:bookmarkStart w:id="511" w:name="_Toc16598"/>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评价管理办法的实施意见的通知》（粤交基〔2014〕564号）要求，现我单位对</w:t>
      </w:r>
      <w:bookmarkEnd w:id="511"/>
      <w:bookmarkStart w:id="512" w:name="_Toc5114"/>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使用信用等级申请如下：</w:t>
      </w:r>
      <w:bookmarkEnd w:id="510"/>
      <w:bookmarkEnd w:id="512"/>
    </w:p>
    <w:p w14:paraId="248FF473">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513" w:name="_Toc18963"/>
      <w:bookmarkStart w:id="514" w:name="_Toc21546"/>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一、我单位在</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项目</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设计的招标中，</w:t>
      </w:r>
      <w:r>
        <w:rPr>
          <w:rFonts w:hint="eastAsia" w:asciiTheme="majorEastAsia" w:hAnsiTheme="majorEastAsia" w:eastAsiaTheme="majorEastAsia" w:cstheme="majorEastAsia"/>
          <w:b/>
          <w:bCs/>
          <w:color w:val="000000" w:themeColor="text1"/>
          <w:szCs w:val="24"/>
          <w:highlight w:val="none"/>
          <w:lang w:eastAsia="zh-CN"/>
          <w14:textFill>
            <w14:solidFill>
              <w14:schemeClr w14:val="tx1"/>
            </w14:solidFill>
          </w14:textFill>
        </w:rPr>
        <w:t>第</w:t>
      </w:r>
      <w:r>
        <w:rPr>
          <w:rFonts w:hint="eastAsia" w:asciiTheme="majorEastAsia" w:hAnsiTheme="majorEastAsia" w:eastAsiaTheme="majorEastAsia" w:cstheme="majorEastAsia"/>
          <w:b/>
          <w:bCs/>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b/>
          <w:bCs/>
          <w:color w:val="000000" w:themeColor="text1"/>
          <w:szCs w:val="24"/>
          <w:highlight w:val="none"/>
          <w:lang w:eastAsia="zh-CN"/>
          <w14:textFill>
            <w14:solidFill>
              <w14:schemeClr w14:val="tx1"/>
            </w14:solidFill>
          </w14:textFill>
        </w:rPr>
        <w:t>次使用（或不使</w:t>
      </w:r>
      <w:bookmarkEnd w:id="513"/>
      <w:bookmarkStart w:id="515" w:name="_Toc6568"/>
      <w:r>
        <w:rPr>
          <w:rFonts w:hint="eastAsia" w:asciiTheme="majorEastAsia" w:hAnsiTheme="majorEastAsia" w:eastAsiaTheme="majorEastAsia" w:cstheme="majorEastAsia"/>
          <w:b/>
          <w:bCs/>
          <w:color w:val="000000" w:themeColor="text1"/>
          <w:szCs w:val="24"/>
          <w:highlight w:val="none"/>
          <w:lang w:eastAsia="zh-CN"/>
          <w14:textFill>
            <w14:solidFill>
              <w14:schemeClr w14:val="tx1"/>
            </w14:solidFill>
          </w14:textFill>
        </w:rPr>
        <w:t>用）</w:t>
      </w:r>
      <w:bookmarkEnd w:id="515"/>
      <w:bookmarkStart w:id="516" w:name="_Toc28096"/>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广东省交通运输厅发布的</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年度信用评价</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等级结果和对应等级分值。</w:t>
      </w:r>
      <w:bookmarkEnd w:id="514"/>
      <w:bookmarkEnd w:id="516"/>
    </w:p>
    <w:p w14:paraId="5E2F5298">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517" w:name="_Toc14949"/>
      <w:bookmarkStart w:id="518" w:name="_Toc26162"/>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二、我单位承诺，在递交本次申请后，我单位将失去一次使用</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等级结果</w:t>
      </w:r>
      <w:bookmarkEnd w:id="517"/>
      <w:bookmarkStart w:id="519" w:name="_Toc27150"/>
      <w:r>
        <w:rPr>
          <w:rFonts w:hint="eastAsia" w:asciiTheme="majorEastAsia" w:hAnsiTheme="majorEastAsia" w:eastAsiaTheme="majorEastAsia" w:cstheme="majorEastAsia"/>
          <w:b/>
          <w:bCs/>
          <w:color w:val="000000" w:themeColor="text1"/>
          <w:szCs w:val="24"/>
          <w:highlight w:val="none"/>
          <w:lang w:eastAsia="zh-CN"/>
          <w14:textFill>
            <w14:solidFill>
              <w14:schemeClr w14:val="tx1"/>
            </w14:solidFill>
          </w14:textFill>
        </w:rPr>
        <w:t>（不使用时上述填“/”）</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参与投标的机会。当累计使用超过粤交基〔2014〕564</w:t>
      </w:r>
      <w:bookmarkEnd w:id="519"/>
      <w:bookmarkStart w:id="520" w:name="_Toc28661"/>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号规定的次数，我单位同意按降低一个信用等级对应分值来认定参与投标评审。</w:t>
      </w:r>
      <w:bookmarkEnd w:id="518"/>
      <w:bookmarkEnd w:id="520"/>
    </w:p>
    <w:p w14:paraId="660BD089">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521" w:name="_Toc24201"/>
      <w:bookmarkStart w:id="522" w:name="_Toc17718"/>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三、如果我单位发生违反粤交基〔2014〕564号规定使用信用等级结果的情</w:t>
      </w:r>
      <w:bookmarkEnd w:id="521"/>
      <w:bookmarkStart w:id="523" w:name="_Toc5416"/>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形，自愿接受省级交通运输主管部门的处理。</w:t>
      </w:r>
      <w:bookmarkEnd w:id="522"/>
      <w:bookmarkEnd w:id="523"/>
    </w:p>
    <w:p w14:paraId="1BD2A8A0">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524" w:name="_Toc8361"/>
      <w:bookmarkStart w:id="525" w:name="_Toc4035"/>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附件：</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单位使用</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年度广东省公路工程从业单位（设计单位）信</w:t>
      </w:r>
      <w:bookmarkEnd w:id="524"/>
      <w:bookmarkStart w:id="526" w:name="_Toc3257"/>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用等级情况汇总表</w:t>
      </w:r>
      <w:bookmarkEnd w:id="525"/>
      <w:bookmarkEnd w:id="526"/>
    </w:p>
    <w:p w14:paraId="16BA29A9">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527" w:name="_Toc17537"/>
      <w:bookmarkStart w:id="528" w:name="_Toc1732"/>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特此承诺</w:t>
      </w:r>
      <w:bookmarkEnd w:id="527"/>
      <w:bookmarkEnd w:id="528"/>
    </w:p>
    <w:p w14:paraId="7A6F74B9">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p>
    <w:p w14:paraId="6E595509">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p>
    <w:p w14:paraId="659C24A9">
      <w:pPr>
        <w:pStyle w:val="37"/>
        <w:spacing w:line="360" w:lineRule="auto"/>
        <w:jc w:val="center"/>
        <w:outlineLvl w:val="9"/>
        <w:rPr>
          <w:rFonts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pPr>
      <w:bookmarkStart w:id="529" w:name="_Toc24610"/>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 xml:space="preserve">   </w:t>
      </w:r>
      <w:bookmarkStart w:id="530" w:name="_Toc18311"/>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投标人（单位全称）：</w:t>
      </w:r>
      <w:bookmarkEnd w:id="529"/>
      <w:bookmarkEnd w:id="530"/>
    </w:p>
    <w:p w14:paraId="7D7FEF26">
      <w:pPr>
        <w:pStyle w:val="37"/>
        <w:spacing w:line="360" w:lineRule="auto"/>
        <w:jc w:val="center"/>
        <w:outlineLvl w:val="9"/>
        <w:rPr>
          <w:rFonts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pPr>
      <w:bookmarkStart w:id="531" w:name="_Toc14073"/>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 xml:space="preserve">               </w:t>
      </w:r>
      <w:bookmarkStart w:id="532" w:name="_Toc32610"/>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投标人的法定代表人或授权人签名：</w:t>
      </w:r>
      <w:bookmarkEnd w:id="531"/>
      <w:bookmarkEnd w:id="532"/>
    </w:p>
    <w:p w14:paraId="146473D9">
      <w:pPr>
        <w:pStyle w:val="37"/>
        <w:spacing w:line="360" w:lineRule="auto"/>
        <w:jc w:val="center"/>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533" w:name="_Toc7503"/>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 xml:space="preserve">                                           </w:t>
      </w:r>
      <w:bookmarkStart w:id="534" w:name="_Toc26365"/>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202×年××月××日</w:t>
      </w:r>
      <w:bookmarkEnd w:id="533"/>
      <w:bookmarkEnd w:id="534"/>
    </w:p>
    <w:p w14:paraId="49FC8EC5">
      <w:pPr>
        <w:pStyle w:val="37"/>
        <w:spacing w:line="360" w:lineRule="auto"/>
        <w:outlineLvl w:val="9"/>
        <w:rPr>
          <w:rFonts w:asciiTheme="majorEastAsia" w:hAnsiTheme="majorEastAsia" w:eastAsiaTheme="majorEastAsia" w:cstheme="majorEastAsia"/>
          <w:color w:val="000000" w:themeColor="text1"/>
          <w:sz w:val="21"/>
          <w:szCs w:val="21"/>
          <w:highlight w:val="none"/>
          <w:lang w:eastAsia="zh-CN"/>
          <w14:textFill>
            <w14:solidFill>
              <w14:schemeClr w14:val="tx1"/>
            </w14:solidFill>
          </w14:textFill>
        </w:rPr>
      </w:pPr>
      <w:bookmarkStart w:id="535" w:name="_Toc11945"/>
    </w:p>
    <w:p w14:paraId="2414DA88">
      <w:pPr>
        <w:pStyle w:val="37"/>
        <w:spacing w:line="360" w:lineRule="auto"/>
        <w:outlineLvl w:val="9"/>
        <w:rPr>
          <w:rFonts w:asciiTheme="majorEastAsia" w:hAnsiTheme="majorEastAsia" w:eastAsiaTheme="majorEastAsia" w:cstheme="majorEastAsia"/>
          <w:color w:val="000000" w:themeColor="text1"/>
          <w:sz w:val="21"/>
          <w:szCs w:val="21"/>
          <w:highlight w:val="none"/>
          <w:lang w:eastAsia="zh-CN"/>
          <w14:textFill>
            <w14:solidFill>
              <w14:schemeClr w14:val="tx1"/>
            </w14:solidFill>
          </w14:textFill>
        </w:rPr>
      </w:pPr>
      <w:bookmarkStart w:id="536" w:name="_Toc19671"/>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注：1、AA、A级信用等级企业必须填写此申请承诺书；选择“使用”时需和附表（</w:t>
      </w:r>
      <w:r>
        <w:rPr>
          <w:rFonts w:hint="eastAsia" w:asciiTheme="majorEastAsia" w:hAnsiTheme="majorEastAsia" w:eastAsiaTheme="majorEastAsia" w:cstheme="majorEastAsia"/>
          <w:color w:val="000000" w:themeColor="text1"/>
          <w:sz w:val="21"/>
          <w:szCs w:val="21"/>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单</w:t>
      </w:r>
      <w:bookmarkEnd w:id="535"/>
      <w:bookmarkStart w:id="537" w:name="_Toc24250"/>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位使用</w:t>
      </w:r>
      <w:r>
        <w:rPr>
          <w:rFonts w:hint="eastAsia" w:asciiTheme="majorEastAsia" w:hAnsiTheme="majorEastAsia" w:eastAsiaTheme="majorEastAsia" w:cstheme="majorEastAsia"/>
          <w:color w:val="000000" w:themeColor="text1"/>
          <w:sz w:val="21"/>
          <w:szCs w:val="21"/>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年度广东省公路工程从业单位（设计单位）信用等级情况汇总表）一起编入投</w:t>
      </w:r>
      <w:bookmarkEnd w:id="537"/>
      <w:bookmarkStart w:id="538" w:name="_Toc20118"/>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标文件中。</w:t>
      </w:r>
      <w:bookmarkEnd w:id="536"/>
      <w:bookmarkEnd w:id="538"/>
    </w:p>
    <w:p w14:paraId="6A59FC55">
      <w:pPr>
        <w:pStyle w:val="37"/>
        <w:spacing w:line="360" w:lineRule="auto"/>
        <w:outlineLvl w:val="9"/>
        <w:rPr>
          <w:rFonts w:asciiTheme="majorEastAsia" w:hAnsiTheme="majorEastAsia" w:eastAsiaTheme="majorEastAsia" w:cstheme="majorEastAsia"/>
          <w:color w:val="000000" w:themeColor="text1"/>
          <w:sz w:val="21"/>
          <w:szCs w:val="21"/>
          <w:highlight w:val="none"/>
          <w:lang w:eastAsia="zh-CN"/>
          <w14:textFill>
            <w14:solidFill>
              <w14:schemeClr w14:val="tx1"/>
            </w14:solidFill>
          </w14:textFill>
        </w:rPr>
      </w:pPr>
      <w:bookmarkStart w:id="539" w:name="_Toc14726"/>
      <w:bookmarkStart w:id="540" w:name="_Toc9916"/>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2、AA、A级信用等级企业应区分标段、分别填写并提交此申请承诺书；如同时对多个标段选择</w:t>
      </w:r>
      <w:bookmarkEnd w:id="539"/>
      <w:bookmarkStart w:id="541" w:name="_Toc22814"/>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“使用”时，使用次数应按标段累加（即各个标段申请承诺书的使用次数应不一致）。如同时对</w:t>
      </w:r>
      <w:bookmarkEnd w:id="541"/>
      <w:bookmarkStart w:id="542" w:name="_Toc26963"/>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多个标段选择“使用”而多个标段所附申请承诺书的使用次数为同一次时，多个标段均视为未正</w:t>
      </w:r>
      <w:bookmarkEnd w:id="542"/>
      <w:bookmarkStart w:id="543" w:name="_Toc31532"/>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确填报申请承诺书，均按不承诺使用对应的信用等级处理。</w:t>
      </w:r>
      <w:bookmarkEnd w:id="540"/>
      <w:bookmarkEnd w:id="543"/>
    </w:p>
    <w:p w14:paraId="44DD709E">
      <w:pPr>
        <w:pStyle w:val="37"/>
        <w:spacing w:line="360" w:lineRule="auto"/>
        <w:outlineLvl w:val="9"/>
        <w:rPr>
          <w:rFonts w:asciiTheme="majorEastAsia" w:hAnsiTheme="majorEastAsia" w:eastAsiaTheme="majorEastAsia" w:cstheme="majorEastAsia"/>
          <w:color w:val="000000" w:themeColor="text1"/>
          <w:sz w:val="21"/>
          <w:szCs w:val="21"/>
          <w:highlight w:val="none"/>
          <w:lang w:eastAsia="zh-CN"/>
          <w14:textFill>
            <w14:solidFill>
              <w14:schemeClr w14:val="tx1"/>
            </w14:solidFill>
          </w14:textFill>
        </w:rPr>
      </w:pPr>
      <w:bookmarkStart w:id="544" w:name="_Toc4070"/>
      <w:bookmarkStart w:id="545" w:name="_Toc4707"/>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3、中标候选人公示中，将对所有承诺使用最新年度 AA、A 级投标人的年度信用等级使用情况进</w:t>
      </w:r>
      <w:bookmarkEnd w:id="544"/>
      <w:bookmarkStart w:id="546" w:name="_Toc32215"/>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行公开。</w:t>
      </w:r>
      <w:bookmarkEnd w:id="545"/>
      <w:bookmarkEnd w:id="546"/>
    </w:p>
    <w:p w14:paraId="26D07EA7">
      <w:pPr>
        <w:kinsoku/>
        <w:autoSpaceDE/>
        <w:autoSpaceDN/>
        <w:adjustRightInd/>
        <w:snapToGrid/>
        <w:textAlignment w:val="auto"/>
        <w:rPr>
          <w:rFonts w:asciiTheme="majorEastAsia" w:hAnsiTheme="majorEastAsia" w:eastAsiaTheme="majorEastAsia" w:cstheme="majorEastAsia"/>
          <w:color w:val="000000" w:themeColor="text1"/>
          <w:sz w:val="28"/>
          <w:highlight w:val="none"/>
          <w:lang w:eastAsia="zh-CN"/>
          <w14:textFill>
            <w14:solidFill>
              <w14:schemeClr w14:val="tx1"/>
            </w14:solidFill>
          </w14:textFill>
        </w:rPr>
      </w:pPr>
      <w:bookmarkStart w:id="547" w:name="_Toc20570"/>
      <w:bookmarkStart w:id="548" w:name="_Toc28100"/>
      <w:r>
        <w:rPr>
          <w:rFonts w:asciiTheme="majorEastAsia" w:hAnsiTheme="majorEastAsia" w:eastAsiaTheme="majorEastAsia" w:cstheme="majorEastAsia"/>
          <w:color w:val="000000" w:themeColor="text1"/>
          <w:sz w:val="28"/>
          <w:highlight w:val="none"/>
          <w:lang w:eastAsia="zh-CN"/>
          <w14:textFill>
            <w14:solidFill>
              <w14:schemeClr w14:val="tx1"/>
            </w14:solidFill>
          </w14:textFill>
        </w:rPr>
        <w:br w:type="page"/>
      </w:r>
    </w:p>
    <w:p w14:paraId="136F4613">
      <w:pPr>
        <w:pStyle w:val="37"/>
        <w:spacing w:line="240" w:lineRule="auto"/>
        <w:outlineLvl w:val="9"/>
        <w:rPr>
          <w:rFonts w:asciiTheme="majorEastAsia" w:hAnsiTheme="majorEastAsia" w:eastAsiaTheme="majorEastAsia" w:cstheme="majorEastAsia"/>
          <w:color w:val="000000" w:themeColor="text1"/>
          <w:sz w:val="28"/>
          <w:szCs w:val="2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附表</w:t>
      </w:r>
      <w:bookmarkEnd w:id="547"/>
      <w:bookmarkEnd w:id="548"/>
    </w:p>
    <w:p w14:paraId="2EB7E8A6">
      <w:pPr>
        <w:pStyle w:val="37"/>
        <w:spacing w:line="240" w:lineRule="auto"/>
        <w:jc w:val="center"/>
        <w:outlineLvl w:val="9"/>
        <w:rPr>
          <w:rFonts w:asciiTheme="majorEastAsia" w:hAnsiTheme="majorEastAsia" w:eastAsiaTheme="majorEastAsia" w:cstheme="majorEastAsia"/>
          <w:color w:val="000000" w:themeColor="text1"/>
          <w:sz w:val="28"/>
          <w:szCs w:val="21"/>
          <w:highlight w:val="none"/>
          <w:lang w:eastAsia="zh-CN"/>
          <w14:textFill>
            <w14:solidFill>
              <w14:schemeClr w14:val="tx1"/>
            </w14:solidFill>
          </w14:textFill>
        </w:rPr>
      </w:pPr>
      <w:bookmarkStart w:id="549" w:name="_Toc29670"/>
      <w:r>
        <w:rPr>
          <w:rFonts w:hint="eastAsia" w:asciiTheme="majorEastAsia" w:hAnsiTheme="majorEastAsia" w:eastAsiaTheme="majorEastAsia" w:cstheme="majorEastAsia"/>
          <w:color w:val="000000" w:themeColor="text1"/>
          <w:sz w:val="28"/>
          <w:szCs w:val="21"/>
          <w:highlight w:val="none"/>
          <w:u w:val="single"/>
          <w:lang w:eastAsia="zh-CN"/>
          <w14:textFill>
            <w14:solidFill>
              <w14:schemeClr w14:val="tx1"/>
            </w14:solidFill>
          </w14:textFill>
        </w:rPr>
        <w:t xml:space="preserve">     </w:t>
      </w:r>
      <w:bookmarkStart w:id="550" w:name="_Toc3297"/>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单位使用</w:t>
      </w:r>
      <w:r>
        <w:rPr>
          <w:rFonts w:hint="eastAsia" w:asciiTheme="majorEastAsia" w:hAnsiTheme="majorEastAsia" w:eastAsiaTheme="majorEastAsia" w:cstheme="majorEastAsia"/>
          <w:color w:val="000000" w:themeColor="text1"/>
          <w:sz w:val="28"/>
          <w:szCs w:val="21"/>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年度广东省公路工程从业单位（设计单位）</w:t>
      </w:r>
      <w:bookmarkEnd w:id="549"/>
      <w:bookmarkEnd w:id="550"/>
    </w:p>
    <w:p w14:paraId="745384C7">
      <w:pPr>
        <w:pStyle w:val="37"/>
        <w:spacing w:line="240" w:lineRule="auto"/>
        <w:jc w:val="center"/>
        <w:outlineLvl w:val="9"/>
        <w:rPr>
          <w:rFonts w:asciiTheme="majorEastAsia" w:hAnsiTheme="majorEastAsia" w:eastAsiaTheme="majorEastAsia" w:cstheme="majorEastAsia"/>
          <w:color w:val="000000" w:themeColor="text1"/>
          <w:sz w:val="28"/>
          <w:szCs w:val="21"/>
          <w:highlight w:val="none"/>
          <w:lang w:eastAsia="zh-CN"/>
          <w14:textFill>
            <w14:solidFill>
              <w14:schemeClr w14:val="tx1"/>
            </w14:solidFill>
          </w14:textFill>
        </w:rPr>
      </w:pPr>
      <w:bookmarkStart w:id="551" w:name="_Toc18557"/>
      <w:bookmarkStart w:id="552" w:name="_Toc11970"/>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信用等级情况汇总表</w:t>
      </w:r>
      <w:bookmarkEnd w:id="551"/>
      <w:bookmarkEnd w:id="552"/>
    </w:p>
    <w:p w14:paraId="3CBC5035">
      <w:pPr>
        <w:pStyle w:val="37"/>
        <w:spacing w:line="240" w:lineRule="auto"/>
        <w:jc w:val="center"/>
        <w:rPr>
          <w:rFonts w:asciiTheme="majorEastAsia" w:hAnsiTheme="majorEastAsia" w:eastAsiaTheme="majorEastAsia" w:cstheme="majorEastAsia"/>
          <w:color w:val="000000" w:themeColor="text1"/>
          <w:sz w:val="28"/>
          <w:szCs w:val="21"/>
          <w:highlight w:val="none"/>
          <w:lang w:eastAsia="zh-CN"/>
          <w14:textFill>
            <w14:solidFill>
              <w14:schemeClr w14:val="tx1"/>
            </w14:solidFill>
          </w14:textFill>
        </w:rPr>
      </w:pPr>
    </w:p>
    <w:p w14:paraId="1047F50D">
      <w:pPr>
        <w:pStyle w:val="37"/>
        <w:spacing w:line="360" w:lineRule="auto"/>
        <w:outlineLvl w:val="9"/>
        <w:rPr>
          <w:rFonts w:ascii="宋体" w:hAnsi="宋体" w:eastAsia="宋体"/>
          <w:color w:val="000000" w:themeColor="text1"/>
          <w:sz w:val="28"/>
          <w:szCs w:val="21"/>
          <w:highlight w:val="none"/>
          <w:lang w:eastAsia="zh-CN"/>
          <w14:textFill>
            <w14:solidFill>
              <w14:schemeClr w14:val="tx1"/>
            </w14:solidFill>
          </w14:textFill>
        </w:rPr>
      </w:pPr>
      <w:bookmarkStart w:id="553" w:name="_Toc29848"/>
      <w:bookmarkStart w:id="554" w:name="_Toc1221"/>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单位名称（盖章）：</w:t>
      </w:r>
      <w:bookmarkEnd w:id="553"/>
      <w:bookmarkEnd w:id="554"/>
    </w:p>
    <w:tbl>
      <w:tblPr>
        <w:tblStyle w:val="18"/>
        <w:tblW w:w="9356" w:type="dxa"/>
        <w:jc w:val="center"/>
        <w:tblLayout w:type="fixed"/>
        <w:tblCellMar>
          <w:top w:w="0" w:type="dxa"/>
          <w:left w:w="0" w:type="dxa"/>
          <w:bottom w:w="0" w:type="dxa"/>
          <w:right w:w="0" w:type="dxa"/>
        </w:tblCellMar>
      </w:tblPr>
      <w:tblGrid>
        <w:gridCol w:w="991"/>
        <w:gridCol w:w="2751"/>
        <w:gridCol w:w="1119"/>
        <w:gridCol w:w="1696"/>
        <w:gridCol w:w="1619"/>
        <w:gridCol w:w="1180"/>
      </w:tblGrid>
      <w:tr w14:paraId="733DE31A">
        <w:tblPrEx>
          <w:tblCellMar>
            <w:top w:w="0" w:type="dxa"/>
            <w:left w:w="0" w:type="dxa"/>
            <w:bottom w:w="0" w:type="dxa"/>
            <w:right w:w="0" w:type="dxa"/>
          </w:tblCellMar>
        </w:tblPrEx>
        <w:trPr>
          <w:trHeight w:val="857" w:hRule="atLeast"/>
          <w:jc w:val="center"/>
        </w:trPr>
        <w:tc>
          <w:tcPr>
            <w:tcW w:w="991" w:type="dxa"/>
            <w:tcBorders>
              <w:top w:val="single" w:color="auto" w:sz="12" w:space="0"/>
              <w:left w:val="single" w:color="auto" w:sz="12" w:space="0"/>
              <w:bottom w:val="single" w:color="auto" w:sz="8" w:space="0"/>
              <w:right w:val="single" w:color="auto" w:sz="8" w:space="0"/>
            </w:tcBorders>
            <w:vAlign w:val="center"/>
          </w:tcPr>
          <w:p w14:paraId="6B46EC3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2751" w:type="dxa"/>
            <w:tcBorders>
              <w:top w:val="single" w:color="auto" w:sz="12" w:space="0"/>
              <w:left w:val="single" w:color="auto" w:sz="8" w:space="0"/>
              <w:bottom w:val="single" w:color="auto" w:sz="8" w:space="0"/>
              <w:right w:val="single" w:color="auto" w:sz="8" w:space="0"/>
            </w:tcBorders>
            <w:vAlign w:val="center"/>
          </w:tcPr>
          <w:p w14:paraId="51D96AD1">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招标人名称</w:t>
            </w:r>
          </w:p>
        </w:tc>
        <w:tc>
          <w:tcPr>
            <w:tcW w:w="1119" w:type="dxa"/>
            <w:tcBorders>
              <w:top w:val="single" w:color="auto" w:sz="12" w:space="0"/>
              <w:left w:val="single" w:color="auto" w:sz="8" w:space="0"/>
              <w:bottom w:val="single" w:color="auto" w:sz="8" w:space="0"/>
              <w:right w:val="single" w:color="auto" w:sz="8" w:space="0"/>
            </w:tcBorders>
            <w:vAlign w:val="center"/>
          </w:tcPr>
          <w:p w14:paraId="559AF123">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标段名称</w:t>
            </w:r>
          </w:p>
        </w:tc>
        <w:tc>
          <w:tcPr>
            <w:tcW w:w="1696" w:type="dxa"/>
            <w:tcBorders>
              <w:top w:val="single" w:color="auto" w:sz="12" w:space="0"/>
              <w:left w:val="single" w:color="auto" w:sz="8" w:space="0"/>
              <w:bottom w:val="single" w:color="auto" w:sz="8" w:space="0"/>
              <w:right w:val="single" w:color="auto" w:sz="4" w:space="0"/>
            </w:tcBorders>
            <w:vAlign w:val="center"/>
          </w:tcPr>
          <w:p w14:paraId="6C517A3B">
            <w:pPr>
              <w:jc w:val="center"/>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递交文件时间</w:t>
            </w:r>
          </w:p>
          <w:p w14:paraId="05E42C05">
            <w:pPr>
              <w:jc w:val="center"/>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（年  月  日）</w:t>
            </w:r>
          </w:p>
        </w:tc>
        <w:tc>
          <w:tcPr>
            <w:tcW w:w="1619" w:type="dxa"/>
            <w:tcBorders>
              <w:top w:val="single" w:color="auto" w:sz="12" w:space="0"/>
              <w:left w:val="single" w:color="auto" w:sz="4" w:space="0"/>
              <w:bottom w:val="single" w:color="auto" w:sz="8" w:space="0"/>
              <w:right w:val="single" w:color="auto" w:sz="8" w:space="0"/>
            </w:tcBorders>
            <w:vAlign w:val="center"/>
          </w:tcPr>
          <w:p w14:paraId="28AD1065">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使用信用等级（AA/A)</w:t>
            </w:r>
          </w:p>
        </w:tc>
        <w:tc>
          <w:tcPr>
            <w:tcW w:w="1180" w:type="dxa"/>
            <w:tcBorders>
              <w:top w:val="single" w:color="auto" w:sz="12" w:space="0"/>
              <w:left w:val="single" w:color="auto" w:sz="8" w:space="0"/>
              <w:bottom w:val="single" w:color="auto" w:sz="8" w:space="0"/>
              <w:right w:val="single" w:color="auto" w:sz="12" w:space="0"/>
            </w:tcBorders>
            <w:vAlign w:val="center"/>
          </w:tcPr>
          <w:p w14:paraId="1CCEDFBE">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  注</w:t>
            </w:r>
          </w:p>
        </w:tc>
      </w:tr>
      <w:tr w14:paraId="2E6D3C83">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071F841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751" w:type="dxa"/>
            <w:tcBorders>
              <w:top w:val="single" w:color="auto" w:sz="8" w:space="0"/>
              <w:left w:val="single" w:color="auto" w:sz="8" w:space="0"/>
              <w:bottom w:val="single" w:color="auto" w:sz="8" w:space="0"/>
              <w:right w:val="single" w:color="auto" w:sz="8" w:space="0"/>
            </w:tcBorders>
            <w:vAlign w:val="center"/>
          </w:tcPr>
          <w:p w14:paraId="47C1EF37">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6E4E2084">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5B65284A">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7BC08DC2">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503275FD">
            <w:pPr>
              <w:spacing w:line="360" w:lineRule="auto"/>
              <w:jc w:val="center"/>
              <w:rPr>
                <w:rFonts w:ascii="宋体" w:hAnsi="宋体" w:cs="宋体"/>
                <w:color w:val="000000" w:themeColor="text1"/>
                <w:sz w:val="24"/>
                <w:highlight w:val="none"/>
                <w14:textFill>
                  <w14:solidFill>
                    <w14:schemeClr w14:val="tx1"/>
                  </w14:solidFill>
                </w14:textFill>
              </w:rPr>
            </w:pPr>
          </w:p>
        </w:tc>
      </w:tr>
      <w:tr w14:paraId="6933F8EF">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3236ABA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751" w:type="dxa"/>
            <w:tcBorders>
              <w:top w:val="single" w:color="auto" w:sz="8" w:space="0"/>
              <w:left w:val="single" w:color="auto" w:sz="8" w:space="0"/>
              <w:bottom w:val="single" w:color="auto" w:sz="8" w:space="0"/>
              <w:right w:val="single" w:color="auto" w:sz="8" w:space="0"/>
            </w:tcBorders>
            <w:vAlign w:val="center"/>
          </w:tcPr>
          <w:p w14:paraId="03857E0B">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6F05EB26">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348C4486">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4BCBE7CB">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6A2A941E">
            <w:pPr>
              <w:spacing w:line="360" w:lineRule="auto"/>
              <w:jc w:val="center"/>
              <w:rPr>
                <w:rFonts w:ascii="宋体" w:hAnsi="宋体" w:cs="宋体"/>
                <w:color w:val="000000" w:themeColor="text1"/>
                <w:sz w:val="24"/>
                <w:highlight w:val="none"/>
                <w14:textFill>
                  <w14:solidFill>
                    <w14:schemeClr w14:val="tx1"/>
                  </w14:solidFill>
                </w14:textFill>
              </w:rPr>
            </w:pPr>
          </w:p>
        </w:tc>
      </w:tr>
      <w:tr w14:paraId="05A55FAC">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1AFD5D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751" w:type="dxa"/>
            <w:tcBorders>
              <w:top w:val="single" w:color="auto" w:sz="8" w:space="0"/>
              <w:left w:val="single" w:color="auto" w:sz="8" w:space="0"/>
              <w:bottom w:val="single" w:color="auto" w:sz="8" w:space="0"/>
              <w:right w:val="single" w:color="auto" w:sz="8" w:space="0"/>
            </w:tcBorders>
            <w:vAlign w:val="center"/>
          </w:tcPr>
          <w:p w14:paraId="68A0E673">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4FA8378F">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6A419C6A">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1E1F031C">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12DD1B5C">
            <w:pPr>
              <w:spacing w:line="360" w:lineRule="auto"/>
              <w:jc w:val="center"/>
              <w:rPr>
                <w:rFonts w:ascii="宋体" w:hAnsi="宋体" w:cs="宋体"/>
                <w:color w:val="000000" w:themeColor="text1"/>
                <w:sz w:val="24"/>
                <w:highlight w:val="none"/>
                <w14:textFill>
                  <w14:solidFill>
                    <w14:schemeClr w14:val="tx1"/>
                  </w14:solidFill>
                </w14:textFill>
              </w:rPr>
            </w:pPr>
          </w:p>
        </w:tc>
      </w:tr>
      <w:tr w14:paraId="6678FA3C">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1C82ECB4">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751" w:type="dxa"/>
            <w:tcBorders>
              <w:top w:val="single" w:color="auto" w:sz="8" w:space="0"/>
              <w:left w:val="single" w:color="auto" w:sz="8" w:space="0"/>
              <w:bottom w:val="single" w:color="auto" w:sz="8" w:space="0"/>
              <w:right w:val="single" w:color="auto" w:sz="8" w:space="0"/>
            </w:tcBorders>
            <w:vAlign w:val="center"/>
          </w:tcPr>
          <w:p w14:paraId="412C3E98">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609E1AD4">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00532AB4">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021F64D6">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72CF0489">
            <w:pPr>
              <w:spacing w:line="360" w:lineRule="auto"/>
              <w:jc w:val="center"/>
              <w:rPr>
                <w:rFonts w:ascii="宋体" w:hAnsi="宋体" w:cs="宋体"/>
                <w:color w:val="000000" w:themeColor="text1"/>
                <w:sz w:val="24"/>
                <w:highlight w:val="none"/>
                <w14:textFill>
                  <w14:solidFill>
                    <w14:schemeClr w14:val="tx1"/>
                  </w14:solidFill>
                </w14:textFill>
              </w:rPr>
            </w:pPr>
          </w:p>
        </w:tc>
      </w:tr>
      <w:tr w14:paraId="52DD456A">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772467A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751" w:type="dxa"/>
            <w:tcBorders>
              <w:top w:val="single" w:color="auto" w:sz="8" w:space="0"/>
              <w:left w:val="single" w:color="auto" w:sz="8" w:space="0"/>
              <w:bottom w:val="single" w:color="auto" w:sz="8" w:space="0"/>
              <w:right w:val="single" w:color="auto" w:sz="8" w:space="0"/>
            </w:tcBorders>
            <w:vAlign w:val="center"/>
          </w:tcPr>
          <w:p w14:paraId="2034D405">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5117A58D">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5480717C">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1C7AAA91">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6E86174B">
            <w:pPr>
              <w:spacing w:line="360" w:lineRule="auto"/>
              <w:jc w:val="center"/>
              <w:rPr>
                <w:rFonts w:ascii="宋体" w:hAnsi="宋体" w:cs="宋体"/>
                <w:color w:val="000000" w:themeColor="text1"/>
                <w:sz w:val="24"/>
                <w:highlight w:val="none"/>
                <w14:textFill>
                  <w14:solidFill>
                    <w14:schemeClr w14:val="tx1"/>
                  </w14:solidFill>
                </w14:textFill>
              </w:rPr>
            </w:pPr>
          </w:p>
        </w:tc>
      </w:tr>
      <w:tr w14:paraId="7549E879">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598F77B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751" w:type="dxa"/>
            <w:tcBorders>
              <w:top w:val="single" w:color="auto" w:sz="8" w:space="0"/>
              <w:left w:val="single" w:color="auto" w:sz="8" w:space="0"/>
              <w:bottom w:val="single" w:color="auto" w:sz="8" w:space="0"/>
              <w:right w:val="single" w:color="auto" w:sz="8" w:space="0"/>
            </w:tcBorders>
            <w:vAlign w:val="center"/>
          </w:tcPr>
          <w:p w14:paraId="0757F323">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097975F9">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168AE761">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159B71B6">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705094C9">
            <w:pPr>
              <w:spacing w:line="360" w:lineRule="auto"/>
              <w:jc w:val="center"/>
              <w:rPr>
                <w:rFonts w:ascii="宋体" w:hAnsi="宋体" w:cs="宋体"/>
                <w:color w:val="000000" w:themeColor="text1"/>
                <w:sz w:val="24"/>
                <w:highlight w:val="none"/>
                <w14:textFill>
                  <w14:solidFill>
                    <w14:schemeClr w14:val="tx1"/>
                  </w14:solidFill>
                </w14:textFill>
              </w:rPr>
            </w:pPr>
          </w:p>
        </w:tc>
      </w:tr>
      <w:tr w14:paraId="0D64D116">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0848138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751" w:type="dxa"/>
            <w:tcBorders>
              <w:top w:val="single" w:color="auto" w:sz="8" w:space="0"/>
              <w:left w:val="single" w:color="auto" w:sz="8" w:space="0"/>
              <w:bottom w:val="single" w:color="auto" w:sz="8" w:space="0"/>
              <w:right w:val="single" w:color="auto" w:sz="8" w:space="0"/>
            </w:tcBorders>
            <w:vAlign w:val="center"/>
          </w:tcPr>
          <w:p w14:paraId="29286CB5">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3874BE82">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450FBB72">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22C39AF5">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2E11A51C">
            <w:pPr>
              <w:spacing w:line="360" w:lineRule="auto"/>
              <w:jc w:val="center"/>
              <w:rPr>
                <w:rFonts w:ascii="宋体" w:hAnsi="宋体" w:cs="宋体"/>
                <w:color w:val="000000" w:themeColor="text1"/>
                <w:sz w:val="24"/>
                <w:highlight w:val="none"/>
                <w14:textFill>
                  <w14:solidFill>
                    <w14:schemeClr w14:val="tx1"/>
                  </w14:solidFill>
                </w14:textFill>
              </w:rPr>
            </w:pPr>
          </w:p>
        </w:tc>
      </w:tr>
      <w:tr w14:paraId="09FFD996">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763E341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751" w:type="dxa"/>
            <w:tcBorders>
              <w:top w:val="single" w:color="auto" w:sz="8" w:space="0"/>
              <w:left w:val="single" w:color="auto" w:sz="8" w:space="0"/>
              <w:bottom w:val="single" w:color="auto" w:sz="8" w:space="0"/>
              <w:right w:val="single" w:color="auto" w:sz="8" w:space="0"/>
            </w:tcBorders>
            <w:vAlign w:val="center"/>
          </w:tcPr>
          <w:p w14:paraId="157B40B6">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095143CE">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6A210904">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629D558A">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7DB9F777">
            <w:pPr>
              <w:spacing w:line="360" w:lineRule="auto"/>
              <w:jc w:val="center"/>
              <w:rPr>
                <w:rFonts w:ascii="宋体" w:hAnsi="宋体" w:cs="宋体"/>
                <w:color w:val="000000" w:themeColor="text1"/>
                <w:sz w:val="24"/>
                <w:highlight w:val="none"/>
                <w14:textFill>
                  <w14:solidFill>
                    <w14:schemeClr w14:val="tx1"/>
                  </w14:solidFill>
                </w14:textFill>
              </w:rPr>
            </w:pPr>
          </w:p>
        </w:tc>
      </w:tr>
      <w:tr w14:paraId="1DAC635A">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533CA82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751" w:type="dxa"/>
            <w:tcBorders>
              <w:top w:val="single" w:color="auto" w:sz="8" w:space="0"/>
              <w:left w:val="single" w:color="auto" w:sz="8" w:space="0"/>
              <w:bottom w:val="single" w:color="auto" w:sz="8" w:space="0"/>
              <w:right w:val="single" w:color="auto" w:sz="8" w:space="0"/>
            </w:tcBorders>
            <w:vAlign w:val="center"/>
          </w:tcPr>
          <w:p w14:paraId="69EA497B">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2D579B3F">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4CA23283">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36B46847">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431185BC">
            <w:pPr>
              <w:spacing w:line="360" w:lineRule="auto"/>
              <w:jc w:val="center"/>
              <w:rPr>
                <w:rFonts w:ascii="宋体" w:hAnsi="宋体" w:cs="宋体"/>
                <w:color w:val="000000" w:themeColor="text1"/>
                <w:sz w:val="24"/>
                <w:highlight w:val="none"/>
                <w14:textFill>
                  <w14:solidFill>
                    <w14:schemeClr w14:val="tx1"/>
                  </w14:solidFill>
                </w14:textFill>
              </w:rPr>
            </w:pPr>
          </w:p>
        </w:tc>
      </w:tr>
    </w:tbl>
    <w:p w14:paraId="29C3AF53">
      <w:pPr>
        <w:pStyle w:val="37"/>
        <w:spacing w:line="360" w:lineRule="auto"/>
        <w:rPr>
          <w:rFonts w:ascii="宋体" w:hAnsi="宋体" w:eastAsia="宋体"/>
          <w:color w:val="000000" w:themeColor="text1"/>
          <w:sz w:val="21"/>
          <w:szCs w:val="21"/>
          <w:highlight w:val="none"/>
          <w14:textFill>
            <w14:solidFill>
              <w14:schemeClr w14:val="tx1"/>
            </w14:solidFill>
          </w14:textFill>
        </w:rPr>
      </w:pPr>
    </w:p>
    <w:p w14:paraId="0CC20281">
      <w:pPr>
        <w:pStyle w:val="37"/>
        <w:spacing w:line="360" w:lineRule="auto"/>
        <w:outlineLvl w:val="9"/>
        <w:rPr>
          <w:rFonts w:ascii="宋体" w:hAnsi="宋体" w:eastAsia="宋体"/>
          <w:color w:val="000000" w:themeColor="text1"/>
          <w:sz w:val="21"/>
          <w:szCs w:val="21"/>
          <w:highlight w:val="none"/>
          <w:lang w:eastAsia="zh-CN"/>
          <w14:textFill>
            <w14:solidFill>
              <w14:schemeClr w14:val="tx1"/>
            </w14:solidFill>
          </w14:textFill>
        </w:rPr>
      </w:pPr>
      <w:bookmarkStart w:id="555" w:name="_Toc31365"/>
      <w:r>
        <w:rPr>
          <w:rFonts w:hint="eastAsia" w:ascii="宋体" w:hAnsi="宋体" w:eastAsia="宋体"/>
          <w:color w:val="000000" w:themeColor="text1"/>
          <w:sz w:val="21"/>
          <w:szCs w:val="21"/>
          <w:highlight w:val="none"/>
          <w:lang w:eastAsia="zh-CN"/>
          <w14:textFill>
            <w14:solidFill>
              <w14:schemeClr w14:val="tx1"/>
            </w14:solidFill>
          </w14:textFill>
        </w:rPr>
        <w:t>注：</w:t>
      </w:r>
      <w:bookmarkEnd w:id="555"/>
      <w:bookmarkStart w:id="556" w:name="_Toc29102"/>
      <w:r>
        <w:rPr>
          <w:rFonts w:hint="eastAsia" w:ascii="宋体" w:hAnsi="宋体" w:eastAsia="宋体"/>
          <w:color w:val="000000" w:themeColor="text1"/>
          <w:sz w:val="21"/>
          <w:szCs w:val="21"/>
          <w:highlight w:val="none"/>
          <w:lang w:eastAsia="zh-CN"/>
          <w14:textFill>
            <w14:solidFill>
              <w14:schemeClr w14:val="tx1"/>
            </w14:solidFill>
          </w14:textFill>
        </w:rPr>
        <w:t>应如实填报信用评价等级使用情况。</w:t>
      </w:r>
      <w:bookmarkEnd w:id="556"/>
    </w:p>
    <w:p w14:paraId="10B06F55">
      <w:pPr>
        <w:pStyle w:val="37"/>
        <w:spacing w:line="360" w:lineRule="auto"/>
        <w:rPr>
          <w:rFonts w:ascii="宋体" w:hAnsi="宋体" w:eastAsia="宋体"/>
          <w:color w:val="000000" w:themeColor="text1"/>
          <w:sz w:val="21"/>
          <w:szCs w:val="21"/>
          <w:highlight w:val="none"/>
          <w:lang w:eastAsia="zh-CN"/>
          <w14:textFill>
            <w14:solidFill>
              <w14:schemeClr w14:val="tx1"/>
            </w14:solidFill>
          </w14:textFill>
        </w:rPr>
      </w:pPr>
    </w:p>
    <w:p w14:paraId="605008F4">
      <w:pPr>
        <w:pStyle w:val="37"/>
        <w:spacing w:line="360" w:lineRule="auto"/>
        <w:rPr>
          <w:rFonts w:ascii="宋体" w:hAnsi="宋体" w:eastAsia="宋体"/>
          <w:color w:val="000000" w:themeColor="text1"/>
          <w:sz w:val="21"/>
          <w:szCs w:val="21"/>
          <w:highlight w:val="none"/>
          <w:lang w:eastAsia="zh-CN"/>
          <w14:textFill>
            <w14:solidFill>
              <w14:schemeClr w14:val="tx1"/>
            </w14:solidFill>
          </w14:textFill>
        </w:rPr>
      </w:pPr>
    </w:p>
    <w:p w14:paraId="5380031A">
      <w:pPr>
        <w:pStyle w:val="37"/>
        <w:spacing w:line="360" w:lineRule="auto"/>
        <w:jc w:val="center"/>
        <w:rPr>
          <w:rFonts w:ascii="宋体" w:hAnsi="宋体" w:eastAsia="宋体"/>
          <w:color w:val="000000" w:themeColor="text1"/>
          <w:sz w:val="28"/>
          <w:szCs w:val="21"/>
          <w:highlight w:val="none"/>
          <w:lang w:eastAsia="zh-CN"/>
          <w14:textFill>
            <w14:solidFill>
              <w14:schemeClr w14:val="tx1"/>
            </w14:solidFill>
          </w14:textFill>
        </w:rPr>
      </w:pPr>
      <w:bookmarkStart w:id="557" w:name="_Toc10325"/>
    </w:p>
    <w:bookmarkEnd w:id="557"/>
    <w:p w14:paraId="5DA77251">
      <w:pPr>
        <w:pStyle w:val="37"/>
        <w:spacing w:line="360" w:lineRule="auto"/>
        <w:jc w:val="center"/>
        <w:rPr>
          <w:rFonts w:ascii="宋体" w:hAnsi="宋体" w:eastAsia="宋体"/>
          <w:color w:val="000000" w:themeColor="text1"/>
          <w:sz w:val="28"/>
          <w:szCs w:val="21"/>
          <w:highlight w:val="none"/>
          <w:lang w:eastAsia="zh-CN"/>
          <w14:textFill>
            <w14:solidFill>
              <w14:schemeClr w14:val="tx1"/>
            </w14:solidFill>
          </w14:textFill>
        </w:rPr>
      </w:pPr>
    </w:p>
    <w:p w14:paraId="1D2AB722">
      <w:pPr>
        <w:pStyle w:val="37"/>
        <w:spacing w:line="360" w:lineRule="auto"/>
        <w:jc w:val="center"/>
        <w:outlineLvl w:val="9"/>
        <w:rPr>
          <w:rFonts w:ascii="宋体" w:hAnsi="宋体" w:eastAsia="宋体"/>
          <w:color w:val="000000" w:themeColor="text1"/>
          <w:szCs w:val="24"/>
          <w:highlight w:val="none"/>
          <w:lang w:eastAsia="zh-CN"/>
          <w14:textFill>
            <w14:solidFill>
              <w14:schemeClr w14:val="tx1"/>
            </w14:solidFill>
          </w14:textFill>
        </w:rPr>
      </w:pPr>
    </w:p>
    <w:p w14:paraId="57375A8D">
      <w:pPr>
        <w:pStyle w:val="37"/>
        <w:spacing w:line="240" w:lineRule="auto"/>
        <w:jc w:val="center"/>
        <w:outlineLvl w:val="9"/>
        <w:rPr>
          <w:rFonts w:ascii="宋体" w:hAnsi="宋体" w:eastAsia="宋体"/>
          <w:color w:val="000000" w:themeColor="text1"/>
          <w:sz w:val="28"/>
          <w:szCs w:val="21"/>
          <w:highlight w:val="none"/>
          <w:lang w:eastAsia="zh-CN"/>
          <w14:textFill>
            <w14:solidFill>
              <w14:schemeClr w14:val="tx1"/>
            </w14:solidFill>
          </w14:textFill>
        </w:rPr>
      </w:pPr>
    </w:p>
    <w:p w14:paraId="17E0AB9F">
      <w:pPr>
        <w:jc w:val="center"/>
        <w:rPr>
          <w:rFonts w:ascii="宋体" w:hAnsi="宋体" w:cs="宋体"/>
          <w:color w:val="000000" w:themeColor="text1"/>
          <w:sz w:val="32"/>
          <w:szCs w:val="32"/>
          <w:highlight w:val="none"/>
          <w:lang w:eastAsia="zh-CN"/>
          <w14:textFill>
            <w14:solidFill>
              <w14:schemeClr w14:val="tx1"/>
            </w14:solidFill>
          </w14:textFill>
        </w:rPr>
      </w:pPr>
    </w:p>
    <w:p w14:paraId="2ABAD891">
      <w:pPr>
        <w:jc w:val="center"/>
        <w:rPr>
          <w:rFonts w:ascii="宋体" w:hAnsi="宋体" w:cs="宋体"/>
          <w:color w:val="000000" w:themeColor="text1"/>
          <w:sz w:val="32"/>
          <w:szCs w:val="32"/>
          <w:highlight w:val="none"/>
          <w:lang w:eastAsia="zh-CN"/>
          <w14:textFill>
            <w14:solidFill>
              <w14:schemeClr w14:val="tx1"/>
            </w14:solidFill>
          </w14:textFill>
        </w:rPr>
      </w:pPr>
    </w:p>
    <w:p w14:paraId="62031DA1">
      <w:pPr>
        <w:rPr>
          <w:rFonts w:ascii="宋体" w:hAnsi="宋体" w:eastAsia="宋体"/>
          <w:color w:val="000000" w:themeColor="text1"/>
          <w:sz w:val="28"/>
          <w:highlight w:val="none"/>
          <w:lang w:eastAsia="zh-CN"/>
          <w14:textFill>
            <w14:solidFill>
              <w14:schemeClr w14:val="tx1"/>
            </w14:solidFill>
          </w14:textFill>
        </w:rPr>
      </w:pPr>
      <w:bookmarkStart w:id="558" w:name="_Toc14957"/>
      <w:r>
        <w:rPr>
          <w:rFonts w:hint="eastAsia" w:ascii="宋体" w:hAnsi="宋体" w:eastAsia="宋体"/>
          <w:color w:val="000000" w:themeColor="text1"/>
          <w:sz w:val="28"/>
          <w:highlight w:val="none"/>
          <w:lang w:eastAsia="zh-CN"/>
          <w14:textFill>
            <w14:solidFill>
              <w14:schemeClr w14:val="tx1"/>
            </w14:solidFill>
          </w14:textFill>
        </w:rPr>
        <w:br w:type="page"/>
      </w:r>
    </w:p>
    <w:p w14:paraId="0E314E32">
      <w:pPr>
        <w:rPr>
          <w:rFonts w:ascii="宋体" w:hAnsi="宋体" w:eastAsia="宋体"/>
          <w:color w:val="000000" w:themeColor="text1"/>
          <w:sz w:val="28"/>
          <w:highlight w:val="none"/>
          <w:lang w:eastAsia="zh-CN"/>
          <w14:textFill>
            <w14:solidFill>
              <w14:schemeClr w14:val="tx1"/>
            </w14:solidFill>
          </w14:textFill>
        </w:rPr>
      </w:pPr>
      <w:r>
        <w:rPr>
          <w:rFonts w:hint="eastAsia" w:ascii="宋体" w:hAnsi="宋体" w:eastAsia="宋体"/>
          <w:color w:val="000000" w:themeColor="text1"/>
          <w:sz w:val="28"/>
          <w:highlight w:val="none"/>
          <w:lang w:eastAsia="zh-CN"/>
          <w14:textFill>
            <w14:solidFill>
              <w14:schemeClr w14:val="tx1"/>
            </w14:solidFill>
          </w14:textFill>
        </w:rPr>
        <w:t>7-2 投标人自评分表（格式自拟）</w:t>
      </w:r>
      <w:bookmarkEnd w:id="558"/>
    </w:p>
    <w:p w14:paraId="2ABBF514">
      <w:pPr>
        <w:pStyle w:val="37"/>
        <w:spacing w:line="360" w:lineRule="auto"/>
        <w:jc w:val="center"/>
        <w:outlineLvl w:val="9"/>
        <w:rPr>
          <w:rFonts w:ascii="宋体" w:hAnsi="宋体" w:eastAsia="宋体"/>
          <w:color w:val="000000" w:themeColor="text1"/>
          <w:sz w:val="28"/>
          <w:szCs w:val="21"/>
          <w:highlight w:val="none"/>
          <w14:textFill>
            <w14:solidFill>
              <w14:schemeClr w14:val="tx1"/>
            </w14:solidFill>
          </w14:textFill>
        </w:rPr>
      </w:pPr>
      <w:bookmarkStart w:id="559" w:name="_Toc28463"/>
      <w:r>
        <w:rPr>
          <w:rFonts w:hint="eastAsia" w:ascii="宋体" w:hAnsi="宋体" w:eastAsia="宋体"/>
          <w:color w:val="000000" w:themeColor="text1"/>
          <w:sz w:val="28"/>
          <w:szCs w:val="21"/>
          <w:highlight w:val="none"/>
          <w14:textFill>
            <w14:solidFill>
              <w14:schemeClr w14:val="tx1"/>
            </w14:solidFill>
          </w14:textFill>
        </w:rPr>
        <w:t>7-2 投标人自评分表</w:t>
      </w:r>
      <w:bookmarkEnd w:id="559"/>
    </w:p>
    <w:tbl>
      <w:tblPr>
        <w:tblStyle w:val="18"/>
        <w:tblW w:w="87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96"/>
        <w:gridCol w:w="895"/>
        <w:gridCol w:w="1709"/>
        <w:gridCol w:w="1233"/>
        <w:gridCol w:w="1572"/>
        <w:gridCol w:w="1389"/>
      </w:tblGrid>
      <w:tr w14:paraId="3FB6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10" w:type="dxa"/>
            <w:vAlign w:val="center"/>
          </w:tcPr>
          <w:p w14:paraId="46A20400">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96" w:type="dxa"/>
            <w:vAlign w:val="center"/>
          </w:tcPr>
          <w:p w14:paraId="50F67AEB">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评分因素</w:t>
            </w:r>
          </w:p>
        </w:tc>
        <w:tc>
          <w:tcPr>
            <w:tcW w:w="895" w:type="dxa"/>
            <w:vAlign w:val="center"/>
          </w:tcPr>
          <w:p w14:paraId="7FEB2DBE">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满分</w:t>
            </w:r>
          </w:p>
        </w:tc>
        <w:tc>
          <w:tcPr>
            <w:tcW w:w="1709" w:type="dxa"/>
            <w:vAlign w:val="center"/>
          </w:tcPr>
          <w:p w14:paraId="56756C7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评分标准</w:t>
            </w:r>
          </w:p>
        </w:tc>
        <w:tc>
          <w:tcPr>
            <w:tcW w:w="1233" w:type="dxa"/>
            <w:vAlign w:val="center"/>
          </w:tcPr>
          <w:p w14:paraId="782C2FAC">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自评分</w:t>
            </w:r>
          </w:p>
        </w:tc>
        <w:tc>
          <w:tcPr>
            <w:tcW w:w="1572" w:type="dxa"/>
            <w:vAlign w:val="center"/>
          </w:tcPr>
          <w:p w14:paraId="43554218">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投标人评分情况说明</w:t>
            </w:r>
          </w:p>
        </w:tc>
        <w:tc>
          <w:tcPr>
            <w:tcW w:w="1389" w:type="dxa"/>
            <w:vAlign w:val="center"/>
          </w:tcPr>
          <w:p w14:paraId="20A08331">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证明材料所在页码</w:t>
            </w:r>
          </w:p>
        </w:tc>
      </w:tr>
      <w:tr w14:paraId="7DBF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1745273F">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05F6FB28">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57481B56">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1C7463DF">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08E0E878">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40F96626">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6CC76912">
            <w:pPr>
              <w:jc w:val="center"/>
              <w:rPr>
                <w:rFonts w:ascii="宋体" w:hAnsi="宋体" w:cs="宋体"/>
                <w:color w:val="000000" w:themeColor="text1"/>
                <w:sz w:val="24"/>
                <w:highlight w:val="none"/>
                <w14:textFill>
                  <w14:solidFill>
                    <w14:schemeClr w14:val="tx1"/>
                  </w14:solidFill>
                </w14:textFill>
              </w:rPr>
            </w:pPr>
          </w:p>
        </w:tc>
      </w:tr>
      <w:tr w14:paraId="562B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529EC8AB">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55DD9A1A">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278DB939">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0F2BDBE6">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6704F193">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4096BAEF">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46851EEC">
            <w:pPr>
              <w:jc w:val="center"/>
              <w:rPr>
                <w:rFonts w:ascii="宋体" w:hAnsi="宋体" w:cs="宋体"/>
                <w:color w:val="000000" w:themeColor="text1"/>
                <w:sz w:val="24"/>
                <w:highlight w:val="none"/>
                <w14:textFill>
                  <w14:solidFill>
                    <w14:schemeClr w14:val="tx1"/>
                  </w14:solidFill>
                </w14:textFill>
              </w:rPr>
            </w:pPr>
          </w:p>
        </w:tc>
      </w:tr>
      <w:tr w14:paraId="6A63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582F8DB1">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46D08C92">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2AB60A4F">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5FFA9FF7">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16720192">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503D7D3A">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29B3B9E2">
            <w:pPr>
              <w:jc w:val="center"/>
              <w:rPr>
                <w:rFonts w:ascii="宋体" w:hAnsi="宋体" w:cs="宋体"/>
                <w:color w:val="000000" w:themeColor="text1"/>
                <w:sz w:val="24"/>
                <w:highlight w:val="none"/>
                <w14:textFill>
                  <w14:solidFill>
                    <w14:schemeClr w14:val="tx1"/>
                  </w14:solidFill>
                </w14:textFill>
              </w:rPr>
            </w:pPr>
          </w:p>
        </w:tc>
      </w:tr>
      <w:tr w14:paraId="5423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10554D46">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45A20BB2">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0C486F3C">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5503E94C">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448F1591">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711AC219">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3F541292">
            <w:pPr>
              <w:jc w:val="center"/>
              <w:rPr>
                <w:rFonts w:ascii="宋体" w:hAnsi="宋体" w:cs="宋体"/>
                <w:color w:val="000000" w:themeColor="text1"/>
                <w:sz w:val="24"/>
                <w:highlight w:val="none"/>
                <w14:textFill>
                  <w14:solidFill>
                    <w14:schemeClr w14:val="tx1"/>
                  </w14:solidFill>
                </w14:textFill>
              </w:rPr>
            </w:pPr>
          </w:p>
        </w:tc>
      </w:tr>
      <w:tr w14:paraId="3AEF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392D2CE7">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3982D5B4">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2FD4B108">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2D8E2C4C">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1CB2AC89">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3FA9B55B">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4B945F6E">
            <w:pPr>
              <w:jc w:val="center"/>
              <w:rPr>
                <w:rFonts w:ascii="宋体" w:hAnsi="宋体" w:cs="宋体"/>
                <w:color w:val="000000" w:themeColor="text1"/>
                <w:sz w:val="24"/>
                <w:highlight w:val="none"/>
                <w14:textFill>
                  <w14:solidFill>
                    <w14:schemeClr w14:val="tx1"/>
                  </w14:solidFill>
                </w14:textFill>
              </w:rPr>
            </w:pPr>
          </w:p>
        </w:tc>
      </w:tr>
      <w:tr w14:paraId="3321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2A47AE6B">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25B9A4C9">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5A438C9E">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7C820A5B">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10AB1425">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6840F8A2">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68E4DF8C">
            <w:pPr>
              <w:jc w:val="center"/>
              <w:rPr>
                <w:rFonts w:ascii="宋体" w:hAnsi="宋体" w:cs="宋体"/>
                <w:color w:val="000000" w:themeColor="text1"/>
                <w:sz w:val="24"/>
                <w:highlight w:val="none"/>
                <w14:textFill>
                  <w14:solidFill>
                    <w14:schemeClr w14:val="tx1"/>
                  </w14:solidFill>
                </w14:textFill>
              </w:rPr>
            </w:pPr>
          </w:p>
        </w:tc>
      </w:tr>
      <w:tr w14:paraId="74BD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22B3706A">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51FBA053">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2B3AC9DB">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430D29D9">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6F4EE54D">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7244791D">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2AEFBC87">
            <w:pPr>
              <w:jc w:val="center"/>
              <w:rPr>
                <w:rFonts w:ascii="宋体" w:hAnsi="宋体" w:cs="宋体"/>
                <w:color w:val="000000" w:themeColor="text1"/>
                <w:sz w:val="24"/>
                <w:highlight w:val="none"/>
                <w14:textFill>
                  <w14:solidFill>
                    <w14:schemeClr w14:val="tx1"/>
                  </w14:solidFill>
                </w14:textFill>
              </w:rPr>
            </w:pPr>
          </w:p>
        </w:tc>
      </w:tr>
      <w:tr w14:paraId="0AD0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6" w:type="dxa"/>
            <w:gridSpan w:val="2"/>
            <w:vAlign w:val="center"/>
          </w:tcPr>
          <w:p w14:paraId="66175D68">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合计</w:t>
            </w:r>
          </w:p>
        </w:tc>
        <w:tc>
          <w:tcPr>
            <w:tcW w:w="895" w:type="dxa"/>
            <w:vAlign w:val="center"/>
          </w:tcPr>
          <w:p w14:paraId="62051B2E">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44372DB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233" w:type="dxa"/>
            <w:vAlign w:val="center"/>
          </w:tcPr>
          <w:p w14:paraId="79CEDC04">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72F288A1">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389" w:type="dxa"/>
            <w:vAlign w:val="center"/>
          </w:tcPr>
          <w:p w14:paraId="6F042FDA">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r>
    </w:tbl>
    <w:p w14:paraId="6B34C9EE">
      <w:pPr>
        <w:jc w:val="center"/>
        <w:rPr>
          <w:rFonts w:ascii="宋体" w:hAnsi="宋体" w:cs="宋体"/>
          <w:color w:val="000000" w:themeColor="text1"/>
          <w:sz w:val="32"/>
          <w:szCs w:val="32"/>
          <w:highlight w:val="none"/>
          <w14:textFill>
            <w14:solidFill>
              <w14:schemeClr w14:val="tx1"/>
            </w14:solidFill>
          </w14:textFill>
        </w:rPr>
      </w:pPr>
    </w:p>
    <w:p w14:paraId="4F105C76">
      <w:pPr>
        <w:jc w:val="center"/>
        <w:rPr>
          <w:rFonts w:ascii="宋体" w:hAnsi="宋体" w:cs="宋体"/>
          <w:color w:val="000000" w:themeColor="text1"/>
          <w:sz w:val="32"/>
          <w:szCs w:val="32"/>
          <w:highlight w:val="none"/>
          <w14:textFill>
            <w14:solidFill>
              <w14:schemeClr w14:val="tx1"/>
            </w14:solidFill>
          </w14:textFill>
        </w:rPr>
      </w:pPr>
    </w:p>
    <w:p w14:paraId="043F5C24">
      <w:pPr>
        <w:ind w:firstLine="2400" w:firstLineChars="1000"/>
        <w:jc w:val="both"/>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w:t>
      </w:r>
      <w:r>
        <w:rPr>
          <w:rFonts w:hint="eastAsia" w:ascii="宋体" w:hAnsi="宋体" w:cs="宋体"/>
          <w:color w:val="000000" w:themeColor="text1"/>
          <w:sz w:val="24"/>
          <w:highlight w:val="none"/>
          <w:u w:val="single"/>
          <w:lang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（盖章位章）</w:t>
      </w:r>
    </w:p>
    <w:p w14:paraId="31B7EA1A">
      <w:pPr>
        <w:pStyle w:val="25"/>
        <w:rPr>
          <w:color w:val="000000" w:themeColor="text1"/>
          <w:highlight w:val="none"/>
          <w:lang w:eastAsia="zh-CN"/>
          <w14:textFill>
            <w14:solidFill>
              <w14:schemeClr w14:val="tx1"/>
            </w14:solidFill>
          </w14:textFill>
        </w:rPr>
        <w:sectPr>
          <w:headerReference r:id="rId59" w:type="default"/>
          <w:footerReference r:id="rId60" w:type="default"/>
          <w:pgSz w:w="11907" w:h="16839"/>
          <w:pgMar w:top="1173" w:right="1613" w:bottom="1254" w:left="1673" w:header="862" w:footer="1093" w:gutter="0"/>
          <w:cols w:space="720" w:num="1"/>
        </w:sectPr>
      </w:pPr>
      <w:r>
        <w:rPr>
          <w:rFonts w:hint="eastAsia" w:ascii="宋体" w:hAnsi="宋体" w:cs="宋体"/>
          <w:color w:val="000000" w:themeColor="text1"/>
          <w:sz w:val="24"/>
          <w:szCs w:val="24"/>
          <w:highlight w:val="none"/>
          <w:lang w:eastAsia="zh-CN"/>
          <w14:textFill>
            <w14:solidFill>
              <w14:schemeClr w14:val="tx1"/>
            </w14:solidFill>
          </w14:textFill>
        </w:rPr>
        <w:t xml:space="preserve">               法定代表人或其委托代理人：</w:t>
      </w:r>
      <w:r>
        <w:rPr>
          <w:rFonts w:hint="eastAsia"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（签字）</w:t>
      </w:r>
    </w:p>
    <w:p w14:paraId="7EAC941E">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1D9E3AD3">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261C881B">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21390F4C">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4ED43B2C">
      <w:pPr>
        <w:tabs>
          <w:tab w:val="left" w:pos="3287"/>
        </w:tabs>
        <w:kinsoku/>
        <w:spacing w:before="78" w:line="219" w:lineRule="auto"/>
        <w:ind w:left="0" w:leftChars="0" w:firstLine="0" w:firstLineChars="0"/>
        <w:jc w:val="center"/>
        <w:rPr>
          <w:rFonts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eastAsia="宋体" w:cs="宋体"/>
          <w:color w:val="000000" w:themeColor="text1"/>
          <w:sz w:val="32"/>
          <w:szCs w:val="32"/>
          <w:highlight w:val="none"/>
          <w:u w:val="single"/>
          <w:lang w:eastAsia="zh-CN"/>
          <w14:textFill>
            <w14:solidFill>
              <w14:schemeClr w14:val="tx1"/>
            </w14:solidFill>
          </w14:textFill>
        </w:rPr>
        <w:t>广东省韶关市始兴县道路交通信息化工程建设项目设计</w:t>
      </w:r>
      <w:r>
        <w:rPr>
          <w:rFonts w:hint="eastAsia" w:ascii="宋体" w:hAnsi="宋体" w:eastAsia="宋体" w:cs="宋体"/>
          <w:color w:val="000000" w:themeColor="text1"/>
          <w:sz w:val="32"/>
          <w:szCs w:val="32"/>
          <w:highlight w:val="none"/>
          <w:lang w:eastAsia="zh-CN"/>
          <w14:textFill>
            <w14:solidFill>
              <w14:schemeClr w14:val="tx1"/>
            </w14:solidFill>
          </w14:textFill>
        </w:rPr>
        <w:t>招标</w:t>
      </w:r>
    </w:p>
    <w:p w14:paraId="73EEF0DF">
      <w:pPr>
        <w:kinsoku/>
        <w:spacing w:line="264" w:lineRule="auto"/>
        <w:rPr>
          <w:rFonts w:ascii="宋体" w:hAnsi="宋体" w:eastAsia="宋体" w:cs="宋体"/>
          <w:color w:val="000000" w:themeColor="text1"/>
          <w:sz w:val="24"/>
          <w:szCs w:val="24"/>
          <w:highlight w:val="none"/>
          <w:lang w:eastAsia="zh-CN"/>
          <w14:textFill>
            <w14:solidFill>
              <w14:schemeClr w14:val="tx1"/>
            </w14:solidFill>
          </w14:textFill>
        </w:rPr>
      </w:pPr>
    </w:p>
    <w:p w14:paraId="168CE447">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3BF2B6C8">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528B2191">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7B94E6F2">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6FE356E2">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460B0C77">
      <w:pPr>
        <w:kinsoku/>
        <w:spacing w:line="265" w:lineRule="auto"/>
        <w:rPr>
          <w:rFonts w:ascii="宋体" w:hAnsi="宋体" w:eastAsia="宋体" w:cs="宋体"/>
          <w:color w:val="000000" w:themeColor="text1"/>
          <w:highlight w:val="none"/>
          <w:lang w:eastAsia="zh-CN"/>
          <w14:textFill>
            <w14:solidFill>
              <w14:schemeClr w14:val="tx1"/>
            </w14:solidFill>
          </w14:textFill>
        </w:rPr>
      </w:pPr>
    </w:p>
    <w:p w14:paraId="2DC71FB8">
      <w:pPr>
        <w:kinsoku/>
        <w:spacing w:line="265" w:lineRule="auto"/>
        <w:rPr>
          <w:rFonts w:ascii="宋体" w:hAnsi="宋体" w:eastAsia="宋体" w:cs="宋体"/>
          <w:color w:val="000000" w:themeColor="text1"/>
          <w:highlight w:val="none"/>
          <w:lang w:eastAsia="zh-CN"/>
          <w14:textFill>
            <w14:solidFill>
              <w14:schemeClr w14:val="tx1"/>
            </w14:solidFill>
          </w14:textFill>
        </w:rPr>
      </w:pPr>
    </w:p>
    <w:p w14:paraId="47B0D24E">
      <w:pPr>
        <w:kinsoku/>
        <w:spacing w:before="159" w:line="332" w:lineRule="auto"/>
        <w:ind w:left="3265" w:right="2563" w:hanging="691"/>
        <w:rPr>
          <w:rFonts w:ascii="宋体" w:hAnsi="宋体" w:eastAsia="宋体" w:cs="宋体"/>
          <w:color w:val="000000" w:themeColor="text1"/>
          <w:sz w:val="36"/>
          <w:szCs w:val="36"/>
          <w:highlight w:val="none"/>
          <w:lang w:eastAsia="zh-CN"/>
          <w14:textFill>
            <w14:solidFill>
              <w14:schemeClr w14:val="tx1"/>
            </w14:solidFill>
          </w14:textFill>
        </w:rPr>
      </w:pPr>
      <w:bookmarkStart w:id="560" w:name="bookmark304"/>
      <w:bookmarkEnd w:id="560"/>
      <w:r>
        <w:rPr>
          <w:rFonts w:hint="eastAsia" w:ascii="宋体" w:hAnsi="宋体" w:eastAsia="宋体" w:cs="宋体"/>
          <w:color w:val="000000" w:themeColor="text1"/>
          <w:sz w:val="49"/>
          <w:szCs w:val="49"/>
          <w:highlight w:val="none"/>
          <w:lang w:eastAsia="zh-CN"/>
          <w14:textFill>
            <w14:solidFill>
              <w14:schemeClr w14:val="tx1"/>
            </w14:solidFill>
          </w14:textFill>
        </w:rPr>
        <w:t xml:space="preserve">投  标  文  件 </w:t>
      </w:r>
      <w:bookmarkStart w:id="561" w:name="bookmark303"/>
      <w:bookmarkEnd w:id="561"/>
      <w:r>
        <w:rPr>
          <w:rFonts w:hint="eastAsia" w:ascii="宋体" w:hAnsi="宋体" w:eastAsia="宋体" w:cs="宋体"/>
          <w:color w:val="000000" w:themeColor="text1"/>
          <w:sz w:val="36"/>
          <w:szCs w:val="36"/>
          <w:highlight w:val="none"/>
          <w:lang w:eastAsia="zh-CN"/>
          <w14:textFill>
            <w14:solidFill>
              <w14:schemeClr w14:val="tx1"/>
            </w14:solidFill>
          </w14:textFill>
        </w:rPr>
        <w:t>（技术文件）</w:t>
      </w:r>
    </w:p>
    <w:p w14:paraId="6A6946D3">
      <w:pPr>
        <w:kinsoku/>
        <w:rPr>
          <w:rFonts w:ascii="宋体" w:hAnsi="宋体" w:eastAsia="宋体" w:cs="宋体"/>
          <w:color w:val="000000" w:themeColor="text1"/>
          <w:highlight w:val="none"/>
          <w:lang w:eastAsia="zh-CN"/>
          <w14:textFill>
            <w14:solidFill>
              <w14:schemeClr w14:val="tx1"/>
            </w14:solidFill>
          </w14:textFill>
        </w:rPr>
      </w:pPr>
    </w:p>
    <w:p w14:paraId="07128462">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45B9B66">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79B166F9">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36D266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4D41331C">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5610D5C1">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568DF82">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54A23C73">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948320B">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41FAAE2">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78A7F6DE">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89B9923">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D9E528E">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66DE30C">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50F2F1C8">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8368DE0">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3DE25BD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A717475">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BA8B77A">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45822B8C">
      <w:pPr>
        <w:tabs>
          <w:tab w:val="left" w:pos="3257"/>
        </w:tabs>
        <w:kinsoku/>
        <w:spacing w:before="91" w:line="568" w:lineRule="auto"/>
        <w:ind w:left="2138" w:right="556" w:hanging="1602"/>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年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月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日</w:t>
      </w:r>
    </w:p>
    <w:p w14:paraId="642372A7">
      <w:pPr>
        <w:kinsoku/>
        <w:spacing w:line="568" w:lineRule="auto"/>
        <w:rPr>
          <w:rFonts w:ascii="宋体" w:hAnsi="宋体" w:eastAsia="宋体" w:cs="宋体"/>
          <w:color w:val="000000" w:themeColor="text1"/>
          <w:sz w:val="28"/>
          <w:szCs w:val="28"/>
          <w:highlight w:val="none"/>
          <w:lang w:eastAsia="zh-CN"/>
          <w14:textFill>
            <w14:solidFill>
              <w14:schemeClr w14:val="tx1"/>
            </w14:solidFill>
          </w14:textFill>
        </w:rPr>
        <w:sectPr>
          <w:footerReference r:id="rId61" w:type="default"/>
          <w:pgSz w:w="11907" w:h="16839"/>
          <w:pgMar w:top="1173" w:right="1613" w:bottom="1254" w:left="1673" w:header="862" w:footer="1093" w:gutter="0"/>
          <w:cols w:space="720" w:num="1"/>
        </w:sectPr>
      </w:pPr>
    </w:p>
    <w:p w14:paraId="65747B85">
      <w:pPr>
        <w:kinsoku/>
        <w:spacing w:before="91" w:line="225" w:lineRule="auto"/>
        <w:ind w:left="3198"/>
        <w:rPr>
          <w:rFonts w:ascii="宋体" w:hAnsi="宋体" w:eastAsia="宋体" w:cs="宋体"/>
          <w:color w:val="000000" w:themeColor="text1"/>
          <w:sz w:val="13"/>
          <w:szCs w:val="13"/>
          <w:highlight w:val="none"/>
          <w:lang w:eastAsia="zh-CN"/>
          <w14:textFill>
            <w14:solidFill>
              <w14:schemeClr w14:val="tx1"/>
            </w14:solidFill>
          </w14:textFill>
        </w:rPr>
      </w:pPr>
      <w:bookmarkStart w:id="562" w:name="bookmark306"/>
      <w:bookmarkEnd w:id="562"/>
      <w:bookmarkStart w:id="563" w:name="bookmark305"/>
      <w:bookmarkEnd w:id="563"/>
      <w:r>
        <w:rPr>
          <w:rFonts w:hint="eastAsia" w:ascii="宋体" w:hAnsi="宋体" w:eastAsia="宋体" w:cs="宋体"/>
          <w:color w:val="000000" w:themeColor="text1"/>
          <w:sz w:val="28"/>
          <w:szCs w:val="28"/>
          <w:highlight w:val="none"/>
          <w:lang w:eastAsia="zh-CN"/>
          <w14:textFill>
            <w14:solidFill>
              <w14:schemeClr w14:val="tx1"/>
            </w14:solidFill>
          </w14:textFill>
        </w:rPr>
        <w:t>八、技术建议书</w:t>
      </w:r>
    </w:p>
    <w:p w14:paraId="7B758D46">
      <w:pPr>
        <w:kinsoku/>
        <w:rPr>
          <w:rFonts w:ascii="宋体" w:hAnsi="宋体" w:eastAsia="宋体" w:cs="宋体"/>
          <w:color w:val="000000" w:themeColor="text1"/>
          <w:highlight w:val="none"/>
          <w:lang w:eastAsia="zh-CN"/>
          <w14:textFill>
            <w14:solidFill>
              <w14:schemeClr w14:val="tx1"/>
            </w14:solidFill>
          </w14:textFill>
        </w:rPr>
      </w:pPr>
    </w:p>
    <w:p w14:paraId="6D9C110B">
      <w:pPr>
        <w:kinsoku/>
        <w:spacing w:before="78" w:line="360" w:lineRule="auto"/>
        <w:ind w:left="-19" w:leftChars="-9"/>
        <w:rPr>
          <w:rFonts w:ascii="宋体" w:hAnsi="宋体" w:eastAsia="宋体" w:cs="宋体"/>
          <w:color w:val="000000" w:themeColor="text1"/>
          <w:sz w:val="24"/>
          <w:szCs w:val="24"/>
          <w:highlight w:val="none"/>
          <w:lang w:eastAsia="zh-CN"/>
          <w14:textFill>
            <w14:solidFill>
              <w14:schemeClr w14:val="tx1"/>
            </w14:solidFill>
          </w14:textFill>
        </w:rPr>
      </w:pPr>
    </w:p>
    <w:p w14:paraId="07638C85">
      <w:pPr>
        <w:kinsoku/>
        <w:spacing w:before="78" w:line="360" w:lineRule="auto"/>
        <w:ind w:left="-19" w:leftChars="-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主要内容包括：</w:t>
      </w:r>
    </w:p>
    <w:p w14:paraId="230D77DE">
      <w:pPr>
        <w:kinsoku/>
        <w:spacing w:before="153" w:line="360" w:lineRule="auto"/>
        <w:ind w:left="-19" w:leftChars="-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1.对招标项目的理解和总体设计思路</w:t>
      </w:r>
    </w:p>
    <w:p w14:paraId="367EDB4A">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2.对招标项目设计的特点、关键性技术问题的认识及其对策措施</w:t>
      </w:r>
    </w:p>
    <w:p w14:paraId="67183B36">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3.对前一阶段工作技术结论及技术方案的不同看法及建议</w:t>
      </w:r>
    </w:p>
    <w:p w14:paraId="685491EF">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4.设计工作量及计划安排</w:t>
      </w:r>
    </w:p>
    <w:p w14:paraId="003B617C">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5.设计的质量保证措施、进度保证措施、安全保证措施</w:t>
      </w:r>
    </w:p>
    <w:p w14:paraId="300B3E04">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6.后续服务的安排及保证措施</w:t>
      </w:r>
    </w:p>
    <w:p w14:paraId="7772B095">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7.其他建议</w:t>
      </w:r>
    </w:p>
    <w:p w14:paraId="4FFD68FB">
      <w:pPr>
        <w:kinsoku/>
        <w:spacing w:before="153" w:line="360" w:lineRule="auto"/>
        <w:ind w:left="-19" w:leftChars="-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（附必要的图纸）</w:t>
      </w:r>
    </w:p>
    <w:p w14:paraId="1C4439A3">
      <w:pPr>
        <w:kinsoku/>
        <w:spacing w:line="245" w:lineRule="auto"/>
        <w:rPr>
          <w:rFonts w:ascii="宋体" w:hAnsi="宋体" w:eastAsia="宋体" w:cs="宋体"/>
          <w:color w:val="000000" w:themeColor="text1"/>
          <w:sz w:val="24"/>
          <w:szCs w:val="24"/>
          <w:highlight w:val="none"/>
          <w:lang w:eastAsia="zh-CN"/>
          <w14:textFill>
            <w14:solidFill>
              <w14:schemeClr w14:val="tx1"/>
            </w14:solidFill>
          </w14:textFill>
        </w:rPr>
      </w:pPr>
    </w:p>
    <w:p w14:paraId="640325B6">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5859E4D">
      <w:pPr>
        <w:kinsoku/>
        <w:spacing w:line="245"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注:技术建议书采用标准图框A3幅面(含文字说明在内，总页数不超过100页)。</w:t>
      </w:r>
    </w:p>
    <w:p w14:paraId="4514F753">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3F998B3F">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16176EEC">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361C48B4">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2FB59D7">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05F2042C">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0E907403">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1F15205">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148BCEF1">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550FAF87">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36A0588A">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E39133A">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BFB2E17">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6F089EA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3DE78EC7">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6C4F8AA2">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53D9805A">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4F28DD4">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6E468DF">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1BD6DB0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36FA900E">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723155A">
      <w:pPr>
        <w:kinsoku/>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br w:type="page"/>
      </w:r>
    </w:p>
    <w:p w14:paraId="207E3D5F">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46CA20B4">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2B381FF7">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27026E4E">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477E3C47">
      <w:pPr>
        <w:tabs>
          <w:tab w:val="left" w:pos="3287"/>
        </w:tabs>
        <w:kinsoku/>
        <w:spacing w:before="78" w:line="219" w:lineRule="auto"/>
        <w:ind w:left="0" w:leftChars="0" w:firstLine="0" w:firstLineChars="0"/>
        <w:jc w:val="center"/>
        <w:rPr>
          <w:rFonts w:ascii="宋体" w:hAnsi="宋体" w:eastAsia="宋体" w:cs="宋体"/>
          <w:color w:val="000000" w:themeColor="text1"/>
          <w:sz w:val="32"/>
          <w:szCs w:val="32"/>
          <w:highlight w:val="none"/>
          <w:u w:val="none"/>
          <w:lang w:eastAsia="zh-CN"/>
          <w14:textFill>
            <w14:solidFill>
              <w14:schemeClr w14:val="tx1"/>
            </w14:solidFill>
          </w14:textFill>
        </w:rPr>
      </w:pPr>
      <w:r>
        <w:rPr>
          <w:rFonts w:hint="eastAsia" w:ascii="宋体" w:hAnsi="宋体" w:eastAsia="宋体" w:cs="宋体"/>
          <w:color w:val="000000" w:themeColor="text1"/>
          <w:sz w:val="32"/>
          <w:szCs w:val="32"/>
          <w:highlight w:val="none"/>
          <w:u w:val="single"/>
          <w:lang w:eastAsia="zh-CN"/>
          <w14:textFill>
            <w14:solidFill>
              <w14:schemeClr w14:val="tx1"/>
            </w14:solidFill>
          </w14:textFill>
        </w:rPr>
        <w:t>广东省韶关市始兴县道路交通信息化工程建设项目设计</w:t>
      </w:r>
      <w:r>
        <w:rPr>
          <w:rFonts w:hint="eastAsia" w:ascii="宋体" w:hAnsi="宋体" w:eastAsia="宋体" w:cs="宋体"/>
          <w:color w:val="000000" w:themeColor="text1"/>
          <w:sz w:val="32"/>
          <w:szCs w:val="32"/>
          <w:highlight w:val="none"/>
          <w:u w:val="none"/>
          <w:lang w:eastAsia="zh-CN"/>
          <w14:textFill>
            <w14:solidFill>
              <w14:schemeClr w14:val="tx1"/>
            </w14:solidFill>
          </w14:textFill>
        </w:rPr>
        <w:t>招标</w:t>
      </w:r>
    </w:p>
    <w:p w14:paraId="7A7E80C1">
      <w:pPr>
        <w:kinsoku/>
        <w:spacing w:line="261" w:lineRule="auto"/>
        <w:ind w:left="0" w:leftChars="0" w:firstLine="0" w:firstLineChars="0"/>
        <w:jc w:val="center"/>
        <w:rPr>
          <w:rFonts w:ascii="宋体" w:hAnsi="宋体" w:eastAsia="宋体" w:cs="宋体"/>
          <w:color w:val="000000" w:themeColor="text1"/>
          <w:highlight w:val="none"/>
          <w:u w:val="none"/>
          <w:lang w:eastAsia="zh-CN"/>
          <w14:textFill>
            <w14:solidFill>
              <w14:schemeClr w14:val="tx1"/>
            </w14:solidFill>
          </w14:textFill>
        </w:rPr>
      </w:pPr>
    </w:p>
    <w:p w14:paraId="3B1C78DB">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557036C2">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4F886867">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63299F96">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3D694022">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2B89CE94">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D637F10">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742E7C90">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3CDE90B2">
      <w:pPr>
        <w:kinsoku/>
        <w:spacing w:before="159" w:line="372" w:lineRule="auto"/>
        <w:ind w:left="3322" w:right="2621" w:hanging="691"/>
        <w:rPr>
          <w:rFonts w:ascii="宋体" w:hAnsi="宋体" w:eastAsia="宋体" w:cs="宋体"/>
          <w:color w:val="000000" w:themeColor="text1"/>
          <w:sz w:val="36"/>
          <w:szCs w:val="36"/>
          <w:highlight w:val="none"/>
          <w:lang w:eastAsia="zh-CN"/>
          <w14:textFill>
            <w14:solidFill>
              <w14:schemeClr w14:val="tx1"/>
            </w14:solidFill>
          </w14:textFill>
        </w:rPr>
      </w:pPr>
      <w:bookmarkStart w:id="564" w:name="bookmark308"/>
      <w:bookmarkEnd w:id="564"/>
      <w:r>
        <w:rPr>
          <w:rFonts w:hint="eastAsia" w:ascii="宋体" w:hAnsi="宋体" w:eastAsia="宋体" w:cs="宋体"/>
          <w:color w:val="000000" w:themeColor="text1"/>
          <w:sz w:val="49"/>
          <w:szCs w:val="49"/>
          <w:highlight w:val="none"/>
          <w:lang w:eastAsia="zh-CN"/>
          <w14:textFill>
            <w14:solidFill>
              <w14:schemeClr w14:val="tx1"/>
            </w14:solidFill>
          </w14:textFill>
        </w:rPr>
        <w:t xml:space="preserve">投  标  文  件 </w:t>
      </w:r>
      <w:bookmarkStart w:id="565" w:name="bookmark307"/>
      <w:bookmarkEnd w:id="565"/>
      <w:r>
        <w:rPr>
          <w:rFonts w:hint="eastAsia" w:ascii="宋体" w:hAnsi="宋体" w:eastAsia="宋体" w:cs="宋体"/>
          <w:color w:val="000000" w:themeColor="text1"/>
          <w:sz w:val="36"/>
          <w:szCs w:val="36"/>
          <w:highlight w:val="none"/>
          <w:lang w:eastAsia="zh-CN"/>
          <w14:textFill>
            <w14:solidFill>
              <w14:schemeClr w14:val="tx1"/>
            </w14:solidFill>
          </w14:textFill>
        </w:rPr>
        <w:t>（报价文件）</w:t>
      </w:r>
    </w:p>
    <w:p w14:paraId="71E13B6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253364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4D7C381">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BA81791">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9ACD2F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6ED842F">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2FE7401">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9591C80">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FD900D5">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361D4F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467F63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7AE4E02">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8B9A96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8B1A4D8">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1DFC719">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05D65672">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2033AFEB">
      <w:pPr>
        <w:tabs>
          <w:tab w:val="left" w:pos="3313"/>
        </w:tabs>
        <w:kinsoku/>
        <w:spacing w:before="91" w:line="568" w:lineRule="auto"/>
        <w:ind w:left="2196" w:right="614" w:hanging="1602"/>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年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月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日</w:t>
      </w:r>
    </w:p>
    <w:p w14:paraId="31D00301">
      <w:pPr>
        <w:kinsoku/>
        <w:spacing w:line="568" w:lineRule="auto"/>
        <w:rPr>
          <w:rFonts w:ascii="宋体" w:hAnsi="宋体" w:eastAsia="宋体" w:cs="宋体"/>
          <w:color w:val="000000" w:themeColor="text1"/>
          <w:sz w:val="28"/>
          <w:szCs w:val="28"/>
          <w:highlight w:val="none"/>
          <w:lang w:eastAsia="zh-CN"/>
          <w14:textFill>
            <w14:solidFill>
              <w14:schemeClr w14:val="tx1"/>
            </w14:solidFill>
          </w14:textFill>
        </w:rPr>
        <w:sectPr>
          <w:headerReference r:id="rId62" w:type="default"/>
          <w:footerReference r:id="rId63" w:type="default"/>
          <w:pgSz w:w="11907" w:h="16841"/>
          <w:pgMar w:top="1173" w:right="1555" w:bottom="1014" w:left="1615" w:header="862" w:footer="853" w:gutter="0"/>
          <w:cols w:space="720" w:num="1"/>
        </w:sectPr>
      </w:pPr>
    </w:p>
    <w:p w14:paraId="186E173E">
      <w:pPr>
        <w:kinsoku/>
        <w:spacing w:before="97" w:line="219" w:lineRule="auto"/>
        <w:ind w:left="3966"/>
        <w:rPr>
          <w:rFonts w:ascii="宋体" w:hAnsi="宋体" w:eastAsia="宋体" w:cs="宋体"/>
          <w:color w:val="000000" w:themeColor="text1"/>
          <w:sz w:val="30"/>
          <w:szCs w:val="30"/>
          <w:highlight w:val="none"/>
          <w:lang w:eastAsia="zh-CN"/>
          <w14:textFill>
            <w14:solidFill>
              <w14:schemeClr w14:val="tx1"/>
            </w14:solidFill>
          </w14:textFill>
        </w:rPr>
      </w:pPr>
      <w:bookmarkStart w:id="566" w:name="bookmark310"/>
      <w:bookmarkEnd w:id="566"/>
      <w:bookmarkStart w:id="567" w:name="bookmark309"/>
      <w:bookmarkEnd w:id="567"/>
      <w:r>
        <w:rPr>
          <w:rFonts w:hint="eastAsia" w:ascii="宋体" w:hAnsi="宋体" w:eastAsia="宋体" w:cs="宋体"/>
          <w:color w:val="000000" w:themeColor="text1"/>
          <w:sz w:val="30"/>
          <w:szCs w:val="30"/>
          <w:highlight w:val="none"/>
          <w:lang w:eastAsia="zh-CN"/>
          <w14:textFill>
            <w14:solidFill>
              <w14:schemeClr w14:val="tx1"/>
            </w14:solidFill>
          </w14:textFill>
        </w:rPr>
        <w:t>目  录</w:t>
      </w:r>
    </w:p>
    <w:p w14:paraId="2FD13251">
      <w:pPr>
        <w:kinsoku/>
        <w:spacing w:line="287" w:lineRule="auto"/>
        <w:rPr>
          <w:rFonts w:ascii="宋体" w:hAnsi="宋体" w:eastAsia="宋体" w:cs="宋体"/>
          <w:color w:val="000000" w:themeColor="text1"/>
          <w:highlight w:val="none"/>
          <w:lang w:eastAsia="zh-CN"/>
          <w14:textFill>
            <w14:solidFill>
              <w14:schemeClr w14:val="tx1"/>
            </w14:solidFill>
          </w14:textFill>
        </w:rPr>
      </w:pPr>
    </w:p>
    <w:p w14:paraId="200B04EE">
      <w:pPr>
        <w:kinsoku/>
        <w:spacing w:line="287" w:lineRule="auto"/>
        <w:rPr>
          <w:rFonts w:ascii="宋体" w:hAnsi="宋体" w:eastAsia="宋体" w:cs="宋体"/>
          <w:color w:val="000000" w:themeColor="text1"/>
          <w:highlight w:val="none"/>
          <w:lang w:eastAsia="zh-CN"/>
          <w14:textFill>
            <w14:solidFill>
              <w14:schemeClr w14:val="tx1"/>
            </w14:solidFill>
          </w14:textFill>
        </w:rPr>
      </w:pPr>
    </w:p>
    <w:p w14:paraId="2919854C">
      <w:pPr>
        <w:kinsoku/>
        <w:spacing w:line="287" w:lineRule="auto"/>
        <w:rPr>
          <w:rFonts w:ascii="宋体" w:hAnsi="宋体" w:eastAsia="宋体" w:cs="宋体"/>
          <w:color w:val="000000" w:themeColor="text1"/>
          <w:highlight w:val="none"/>
          <w:lang w:eastAsia="zh-CN"/>
          <w14:textFill>
            <w14:solidFill>
              <w14:schemeClr w14:val="tx1"/>
            </w14:solidFill>
          </w14:textFill>
        </w:rPr>
      </w:pPr>
    </w:p>
    <w:p w14:paraId="53ACAC54">
      <w:pPr>
        <w:kinsoku/>
        <w:spacing w:line="288" w:lineRule="auto"/>
        <w:rPr>
          <w:rFonts w:ascii="宋体" w:hAnsi="宋体" w:eastAsia="宋体" w:cs="宋体"/>
          <w:color w:val="000000" w:themeColor="text1"/>
          <w:highlight w:val="none"/>
          <w:lang w:eastAsia="zh-CN"/>
          <w14:textFill>
            <w14:solidFill>
              <w14:schemeClr w14:val="tx1"/>
            </w14:solidFill>
          </w14:textFill>
        </w:rPr>
      </w:pPr>
    </w:p>
    <w:p w14:paraId="6CEBD956">
      <w:pPr>
        <w:kinsoku/>
        <w:spacing w:before="91" w:line="220" w:lineRule="auto"/>
        <w:ind w:left="840" w:leftChars="400"/>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一、投标函</w:t>
      </w:r>
    </w:p>
    <w:p w14:paraId="7016492E">
      <w:pPr>
        <w:kinsoku/>
        <w:spacing w:line="274" w:lineRule="auto"/>
        <w:ind w:left="840" w:leftChars="400"/>
        <w:rPr>
          <w:rFonts w:ascii="宋体" w:hAnsi="宋体" w:eastAsia="宋体" w:cs="宋体"/>
          <w:color w:val="000000" w:themeColor="text1"/>
          <w:highlight w:val="none"/>
          <w:lang w:eastAsia="zh-CN"/>
          <w14:textFill>
            <w14:solidFill>
              <w14:schemeClr w14:val="tx1"/>
            </w14:solidFill>
          </w14:textFill>
        </w:rPr>
      </w:pPr>
    </w:p>
    <w:p w14:paraId="36AAC921">
      <w:pPr>
        <w:kinsoku/>
        <w:spacing w:before="91" w:line="219" w:lineRule="auto"/>
        <w:ind w:left="840" w:leftChars="400"/>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二、设计费用清单</w:t>
      </w:r>
    </w:p>
    <w:p w14:paraId="76E127F2">
      <w:pPr>
        <w:kinsoku/>
        <w:spacing w:line="219" w:lineRule="auto"/>
        <w:rPr>
          <w:rFonts w:ascii="宋体" w:hAnsi="宋体" w:eastAsia="宋体" w:cs="宋体"/>
          <w:color w:val="000000" w:themeColor="text1"/>
          <w:sz w:val="28"/>
          <w:szCs w:val="28"/>
          <w:highlight w:val="none"/>
          <w:lang w:eastAsia="zh-CN"/>
          <w14:textFill>
            <w14:solidFill>
              <w14:schemeClr w14:val="tx1"/>
            </w14:solidFill>
          </w14:textFill>
        </w:rPr>
        <w:sectPr>
          <w:footerReference r:id="rId64" w:type="default"/>
          <w:pgSz w:w="11907" w:h="16841"/>
          <w:pgMar w:top="1173" w:right="1555" w:bottom="1014" w:left="1615" w:header="862" w:footer="853" w:gutter="0"/>
          <w:cols w:space="720" w:num="1"/>
        </w:sectPr>
      </w:pPr>
    </w:p>
    <w:p w14:paraId="4E6CE347">
      <w:pPr>
        <w:kinsoku/>
        <w:spacing w:before="98" w:line="220" w:lineRule="auto"/>
        <w:ind w:left="3633"/>
        <w:rPr>
          <w:rFonts w:ascii="宋体" w:hAnsi="宋体" w:eastAsia="宋体" w:cs="宋体"/>
          <w:color w:val="000000" w:themeColor="text1"/>
          <w:sz w:val="30"/>
          <w:szCs w:val="30"/>
          <w:highlight w:val="none"/>
          <w:lang w:eastAsia="zh-CN"/>
          <w14:textFill>
            <w14:solidFill>
              <w14:schemeClr w14:val="tx1"/>
            </w14:solidFill>
          </w14:textFill>
        </w:rPr>
      </w:pPr>
      <w:bookmarkStart w:id="568" w:name="bookmark311"/>
      <w:bookmarkEnd w:id="568"/>
      <w:bookmarkStart w:id="569" w:name="bookmark312"/>
      <w:bookmarkEnd w:id="569"/>
      <w:r>
        <w:rPr>
          <w:rFonts w:hint="eastAsia" w:ascii="宋体" w:hAnsi="宋体" w:eastAsia="宋体" w:cs="宋体"/>
          <w:color w:val="000000" w:themeColor="text1"/>
          <w:sz w:val="30"/>
          <w:szCs w:val="30"/>
          <w:highlight w:val="none"/>
          <w:lang w:eastAsia="zh-CN"/>
          <w14:textFill>
            <w14:solidFill>
              <w14:schemeClr w14:val="tx1"/>
            </w14:solidFill>
          </w14:textFill>
        </w:rPr>
        <w:t>一、投标函</w:t>
      </w:r>
    </w:p>
    <w:p w14:paraId="60B0BE00">
      <w:pPr>
        <w:kinsoku/>
        <w:spacing w:line="302" w:lineRule="auto"/>
        <w:rPr>
          <w:rFonts w:ascii="宋体" w:hAnsi="宋体" w:eastAsia="宋体" w:cs="宋体"/>
          <w:color w:val="000000" w:themeColor="text1"/>
          <w:highlight w:val="none"/>
          <w:lang w:eastAsia="zh-CN"/>
          <w14:textFill>
            <w14:solidFill>
              <w14:schemeClr w14:val="tx1"/>
            </w14:solidFill>
          </w14:textFill>
        </w:rPr>
      </w:pPr>
    </w:p>
    <w:p w14:paraId="7F907037">
      <w:pPr>
        <w:kinsoku/>
        <w:spacing w:line="302" w:lineRule="auto"/>
        <w:rPr>
          <w:rFonts w:ascii="宋体" w:hAnsi="宋体" w:eastAsia="宋体" w:cs="宋体"/>
          <w:color w:val="000000" w:themeColor="text1"/>
          <w:highlight w:val="none"/>
          <w:lang w:eastAsia="zh-CN"/>
          <w14:textFill>
            <w14:solidFill>
              <w14:schemeClr w14:val="tx1"/>
            </w14:solidFill>
          </w14:textFill>
        </w:rPr>
      </w:pPr>
    </w:p>
    <w:p w14:paraId="3E8B0BA0">
      <w:pPr>
        <w:kinsoku/>
        <w:spacing w:line="303" w:lineRule="auto"/>
        <w:rPr>
          <w:rFonts w:ascii="宋体" w:hAnsi="宋体" w:eastAsia="宋体" w:cs="宋体"/>
          <w:color w:val="000000" w:themeColor="text1"/>
          <w:highlight w:val="none"/>
          <w:lang w:eastAsia="zh-CN"/>
          <w14:textFill>
            <w14:solidFill>
              <w14:schemeClr w14:val="tx1"/>
            </w14:solidFill>
          </w14:textFill>
        </w:rPr>
      </w:pPr>
    </w:p>
    <w:p w14:paraId="1AECF440">
      <w:pPr>
        <w:tabs>
          <w:tab w:val="left" w:pos="3028"/>
        </w:tabs>
        <w:kinsoku/>
        <w:spacing w:before="78" w:line="220" w:lineRule="auto"/>
        <w:ind w:left="14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（招标人名称）：</w:t>
      </w:r>
    </w:p>
    <w:p w14:paraId="7D000340">
      <w:pPr>
        <w:kinsoku/>
        <w:spacing w:before="237" w:line="302" w:lineRule="auto"/>
        <w:ind w:left="39" w:right="28" w:firstLine="497"/>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1.我方已仔细研究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（项目名称）设计招标文件的全部内容（含补遗书，如有），在考察工程现场后，愿意以人民币（大写）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元(¥</w:t>
      </w:r>
      <w:r>
        <w:rPr>
          <w:rFonts w:hint="eastAsia" w:ascii="宋体" w:hAnsi="宋体" w:eastAsia="宋体" w:cs="宋体"/>
          <w:color w:val="000000" w:themeColor="text1"/>
          <w:sz w:val="24"/>
          <w:szCs w:val="24"/>
          <w:highlight w:val="none"/>
          <w:lang w:eastAsia="zh-CN"/>
          <w14:textFill>
            <w14:solidFill>
              <w14:schemeClr w14:val="tx1"/>
            </w14:solidFill>
          </w14:textFill>
        </w:rPr>
        <w:drawing>
          <wp:inline distT="0" distB="0" distL="0" distR="0">
            <wp:extent cx="571500" cy="76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1" cstate="print"/>
                    <a:stretch>
                      <a:fillRect/>
                    </a:stretch>
                  </pic:blipFill>
                  <pic:spPr>
                    <a:xfrm>
                      <a:off x="0" y="0"/>
                      <a:ext cx="571805" cy="7620"/>
                    </a:xfrm>
                    <a:prstGeom prst="rect">
                      <a:avLst/>
                    </a:prstGeom>
                  </pic:spPr>
                </pic:pic>
              </a:graphicData>
            </a:graphic>
          </wp:inline>
        </w:drawing>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)的投标总报价（或根据招标文件规定修正核实后确定的另一金额，其中，增值税税率为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），按合同约定完成施工设计工作。</w:t>
      </w:r>
    </w:p>
    <w:p w14:paraId="3D74CFEC">
      <w:pPr>
        <w:kinsoku/>
        <w:spacing w:before="33" w:line="264" w:lineRule="auto"/>
        <w:ind w:left="38" w:right="31"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2.在合同协议书正式签署生效之前，本投标函连同你方的中标通知书将构成我们双方之间共同遵守的文件，对双方具有约束力。</w:t>
      </w:r>
    </w:p>
    <w:p w14:paraId="66170E89">
      <w:pPr>
        <w:kinsoku/>
        <w:spacing w:before="114"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（其他补充说明）。</w:t>
      </w:r>
    </w:p>
    <w:p w14:paraId="6A34FE46">
      <w:pPr>
        <w:kinsoku/>
        <w:spacing w:line="422" w:lineRule="auto"/>
        <w:rPr>
          <w:rFonts w:ascii="宋体" w:hAnsi="宋体" w:eastAsia="宋体" w:cs="宋体"/>
          <w:color w:val="000000" w:themeColor="text1"/>
          <w:highlight w:val="none"/>
          <w:lang w:eastAsia="zh-CN"/>
          <w14:textFill>
            <w14:solidFill>
              <w14:schemeClr w14:val="tx1"/>
            </w14:solidFill>
          </w14:textFill>
        </w:rPr>
      </w:pPr>
    </w:p>
    <w:p w14:paraId="57717C7B">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 标 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r>
        <w:rPr>
          <w:rFonts w:hint="eastAsia" w:ascii="宋体" w:hAnsi="宋体" w:eastAsia="宋体" w:cs="宋体"/>
          <w:color w:val="000000" w:themeColor="text1"/>
          <w:sz w:val="12"/>
          <w:szCs w:val="12"/>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2B13E480">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地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7260DD3D">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网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4782A392">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电    话：</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4B5CFDEC">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传    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16216450">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邮政编码：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E0DAD31">
      <w:pPr>
        <w:kinsoku/>
        <w:spacing w:line="354" w:lineRule="auto"/>
        <w:rPr>
          <w:rFonts w:ascii="宋体" w:hAnsi="宋体" w:eastAsia="宋体" w:cs="宋体"/>
          <w:color w:val="000000" w:themeColor="text1"/>
          <w:highlight w:val="none"/>
          <w:lang w:eastAsia="zh-CN"/>
          <w14:textFill>
            <w14:solidFill>
              <w14:schemeClr w14:val="tx1"/>
            </w14:solidFill>
          </w14:textFill>
        </w:rPr>
      </w:pPr>
    </w:p>
    <w:p w14:paraId="29301DEA">
      <w:pPr>
        <w:tabs>
          <w:tab w:val="left" w:pos="5849"/>
        </w:tabs>
        <w:kinsoku/>
        <w:spacing w:before="78" w:line="220" w:lineRule="auto"/>
        <w:ind w:left="476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1324B7D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24D2F98">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FC813FF">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EF7A06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51A5AB0">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00131F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0ECDE8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187EDB6">
      <w:pPr>
        <w:kinsoku/>
        <w:spacing w:line="347" w:lineRule="auto"/>
        <w:rPr>
          <w:rFonts w:ascii="宋体" w:hAnsi="宋体" w:eastAsia="宋体" w:cs="宋体"/>
          <w:color w:val="000000" w:themeColor="text1"/>
          <w:highlight w:val="none"/>
          <w:lang w:eastAsia="zh-CN"/>
          <w14:textFill>
            <w14:solidFill>
              <w14:schemeClr w14:val="tx1"/>
            </w14:solidFill>
          </w14:textFill>
        </w:rPr>
      </w:pPr>
    </w:p>
    <w:p w14:paraId="55484D06">
      <w:pPr>
        <w:pStyle w:val="6"/>
        <w:spacing w:line="360" w:lineRule="auto"/>
        <w:jc w:val="center"/>
        <w:outlineLvl w:val="9"/>
        <w:rPr>
          <w:b/>
          <w:color w:val="000000" w:themeColor="text1"/>
          <w:spacing w:val="-3"/>
          <w:sz w:val="28"/>
          <w:szCs w:val="28"/>
          <w:highlight w:val="none"/>
          <w:lang w:eastAsia="zh-CN"/>
          <w14:textFill>
            <w14:solidFill>
              <w14:schemeClr w14:val="tx1"/>
            </w14:solidFill>
          </w14:textFill>
        </w:rPr>
      </w:pPr>
      <w:bookmarkStart w:id="570" w:name="bookmark313"/>
      <w:bookmarkEnd w:id="570"/>
      <w:bookmarkStart w:id="571" w:name="bookmark314"/>
      <w:bookmarkEnd w:id="571"/>
      <w:r>
        <w:rPr>
          <w:rFonts w:hint="eastAsia" w:ascii="宋体" w:hAnsi="宋体" w:eastAsia="宋体" w:cs="宋体"/>
          <w:color w:val="000000" w:themeColor="text1"/>
          <w:sz w:val="30"/>
          <w:szCs w:val="30"/>
          <w:highlight w:val="none"/>
          <w:lang w:eastAsia="zh-CN"/>
          <w14:textFill>
            <w14:solidFill>
              <w14:schemeClr w14:val="tx1"/>
            </w14:solidFill>
          </w14:textFill>
        </w:rPr>
        <w:br w:type="page"/>
      </w:r>
      <w:r>
        <w:rPr>
          <w:b/>
          <w:color w:val="000000" w:themeColor="text1"/>
          <w:spacing w:val="-3"/>
          <w:sz w:val="28"/>
          <w:szCs w:val="28"/>
          <w:highlight w:val="none"/>
          <w:lang w:eastAsia="zh-CN"/>
          <w14:textFill>
            <w14:solidFill>
              <w14:schemeClr w14:val="tx1"/>
            </w14:solidFill>
          </w14:textFill>
        </w:rPr>
        <w:t>二、设计费用清单</w:t>
      </w:r>
    </w:p>
    <w:p w14:paraId="78979323">
      <w:pPr>
        <w:jc w:val="center"/>
        <w:outlineLvl w:val="9"/>
        <w:rPr>
          <w:b/>
          <w:color w:val="000000" w:themeColor="text1"/>
          <w:spacing w:val="-3"/>
          <w:sz w:val="28"/>
          <w:szCs w:val="28"/>
          <w:highlight w:val="none"/>
          <w:lang w:eastAsia="zh-CN"/>
          <w14:textFill>
            <w14:solidFill>
              <w14:schemeClr w14:val="tx1"/>
            </w14:solidFill>
          </w14:textFill>
        </w:rPr>
      </w:pPr>
      <w:r>
        <w:rPr>
          <w:b/>
          <w:color w:val="000000" w:themeColor="text1"/>
          <w:spacing w:val="-3"/>
          <w:sz w:val="28"/>
          <w:szCs w:val="28"/>
          <w:highlight w:val="none"/>
          <w:lang w:eastAsia="zh-CN"/>
          <w14:textFill>
            <w14:solidFill>
              <w14:schemeClr w14:val="tx1"/>
            </w14:solidFill>
          </w14:textFill>
        </w:rPr>
        <w:t>（一）报价清单说明</w:t>
      </w:r>
    </w:p>
    <w:p w14:paraId="34132D93">
      <w:pPr>
        <w:spacing w:line="316" w:lineRule="auto"/>
        <w:rPr>
          <w:color w:val="000000" w:themeColor="text1"/>
          <w:highlight w:val="none"/>
          <w:lang w:eastAsia="zh-CN"/>
          <w14:textFill>
            <w14:solidFill>
              <w14:schemeClr w14:val="tx1"/>
            </w14:solidFill>
          </w14:textFill>
        </w:rPr>
      </w:pPr>
    </w:p>
    <w:p w14:paraId="548FA373">
      <w:pPr>
        <w:spacing w:line="360" w:lineRule="auto"/>
        <w:ind w:firstLine="504"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eastAsia="zh-CN"/>
          <w14:textFill>
            <w14:solidFill>
              <w14:schemeClr w14:val="tx1"/>
            </w14:solidFill>
          </w14:textFill>
        </w:rPr>
        <w:t>1、“报价文件”应与“投标人须知”、“通用合同条款”、“专用合同条款”和“发包人要</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求”一起使用。投标人应根据本招标项目前一阶段（工可阶段或初步设计阶段）</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批复意见和强制性</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要求，按照本招标文件规定的设计工作内容和</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计划工作量，认真阅读分析本招标项目设计原始资料，在编制完成技术建议书的前提下，慎重提出“报价文件”，并</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以此做为本招标项目</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设计费的基础。</w:t>
      </w:r>
    </w:p>
    <w:p w14:paraId="3AA88112">
      <w:pPr>
        <w:spacing w:line="360" w:lineRule="auto"/>
        <w:ind w:firstLine="520"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0"/>
          <w:sz w:val="24"/>
          <w:szCs w:val="24"/>
          <w:highlight w:val="none"/>
          <w:lang w:eastAsia="zh-CN"/>
          <w14:textFill>
            <w14:solidFill>
              <w14:schemeClr w14:val="tx1"/>
            </w14:solidFill>
          </w14:textFill>
        </w:rPr>
        <w:t>2、设计人应按照国家有关工程建设标准强制性条</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文和交通运输部有关标准、规范、规程、定</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额、办法、示例等要求的内容和深度，开展本招标项</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目的设计工作，并将设计费计入相应的报价项目中。“报价文件”所列的报价，应包括设计、专题</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研究等为完成本</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招标项目设计全过程的一切费用，包括按合同规</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定应完成的设计费和后续服务费（招标配</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合和施工配合）、与设计文件审查有关的各种会议的会务费以及设计人自行委托咨询的咨询费、</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利润、税金等与此有关的一切费用。</w:t>
      </w:r>
    </w:p>
    <w:p w14:paraId="478106A4">
      <w:pPr>
        <w:spacing w:line="360" w:lineRule="auto"/>
        <w:ind w:firstLine="516"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3、“报价文件”为通用表格，投标人应根据</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本招标项目工作内容，按照表格格式详细填写，</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以免遗漏或有误。投标人没有报价的项目，发包人将认为有关费用已包含在其它项目之中，不另行</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支付。凡清单项目中未包含的但在设计</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中又必须完成的工作内容，均被认为已包含在清单各项</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目报价中，发包人不另行支付。</w:t>
      </w:r>
    </w:p>
    <w:p w14:paraId="6A83B448">
      <w:pPr>
        <w:spacing w:line="360" w:lineRule="auto"/>
        <w:ind w:firstLine="508"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7"/>
          <w:sz w:val="24"/>
          <w:szCs w:val="24"/>
          <w:highlight w:val="none"/>
          <w:lang w:eastAsia="zh-CN"/>
          <w14:textFill>
            <w14:solidFill>
              <w14:schemeClr w14:val="tx1"/>
            </w14:solidFill>
          </w14:textFill>
        </w:rPr>
        <w:t>4、投标人在“报价文件”中报价应以人民币为单位。</w:t>
      </w:r>
    </w:p>
    <w:p w14:paraId="7FB06B23">
      <w:pPr>
        <w:spacing w:line="360" w:lineRule="auto"/>
        <w:ind w:firstLine="512"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8"/>
          <w:sz w:val="24"/>
          <w:szCs w:val="24"/>
          <w:highlight w:val="none"/>
          <w:lang w:eastAsia="zh-CN"/>
          <w14:textFill>
            <w14:solidFill>
              <w14:schemeClr w14:val="tx1"/>
            </w14:solidFill>
          </w14:textFill>
        </w:rPr>
        <w:t>5、“报价文件”应单独密封在第二个信封中，并注明“投标文件“报价文件”。</w:t>
      </w:r>
    </w:p>
    <w:p w14:paraId="1E33972A">
      <w:pPr>
        <w:spacing w:line="360" w:lineRule="auto"/>
        <w:ind w:firstLine="520" w:firstLineChars="200"/>
        <w:jc w:val="both"/>
        <w:rPr>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0"/>
          <w:sz w:val="24"/>
          <w:szCs w:val="24"/>
          <w:highlight w:val="none"/>
          <w:lang w:eastAsia="zh-CN"/>
          <w14:textFill>
            <w14:solidFill>
              <w14:schemeClr w14:val="tx1"/>
            </w14:solidFill>
          </w14:textFill>
        </w:rPr>
        <w:t>6、对于发包人向政府部门申报的前期专</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项工作，设计人应积极配合发包人和前期专项编制单</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位，同时，设计人应充分考虑到政府部门审批可能导致的时间延误，合理调配好各阶段的设计工作，</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努力降低所产生的影响，由此可能产生的费用已包含在投标报价中，发包人不另行支付。</w:t>
      </w:r>
    </w:p>
    <w:p w14:paraId="7F1111A4">
      <w:pPr>
        <w:rPr>
          <w:rFonts w:hint="eastAsia"/>
          <w:b/>
          <w:color w:val="000000" w:themeColor="text1"/>
          <w:spacing w:val="-3"/>
          <w:sz w:val="28"/>
          <w:szCs w:val="28"/>
          <w:highlight w:val="none"/>
          <w:lang w:eastAsia="zh-CN"/>
          <w14:textFill>
            <w14:solidFill>
              <w14:schemeClr w14:val="tx1"/>
            </w14:solidFill>
          </w14:textFill>
        </w:rPr>
      </w:pPr>
      <w:r>
        <w:rPr>
          <w:rFonts w:hint="eastAsia"/>
          <w:b/>
          <w:color w:val="000000" w:themeColor="text1"/>
          <w:spacing w:val="-3"/>
          <w:sz w:val="28"/>
          <w:szCs w:val="28"/>
          <w:highlight w:val="none"/>
          <w:lang w:eastAsia="zh-CN"/>
          <w14:textFill>
            <w14:solidFill>
              <w14:schemeClr w14:val="tx1"/>
            </w14:solidFill>
          </w14:textFill>
        </w:rPr>
        <w:br w:type="page"/>
      </w:r>
    </w:p>
    <w:p w14:paraId="5E785F61">
      <w:pPr>
        <w:jc w:val="center"/>
        <w:outlineLvl w:val="9"/>
        <w:rPr>
          <w:rFonts w:hint="default"/>
          <w:b/>
          <w:color w:val="000000" w:themeColor="text1"/>
          <w:spacing w:val="-3"/>
          <w:sz w:val="28"/>
          <w:szCs w:val="28"/>
          <w:highlight w:val="none"/>
          <w:lang w:val="en-US" w:eastAsia="zh-CN"/>
          <w14:textFill>
            <w14:solidFill>
              <w14:schemeClr w14:val="tx1"/>
            </w14:solidFill>
          </w14:textFill>
        </w:rPr>
      </w:pPr>
      <w:r>
        <w:rPr>
          <w:rFonts w:hint="eastAsia"/>
          <w:b/>
          <w:color w:val="000000" w:themeColor="text1"/>
          <w:spacing w:val="-3"/>
          <w:sz w:val="28"/>
          <w:szCs w:val="28"/>
          <w:highlight w:val="none"/>
          <w:lang w:eastAsia="zh-CN"/>
          <w14:textFill>
            <w14:solidFill>
              <w14:schemeClr w14:val="tx1"/>
            </w14:solidFill>
          </w14:textFill>
        </w:rPr>
        <w:t>（二）公路工程勘察工作报价清单表（</w:t>
      </w:r>
      <w:r>
        <w:rPr>
          <w:rFonts w:hint="eastAsia"/>
          <w:b/>
          <w:color w:val="000000" w:themeColor="text1"/>
          <w:spacing w:val="-3"/>
          <w:sz w:val="28"/>
          <w:szCs w:val="28"/>
          <w:highlight w:val="none"/>
          <w:lang w:val="en-US" w:eastAsia="zh-CN"/>
          <w14:textFill>
            <w14:solidFill>
              <w14:schemeClr w14:val="tx1"/>
            </w14:solidFill>
          </w14:textFill>
        </w:rPr>
        <w:t>本项目不适用）</w:t>
      </w:r>
    </w:p>
    <w:p w14:paraId="2E0952FE">
      <w:pPr>
        <w:rPr>
          <w:color w:val="000000" w:themeColor="text1"/>
          <w:sz w:val="24"/>
          <w:szCs w:val="24"/>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 xml:space="preserve">    </w:t>
      </w:r>
      <w:r>
        <w:rPr>
          <w:rFonts w:hint="eastAsia"/>
          <w:color w:val="000000" w:themeColor="text1"/>
          <w:highlight w:val="none"/>
          <w:lang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单位：元（人民币）</w:t>
      </w:r>
    </w:p>
    <w:tbl>
      <w:tblPr>
        <w:tblStyle w:val="18"/>
        <w:tblW w:w="0" w:type="auto"/>
        <w:jc w:val="center"/>
        <w:tblLayout w:type="fixed"/>
        <w:tblCellMar>
          <w:top w:w="0" w:type="dxa"/>
          <w:left w:w="0" w:type="dxa"/>
          <w:bottom w:w="0" w:type="dxa"/>
          <w:right w:w="0" w:type="dxa"/>
        </w:tblCellMar>
      </w:tblPr>
      <w:tblGrid>
        <w:gridCol w:w="1111"/>
        <w:gridCol w:w="2125"/>
        <w:gridCol w:w="923"/>
        <w:gridCol w:w="1389"/>
        <w:gridCol w:w="1388"/>
        <w:gridCol w:w="1386"/>
      </w:tblGrid>
      <w:tr w14:paraId="07B4165B">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00564ED">
            <w:pPr>
              <w:jc w:val="center"/>
              <w:rPr>
                <w:rFonts w:ascii="Times New Roman" w:hAnsi="Times New Roman"/>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序号</w:t>
            </w:r>
          </w:p>
        </w:tc>
        <w:tc>
          <w:tcPr>
            <w:tcW w:w="2125" w:type="dxa"/>
            <w:tcBorders>
              <w:top w:val="single" w:color="000000" w:sz="4" w:space="0"/>
              <w:left w:val="nil"/>
              <w:bottom w:val="single" w:color="000000" w:sz="4" w:space="0"/>
              <w:right w:val="single" w:color="000000" w:sz="4" w:space="0"/>
            </w:tcBorders>
            <w:vAlign w:val="center"/>
          </w:tcPr>
          <w:p w14:paraId="79CF13BF">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项目名称</w:t>
            </w:r>
          </w:p>
        </w:tc>
        <w:tc>
          <w:tcPr>
            <w:tcW w:w="923" w:type="dxa"/>
            <w:tcBorders>
              <w:top w:val="single" w:color="000000" w:sz="4" w:space="0"/>
              <w:left w:val="nil"/>
              <w:bottom w:val="single" w:color="000000" w:sz="4" w:space="0"/>
              <w:right w:val="single" w:color="000000" w:sz="4" w:space="0"/>
            </w:tcBorders>
            <w:vAlign w:val="center"/>
          </w:tcPr>
          <w:p w14:paraId="04775F8C">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计量单位</w:t>
            </w:r>
          </w:p>
        </w:tc>
        <w:tc>
          <w:tcPr>
            <w:tcW w:w="1389" w:type="dxa"/>
            <w:tcBorders>
              <w:top w:val="single" w:color="000000" w:sz="4" w:space="0"/>
              <w:left w:val="nil"/>
              <w:bottom w:val="single" w:color="000000" w:sz="4" w:space="0"/>
              <w:right w:val="single" w:color="000000" w:sz="4" w:space="0"/>
            </w:tcBorders>
            <w:vAlign w:val="center"/>
          </w:tcPr>
          <w:p w14:paraId="3C077F02">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实物工作量</w:t>
            </w:r>
          </w:p>
        </w:tc>
        <w:tc>
          <w:tcPr>
            <w:tcW w:w="1388" w:type="dxa"/>
            <w:tcBorders>
              <w:top w:val="single" w:color="000000" w:sz="4" w:space="0"/>
              <w:left w:val="nil"/>
              <w:bottom w:val="single" w:color="000000" w:sz="4" w:space="0"/>
              <w:right w:val="single" w:color="000000" w:sz="4" w:space="0"/>
            </w:tcBorders>
            <w:vAlign w:val="center"/>
          </w:tcPr>
          <w:p w14:paraId="12FD8F18">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单价金额</w:t>
            </w:r>
          </w:p>
        </w:tc>
        <w:tc>
          <w:tcPr>
            <w:tcW w:w="1386" w:type="dxa"/>
            <w:tcBorders>
              <w:top w:val="single" w:color="000000" w:sz="4" w:space="0"/>
              <w:left w:val="nil"/>
              <w:bottom w:val="single" w:color="000000" w:sz="4" w:space="0"/>
              <w:right w:val="single" w:color="000000" w:sz="4" w:space="0"/>
            </w:tcBorders>
            <w:vAlign w:val="center"/>
          </w:tcPr>
          <w:p w14:paraId="5C861747">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合价金额</w:t>
            </w:r>
          </w:p>
        </w:tc>
      </w:tr>
      <w:tr w14:paraId="452B34A8">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45B0D8F">
            <w:pP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36F25C51">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控制测量</w:t>
            </w:r>
          </w:p>
        </w:tc>
        <w:tc>
          <w:tcPr>
            <w:tcW w:w="923" w:type="dxa"/>
            <w:tcBorders>
              <w:top w:val="single" w:color="000000" w:sz="4" w:space="0"/>
              <w:left w:val="nil"/>
              <w:bottom w:val="single" w:color="000000" w:sz="4" w:space="0"/>
              <w:right w:val="single" w:color="000000" w:sz="4" w:space="0"/>
            </w:tcBorders>
            <w:vAlign w:val="center"/>
          </w:tcPr>
          <w:p w14:paraId="0917E58E">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7FB48FE0">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1155BB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F5CEE32">
            <w:pPr>
              <w:jc w:val="center"/>
              <w:rPr>
                <w:color w:val="000000" w:themeColor="text1"/>
                <w:kern w:val="2"/>
                <w:highlight w:val="none"/>
                <w14:textFill>
                  <w14:solidFill>
                    <w14:schemeClr w14:val="tx1"/>
                  </w14:solidFill>
                </w14:textFill>
              </w:rPr>
            </w:pPr>
          </w:p>
        </w:tc>
      </w:tr>
      <w:tr w14:paraId="43F1409F">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AE6197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19686C4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一级</w:t>
            </w:r>
          </w:p>
        </w:tc>
        <w:tc>
          <w:tcPr>
            <w:tcW w:w="923" w:type="dxa"/>
            <w:tcBorders>
              <w:top w:val="single" w:color="000000" w:sz="4" w:space="0"/>
              <w:left w:val="nil"/>
              <w:bottom w:val="single" w:color="000000" w:sz="4" w:space="0"/>
              <w:right w:val="single" w:color="000000" w:sz="4" w:space="0"/>
            </w:tcBorders>
            <w:vAlign w:val="center"/>
          </w:tcPr>
          <w:p w14:paraId="17FAA98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207D7E87">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8BC6F5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0D65DA4C">
            <w:pPr>
              <w:jc w:val="center"/>
              <w:rPr>
                <w:color w:val="000000" w:themeColor="text1"/>
                <w:kern w:val="2"/>
                <w:highlight w:val="none"/>
                <w14:textFill>
                  <w14:solidFill>
                    <w14:schemeClr w14:val="tx1"/>
                  </w14:solidFill>
                </w14:textFill>
              </w:rPr>
            </w:pPr>
          </w:p>
        </w:tc>
      </w:tr>
      <w:tr w14:paraId="7A1D619F">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A77A7D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0DFB481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二级</w:t>
            </w:r>
          </w:p>
        </w:tc>
        <w:tc>
          <w:tcPr>
            <w:tcW w:w="923" w:type="dxa"/>
            <w:tcBorders>
              <w:top w:val="single" w:color="000000" w:sz="4" w:space="0"/>
              <w:left w:val="nil"/>
              <w:bottom w:val="single" w:color="000000" w:sz="4" w:space="0"/>
              <w:right w:val="single" w:color="000000" w:sz="4" w:space="0"/>
            </w:tcBorders>
            <w:vAlign w:val="center"/>
          </w:tcPr>
          <w:p w14:paraId="03BC262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618B90AD">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C7F2DC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257CFF7">
            <w:pPr>
              <w:jc w:val="center"/>
              <w:rPr>
                <w:color w:val="000000" w:themeColor="text1"/>
                <w:kern w:val="2"/>
                <w:highlight w:val="none"/>
                <w14:textFill>
                  <w14:solidFill>
                    <w14:schemeClr w14:val="tx1"/>
                  </w14:solidFill>
                </w14:textFill>
              </w:rPr>
            </w:pPr>
          </w:p>
        </w:tc>
      </w:tr>
      <w:tr w14:paraId="5BB0C2FC">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1CB6941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737FC2D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二等</w:t>
            </w:r>
          </w:p>
        </w:tc>
        <w:tc>
          <w:tcPr>
            <w:tcW w:w="923" w:type="dxa"/>
            <w:tcBorders>
              <w:top w:val="single" w:color="000000" w:sz="4" w:space="0"/>
              <w:left w:val="nil"/>
              <w:bottom w:val="single" w:color="000000" w:sz="4" w:space="0"/>
              <w:right w:val="single" w:color="000000" w:sz="4" w:space="0"/>
            </w:tcBorders>
            <w:vAlign w:val="center"/>
          </w:tcPr>
          <w:p w14:paraId="1E315CC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2E40DA5D">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2027F5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6670AD1E">
            <w:pPr>
              <w:jc w:val="center"/>
              <w:rPr>
                <w:color w:val="000000" w:themeColor="text1"/>
                <w:kern w:val="2"/>
                <w:highlight w:val="none"/>
                <w14:textFill>
                  <w14:solidFill>
                    <w14:schemeClr w14:val="tx1"/>
                  </w14:solidFill>
                </w14:textFill>
              </w:rPr>
            </w:pPr>
          </w:p>
        </w:tc>
      </w:tr>
      <w:tr w14:paraId="6F9DCF57">
        <w:tblPrEx>
          <w:tblCellMar>
            <w:top w:w="0" w:type="dxa"/>
            <w:left w:w="0" w:type="dxa"/>
            <w:bottom w:w="0" w:type="dxa"/>
            <w:right w:w="0" w:type="dxa"/>
          </w:tblCellMar>
        </w:tblPrEx>
        <w:trPr>
          <w:trHeight w:val="452"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34899E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4E11074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三等</w:t>
            </w:r>
          </w:p>
        </w:tc>
        <w:tc>
          <w:tcPr>
            <w:tcW w:w="923" w:type="dxa"/>
            <w:tcBorders>
              <w:top w:val="single" w:color="000000" w:sz="4" w:space="0"/>
              <w:left w:val="nil"/>
              <w:bottom w:val="single" w:color="000000" w:sz="4" w:space="0"/>
              <w:right w:val="single" w:color="000000" w:sz="4" w:space="0"/>
            </w:tcBorders>
            <w:vAlign w:val="center"/>
          </w:tcPr>
          <w:p w14:paraId="06562B8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3C0D9A7B">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8E7F45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802B11B">
            <w:pPr>
              <w:jc w:val="center"/>
              <w:rPr>
                <w:color w:val="000000" w:themeColor="text1"/>
                <w:kern w:val="2"/>
                <w:highlight w:val="none"/>
                <w14:textFill>
                  <w14:solidFill>
                    <w14:schemeClr w14:val="tx1"/>
                  </w14:solidFill>
                </w14:textFill>
              </w:rPr>
            </w:pPr>
          </w:p>
        </w:tc>
      </w:tr>
      <w:tr w14:paraId="3C2E51C2">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856AB1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-5</w:t>
            </w:r>
          </w:p>
        </w:tc>
        <w:tc>
          <w:tcPr>
            <w:tcW w:w="2125" w:type="dxa"/>
            <w:tcBorders>
              <w:top w:val="single" w:color="000000" w:sz="4" w:space="0"/>
              <w:left w:val="nil"/>
              <w:bottom w:val="single" w:color="000000" w:sz="4" w:space="0"/>
              <w:right w:val="single" w:color="000000" w:sz="4" w:space="0"/>
            </w:tcBorders>
            <w:vAlign w:val="center"/>
          </w:tcPr>
          <w:p w14:paraId="4B5A931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四等</w:t>
            </w:r>
          </w:p>
        </w:tc>
        <w:tc>
          <w:tcPr>
            <w:tcW w:w="923" w:type="dxa"/>
            <w:tcBorders>
              <w:top w:val="single" w:color="000000" w:sz="4" w:space="0"/>
              <w:left w:val="nil"/>
              <w:bottom w:val="single" w:color="000000" w:sz="4" w:space="0"/>
              <w:right w:val="single" w:color="000000" w:sz="4" w:space="0"/>
            </w:tcBorders>
            <w:vAlign w:val="center"/>
          </w:tcPr>
          <w:p w14:paraId="1511884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691B02EA">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A4E2A68">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0287DE75">
            <w:pPr>
              <w:jc w:val="center"/>
              <w:rPr>
                <w:color w:val="000000" w:themeColor="text1"/>
                <w:kern w:val="2"/>
                <w:highlight w:val="none"/>
                <w14:textFill>
                  <w14:solidFill>
                    <w14:schemeClr w14:val="tx1"/>
                  </w14:solidFill>
                </w14:textFill>
              </w:rPr>
            </w:pPr>
          </w:p>
        </w:tc>
      </w:tr>
      <w:tr w14:paraId="39C316FD">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DB3912B">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6845D46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3825326F">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0C83A0B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BC6CFE5">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DE8CA00">
            <w:pPr>
              <w:jc w:val="center"/>
              <w:rPr>
                <w:color w:val="000000" w:themeColor="text1"/>
                <w:kern w:val="2"/>
                <w:highlight w:val="none"/>
                <w14:textFill>
                  <w14:solidFill>
                    <w14:schemeClr w14:val="tx1"/>
                  </w14:solidFill>
                </w14:textFill>
              </w:rPr>
            </w:pPr>
          </w:p>
        </w:tc>
      </w:tr>
      <w:tr w14:paraId="4DC7A9E0">
        <w:tblPrEx>
          <w:tblCellMar>
            <w:top w:w="0" w:type="dxa"/>
            <w:left w:w="0" w:type="dxa"/>
            <w:bottom w:w="0" w:type="dxa"/>
            <w:right w:w="0" w:type="dxa"/>
          </w:tblCellMar>
        </w:tblPrEx>
        <w:trPr>
          <w:trHeight w:val="636"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627FBA2">
            <w:pPr>
              <w:rPr>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17C8699B">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地形图测绘（陆地）</w:t>
            </w:r>
          </w:p>
        </w:tc>
        <w:tc>
          <w:tcPr>
            <w:tcW w:w="923" w:type="dxa"/>
            <w:tcBorders>
              <w:top w:val="single" w:color="000000" w:sz="4" w:space="0"/>
              <w:left w:val="nil"/>
              <w:bottom w:val="single" w:color="000000" w:sz="4" w:space="0"/>
              <w:right w:val="single" w:color="000000" w:sz="4" w:space="0"/>
            </w:tcBorders>
            <w:vAlign w:val="center"/>
          </w:tcPr>
          <w:p w14:paraId="12116AAC">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7AA6E54E">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54FECE4A">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B0E5F22">
            <w:pPr>
              <w:jc w:val="center"/>
              <w:rPr>
                <w:color w:val="000000" w:themeColor="text1"/>
                <w:kern w:val="2"/>
                <w:highlight w:val="none"/>
                <w14:textFill>
                  <w14:solidFill>
                    <w14:schemeClr w14:val="tx1"/>
                  </w14:solidFill>
                </w14:textFill>
              </w:rPr>
            </w:pPr>
          </w:p>
        </w:tc>
      </w:tr>
      <w:tr w14:paraId="34A21B89">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91B430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7C9461B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1：500</w:t>
            </w:r>
          </w:p>
        </w:tc>
        <w:tc>
          <w:tcPr>
            <w:tcW w:w="923" w:type="dxa"/>
            <w:tcBorders>
              <w:top w:val="single" w:color="000000" w:sz="4" w:space="0"/>
              <w:left w:val="nil"/>
              <w:bottom w:val="single" w:color="000000" w:sz="4" w:space="0"/>
              <w:right w:val="single" w:color="000000" w:sz="4" w:space="0"/>
            </w:tcBorders>
            <w:vAlign w:val="center"/>
          </w:tcPr>
          <w:p w14:paraId="3F878A7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239C32B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F84C2F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1D8BBE58">
            <w:pPr>
              <w:jc w:val="center"/>
              <w:rPr>
                <w:color w:val="000000" w:themeColor="text1"/>
                <w:kern w:val="2"/>
                <w:highlight w:val="none"/>
                <w14:textFill>
                  <w14:solidFill>
                    <w14:schemeClr w14:val="tx1"/>
                  </w14:solidFill>
                </w14:textFill>
              </w:rPr>
            </w:pPr>
          </w:p>
        </w:tc>
      </w:tr>
      <w:tr w14:paraId="43F7C64D">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EC7FAD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5DE0E47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1：1000</w:t>
            </w:r>
          </w:p>
        </w:tc>
        <w:tc>
          <w:tcPr>
            <w:tcW w:w="923" w:type="dxa"/>
            <w:tcBorders>
              <w:top w:val="single" w:color="000000" w:sz="4" w:space="0"/>
              <w:left w:val="nil"/>
              <w:bottom w:val="single" w:color="000000" w:sz="4" w:space="0"/>
              <w:right w:val="single" w:color="000000" w:sz="4" w:space="0"/>
            </w:tcBorders>
            <w:vAlign w:val="center"/>
          </w:tcPr>
          <w:p w14:paraId="7705B84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1D3D692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E757584">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42F9AE2">
            <w:pPr>
              <w:jc w:val="center"/>
              <w:rPr>
                <w:color w:val="000000" w:themeColor="text1"/>
                <w:kern w:val="2"/>
                <w:highlight w:val="none"/>
                <w14:textFill>
                  <w14:solidFill>
                    <w14:schemeClr w14:val="tx1"/>
                  </w14:solidFill>
                </w14:textFill>
              </w:rPr>
            </w:pPr>
          </w:p>
        </w:tc>
      </w:tr>
      <w:tr w14:paraId="5F7FA6D6">
        <w:tblPrEx>
          <w:tblCellMar>
            <w:top w:w="0" w:type="dxa"/>
            <w:left w:w="0" w:type="dxa"/>
            <w:bottom w:w="0" w:type="dxa"/>
            <w:right w:w="0" w:type="dxa"/>
          </w:tblCellMar>
        </w:tblPrEx>
        <w:trPr>
          <w:trHeight w:val="452"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8E6C9C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5ED9A88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1：2000</w:t>
            </w:r>
          </w:p>
        </w:tc>
        <w:tc>
          <w:tcPr>
            <w:tcW w:w="923" w:type="dxa"/>
            <w:tcBorders>
              <w:top w:val="single" w:color="000000" w:sz="4" w:space="0"/>
              <w:left w:val="nil"/>
              <w:bottom w:val="single" w:color="000000" w:sz="4" w:space="0"/>
              <w:right w:val="single" w:color="000000" w:sz="4" w:space="0"/>
            </w:tcBorders>
            <w:vAlign w:val="center"/>
          </w:tcPr>
          <w:p w14:paraId="349C822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233E915C">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CE298D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003FF367">
            <w:pPr>
              <w:jc w:val="center"/>
              <w:rPr>
                <w:color w:val="000000" w:themeColor="text1"/>
                <w:kern w:val="2"/>
                <w:highlight w:val="none"/>
                <w14:textFill>
                  <w14:solidFill>
                    <w14:schemeClr w14:val="tx1"/>
                  </w14:solidFill>
                </w14:textFill>
              </w:rPr>
            </w:pPr>
          </w:p>
        </w:tc>
      </w:tr>
      <w:tr w14:paraId="6DD8825E">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2C5CD1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5C67E4A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1：5000</w:t>
            </w:r>
          </w:p>
        </w:tc>
        <w:tc>
          <w:tcPr>
            <w:tcW w:w="923" w:type="dxa"/>
            <w:tcBorders>
              <w:top w:val="single" w:color="000000" w:sz="4" w:space="0"/>
              <w:left w:val="nil"/>
              <w:bottom w:val="single" w:color="000000" w:sz="4" w:space="0"/>
              <w:right w:val="single" w:color="000000" w:sz="4" w:space="0"/>
            </w:tcBorders>
            <w:vAlign w:val="center"/>
          </w:tcPr>
          <w:p w14:paraId="21DC700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51DB8D40">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0290F8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40028DD">
            <w:pPr>
              <w:jc w:val="center"/>
              <w:rPr>
                <w:color w:val="000000" w:themeColor="text1"/>
                <w:kern w:val="2"/>
                <w:highlight w:val="none"/>
                <w14:textFill>
                  <w14:solidFill>
                    <w14:schemeClr w14:val="tx1"/>
                  </w14:solidFill>
                </w14:textFill>
              </w:rPr>
            </w:pPr>
          </w:p>
        </w:tc>
      </w:tr>
      <w:tr w14:paraId="09AD0FF5">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33AAD5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-5</w:t>
            </w:r>
          </w:p>
        </w:tc>
        <w:tc>
          <w:tcPr>
            <w:tcW w:w="2125" w:type="dxa"/>
            <w:tcBorders>
              <w:top w:val="single" w:color="000000" w:sz="4" w:space="0"/>
              <w:left w:val="nil"/>
              <w:bottom w:val="single" w:color="000000" w:sz="4" w:space="0"/>
              <w:right w:val="single" w:color="000000" w:sz="4" w:space="0"/>
            </w:tcBorders>
            <w:vAlign w:val="center"/>
          </w:tcPr>
          <w:p w14:paraId="7384273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1：10000</w:t>
            </w:r>
          </w:p>
        </w:tc>
        <w:tc>
          <w:tcPr>
            <w:tcW w:w="923" w:type="dxa"/>
            <w:tcBorders>
              <w:top w:val="single" w:color="000000" w:sz="4" w:space="0"/>
              <w:left w:val="nil"/>
              <w:bottom w:val="single" w:color="000000" w:sz="4" w:space="0"/>
              <w:right w:val="single" w:color="000000" w:sz="4" w:space="0"/>
            </w:tcBorders>
            <w:vAlign w:val="center"/>
          </w:tcPr>
          <w:p w14:paraId="114C6B5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77A9716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7F1DDE9">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0CBDEC7">
            <w:pPr>
              <w:jc w:val="center"/>
              <w:rPr>
                <w:color w:val="000000" w:themeColor="text1"/>
                <w:kern w:val="2"/>
                <w:highlight w:val="none"/>
                <w14:textFill>
                  <w14:solidFill>
                    <w14:schemeClr w14:val="tx1"/>
                  </w14:solidFill>
                </w14:textFill>
              </w:rPr>
            </w:pPr>
          </w:p>
        </w:tc>
      </w:tr>
      <w:tr w14:paraId="631C0D34">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40B8302">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2074993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051F7A71">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CD938EF">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569E94E6">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06042B76">
            <w:pPr>
              <w:jc w:val="center"/>
              <w:rPr>
                <w:color w:val="000000" w:themeColor="text1"/>
                <w:kern w:val="2"/>
                <w:highlight w:val="none"/>
                <w14:textFill>
                  <w14:solidFill>
                    <w14:schemeClr w14:val="tx1"/>
                  </w14:solidFill>
                </w14:textFill>
              </w:rPr>
            </w:pPr>
          </w:p>
        </w:tc>
      </w:tr>
      <w:tr w14:paraId="77C94BDC">
        <w:tblPrEx>
          <w:tblCellMar>
            <w:top w:w="0" w:type="dxa"/>
            <w:left w:w="0" w:type="dxa"/>
            <w:bottom w:w="0" w:type="dxa"/>
            <w:right w:w="0" w:type="dxa"/>
          </w:tblCellMar>
        </w:tblPrEx>
        <w:trPr>
          <w:trHeight w:val="626"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08D6E06">
            <w:pP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482F2A64">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水下地形图测绘</w:t>
            </w:r>
          </w:p>
        </w:tc>
        <w:tc>
          <w:tcPr>
            <w:tcW w:w="923" w:type="dxa"/>
            <w:tcBorders>
              <w:top w:val="single" w:color="000000" w:sz="4" w:space="0"/>
              <w:left w:val="nil"/>
              <w:bottom w:val="single" w:color="000000" w:sz="4" w:space="0"/>
              <w:right w:val="single" w:color="000000" w:sz="4" w:space="0"/>
            </w:tcBorders>
            <w:vAlign w:val="center"/>
          </w:tcPr>
          <w:p w14:paraId="3869DCFE">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98DEFE1">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80550A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7F50A00">
            <w:pPr>
              <w:jc w:val="center"/>
              <w:rPr>
                <w:color w:val="000000" w:themeColor="text1"/>
                <w:kern w:val="2"/>
                <w:highlight w:val="none"/>
                <w14:textFill>
                  <w14:solidFill>
                    <w14:schemeClr w14:val="tx1"/>
                  </w14:solidFill>
                </w14:textFill>
              </w:rPr>
            </w:pPr>
          </w:p>
        </w:tc>
      </w:tr>
      <w:tr w14:paraId="7A6F8ADB">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7A15E5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1CBD66CA">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1：200</w:t>
            </w:r>
          </w:p>
        </w:tc>
        <w:tc>
          <w:tcPr>
            <w:tcW w:w="923" w:type="dxa"/>
            <w:tcBorders>
              <w:top w:val="single" w:color="000000" w:sz="4" w:space="0"/>
              <w:left w:val="nil"/>
              <w:bottom w:val="single" w:color="000000" w:sz="4" w:space="0"/>
              <w:right w:val="single" w:color="000000" w:sz="4" w:space="0"/>
            </w:tcBorders>
            <w:vAlign w:val="center"/>
          </w:tcPr>
          <w:p w14:paraId="1795362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642244A3">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74FCFAD">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340F57D">
            <w:pPr>
              <w:jc w:val="center"/>
              <w:rPr>
                <w:color w:val="000000" w:themeColor="text1"/>
                <w:kern w:val="2"/>
                <w:highlight w:val="none"/>
                <w14:textFill>
                  <w14:solidFill>
                    <w14:schemeClr w14:val="tx1"/>
                  </w14:solidFill>
                </w14:textFill>
              </w:rPr>
            </w:pPr>
          </w:p>
        </w:tc>
      </w:tr>
      <w:tr w14:paraId="43265A5D">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27A01E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3F4B1CB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1：500</w:t>
            </w:r>
          </w:p>
        </w:tc>
        <w:tc>
          <w:tcPr>
            <w:tcW w:w="923" w:type="dxa"/>
            <w:tcBorders>
              <w:top w:val="single" w:color="000000" w:sz="4" w:space="0"/>
              <w:left w:val="nil"/>
              <w:bottom w:val="single" w:color="000000" w:sz="4" w:space="0"/>
              <w:right w:val="single" w:color="000000" w:sz="4" w:space="0"/>
            </w:tcBorders>
            <w:vAlign w:val="center"/>
          </w:tcPr>
          <w:p w14:paraId="77BAF9D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386D8E2A">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D679BE7">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CC51E31">
            <w:pPr>
              <w:jc w:val="center"/>
              <w:rPr>
                <w:color w:val="000000" w:themeColor="text1"/>
                <w:kern w:val="2"/>
                <w:highlight w:val="none"/>
                <w14:textFill>
                  <w14:solidFill>
                    <w14:schemeClr w14:val="tx1"/>
                  </w14:solidFill>
                </w14:textFill>
              </w:rPr>
            </w:pPr>
          </w:p>
        </w:tc>
      </w:tr>
      <w:tr w14:paraId="68F49D01">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87AAB8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2DC9D70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1：1000</w:t>
            </w:r>
          </w:p>
        </w:tc>
        <w:tc>
          <w:tcPr>
            <w:tcW w:w="923" w:type="dxa"/>
            <w:tcBorders>
              <w:top w:val="single" w:color="000000" w:sz="4" w:space="0"/>
              <w:left w:val="nil"/>
              <w:bottom w:val="single" w:color="000000" w:sz="4" w:space="0"/>
              <w:right w:val="single" w:color="000000" w:sz="4" w:space="0"/>
            </w:tcBorders>
            <w:vAlign w:val="center"/>
          </w:tcPr>
          <w:p w14:paraId="44EE54F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241F537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1F13B40">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0C4AB9A">
            <w:pPr>
              <w:jc w:val="center"/>
              <w:rPr>
                <w:color w:val="000000" w:themeColor="text1"/>
                <w:kern w:val="2"/>
                <w:highlight w:val="none"/>
                <w14:textFill>
                  <w14:solidFill>
                    <w14:schemeClr w14:val="tx1"/>
                  </w14:solidFill>
                </w14:textFill>
              </w:rPr>
            </w:pPr>
          </w:p>
        </w:tc>
      </w:tr>
      <w:tr w14:paraId="12FFBA7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F04712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4E5556A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1：2000</w:t>
            </w:r>
          </w:p>
        </w:tc>
        <w:tc>
          <w:tcPr>
            <w:tcW w:w="923" w:type="dxa"/>
            <w:tcBorders>
              <w:top w:val="single" w:color="000000" w:sz="4" w:space="0"/>
              <w:left w:val="nil"/>
              <w:bottom w:val="single" w:color="000000" w:sz="4" w:space="0"/>
              <w:right w:val="single" w:color="000000" w:sz="4" w:space="0"/>
            </w:tcBorders>
            <w:vAlign w:val="center"/>
          </w:tcPr>
          <w:p w14:paraId="7EF0D4C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603A858F">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9F91667">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48C69EF">
            <w:pPr>
              <w:jc w:val="center"/>
              <w:rPr>
                <w:color w:val="000000" w:themeColor="text1"/>
                <w:kern w:val="2"/>
                <w:highlight w:val="none"/>
                <w14:textFill>
                  <w14:solidFill>
                    <w14:schemeClr w14:val="tx1"/>
                  </w14:solidFill>
                </w14:textFill>
              </w:rPr>
            </w:pPr>
          </w:p>
        </w:tc>
      </w:tr>
      <w:tr w14:paraId="0C42F720">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9E76966">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5D632BB8">
            <w:pPr>
              <w:jc w:val="center"/>
              <w:rPr>
                <w:color w:val="000000" w:themeColor="text1"/>
                <w:kern w:val="2"/>
                <w:highlight w:val="none"/>
                <w14:textFill>
                  <w14:solidFill>
                    <w14:schemeClr w14:val="tx1"/>
                  </w14:solidFill>
                </w14:textFill>
              </w:rPr>
            </w:pPr>
          </w:p>
          <w:p w14:paraId="398C07B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7A8693C4">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4EEB7B29">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9EB8066">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B60CB6E">
            <w:pPr>
              <w:jc w:val="center"/>
              <w:rPr>
                <w:color w:val="000000" w:themeColor="text1"/>
                <w:kern w:val="2"/>
                <w:highlight w:val="none"/>
                <w14:textFill>
                  <w14:solidFill>
                    <w14:schemeClr w14:val="tx1"/>
                  </w14:solidFill>
                </w14:textFill>
              </w:rPr>
            </w:pPr>
          </w:p>
        </w:tc>
      </w:tr>
      <w:tr w14:paraId="45734D19">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124DEEE4">
            <w:pP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6E08E757">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航空测绘</w:t>
            </w:r>
          </w:p>
        </w:tc>
        <w:tc>
          <w:tcPr>
            <w:tcW w:w="923" w:type="dxa"/>
            <w:tcBorders>
              <w:top w:val="single" w:color="000000" w:sz="4" w:space="0"/>
              <w:left w:val="nil"/>
              <w:bottom w:val="single" w:color="000000" w:sz="4" w:space="0"/>
              <w:right w:val="single" w:color="000000" w:sz="4" w:space="0"/>
            </w:tcBorders>
            <w:vAlign w:val="center"/>
          </w:tcPr>
          <w:p w14:paraId="19AED51D">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1346C8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3643BC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FBBFE16">
            <w:pPr>
              <w:jc w:val="center"/>
              <w:rPr>
                <w:color w:val="000000" w:themeColor="text1"/>
                <w:kern w:val="2"/>
                <w:highlight w:val="none"/>
                <w14:textFill>
                  <w14:solidFill>
                    <w14:schemeClr w14:val="tx1"/>
                  </w14:solidFill>
                </w14:textFill>
              </w:rPr>
            </w:pPr>
          </w:p>
        </w:tc>
      </w:tr>
      <w:tr w14:paraId="13EE173C">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BB04E9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01C573EE">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1：500</w:t>
            </w:r>
          </w:p>
        </w:tc>
        <w:tc>
          <w:tcPr>
            <w:tcW w:w="923" w:type="dxa"/>
            <w:tcBorders>
              <w:top w:val="single" w:color="000000" w:sz="4" w:space="0"/>
              <w:left w:val="nil"/>
              <w:bottom w:val="single" w:color="000000" w:sz="4" w:space="0"/>
              <w:right w:val="single" w:color="000000" w:sz="4" w:space="0"/>
            </w:tcBorders>
            <w:vAlign w:val="center"/>
          </w:tcPr>
          <w:p w14:paraId="2724F7C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59F0F2D1">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9EE4F74">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5FDAFD6">
            <w:pPr>
              <w:jc w:val="center"/>
              <w:rPr>
                <w:color w:val="000000" w:themeColor="text1"/>
                <w:kern w:val="2"/>
                <w:highlight w:val="none"/>
                <w14:textFill>
                  <w14:solidFill>
                    <w14:schemeClr w14:val="tx1"/>
                  </w14:solidFill>
                </w14:textFill>
              </w:rPr>
            </w:pPr>
          </w:p>
        </w:tc>
      </w:tr>
      <w:tr w14:paraId="1EC00F14">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1FB1AB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2EE979B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1：1000</w:t>
            </w:r>
          </w:p>
        </w:tc>
        <w:tc>
          <w:tcPr>
            <w:tcW w:w="923" w:type="dxa"/>
            <w:tcBorders>
              <w:top w:val="single" w:color="000000" w:sz="4" w:space="0"/>
              <w:left w:val="nil"/>
              <w:bottom w:val="single" w:color="000000" w:sz="4" w:space="0"/>
              <w:right w:val="single" w:color="000000" w:sz="4" w:space="0"/>
            </w:tcBorders>
            <w:vAlign w:val="center"/>
          </w:tcPr>
          <w:p w14:paraId="7D1E88C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3A145C7C">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1358E58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844F3F6">
            <w:pPr>
              <w:jc w:val="center"/>
              <w:rPr>
                <w:color w:val="000000" w:themeColor="text1"/>
                <w:kern w:val="2"/>
                <w:highlight w:val="none"/>
                <w14:textFill>
                  <w14:solidFill>
                    <w14:schemeClr w14:val="tx1"/>
                  </w14:solidFill>
                </w14:textFill>
              </w:rPr>
            </w:pPr>
          </w:p>
        </w:tc>
      </w:tr>
      <w:tr w14:paraId="7CB81629">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3C2B66C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45ACEA6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1：2000</w:t>
            </w:r>
          </w:p>
        </w:tc>
        <w:tc>
          <w:tcPr>
            <w:tcW w:w="923" w:type="dxa"/>
            <w:tcBorders>
              <w:top w:val="single" w:color="000000" w:sz="4" w:space="0"/>
              <w:left w:val="nil"/>
              <w:bottom w:val="single" w:color="000000" w:sz="4" w:space="0"/>
              <w:right w:val="single" w:color="000000" w:sz="4" w:space="0"/>
            </w:tcBorders>
            <w:vAlign w:val="center"/>
          </w:tcPr>
          <w:p w14:paraId="2E6BB18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11EFBB0B">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B3EF296">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E5460CF">
            <w:pPr>
              <w:jc w:val="center"/>
              <w:rPr>
                <w:color w:val="000000" w:themeColor="text1"/>
                <w:kern w:val="2"/>
                <w:highlight w:val="none"/>
                <w14:textFill>
                  <w14:solidFill>
                    <w14:schemeClr w14:val="tx1"/>
                  </w14:solidFill>
                </w14:textFill>
              </w:rPr>
            </w:pPr>
          </w:p>
        </w:tc>
      </w:tr>
      <w:tr w14:paraId="724114FB">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1EC37E7E">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0277ACB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4683A560">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E384EA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E6C0CC1">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B56C40E">
            <w:pPr>
              <w:jc w:val="center"/>
              <w:rPr>
                <w:color w:val="000000" w:themeColor="text1"/>
                <w:kern w:val="2"/>
                <w:highlight w:val="none"/>
                <w14:textFill>
                  <w14:solidFill>
                    <w14:schemeClr w14:val="tx1"/>
                  </w14:solidFill>
                </w14:textFill>
              </w:rPr>
            </w:pPr>
          </w:p>
        </w:tc>
      </w:tr>
      <w:tr w14:paraId="504C1991">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317FAFC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5</w:t>
            </w:r>
          </w:p>
        </w:tc>
        <w:tc>
          <w:tcPr>
            <w:tcW w:w="2125" w:type="dxa"/>
            <w:tcBorders>
              <w:top w:val="single" w:color="000000" w:sz="4" w:space="0"/>
              <w:left w:val="nil"/>
              <w:bottom w:val="single" w:color="000000" w:sz="4" w:space="0"/>
              <w:right w:val="single" w:color="000000" w:sz="4" w:space="0"/>
            </w:tcBorders>
            <w:vAlign w:val="center"/>
          </w:tcPr>
          <w:p w14:paraId="2119B47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勘探</w:t>
            </w:r>
          </w:p>
        </w:tc>
        <w:tc>
          <w:tcPr>
            <w:tcW w:w="923" w:type="dxa"/>
            <w:tcBorders>
              <w:top w:val="single" w:color="000000" w:sz="4" w:space="0"/>
              <w:left w:val="nil"/>
              <w:bottom w:val="single" w:color="000000" w:sz="4" w:space="0"/>
              <w:right w:val="single" w:color="000000" w:sz="4" w:space="0"/>
            </w:tcBorders>
            <w:vAlign w:val="center"/>
          </w:tcPr>
          <w:p w14:paraId="5D14A41F">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0CC265C">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E019E6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6F4CB91">
            <w:pPr>
              <w:jc w:val="center"/>
              <w:rPr>
                <w:color w:val="000000" w:themeColor="text1"/>
                <w:kern w:val="2"/>
                <w:highlight w:val="none"/>
                <w14:textFill>
                  <w14:solidFill>
                    <w14:schemeClr w14:val="tx1"/>
                  </w14:solidFill>
                </w14:textFill>
              </w:rPr>
            </w:pPr>
          </w:p>
        </w:tc>
      </w:tr>
      <w:tr w14:paraId="6FBEE166">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8CAD79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1C09F72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钻孔</w:t>
            </w:r>
          </w:p>
        </w:tc>
        <w:tc>
          <w:tcPr>
            <w:tcW w:w="923" w:type="dxa"/>
            <w:tcBorders>
              <w:top w:val="single" w:color="000000" w:sz="4" w:space="0"/>
              <w:left w:val="nil"/>
              <w:bottom w:val="single" w:color="000000" w:sz="4" w:space="0"/>
              <w:right w:val="single" w:color="000000" w:sz="4" w:space="0"/>
            </w:tcBorders>
            <w:vAlign w:val="center"/>
          </w:tcPr>
          <w:p w14:paraId="5394D39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55433B87">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FDD31BA">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11AA37E2">
            <w:pPr>
              <w:jc w:val="center"/>
              <w:rPr>
                <w:color w:val="000000" w:themeColor="text1"/>
                <w:kern w:val="2"/>
                <w:highlight w:val="none"/>
                <w14:textFill>
                  <w14:solidFill>
                    <w14:schemeClr w14:val="tx1"/>
                  </w14:solidFill>
                </w14:textFill>
              </w:rPr>
            </w:pPr>
          </w:p>
        </w:tc>
      </w:tr>
      <w:tr w14:paraId="45286FF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3CB2CB8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6773917A">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井探</w:t>
            </w:r>
          </w:p>
        </w:tc>
        <w:tc>
          <w:tcPr>
            <w:tcW w:w="923" w:type="dxa"/>
            <w:tcBorders>
              <w:top w:val="single" w:color="000000" w:sz="4" w:space="0"/>
              <w:left w:val="nil"/>
              <w:bottom w:val="single" w:color="000000" w:sz="4" w:space="0"/>
              <w:right w:val="single" w:color="000000" w:sz="4" w:space="0"/>
            </w:tcBorders>
            <w:vAlign w:val="center"/>
          </w:tcPr>
          <w:p w14:paraId="23C3713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7BC47F9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5269D33">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3C91EBD">
            <w:pPr>
              <w:jc w:val="center"/>
              <w:rPr>
                <w:color w:val="000000" w:themeColor="text1"/>
                <w:kern w:val="2"/>
                <w:highlight w:val="none"/>
                <w14:textFill>
                  <w14:solidFill>
                    <w14:schemeClr w14:val="tx1"/>
                  </w14:solidFill>
                </w14:textFill>
              </w:rPr>
            </w:pPr>
          </w:p>
        </w:tc>
      </w:tr>
      <w:tr w14:paraId="10CFC92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52DF5E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482640C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槽探</w:t>
            </w:r>
          </w:p>
        </w:tc>
        <w:tc>
          <w:tcPr>
            <w:tcW w:w="923" w:type="dxa"/>
            <w:tcBorders>
              <w:top w:val="single" w:color="000000" w:sz="4" w:space="0"/>
              <w:left w:val="nil"/>
              <w:bottom w:val="single" w:color="000000" w:sz="4" w:space="0"/>
              <w:right w:val="single" w:color="000000" w:sz="4" w:space="0"/>
            </w:tcBorders>
            <w:vAlign w:val="center"/>
          </w:tcPr>
          <w:p w14:paraId="18988A6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2C8D5E88">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4A9584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B7027E5">
            <w:pPr>
              <w:jc w:val="center"/>
              <w:rPr>
                <w:color w:val="000000" w:themeColor="text1"/>
                <w:kern w:val="2"/>
                <w:highlight w:val="none"/>
                <w14:textFill>
                  <w14:solidFill>
                    <w14:schemeClr w14:val="tx1"/>
                  </w14:solidFill>
                </w14:textFill>
              </w:rPr>
            </w:pPr>
          </w:p>
        </w:tc>
      </w:tr>
      <w:tr w14:paraId="12EFE981">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7DD814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5F20F0DE">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洞探</w:t>
            </w:r>
          </w:p>
        </w:tc>
        <w:tc>
          <w:tcPr>
            <w:tcW w:w="923" w:type="dxa"/>
            <w:tcBorders>
              <w:top w:val="single" w:color="000000" w:sz="4" w:space="0"/>
              <w:left w:val="nil"/>
              <w:bottom w:val="single" w:color="000000" w:sz="4" w:space="0"/>
              <w:right w:val="single" w:color="000000" w:sz="4" w:space="0"/>
            </w:tcBorders>
            <w:vAlign w:val="center"/>
          </w:tcPr>
          <w:p w14:paraId="2AB3A16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057E3F2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AA9C905">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D6F0CF6">
            <w:pPr>
              <w:jc w:val="center"/>
              <w:rPr>
                <w:color w:val="000000" w:themeColor="text1"/>
                <w:kern w:val="2"/>
                <w:highlight w:val="none"/>
                <w14:textFill>
                  <w14:solidFill>
                    <w14:schemeClr w14:val="tx1"/>
                  </w14:solidFill>
                </w14:textFill>
              </w:rPr>
            </w:pPr>
          </w:p>
        </w:tc>
      </w:tr>
      <w:tr w14:paraId="33BC951A">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C4BA05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-5</w:t>
            </w:r>
          </w:p>
        </w:tc>
        <w:tc>
          <w:tcPr>
            <w:tcW w:w="2125" w:type="dxa"/>
            <w:tcBorders>
              <w:top w:val="single" w:color="000000" w:sz="4" w:space="0"/>
              <w:left w:val="nil"/>
              <w:bottom w:val="single" w:color="000000" w:sz="4" w:space="0"/>
              <w:right w:val="single" w:color="000000" w:sz="4" w:space="0"/>
            </w:tcBorders>
            <w:vAlign w:val="center"/>
          </w:tcPr>
          <w:p w14:paraId="0892454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标准贯入试验</w:t>
            </w:r>
          </w:p>
        </w:tc>
        <w:tc>
          <w:tcPr>
            <w:tcW w:w="923" w:type="dxa"/>
            <w:tcBorders>
              <w:top w:val="single" w:color="000000" w:sz="4" w:space="0"/>
              <w:left w:val="nil"/>
              <w:bottom w:val="single" w:color="000000" w:sz="4" w:space="0"/>
              <w:right w:val="single" w:color="000000" w:sz="4" w:space="0"/>
            </w:tcBorders>
            <w:vAlign w:val="center"/>
          </w:tcPr>
          <w:p w14:paraId="38B5465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5E8599E9">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9FCB8DD">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1F745EA">
            <w:pPr>
              <w:jc w:val="center"/>
              <w:rPr>
                <w:color w:val="000000" w:themeColor="text1"/>
                <w:kern w:val="2"/>
                <w:highlight w:val="none"/>
                <w14:textFill>
                  <w14:solidFill>
                    <w14:schemeClr w14:val="tx1"/>
                  </w14:solidFill>
                </w14:textFill>
              </w:rPr>
            </w:pPr>
          </w:p>
        </w:tc>
      </w:tr>
      <w:tr w14:paraId="3AE552FF">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73FFBF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-6</w:t>
            </w:r>
          </w:p>
        </w:tc>
        <w:tc>
          <w:tcPr>
            <w:tcW w:w="2125" w:type="dxa"/>
            <w:tcBorders>
              <w:top w:val="single" w:color="000000" w:sz="4" w:space="0"/>
              <w:left w:val="nil"/>
              <w:bottom w:val="single" w:color="000000" w:sz="4" w:space="0"/>
              <w:right w:val="single" w:color="000000" w:sz="4" w:space="0"/>
            </w:tcBorders>
            <w:vAlign w:val="center"/>
          </w:tcPr>
          <w:p w14:paraId="07D3C28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动力触探</w:t>
            </w:r>
          </w:p>
        </w:tc>
        <w:tc>
          <w:tcPr>
            <w:tcW w:w="923" w:type="dxa"/>
            <w:tcBorders>
              <w:top w:val="single" w:color="000000" w:sz="4" w:space="0"/>
              <w:left w:val="nil"/>
              <w:bottom w:val="single" w:color="000000" w:sz="4" w:space="0"/>
              <w:right w:val="single" w:color="000000" w:sz="4" w:space="0"/>
            </w:tcBorders>
            <w:vAlign w:val="center"/>
          </w:tcPr>
          <w:p w14:paraId="4CF975B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456CA69F">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15A6A321">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2A5301D">
            <w:pPr>
              <w:jc w:val="center"/>
              <w:rPr>
                <w:color w:val="000000" w:themeColor="text1"/>
                <w:kern w:val="2"/>
                <w:highlight w:val="none"/>
                <w14:textFill>
                  <w14:solidFill>
                    <w14:schemeClr w14:val="tx1"/>
                  </w14:solidFill>
                </w14:textFill>
              </w:rPr>
            </w:pPr>
          </w:p>
        </w:tc>
      </w:tr>
      <w:tr w14:paraId="72F07A1A">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A815FB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-7</w:t>
            </w:r>
          </w:p>
        </w:tc>
        <w:tc>
          <w:tcPr>
            <w:tcW w:w="2125" w:type="dxa"/>
            <w:tcBorders>
              <w:top w:val="single" w:color="000000" w:sz="4" w:space="0"/>
              <w:left w:val="nil"/>
              <w:bottom w:val="single" w:color="000000" w:sz="4" w:space="0"/>
              <w:right w:val="single" w:color="000000" w:sz="4" w:space="0"/>
            </w:tcBorders>
            <w:vAlign w:val="center"/>
          </w:tcPr>
          <w:p w14:paraId="56FB745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静力触探</w:t>
            </w:r>
          </w:p>
        </w:tc>
        <w:tc>
          <w:tcPr>
            <w:tcW w:w="923" w:type="dxa"/>
            <w:tcBorders>
              <w:top w:val="single" w:color="000000" w:sz="4" w:space="0"/>
              <w:left w:val="nil"/>
              <w:bottom w:val="single" w:color="000000" w:sz="4" w:space="0"/>
              <w:right w:val="single" w:color="000000" w:sz="4" w:space="0"/>
            </w:tcBorders>
            <w:vAlign w:val="center"/>
          </w:tcPr>
          <w:p w14:paraId="4FAE81D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467BC189">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60D9573">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0EB227A">
            <w:pPr>
              <w:jc w:val="center"/>
              <w:rPr>
                <w:color w:val="000000" w:themeColor="text1"/>
                <w:kern w:val="2"/>
                <w:highlight w:val="none"/>
                <w14:textFill>
                  <w14:solidFill>
                    <w14:schemeClr w14:val="tx1"/>
                  </w14:solidFill>
                </w14:textFill>
              </w:rPr>
            </w:pPr>
          </w:p>
        </w:tc>
      </w:tr>
      <w:tr w14:paraId="6C00B237">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19CDF0B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-8</w:t>
            </w:r>
          </w:p>
        </w:tc>
        <w:tc>
          <w:tcPr>
            <w:tcW w:w="2125" w:type="dxa"/>
            <w:tcBorders>
              <w:top w:val="single" w:color="000000" w:sz="4" w:space="0"/>
              <w:left w:val="nil"/>
              <w:bottom w:val="single" w:color="000000" w:sz="4" w:space="0"/>
              <w:right w:val="single" w:color="000000" w:sz="4" w:space="0"/>
            </w:tcBorders>
            <w:vAlign w:val="center"/>
          </w:tcPr>
          <w:p w14:paraId="2308B67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地质雷达</w:t>
            </w:r>
          </w:p>
        </w:tc>
        <w:tc>
          <w:tcPr>
            <w:tcW w:w="923" w:type="dxa"/>
            <w:tcBorders>
              <w:top w:val="single" w:color="000000" w:sz="4" w:space="0"/>
              <w:left w:val="nil"/>
              <w:bottom w:val="single" w:color="000000" w:sz="4" w:space="0"/>
              <w:right w:val="single" w:color="000000" w:sz="4" w:space="0"/>
            </w:tcBorders>
            <w:vAlign w:val="center"/>
          </w:tcPr>
          <w:p w14:paraId="01ACF6B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点</w:t>
            </w:r>
          </w:p>
        </w:tc>
        <w:tc>
          <w:tcPr>
            <w:tcW w:w="1389" w:type="dxa"/>
            <w:tcBorders>
              <w:top w:val="single" w:color="000000" w:sz="4" w:space="0"/>
              <w:left w:val="nil"/>
              <w:bottom w:val="single" w:color="000000" w:sz="4" w:space="0"/>
              <w:right w:val="single" w:color="000000" w:sz="4" w:space="0"/>
            </w:tcBorders>
            <w:vAlign w:val="center"/>
          </w:tcPr>
          <w:p w14:paraId="66E247F1">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1BEF7F78">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618CA3E0">
            <w:pPr>
              <w:jc w:val="center"/>
              <w:rPr>
                <w:color w:val="000000" w:themeColor="text1"/>
                <w:kern w:val="2"/>
                <w:highlight w:val="none"/>
                <w14:textFill>
                  <w14:solidFill>
                    <w14:schemeClr w14:val="tx1"/>
                  </w14:solidFill>
                </w14:textFill>
              </w:rPr>
            </w:pPr>
          </w:p>
        </w:tc>
      </w:tr>
      <w:tr w14:paraId="3E861556">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EB5D54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-9</w:t>
            </w:r>
          </w:p>
        </w:tc>
        <w:tc>
          <w:tcPr>
            <w:tcW w:w="2125" w:type="dxa"/>
            <w:tcBorders>
              <w:top w:val="single" w:color="000000" w:sz="4" w:space="0"/>
              <w:left w:val="nil"/>
              <w:bottom w:val="single" w:color="000000" w:sz="4" w:space="0"/>
              <w:right w:val="single" w:color="000000" w:sz="4" w:space="0"/>
            </w:tcBorders>
            <w:vAlign w:val="center"/>
          </w:tcPr>
          <w:p w14:paraId="769E3E0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地质雷达</w:t>
            </w:r>
          </w:p>
        </w:tc>
        <w:tc>
          <w:tcPr>
            <w:tcW w:w="923" w:type="dxa"/>
            <w:tcBorders>
              <w:top w:val="single" w:color="000000" w:sz="4" w:space="0"/>
              <w:left w:val="nil"/>
              <w:bottom w:val="single" w:color="000000" w:sz="4" w:space="0"/>
              <w:right w:val="single" w:color="000000" w:sz="4" w:space="0"/>
            </w:tcBorders>
            <w:vAlign w:val="center"/>
          </w:tcPr>
          <w:p w14:paraId="7B74AE0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5E8B4968">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C47CDF5">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4F71D68">
            <w:pPr>
              <w:jc w:val="center"/>
              <w:rPr>
                <w:color w:val="000000" w:themeColor="text1"/>
                <w:kern w:val="2"/>
                <w:highlight w:val="none"/>
                <w14:textFill>
                  <w14:solidFill>
                    <w14:schemeClr w14:val="tx1"/>
                  </w14:solidFill>
                </w14:textFill>
              </w:rPr>
            </w:pPr>
          </w:p>
        </w:tc>
      </w:tr>
      <w:tr w14:paraId="39A95823">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62E9CB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-10</w:t>
            </w:r>
          </w:p>
        </w:tc>
        <w:tc>
          <w:tcPr>
            <w:tcW w:w="2125" w:type="dxa"/>
            <w:tcBorders>
              <w:top w:val="single" w:color="000000" w:sz="4" w:space="0"/>
              <w:left w:val="nil"/>
              <w:bottom w:val="single" w:color="000000" w:sz="4" w:space="0"/>
              <w:right w:val="single" w:color="000000" w:sz="4" w:space="0"/>
            </w:tcBorders>
            <w:vAlign w:val="center"/>
          </w:tcPr>
          <w:p w14:paraId="1C72989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物探</w:t>
            </w:r>
          </w:p>
        </w:tc>
        <w:tc>
          <w:tcPr>
            <w:tcW w:w="923" w:type="dxa"/>
            <w:tcBorders>
              <w:top w:val="single" w:color="000000" w:sz="4" w:space="0"/>
              <w:left w:val="nil"/>
              <w:bottom w:val="single" w:color="000000" w:sz="4" w:space="0"/>
              <w:right w:val="single" w:color="000000" w:sz="4" w:space="0"/>
            </w:tcBorders>
            <w:vAlign w:val="center"/>
          </w:tcPr>
          <w:p w14:paraId="1E5935E6">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3824439B">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4A083F4">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450A1E1">
            <w:pPr>
              <w:jc w:val="center"/>
              <w:rPr>
                <w:color w:val="000000" w:themeColor="text1"/>
                <w:kern w:val="2"/>
                <w:highlight w:val="none"/>
                <w14:textFill>
                  <w14:solidFill>
                    <w14:schemeClr w14:val="tx1"/>
                  </w14:solidFill>
                </w14:textFill>
              </w:rPr>
            </w:pPr>
          </w:p>
        </w:tc>
      </w:tr>
      <w:tr w14:paraId="56F17A1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A5C7DA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-a</w:t>
            </w:r>
          </w:p>
        </w:tc>
        <w:tc>
          <w:tcPr>
            <w:tcW w:w="2125" w:type="dxa"/>
            <w:tcBorders>
              <w:top w:val="single" w:color="000000" w:sz="4" w:space="0"/>
              <w:left w:val="nil"/>
              <w:bottom w:val="single" w:color="000000" w:sz="4" w:space="0"/>
              <w:right w:val="single" w:color="000000" w:sz="4" w:space="0"/>
            </w:tcBorders>
            <w:vAlign w:val="center"/>
          </w:tcPr>
          <w:p w14:paraId="2F4175A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-电法</w:t>
            </w:r>
          </w:p>
        </w:tc>
        <w:tc>
          <w:tcPr>
            <w:tcW w:w="923" w:type="dxa"/>
            <w:tcBorders>
              <w:top w:val="single" w:color="000000" w:sz="4" w:space="0"/>
              <w:left w:val="nil"/>
              <w:bottom w:val="single" w:color="000000" w:sz="4" w:space="0"/>
              <w:right w:val="single" w:color="000000" w:sz="4" w:space="0"/>
            </w:tcBorders>
            <w:vAlign w:val="center"/>
          </w:tcPr>
          <w:p w14:paraId="1C086D7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点</w:t>
            </w:r>
          </w:p>
        </w:tc>
        <w:tc>
          <w:tcPr>
            <w:tcW w:w="1389" w:type="dxa"/>
            <w:tcBorders>
              <w:top w:val="single" w:color="000000" w:sz="4" w:space="0"/>
              <w:left w:val="nil"/>
              <w:bottom w:val="single" w:color="000000" w:sz="4" w:space="0"/>
              <w:right w:val="single" w:color="000000" w:sz="4" w:space="0"/>
            </w:tcBorders>
            <w:vAlign w:val="center"/>
          </w:tcPr>
          <w:p w14:paraId="5479ABC8">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1C41979">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D61EB43">
            <w:pPr>
              <w:jc w:val="center"/>
              <w:rPr>
                <w:color w:val="000000" w:themeColor="text1"/>
                <w:kern w:val="2"/>
                <w:highlight w:val="none"/>
                <w14:textFill>
                  <w14:solidFill>
                    <w14:schemeClr w14:val="tx1"/>
                  </w14:solidFill>
                </w14:textFill>
              </w:rPr>
            </w:pPr>
          </w:p>
        </w:tc>
      </w:tr>
      <w:tr w14:paraId="67C17882">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1FC858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-b</w:t>
            </w:r>
          </w:p>
        </w:tc>
        <w:tc>
          <w:tcPr>
            <w:tcW w:w="2125" w:type="dxa"/>
            <w:tcBorders>
              <w:top w:val="single" w:color="000000" w:sz="4" w:space="0"/>
              <w:left w:val="nil"/>
              <w:bottom w:val="single" w:color="000000" w:sz="4" w:space="0"/>
              <w:right w:val="single" w:color="000000" w:sz="4" w:space="0"/>
            </w:tcBorders>
            <w:vAlign w:val="center"/>
          </w:tcPr>
          <w:p w14:paraId="329B0CD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-地震法</w:t>
            </w:r>
          </w:p>
        </w:tc>
        <w:tc>
          <w:tcPr>
            <w:tcW w:w="923" w:type="dxa"/>
            <w:tcBorders>
              <w:top w:val="single" w:color="000000" w:sz="4" w:space="0"/>
              <w:left w:val="nil"/>
              <w:bottom w:val="single" w:color="000000" w:sz="4" w:space="0"/>
              <w:right w:val="single" w:color="000000" w:sz="4" w:space="0"/>
            </w:tcBorders>
            <w:vAlign w:val="center"/>
          </w:tcPr>
          <w:p w14:paraId="340BC18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点</w:t>
            </w:r>
          </w:p>
        </w:tc>
        <w:tc>
          <w:tcPr>
            <w:tcW w:w="1389" w:type="dxa"/>
            <w:tcBorders>
              <w:top w:val="single" w:color="000000" w:sz="4" w:space="0"/>
              <w:left w:val="nil"/>
              <w:bottom w:val="single" w:color="000000" w:sz="4" w:space="0"/>
              <w:right w:val="single" w:color="000000" w:sz="4" w:space="0"/>
            </w:tcBorders>
            <w:vAlign w:val="center"/>
          </w:tcPr>
          <w:p w14:paraId="564D1BCD">
            <w:pPr>
              <w:jc w:val="center"/>
              <w:rPr>
                <w:rFonts w:ascii="Times New Roman" w:hAnsi="Times New Roman"/>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0964FAA">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82B1B92">
            <w:pPr>
              <w:jc w:val="center"/>
              <w:rPr>
                <w:color w:val="000000" w:themeColor="text1"/>
                <w:kern w:val="2"/>
                <w:highlight w:val="none"/>
                <w14:textFill>
                  <w14:solidFill>
                    <w14:schemeClr w14:val="tx1"/>
                  </w14:solidFill>
                </w14:textFill>
              </w:rPr>
            </w:pPr>
          </w:p>
        </w:tc>
      </w:tr>
      <w:tr w14:paraId="23A8999E">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E54534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-c</w:t>
            </w:r>
          </w:p>
        </w:tc>
        <w:tc>
          <w:tcPr>
            <w:tcW w:w="2125" w:type="dxa"/>
            <w:tcBorders>
              <w:top w:val="single" w:color="000000" w:sz="4" w:space="0"/>
              <w:left w:val="nil"/>
              <w:bottom w:val="single" w:color="000000" w:sz="4" w:space="0"/>
              <w:right w:val="single" w:color="000000" w:sz="4" w:space="0"/>
            </w:tcBorders>
            <w:vAlign w:val="center"/>
          </w:tcPr>
          <w:p w14:paraId="1EB64B4A">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地震法</w:t>
            </w:r>
          </w:p>
        </w:tc>
        <w:tc>
          <w:tcPr>
            <w:tcW w:w="923" w:type="dxa"/>
            <w:tcBorders>
              <w:top w:val="single" w:color="000000" w:sz="4" w:space="0"/>
              <w:left w:val="nil"/>
              <w:bottom w:val="single" w:color="000000" w:sz="4" w:space="0"/>
              <w:right w:val="single" w:color="000000" w:sz="4" w:space="0"/>
            </w:tcBorders>
            <w:vAlign w:val="center"/>
          </w:tcPr>
          <w:p w14:paraId="13EBC04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520F49E8">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C44FF09">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1551A6FC">
            <w:pPr>
              <w:jc w:val="center"/>
              <w:rPr>
                <w:color w:val="000000" w:themeColor="text1"/>
                <w:kern w:val="2"/>
                <w:highlight w:val="none"/>
                <w14:textFill>
                  <w14:solidFill>
                    <w14:schemeClr w14:val="tx1"/>
                  </w14:solidFill>
                </w14:textFill>
              </w:rPr>
            </w:pPr>
          </w:p>
        </w:tc>
      </w:tr>
      <w:tr w14:paraId="13302AB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A4CDBB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-d</w:t>
            </w:r>
          </w:p>
        </w:tc>
        <w:tc>
          <w:tcPr>
            <w:tcW w:w="2125" w:type="dxa"/>
            <w:tcBorders>
              <w:top w:val="single" w:color="000000" w:sz="4" w:space="0"/>
              <w:left w:val="nil"/>
              <w:bottom w:val="single" w:color="000000" w:sz="4" w:space="0"/>
              <w:right w:val="single" w:color="000000" w:sz="4" w:space="0"/>
            </w:tcBorders>
            <w:vAlign w:val="center"/>
          </w:tcPr>
          <w:p w14:paraId="752D911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-声波</w:t>
            </w:r>
          </w:p>
        </w:tc>
        <w:tc>
          <w:tcPr>
            <w:tcW w:w="923" w:type="dxa"/>
            <w:tcBorders>
              <w:top w:val="single" w:color="000000" w:sz="4" w:space="0"/>
              <w:left w:val="nil"/>
              <w:bottom w:val="single" w:color="000000" w:sz="4" w:space="0"/>
              <w:right w:val="single" w:color="000000" w:sz="4" w:space="0"/>
            </w:tcBorders>
            <w:vAlign w:val="center"/>
          </w:tcPr>
          <w:p w14:paraId="2D13B92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2AEE702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3453EF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658859E5">
            <w:pPr>
              <w:jc w:val="center"/>
              <w:rPr>
                <w:color w:val="000000" w:themeColor="text1"/>
                <w:kern w:val="2"/>
                <w:highlight w:val="none"/>
                <w14:textFill>
                  <w14:solidFill>
                    <w14:schemeClr w14:val="tx1"/>
                  </w14:solidFill>
                </w14:textFill>
              </w:rPr>
            </w:pPr>
          </w:p>
        </w:tc>
      </w:tr>
      <w:tr w14:paraId="0189094C">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0664F2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-e</w:t>
            </w:r>
          </w:p>
        </w:tc>
        <w:tc>
          <w:tcPr>
            <w:tcW w:w="2125" w:type="dxa"/>
            <w:tcBorders>
              <w:top w:val="single" w:color="000000" w:sz="4" w:space="0"/>
              <w:left w:val="nil"/>
              <w:bottom w:val="single" w:color="000000" w:sz="4" w:space="0"/>
              <w:right w:val="single" w:color="000000" w:sz="4" w:space="0"/>
            </w:tcBorders>
            <w:vAlign w:val="center"/>
          </w:tcPr>
          <w:p w14:paraId="16CFFBC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-测井</w:t>
            </w:r>
          </w:p>
        </w:tc>
        <w:tc>
          <w:tcPr>
            <w:tcW w:w="923" w:type="dxa"/>
            <w:tcBorders>
              <w:top w:val="single" w:color="000000" w:sz="4" w:space="0"/>
              <w:left w:val="nil"/>
              <w:bottom w:val="single" w:color="000000" w:sz="4" w:space="0"/>
              <w:right w:val="single" w:color="000000" w:sz="4" w:space="0"/>
            </w:tcBorders>
            <w:vAlign w:val="center"/>
          </w:tcPr>
          <w:p w14:paraId="1AB885C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点</w:t>
            </w:r>
          </w:p>
        </w:tc>
        <w:tc>
          <w:tcPr>
            <w:tcW w:w="1389" w:type="dxa"/>
            <w:tcBorders>
              <w:top w:val="single" w:color="000000" w:sz="4" w:space="0"/>
              <w:left w:val="nil"/>
              <w:bottom w:val="single" w:color="000000" w:sz="4" w:space="0"/>
              <w:right w:val="single" w:color="000000" w:sz="4" w:space="0"/>
            </w:tcBorders>
            <w:vAlign w:val="center"/>
          </w:tcPr>
          <w:p w14:paraId="07764C05">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12CE84F7">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FEAE474">
            <w:pPr>
              <w:jc w:val="center"/>
              <w:rPr>
                <w:color w:val="000000" w:themeColor="text1"/>
                <w:kern w:val="2"/>
                <w:highlight w:val="none"/>
                <w14:textFill>
                  <w14:solidFill>
                    <w14:schemeClr w14:val="tx1"/>
                  </w14:solidFill>
                </w14:textFill>
              </w:rPr>
            </w:pPr>
          </w:p>
        </w:tc>
      </w:tr>
      <w:tr w14:paraId="5E0E2FEE">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97BD1A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-f</w:t>
            </w:r>
          </w:p>
        </w:tc>
        <w:tc>
          <w:tcPr>
            <w:tcW w:w="2125" w:type="dxa"/>
            <w:tcBorders>
              <w:top w:val="single" w:color="000000" w:sz="4" w:space="0"/>
              <w:left w:val="nil"/>
              <w:bottom w:val="single" w:color="000000" w:sz="4" w:space="0"/>
              <w:right w:val="single" w:color="000000" w:sz="4" w:space="0"/>
            </w:tcBorders>
            <w:vAlign w:val="center"/>
          </w:tcPr>
          <w:p w14:paraId="7B734CE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测井</w:t>
            </w:r>
          </w:p>
        </w:tc>
        <w:tc>
          <w:tcPr>
            <w:tcW w:w="923" w:type="dxa"/>
            <w:tcBorders>
              <w:top w:val="single" w:color="000000" w:sz="4" w:space="0"/>
              <w:left w:val="nil"/>
              <w:bottom w:val="single" w:color="000000" w:sz="4" w:space="0"/>
              <w:right w:val="single" w:color="000000" w:sz="4" w:space="0"/>
            </w:tcBorders>
            <w:vAlign w:val="center"/>
          </w:tcPr>
          <w:p w14:paraId="3E17D7C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0B3B18D0">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1A294CD">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04B8A71">
            <w:pPr>
              <w:jc w:val="center"/>
              <w:rPr>
                <w:color w:val="000000" w:themeColor="text1"/>
                <w:kern w:val="2"/>
                <w:highlight w:val="none"/>
                <w14:textFill>
                  <w14:solidFill>
                    <w14:schemeClr w14:val="tx1"/>
                  </w14:solidFill>
                </w14:textFill>
              </w:rPr>
            </w:pPr>
          </w:p>
        </w:tc>
      </w:tr>
      <w:tr w14:paraId="4CCDD7FF">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A790BB4">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5F84CCC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3CBF4FDD">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2205ACEA">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5036CA3">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61A42EC0">
            <w:pPr>
              <w:jc w:val="center"/>
              <w:rPr>
                <w:color w:val="000000" w:themeColor="text1"/>
                <w:kern w:val="2"/>
                <w:highlight w:val="none"/>
                <w14:textFill>
                  <w14:solidFill>
                    <w14:schemeClr w14:val="tx1"/>
                  </w14:solidFill>
                </w14:textFill>
              </w:rPr>
            </w:pPr>
          </w:p>
        </w:tc>
      </w:tr>
      <w:tr w14:paraId="217FBFB9">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7E7DB9E">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6</w:t>
            </w:r>
          </w:p>
        </w:tc>
        <w:tc>
          <w:tcPr>
            <w:tcW w:w="2125" w:type="dxa"/>
            <w:tcBorders>
              <w:top w:val="single" w:color="000000" w:sz="4" w:space="0"/>
              <w:left w:val="nil"/>
              <w:bottom w:val="single" w:color="000000" w:sz="4" w:space="0"/>
              <w:right w:val="single" w:color="000000" w:sz="4" w:space="0"/>
            </w:tcBorders>
            <w:vAlign w:val="center"/>
          </w:tcPr>
          <w:p w14:paraId="3C62FD1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初测</w:t>
            </w:r>
          </w:p>
        </w:tc>
        <w:tc>
          <w:tcPr>
            <w:tcW w:w="923" w:type="dxa"/>
            <w:tcBorders>
              <w:top w:val="single" w:color="000000" w:sz="4" w:space="0"/>
              <w:left w:val="nil"/>
              <w:bottom w:val="single" w:color="000000" w:sz="4" w:space="0"/>
              <w:right w:val="single" w:color="000000" w:sz="4" w:space="0"/>
            </w:tcBorders>
            <w:vAlign w:val="center"/>
          </w:tcPr>
          <w:p w14:paraId="61260A4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60427A72">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0106335">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EC7C89C">
            <w:pPr>
              <w:jc w:val="center"/>
              <w:rPr>
                <w:color w:val="000000" w:themeColor="text1"/>
                <w:kern w:val="2"/>
                <w:highlight w:val="none"/>
                <w14:textFill>
                  <w14:solidFill>
                    <w14:schemeClr w14:val="tx1"/>
                  </w14:solidFill>
                </w14:textFill>
              </w:rPr>
            </w:pPr>
          </w:p>
        </w:tc>
      </w:tr>
      <w:tr w14:paraId="17F2B5CB">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1540646">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49AB9F0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5FA3A634">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7196050E">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48E281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568B580">
            <w:pPr>
              <w:jc w:val="center"/>
              <w:rPr>
                <w:color w:val="000000" w:themeColor="text1"/>
                <w:kern w:val="2"/>
                <w:highlight w:val="none"/>
                <w14:textFill>
                  <w14:solidFill>
                    <w14:schemeClr w14:val="tx1"/>
                  </w14:solidFill>
                </w14:textFill>
              </w:rPr>
            </w:pPr>
          </w:p>
        </w:tc>
      </w:tr>
      <w:tr w14:paraId="0EDA03D3">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60CD137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7</w:t>
            </w:r>
          </w:p>
        </w:tc>
        <w:tc>
          <w:tcPr>
            <w:tcW w:w="2125" w:type="dxa"/>
            <w:tcBorders>
              <w:top w:val="single" w:color="000000" w:sz="4" w:space="0"/>
              <w:left w:val="nil"/>
              <w:bottom w:val="single" w:color="000000" w:sz="4" w:space="0"/>
              <w:right w:val="single" w:color="000000" w:sz="4" w:space="0"/>
            </w:tcBorders>
            <w:vAlign w:val="center"/>
          </w:tcPr>
          <w:p w14:paraId="5C1A876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定测</w:t>
            </w:r>
          </w:p>
        </w:tc>
        <w:tc>
          <w:tcPr>
            <w:tcW w:w="923" w:type="dxa"/>
            <w:tcBorders>
              <w:top w:val="single" w:color="000000" w:sz="4" w:space="0"/>
              <w:left w:val="nil"/>
              <w:bottom w:val="single" w:color="000000" w:sz="4" w:space="0"/>
              <w:right w:val="single" w:color="000000" w:sz="4" w:space="0"/>
            </w:tcBorders>
            <w:vAlign w:val="center"/>
          </w:tcPr>
          <w:p w14:paraId="129AE49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7FB2D01B">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DBA82A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F077C3E">
            <w:pPr>
              <w:jc w:val="center"/>
              <w:rPr>
                <w:color w:val="000000" w:themeColor="text1"/>
                <w:kern w:val="2"/>
                <w:highlight w:val="none"/>
                <w14:textFill>
                  <w14:solidFill>
                    <w14:schemeClr w14:val="tx1"/>
                  </w14:solidFill>
                </w14:textFill>
              </w:rPr>
            </w:pPr>
          </w:p>
        </w:tc>
      </w:tr>
      <w:tr w14:paraId="6D7DDCC9">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6FFB6FDF">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5E78CA4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2C98AA57">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FE180CF">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8C54060">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3A26B24">
            <w:pPr>
              <w:jc w:val="center"/>
              <w:rPr>
                <w:color w:val="000000" w:themeColor="text1"/>
                <w:kern w:val="2"/>
                <w:highlight w:val="none"/>
                <w14:textFill>
                  <w14:solidFill>
                    <w14:schemeClr w14:val="tx1"/>
                  </w14:solidFill>
                </w14:textFill>
              </w:rPr>
            </w:pPr>
          </w:p>
        </w:tc>
      </w:tr>
      <w:tr w14:paraId="0C1D3A38">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57981B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8</w:t>
            </w:r>
          </w:p>
        </w:tc>
        <w:tc>
          <w:tcPr>
            <w:tcW w:w="2125" w:type="dxa"/>
            <w:tcBorders>
              <w:top w:val="single" w:color="000000" w:sz="4" w:space="0"/>
              <w:left w:val="nil"/>
              <w:bottom w:val="single" w:color="000000" w:sz="4" w:space="0"/>
              <w:right w:val="single" w:color="000000" w:sz="4" w:space="0"/>
            </w:tcBorders>
            <w:vAlign w:val="center"/>
          </w:tcPr>
          <w:p w14:paraId="7AE84BD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一次定测(如有)</w:t>
            </w:r>
          </w:p>
        </w:tc>
        <w:tc>
          <w:tcPr>
            <w:tcW w:w="923" w:type="dxa"/>
            <w:tcBorders>
              <w:top w:val="single" w:color="000000" w:sz="4" w:space="0"/>
              <w:left w:val="nil"/>
              <w:bottom w:val="single" w:color="000000" w:sz="4" w:space="0"/>
              <w:right w:val="single" w:color="000000" w:sz="4" w:space="0"/>
            </w:tcBorders>
            <w:vAlign w:val="center"/>
          </w:tcPr>
          <w:p w14:paraId="2F68BEB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73CFCBA7">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CF86DD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12FBF9EA">
            <w:pPr>
              <w:jc w:val="center"/>
              <w:rPr>
                <w:color w:val="000000" w:themeColor="text1"/>
                <w:kern w:val="2"/>
                <w:highlight w:val="none"/>
                <w14:textFill>
                  <w14:solidFill>
                    <w14:schemeClr w14:val="tx1"/>
                  </w14:solidFill>
                </w14:textFill>
              </w:rPr>
            </w:pPr>
          </w:p>
        </w:tc>
      </w:tr>
      <w:tr w14:paraId="7759F233">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FBBE883">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3504DEE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4EB73E87">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39162BA1">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B46B9BA">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57A0E9A">
            <w:pPr>
              <w:jc w:val="center"/>
              <w:rPr>
                <w:color w:val="000000" w:themeColor="text1"/>
                <w:kern w:val="2"/>
                <w:highlight w:val="none"/>
                <w14:textFill>
                  <w14:solidFill>
                    <w14:schemeClr w14:val="tx1"/>
                  </w14:solidFill>
                </w14:textFill>
              </w:rPr>
            </w:pPr>
          </w:p>
        </w:tc>
      </w:tr>
      <w:tr w14:paraId="3A67A40C">
        <w:tblPrEx>
          <w:tblCellMar>
            <w:top w:w="0" w:type="dxa"/>
            <w:left w:w="0" w:type="dxa"/>
            <w:bottom w:w="0" w:type="dxa"/>
            <w:right w:w="0" w:type="dxa"/>
          </w:tblCellMar>
        </w:tblPrEx>
        <w:trPr>
          <w:trHeight w:val="449" w:hRule="atLeast"/>
          <w:jc w:val="center"/>
        </w:trPr>
        <w:tc>
          <w:tcPr>
            <w:tcW w:w="6936" w:type="dxa"/>
            <w:gridSpan w:val="5"/>
            <w:tcBorders>
              <w:top w:val="single" w:color="000000" w:sz="4" w:space="0"/>
              <w:left w:val="single" w:color="000000" w:sz="4" w:space="0"/>
              <w:bottom w:val="single" w:color="000000" w:sz="4" w:space="0"/>
              <w:right w:val="single" w:color="000000" w:sz="4" w:space="0"/>
            </w:tcBorders>
            <w:vAlign w:val="center"/>
          </w:tcPr>
          <w:p w14:paraId="6F44570E">
            <w:pPr>
              <w:jc w:val="center"/>
              <w:rPr>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合计</w:t>
            </w:r>
          </w:p>
        </w:tc>
        <w:tc>
          <w:tcPr>
            <w:tcW w:w="1386" w:type="dxa"/>
            <w:tcBorders>
              <w:top w:val="single" w:color="000000" w:sz="4" w:space="0"/>
              <w:left w:val="nil"/>
              <w:bottom w:val="single" w:color="000000" w:sz="4" w:space="0"/>
              <w:right w:val="single" w:color="000000" w:sz="4" w:space="0"/>
            </w:tcBorders>
            <w:vAlign w:val="center"/>
          </w:tcPr>
          <w:p w14:paraId="506B7CF3">
            <w:pPr>
              <w:jc w:val="center"/>
              <w:rPr>
                <w:color w:val="000000" w:themeColor="text1"/>
                <w:kern w:val="2"/>
                <w:highlight w:val="none"/>
                <w14:textFill>
                  <w14:solidFill>
                    <w14:schemeClr w14:val="tx1"/>
                  </w14:solidFill>
                </w14:textFill>
              </w:rPr>
            </w:pPr>
          </w:p>
        </w:tc>
      </w:tr>
    </w:tbl>
    <w:p w14:paraId="50C8151E">
      <w:pPr>
        <w:rPr>
          <w:rFonts w:cs="Times New Roman"/>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w:t>
      </w:r>
    </w:p>
    <w:p w14:paraId="2D4757E9">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注：本清单格式仅为示例，投标人应根据本招标项目工程特点、按照《公路工程地质勘察规范》、《公路勘测规范》、《公路勘测细则》及合同条款的相关规定，核实勘测工作内容及工作量，分别列出并填写本表各勘测项目的分项及子项。同时，投标人应将详细的计算说明（包括每一分项、子项的计算依据及计算过程等）附在报价文件后面。</w:t>
      </w:r>
    </w:p>
    <w:p w14:paraId="43AE6995">
      <w:pPr>
        <w:spacing w:line="360" w:lineRule="auto"/>
        <w:jc w:val="center"/>
        <w:rPr>
          <w:color w:val="000000" w:themeColor="text1"/>
          <w:highlight w:val="none"/>
          <w:lang w:eastAsia="zh-CN"/>
          <w14:textFill>
            <w14:solidFill>
              <w14:schemeClr w14:val="tx1"/>
            </w14:solidFill>
          </w14:textFill>
        </w:rPr>
      </w:pPr>
      <w:r>
        <w:rPr>
          <w:b/>
          <w:bCs/>
          <w:color w:val="000000" w:themeColor="text1"/>
          <w:sz w:val="28"/>
          <w:szCs w:val="28"/>
          <w:highlight w:val="none"/>
          <w:lang w:eastAsia="zh-CN"/>
          <w14:textFill>
            <w14:solidFill>
              <w14:schemeClr w14:val="tx1"/>
            </w14:solidFill>
          </w14:textFill>
        </w:rPr>
        <w:br w:type="page"/>
      </w:r>
    </w:p>
    <w:p w14:paraId="672FC754">
      <w:pPr>
        <w:jc w:val="center"/>
        <w:outlineLvl w:val="9"/>
        <w:rPr>
          <w:b/>
          <w:color w:val="000000" w:themeColor="text1"/>
          <w:spacing w:val="-3"/>
          <w:sz w:val="28"/>
          <w:szCs w:val="28"/>
          <w:highlight w:val="none"/>
          <w:lang w:eastAsia="zh-CN"/>
          <w14:textFill>
            <w14:solidFill>
              <w14:schemeClr w14:val="tx1"/>
            </w14:solidFill>
          </w14:textFill>
        </w:rPr>
      </w:pPr>
      <w:r>
        <w:rPr>
          <w:rFonts w:hint="eastAsia"/>
          <w:b/>
          <w:color w:val="000000" w:themeColor="text1"/>
          <w:spacing w:val="-3"/>
          <w:sz w:val="28"/>
          <w:szCs w:val="28"/>
          <w:highlight w:val="none"/>
          <w:lang w:eastAsia="zh-CN"/>
          <w14:textFill>
            <w14:solidFill>
              <w14:schemeClr w14:val="tx1"/>
            </w14:solidFill>
          </w14:textFill>
        </w:rPr>
        <w:t>（三）公路工程设计工作报价清单表</w:t>
      </w:r>
    </w:p>
    <w:p w14:paraId="37E7392F">
      <w:pPr>
        <w:rPr>
          <w:color w:val="000000" w:themeColor="text1"/>
          <w:sz w:val="24"/>
          <w:szCs w:val="24"/>
          <w:highlight w:val="none"/>
          <w14:textFill>
            <w14:solidFill>
              <w14:schemeClr w14:val="tx1"/>
            </w14:solidFill>
          </w14:textFill>
        </w:rPr>
      </w:pPr>
      <w:r>
        <w:rPr>
          <w:rFonts w:hint="eastAsia"/>
          <w:bCs/>
          <w:color w:val="000000" w:themeColor="text1"/>
          <w:highlight w:val="none"/>
          <w:lang w:eastAsia="zh-CN"/>
          <w14:textFill>
            <w14:solidFill>
              <w14:schemeClr w14:val="tx1"/>
            </w14:solidFill>
          </w14:textFill>
        </w:rPr>
        <w:t xml:space="preserve">                                                   </w:t>
      </w:r>
      <w:r>
        <w:rPr>
          <w:rFonts w:hint="eastAsia"/>
          <w:bCs/>
          <w:color w:val="000000" w:themeColor="text1"/>
          <w:highlight w:val="none"/>
          <w14:textFill>
            <w14:solidFill>
              <w14:schemeClr w14:val="tx1"/>
            </w14:solidFill>
          </w14:textFill>
        </w:rPr>
        <w:t>单位：元（人民币）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2392"/>
        <w:gridCol w:w="1614"/>
        <w:gridCol w:w="1271"/>
        <w:gridCol w:w="1262"/>
        <w:gridCol w:w="1223"/>
      </w:tblGrid>
      <w:tr w14:paraId="08DA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0752CFE">
            <w:pPr>
              <w:jc w:val="center"/>
              <w:rPr>
                <w:rFonts w:ascii="Times New Roman" w:hAnsi="Times New Roman"/>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序</w:t>
            </w:r>
            <w:r>
              <w:rPr>
                <w:b/>
                <w:color w:val="000000" w:themeColor="text1"/>
                <w:kern w:val="2"/>
                <w:highlight w:val="none"/>
                <w14:textFill>
                  <w14:solidFill>
                    <w14:schemeClr w14:val="tx1"/>
                  </w14:solidFill>
                </w14:textFill>
              </w:rPr>
              <w:t>号</w:t>
            </w:r>
          </w:p>
        </w:tc>
        <w:tc>
          <w:tcPr>
            <w:tcW w:w="2392" w:type="dxa"/>
            <w:tcBorders>
              <w:top w:val="single" w:color="auto" w:sz="4" w:space="0"/>
              <w:left w:val="single" w:color="auto" w:sz="4" w:space="0"/>
              <w:bottom w:val="single" w:color="auto" w:sz="4" w:space="0"/>
              <w:right w:val="single" w:color="auto" w:sz="4" w:space="0"/>
            </w:tcBorders>
            <w:vAlign w:val="center"/>
          </w:tcPr>
          <w:p w14:paraId="59311DB6">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项目</w:t>
            </w:r>
            <w:r>
              <w:rPr>
                <w:rFonts w:hint="eastAsia"/>
                <w:b/>
                <w:color w:val="000000" w:themeColor="text1"/>
                <w:kern w:val="2"/>
                <w:highlight w:val="none"/>
                <w14:textFill>
                  <w14:solidFill>
                    <w14:schemeClr w14:val="tx1"/>
                  </w14:solidFill>
                </w14:textFill>
              </w:rPr>
              <w:t>名称</w:t>
            </w:r>
          </w:p>
        </w:tc>
        <w:tc>
          <w:tcPr>
            <w:tcW w:w="1614" w:type="dxa"/>
            <w:tcBorders>
              <w:top w:val="single" w:color="auto" w:sz="4" w:space="0"/>
              <w:left w:val="single" w:color="auto" w:sz="4" w:space="0"/>
              <w:bottom w:val="single" w:color="auto" w:sz="4" w:space="0"/>
              <w:right w:val="single" w:color="auto" w:sz="4" w:space="0"/>
            </w:tcBorders>
            <w:vAlign w:val="center"/>
          </w:tcPr>
          <w:p w14:paraId="7DCC4EE5">
            <w:pPr>
              <w:jc w:val="center"/>
              <w:rPr>
                <w:rFonts w:ascii="Times New Roman" w:hAnsi="Times New Roman"/>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计量单位</w:t>
            </w:r>
          </w:p>
        </w:tc>
        <w:tc>
          <w:tcPr>
            <w:tcW w:w="1271" w:type="dxa"/>
            <w:tcBorders>
              <w:top w:val="single" w:color="auto" w:sz="4" w:space="0"/>
              <w:left w:val="single" w:color="auto" w:sz="4" w:space="0"/>
              <w:bottom w:val="single" w:color="auto" w:sz="4" w:space="0"/>
              <w:right w:val="single" w:color="auto" w:sz="4" w:space="0"/>
            </w:tcBorders>
            <w:vAlign w:val="center"/>
          </w:tcPr>
          <w:p w14:paraId="1E2BBB25">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实物工作量</w:t>
            </w:r>
          </w:p>
        </w:tc>
        <w:tc>
          <w:tcPr>
            <w:tcW w:w="1262" w:type="dxa"/>
            <w:tcBorders>
              <w:top w:val="single" w:color="auto" w:sz="4" w:space="0"/>
              <w:left w:val="single" w:color="auto" w:sz="4" w:space="0"/>
              <w:bottom w:val="single" w:color="auto" w:sz="4" w:space="0"/>
              <w:right w:val="single" w:color="auto" w:sz="4" w:space="0"/>
            </w:tcBorders>
            <w:vAlign w:val="center"/>
          </w:tcPr>
          <w:p w14:paraId="50C44095">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单价金额</w:t>
            </w:r>
          </w:p>
        </w:tc>
        <w:tc>
          <w:tcPr>
            <w:tcW w:w="1223" w:type="dxa"/>
            <w:tcBorders>
              <w:top w:val="single" w:color="auto" w:sz="4" w:space="0"/>
              <w:left w:val="single" w:color="auto" w:sz="4" w:space="0"/>
              <w:bottom w:val="single" w:color="auto" w:sz="4" w:space="0"/>
              <w:right w:val="single" w:color="auto" w:sz="4" w:space="0"/>
            </w:tcBorders>
            <w:vAlign w:val="center"/>
          </w:tcPr>
          <w:p w14:paraId="7D22B72B">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合价金额</w:t>
            </w:r>
          </w:p>
        </w:tc>
      </w:tr>
      <w:tr w14:paraId="203A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3E0296B">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一</w:t>
            </w:r>
          </w:p>
        </w:tc>
        <w:tc>
          <w:tcPr>
            <w:tcW w:w="2392" w:type="dxa"/>
            <w:tcBorders>
              <w:top w:val="single" w:color="auto" w:sz="4" w:space="0"/>
              <w:left w:val="single" w:color="auto" w:sz="4" w:space="0"/>
              <w:bottom w:val="single" w:color="auto" w:sz="4" w:space="0"/>
              <w:right w:val="single" w:color="auto" w:sz="4" w:space="0"/>
            </w:tcBorders>
            <w:vAlign w:val="center"/>
          </w:tcPr>
          <w:p w14:paraId="4F61BD96">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初步设计</w:t>
            </w:r>
          </w:p>
        </w:tc>
        <w:tc>
          <w:tcPr>
            <w:tcW w:w="1614" w:type="dxa"/>
            <w:tcBorders>
              <w:top w:val="single" w:color="auto" w:sz="4" w:space="0"/>
              <w:left w:val="single" w:color="auto" w:sz="4" w:space="0"/>
              <w:bottom w:val="single" w:color="auto" w:sz="4" w:space="0"/>
              <w:right w:val="single" w:color="auto" w:sz="4" w:space="0"/>
            </w:tcBorders>
            <w:vAlign w:val="center"/>
          </w:tcPr>
          <w:p w14:paraId="279EEBC1">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3C81BE86">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351F7C6A">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32926622">
            <w:pPr>
              <w:jc w:val="center"/>
              <w:rPr>
                <w:color w:val="000000" w:themeColor="text1"/>
                <w:kern w:val="2"/>
                <w:highlight w:val="none"/>
                <w14:textFill>
                  <w14:solidFill>
                    <w14:schemeClr w14:val="tx1"/>
                  </w14:solidFill>
                </w14:textFill>
              </w:rPr>
            </w:pPr>
          </w:p>
        </w:tc>
      </w:tr>
      <w:tr w14:paraId="2455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7D92020">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1D95EE65">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公路</w:t>
            </w:r>
          </w:p>
        </w:tc>
        <w:tc>
          <w:tcPr>
            <w:tcW w:w="1614" w:type="dxa"/>
            <w:tcBorders>
              <w:top w:val="single" w:color="auto" w:sz="4" w:space="0"/>
              <w:left w:val="single" w:color="auto" w:sz="4" w:space="0"/>
              <w:bottom w:val="single" w:color="auto" w:sz="4" w:space="0"/>
              <w:right w:val="single" w:color="auto" w:sz="4" w:space="0"/>
            </w:tcBorders>
            <w:vAlign w:val="center"/>
          </w:tcPr>
          <w:p w14:paraId="4B7A0E16">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DA15684">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1E39F10">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0AAB049">
            <w:pPr>
              <w:jc w:val="center"/>
              <w:rPr>
                <w:color w:val="000000" w:themeColor="text1"/>
                <w:kern w:val="2"/>
                <w:highlight w:val="none"/>
                <w14:textFill>
                  <w14:solidFill>
                    <w14:schemeClr w14:val="tx1"/>
                  </w14:solidFill>
                </w14:textFill>
              </w:rPr>
            </w:pPr>
          </w:p>
        </w:tc>
      </w:tr>
      <w:tr w14:paraId="0314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D63423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712C064F">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single" w:color="auto" w:sz="4" w:space="0"/>
              <w:bottom w:val="single" w:color="auto" w:sz="4" w:space="0"/>
              <w:right w:val="single" w:color="auto" w:sz="4" w:space="0"/>
            </w:tcBorders>
            <w:vAlign w:val="center"/>
          </w:tcPr>
          <w:p w14:paraId="3DEC25E3">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0BC0F58D">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C07E554">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4AE5F588">
            <w:pPr>
              <w:jc w:val="center"/>
              <w:rPr>
                <w:color w:val="000000" w:themeColor="text1"/>
                <w:kern w:val="2"/>
                <w:highlight w:val="none"/>
                <w14:textFill>
                  <w14:solidFill>
                    <w14:schemeClr w14:val="tx1"/>
                  </w14:solidFill>
                </w14:textFill>
              </w:rPr>
            </w:pPr>
          </w:p>
        </w:tc>
      </w:tr>
      <w:tr w14:paraId="763C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DE7677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55F6A35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single" w:color="auto" w:sz="4" w:space="0"/>
              <w:bottom w:val="single" w:color="auto" w:sz="4" w:space="0"/>
              <w:right w:val="single" w:color="auto" w:sz="4" w:space="0"/>
            </w:tcBorders>
            <w:vAlign w:val="center"/>
          </w:tcPr>
          <w:p w14:paraId="22B591F0">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0F97B986">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39F4E41">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5C535AB">
            <w:pPr>
              <w:jc w:val="center"/>
              <w:rPr>
                <w:color w:val="000000" w:themeColor="text1"/>
                <w:kern w:val="2"/>
                <w:highlight w:val="none"/>
                <w14:textFill>
                  <w14:solidFill>
                    <w14:schemeClr w14:val="tx1"/>
                  </w14:solidFill>
                </w14:textFill>
              </w:rPr>
            </w:pPr>
          </w:p>
        </w:tc>
      </w:tr>
      <w:tr w14:paraId="189E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5FE59B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12578DB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single" w:color="auto" w:sz="4" w:space="0"/>
              <w:bottom w:val="single" w:color="auto" w:sz="4" w:space="0"/>
              <w:right w:val="single" w:color="auto" w:sz="4" w:space="0"/>
            </w:tcBorders>
            <w:vAlign w:val="center"/>
          </w:tcPr>
          <w:p w14:paraId="3433C66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715C86BC">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840097">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686EFD6E">
            <w:pPr>
              <w:jc w:val="center"/>
              <w:rPr>
                <w:color w:val="000000" w:themeColor="text1"/>
                <w:kern w:val="2"/>
                <w:highlight w:val="none"/>
                <w14:textFill>
                  <w14:solidFill>
                    <w14:schemeClr w14:val="tx1"/>
                  </w14:solidFill>
                </w14:textFill>
              </w:rPr>
            </w:pPr>
          </w:p>
        </w:tc>
      </w:tr>
      <w:tr w14:paraId="7410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BF8EFD4">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099BE9F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129498ED">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F06BC0D">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EDC9A60">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3B56BBA">
            <w:pPr>
              <w:jc w:val="center"/>
              <w:rPr>
                <w:color w:val="000000" w:themeColor="text1"/>
                <w:kern w:val="2"/>
                <w:highlight w:val="none"/>
                <w14:textFill>
                  <w14:solidFill>
                    <w14:schemeClr w14:val="tx1"/>
                  </w14:solidFill>
                </w14:textFill>
              </w:rPr>
            </w:pPr>
          </w:p>
        </w:tc>
      </w:tr>
      <w:tr w14:paraId="6BB7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33556013">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0CDA8922">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桥梁</w:t>
            </w:r>
          </w:p>
        </w:tc>
        <w:tc>
          <w:tcPr>
            <w:tcW w:w="1614" w:type="dxa"/>
            <w:tcBorders>
              <w:top w:val="single" w:color="auto" w:sz="4" w:space="0"/>
              <w:left w:val="single" w:color="auto" w:sz="4" w:space="0"/>
              <w:bottom w:val="single" w:color="auto" w:sz="4" w:space="0"/>
              <w:right w:val="single" w:color="auto" w:sz="4" w:space="0"/>
            </w:tcBorders>
            <w:vAlign w:val="center"/>
          </w:tcPr>
          <w:p w14:paraId="588FE94C">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334BF205">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7E859FA">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6B305FE2">
            <w:pPr>
              <w:jc w:val="center"/>
              <w:rPr>
                <w:color w:val="000000" w:themeColor="text1"/>
                <w:kern w:val="2"/>
                <w:highlight w:val="none"/>
                <w14:textFill>
                  <w14:solidFill>
                    <w14:schemeClr w14:val="tx1"/>
                  </w14:solidFill>
                </w14:textFill>
              </w:rPr>
            </w:pPr>
          </w:p>
        </w:tc>
      </w:tr>
      <w:tr w14:paraId="5B1C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DC5B278">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5730E72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single" w:color="auto" w:sz="4" w:space="0"/>
              <w:bottom w:val="single" w:color="auto" w:sz="4" w:space="0"/>
              <w:right w:val="single" w:color="auto" w:sz="4" w:space="0"/>
            </w:tcBorders>
            <w:vAlign w:val="center"/>
          </w:tcPr>
          <w:p w14:paraId="5460CFB6">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5B209FD2">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E0EBD92">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4C6D271A">
            <w:pPr>
              <w:jc w:val="center"/>
              <w:rPr>
                <w:color w:val="000000" w:themeColor="text1"/>
                <w:kern w:val="2"/>
                <w:highlight w:val="none"/>
                <w14:textFill>
                  <w14:solidFill>
                    <w14:schemeClr w14:val="tx1"/>
                  </w14:solidFill>
                </w14:textFill>
              </w:rPr>
            </w:pPr>
          </w:p>
        </w:tc>
      </w:tr>
      <w:tr w14:paraId="0D45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CC8080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0AF46C4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single" w:color="auto" w:sz="4" w:space="0"/>
              <w:bottom w:val="single" w:color="auto" w:sz="4" w:space="0"/>
              <w:right w:val="single" w:color="auto" w:sz="4" w:space="0"/>
            </w:tcBorders>
            <w:vAlign w:val="center"/>
          </w:tcPr>
          <w:p w14:paraId="2A752DF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52E61C57">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F50FBB7">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059C95D5">
            <w:pPr>
              <w:jc w:val="center"/>
              <w:rPr>
                <w:color w:val="000000" w:themeColor="text1"/>
                <w:kern w:val="2"/>
                <w:highlight w:val="none"/>
                <w14:textFill>
                  <w14:solidFill>
                    <w14:schemeClr w14:val="tx1"/>
                  </w14:solidFill>
                </w14:textFill>
              </w:rPr>
            </w:pPr>
          </w:p>
        </w:tc>
      </w:tr>
      <w:tr w14:paraId="0B7F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9B1B759">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3C1C503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single" w:color="auto" w:sz="4" w:space="0"/>
              <w:bottom w:val="single" w:color="auto" w:sz="4" w:space="0"/>
              <w:right w:val="single" w:color="auto" w:sz="4" w:space="0"/>
            </w:tcBorders>
            <w:vAlign w:val="center"/>
          </w:tcPr>
          <w:p w14:paraId="0D163A01">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43F6EF4">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E7757F5">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149163A">
            <w:pPr>
              <w:jc w:val="center"/>
              <w:rPr>
                <w:color w:val="000000" w:themeColor="text1"/>
                <w:kern w:val="2"/>
                <w:highlight w:val="none"/>
                <w14:textFill>
                  <w14:solidFill>
                    <w14:schemeClr w14:val="tx1"/>
                  </w14:solidFill>
                </w14:textFill>
              </w:rPr>
            </w:pPr>
          </w:p>
        </w:tc>
      </w:tr>
      <w:tr w14:paraId="00F6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7F2846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-a</w:t>
            </w:r>
          </w:p>
        </w:tc>
        <w:tc>
          <w:tcPr>
            <w:tcW w:w="2392" w:type="dxa"/>
            <w:tcBorders>
              <w:top w:val="single" w:color="auto" w:sz="4" w:space="0"/>
              <w:left w:val="single" w:color="auto" w:sz="4" w:space="0"/>
              <w:bottom w:val="single" w:color="auto" w:sz="4" w:space="0"/>
              <w:right w:val="single" w:color="auto" w:sz="4" w:space="0"/>
            </w:tcBorders>
            <w:vAlign w:val="center"/>
          </w:tcPr>
          <w:p w14:paraId="77D4287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河槽内桥梁</w:t>
            </w:r>
          </w:p>
        </w:tc>
        <w:tc>
          <w:tcPr>
            <w:tcW w:w="1614" w:type="dxa"/>
            <w:tcBorders>
              <w:top w:val="single" w:color="auto" w:sz="4" w:space="0"/>
              <w:left w:val="single" w:color="auto" w:sz="4" w:space="0"/>
              <w:bottom w:val="single" w:color="auto" w:sz="4" w:space="0"/>
              <w:right w:val="single" w:color="auto" w:sz="4" w:space="0"/>
            </w:tcBorders>
            <w:vAlign w:val="center"/>
          </w:tcPr>
          <w:p w14:paraId="6434B52A">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04C64B9">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4F79735">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70E67CB">
            <w:pPr>
              <w:jc w:val="center"/>
              <w:rPr>
                <w:color w:val="000000" w:themeColor="text1"/>
                <w:kern w:val="2"/>
                <w:highlight w:val="none"/>
                <w14:textFill>
                  <w14:solidFill>
                    <w14:schemeClr w14:val="tx1"/>
                  </w14:solidFill>
                </w14:textFill>
              </w:rPr>
            </w:pPr>
          </w:p>
        </w:tc>
      </w:tr>
      <w:tr w14:paraId="0A39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733D2D7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-b</w:t>
            </w:r>
          </w:p>
        </w:tc>
        <w:tc>
          <w:tcPr>
            <w:tcW w:w="2392" w:type="dxa"/>
            <w:tcBorders>
              <w:top w:val="single" w:color="auto" w:sz="4" w:space="0"/>
              <w:left w:val="single" w:color="auto" w:sz="4" w:space="0"/>
              <w:bottom w:val="single" w:color="auto" w:sz="4" w:space="0"/>
              <w:right w:val="single" w:color="auto" w:sz="4" w:space="0"/>
            </w:tcBorders>
            <w:vAlign w:val="center"/>
          </w:tcPr>
          <w:p w14:paraId="7D64CA2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河滩内桥梁</w:t>
            </w:r>
          </w:p>
        </w:tc>
        <w:tc>
          <w:tcPr>
            <w:tcW w:w="1614" w:type="dxa"/>
            <w:tcBorders>
              <w:top w:val="single" w:color="auto" w:sz="4" w:space="0"/>
              <w:left w:val="single" w:color="auto" w:sz="4" w:space="0"/>
              <w:bottom w:val="single" w:color="auto" w:sz="4" w:space="0"/>
              <w:right w:val="single" w:color="auto" w:sz="4" w:space="0"/>
            </w:tcBorders>
            <w:vAlign w:val="center"/>
          </w:tcPr>
          <w:p w14:paraId="6CA02279">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0AD86DC9">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68E91CC">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133562BC">
            <w:pPr>
              <w:jc w:val="center"/>
              <w:rPr>
                <w:color w:val="000000" w:themeColor="text1"/>
                <w:kern w:val="2"/>
                <w:highlight w:val="none"/>
                <w14:textFill>
                  <w14:solidFill>
                    <w14:schemeClr w14:val="tx1"/>
                  </w14:solidFill>
                </w14:textFill>
              </w:rPr>
            </w:pPr>
          </w:p>
        </w:tc>
      </w:tr>
      <w:tr w14:paraId="5DBC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C88E757">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0ED9905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66CE1543">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4819ACAC">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BF39ECC">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9E73A02">
            <w:pPr>
              <w:jc w:val="center"/>
              <w:rPr>
                <w:color w:val="000000" w:themeColor="text1"/>
                <w:kern w:val="2"/>
                <w:highlight w:val="none"/>
                <w14:textFill>
                  <w14:solidFill>
                    <w14:schemeClr w14:val="tx1"/>
                  </w14:solidFill>
                </w14:textFill>
              </w:rPr>
            </w:pPr>
          </w:p>
        </w:tc>
      </w:tr>
      <w:tr w14:paraId="4585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CBAA601">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1102809D">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隧道</w:t>
            </w:r>
          </w:p>
        </w:tc>
        <w:tc>
          <w:tcPr>
            <w:tcW w:w="1614" w:type="dxa"/>
            <w:tcBorders>
              <w:top w:val="single" w:color="auto" w:sz="4" w:space="0"/>
              <w:left w:val="single" w:color="auto" w:sz="4" w:space="0"/>
              <w:bottom w:val="single" w:color="auto" w:sz="4" w:space="0"/>
              <w:right w:val="single" w:color="auto" w:sz="4" w:space="0"/>
            </w:tcBorders>
            <w:vAlign w:val="center"/>
          </w:tcPr>
          <w:p w14:paraId="3F162A2A">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43730D76">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184A650">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4F38162">
            <w:pPr>
              <w:jc w:val="center"/>
              <w:rPr>
                <w:color w:val="000000" w:themeColor="text1"/>
                <w:kern w:val="2"/>
                <w:highlight w:val="none"/>
                <w14:textFill>
                  <w14:solidFill>
                    <w14:schemeClr w14:val="tx1"/>
                  </w14:solidFill>
                </w14:textFill>
              </w:rPr>
            </w:pPr>
          </w:p>
        </w:tc>
      </w:tr>
      <w:tr w14:paraId="29BC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FCA76E6">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2EAD855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single" w:color="auto" w:sz="4" w:space="0"/>
              <w:bottom w:val="single" w:color="auto" w:sz="4" w:space="0"/>
              <w:right w:val="single" w:color="auto" w:sz="4" w:space="0"/>
            </w:tcBorders>
            <w:vAlign w:val="center"/>
          </w:tcPr>
          <w:p w14:paraId="73082C4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1566C3E">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CB9675D">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02960C90">
            <w:pPr>
              <w:jc w:val="center"/>
              <w:rPr>
                <w:color w:val="000000" w:themeColor="text1"/>
                <w:kern w:val="2"/>
                <w:highlight w:val="none"/>
                <w14:textFill>
                  <w14:solidFill>
                    <w14:schemeClr w14:val="tx1"/>
                  </w14:solidFill>
                </w14:textFill>
              </w:rPr>
            </w:pPr>
          </w:p>
        </w:tc>
      </w:tr>
      <w:tr w14:paraId="5DD8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C48F62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61B41AB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single" w:color="auto" w:sz="4" w:space="0"/>
              <w:bottom w:val="single" w:color="auto" w:sz="4" w:space="0"/>
              <w:right w:val="single" w:color="auto" w:sz="4" w:space="0"/>
            </w:tcBorders>
            <w:vAlign w:val="center"/>
          </w:tcPr>
          <w:p w14:paraId="0F24E363">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0D607B8">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0582E69">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0B7E685F">
            <w:pPr>
              <w:jc w:val="center"/>
              <w:rPr>
                <w:color w:val="000000" w:themeColor="text1"/>
                <w:kern w:val="2"/>
                <w:highlight w:val="none"/>
                <w14:textFill>
                  <w14:solidFill>
                    <w14:schemeClr w14:val="tx1"/>
                  </w14:solidFill>
                </w14:textFill>
              </w:rPr>
            </w:pPr>
          </w:p>
        </w:tc>
      </w:tr>
      <w:tr w14:paraId="31E5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3C70158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3721666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single" w:color="auto" w:sz="4" w:space="0"/>
              <w:bottom w:val="single" w:color="auto" w:sz="4" w:space="0"/>
              <w:right w:val="single" w:color="auto" w:sz="4" w:space="0"/>
            </w:tcBorders>
            <w:vAlign w:val="center"/>
          </w:tcPr>
          <w:p w14:paraId="31E9D68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FBBF341">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38E381A4">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46E4D15">
            <w:pPr>
              <w:jc w:val="center"/>
              <w:rPr>
                <w:color w:val="000000" w:themeColor="text1"/>
                <w:kern w:val="2"/>
                <w:highlight w:val="none"/>
                <w14:textFill>
                  <w14:solidFill>
                    <w14:schemeClr w14:val="tx1"/>
                  </w14:solidFill>
                </w14:textFill>
              </w:rPr>
            </w:pPr>
          </w:p>
        </w:tc>
      </w:tr>
      <w:tr w14:paraId="35F1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6CC1B2F">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11347EC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12FB4645">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0CD35D6">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DEFCE89">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3E8B570A">
            <w:pPr>
              <w:jc w:val="center"/>
              <w:rPr>
                <w:color w:val="000000" w:themeColor="text1"/>
                <w:kern w:val="2"/>
                <w:highlight w:val="none"/>
                <w14:textFill>
                  <w14:solidFill>
                    <w14:schemeClr w14:val="tx1"/>
                  </w14:solidFill>
                </w14:textFill>
              </w:rPr>
            </w:pPr>
          </w:p>
        </w:tc>
      </w:tr>
      <w:tr w14:paraId="65A1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F413739">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4</w:t>
            </w:r>
          </w:p>
        </w:tc>
        <w:tc>
          <w:tcPr>
            <w:tcW w:w="2392" w:type="dxa"/>
            <w:tcBorders>
              <w:top w:val="single" w:color="auto" w:sz="4" w:space="0"/>
              <w:left w:val="single" w:color="auto" w:sz="4" w:space="0"/>
              <w:bottom w:val="single" w:color="auto" w:sz="4" w:space="0"/>
              <w:right w:val="single" w:color="auto" w:sz="4" w:space="0"/>
            </w:tcBorders>
            <w:vAlign w:val="center"/>
          </w:tcPr>
          <w:p w14:paraId="162CF1D2">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立体交叉</w:t>
            </w:r>
          </w:p>
        </w:tc>
        <w:tc>
          <w:tcPr>
            <w:tcW w:w="1614" w:type="dxa"/>
            <w:tcBorders>
              <w:top w:val="single" w:color="auto" w:sz="4" w:space="0"/>
              <w:left w:val="single" w:color="auto" w:sz="4" w:space="0"/>
              <w:bottom w:val="single" w:color="auto" w:sz="4" w:space="0"/>
              <w:right w:val="single" w:color="auto" w:sz="4" w:space="0"/>
            </w:tcBorders>
            <w:vAlign w:val="center"/>
          </w:tcPr>
          <w:p w14:paraId="2FE73D72">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392FCC35">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B049EB">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193E0550">
            <w:pPr>
              <w:jc w:val="center"/>
              <w:rPr>
                <w:color w:val="000000" w:themeColor="text1"/>
                <w:kern w:val="2"/>
                <w:highlight w:val="none"/>
                <w14:textFill>
                  <w14:solidFill>
                    <w14:schemeClr w14:val="tx1"/>
                  </w14:solidFill>
                </w14:textFill>
              </w:rPr>
            </w:pPr>
          </w:p>
        </w:tc>
      </w:tr>
      <w:tr w14:paraId="5390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B216D2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71A3E42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single" w:color="auto" w:sz="4" w:space="0"/>
              <w:bottom w:val="single" w:color="auto" w:sz="4" w:space="0"/>
              <w:right w:val="single" w:color="auto" w:sz="4" w:space="0"/>
            </w:tcBorders>
            <w:vAlign w:val="center"/>
          </w:tcPr>
          <w:p w14:paraId="085944C5">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7A4A3494">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F9AE7FA">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63A4699B">
            <w:pPr>
              <w:jc w:val="center"/>
              <w:rPr>
                <w:color w:val="000000" w:themeColor="text1"/>
                <w:kern w:val="2"/>
                <w:highlight w:val="none"/>
                <w14:textFill>
                  <w14:solidFill>
                    <w14:schemeClr w14:val="tx1"/>
                  </w14:solidFill>
                </w14:textFill>
              </w:rPr>
            </w:pPr>
          </w:p>
        </w:tc>
      </w:tr>
      <w:tr w14:paraId="3719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16AD42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6F9F844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single" w:color="auto" w:sz="4" w:space="0"/>
              <w:bottom w:val="single" w:color="auto" w:sz="4" w:space="0"/>
              <w:right w:val="single" w:color="auto" w:sz="4" w:space="0"/>
            </w:tcBorders>
            <w:vAlign w:val="center"/>
          </w:tcPr>
          <w:p w14:paraId="74E60DF2">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4AED9310">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765327D">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3463B41C">
            <w:pPr>
              <w:jc w:val="center"/>
              <w:rPr>
                <w:color w:val="000000" w:themeColor="text1"/>
                <w:kern w:val="2"/>
                <w:highlight w:val="none"/>
                <w14:textFill>
                  <w14:solidFill>
                    <w14:schemeClr w14:val="tx1"/>
                  </w14:solidFill>
                </w14:textFill>
              </w:rPr>
            </w:pPr>
          </w:p>
        </w:tc>
      </w:tr>
      <w:tr w14:paraId="569B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1645C38">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5E095539">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single" w:color="auto" w:sz="4" w:space="0"/>
              <w:bottom w:val="single" w:color="auto" w:sz="4" w:space="0"/>
              <w:right w:val="single" w:color="auto" w:sz="4" w:space="0"/>
            </w:tcBorders>
            <w:vAlign w:val="center"/>
          </w:tcPr>
          <w:p w14:paraId="4D6861A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7DF5BD3">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ADF2C71">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3467EC4B">
            <w:pPr>
              <w:jc w:val="center"/>
              <w:rPr>
                <w:color w:val="000000" w:themeColor="text1"/>
                <w:kern w:val="2"/>
                <w:highlight w:val="none"/>
                <w14:textFill>
                  <w14:solidFill>
                    <w14:schemeClr w14:val="tx1"/>
                  </w14:solidFill>
                </w14:textFill>
              </w:rPr>
            </w:pPr>
          </w:p>
        </w:tc>
      </w:tr>
      <w:tr w14:paraId="52F6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AB6161F">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33F2130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711B7422">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461D62BE">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5B74838">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169E6042">
            <w:pPr>
              <w:jc w:val="center"/>
              <w:rPr>
                <w:color w:val="000000" w:themeColor="text1"/>
                <w:kern w:val="2"/>
                <w:highlight w:val="none"/>
                <w14:textFill>
                  <w14:solidFill>
                    <w14:schemeClr w14:val="tx1"/>
                  </w14:solidFill>
                </w14:textFill>
              </w:rPr>
            </w:pPr>
          </w:p>
        </w:tc>
      </w:tr>
      <w:tr w14:paraId="1424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B598F4A">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5</w:t>
            </w:r>
          </w:p>
        </w:tc>
        <w:tc>
          <w:tcPr>
            <w:tcW w:w="2392" w:type="dxa"/>
            <w:tcBorders>
              <w:top w:val="single" w:color="auto" w:sz="4" w:space="0"/>
              <w:left w:val="single" w:color="auto" w:sz="4" w:space="0"/>
              <w:bottom w:val="single" w:color="auto" w:sz="4" w:space="0"/>
              <w:right w:val="single" w:color="auto" w:sz="4" w:space="0"/>
            </w:tcBorders>
            <w:vAlign w:val="center"/>
          </w:tcPr>
          <w:p w14:paraId="0B2BBCB7">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交通工程及沿线设施</w:t>
            </w:r>
          </w:p>
        </w:tc>
        <w:tc>
          <w:tcPr>
            <w:tcW w:w="1614" w:type="dxa"/>
            <w:tcBorders>
              <w:top w:val="single" w:color="auto" w:sz="4" w:space="0"/>
              <w:left w:val="single" w:color="auto" w:sz="4" w:space="0"/>
              <w:bottom w:val="single" w:color="auto" w:sz="4" w:space="0"/>
              <w:right w:val="single" w:color="auto" w:sz="4" w:space="0"/>
            </w:tcBorders>
            <w:vAlign w:val="center"/>
          </w:tcPr>
          <w:p w14:paraId="0917ED4A">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81EE23E">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7A7E3CE">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49AF4BBA">
            <w:pPr>
              <w:jc w:val="center"/>
              <w:rPr>
                <w:color w:val="000000" w:themeColor="text1"/>
                <w:kern w:val="2"/>
                <w:highlight w:val="none"/>
                <w14:textFill>
                  <w14:solidFill>
                    <w14:schemeClr w14:val="tx1"/>
                  </w14:solidFill>
                </w14:textFill>
              </w:rPr>
            </w:pPr>
          </w:p>
        </w:tc>
      </w:tr>
      <w:tr w14:paraId="3E03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DA0CB00">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56AEADD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1CF20F06">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7762CB6">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218FAFE">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2753EBB">
            <w:pPr>
              <w:jc w:val="center"/>
              <w:rPr>
                <w:color w:val="000000" w:themeColor="text1"/>
                <w:kern w:val="2"/>
                <w:highlight w:val="none"/>
                <w14:textFill>
                  <w14:solidFill>
                    <w14:schemeClr w14:val="tx1"/>
                  </w14:solidFill>
                </w14:textFill>
              </w:rPr>
            </w:pPr>
          </w:p>
        </w:tc>
      </w:tr>
      <w:tr w14:paraId="6105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713EBC8">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6</w:t>
            </w:r>
          </w:p>
        </w:tc>
        <w:tc>
          <w:tcPr>
            <w:tcW w:w="2392" w:type="dxa"/>
            <w:tcBorders>
              <w:top w:val="single" w:color="auto" w:sz="4" w:space="0"/>
              <w:left w:val="single" w:color="auto" w:sz="4" w:space="0"/>
              <w:bottom w:val="single" w:color="auto" w:sz="4" w:space="0"/>
              <w:right w:val="single" w:color="auto" w:sz="4" w:space="0"/>
            </w:tcBorders>
            <w:vAlign w:val="center"/>
          </w:tcPr>
          <w:p w14:paraId="471202BD">
            <w:pPr>
              <w:jc w:val="center"/>
              <w:rPr>
                <w:b/>
                <w:color w:val="000000" w:themeColor="text1"/>
                <w:kern w:val="2"/>
                <w:highlight w:val="none"/>
                <w:lang w:eastAsia="zh-CN"/>
                <w14:textFill>
                  <w14:solidFill>
                    <w14:schemeClr w14:val="tx1"/>
                  </w14:solidFill>
                </w14:textFill>
              </w:rPr>
            </w:pPr>
            <w:r>
              <w:rPr>
                <w:rFonts w:hint="eastAsia"/>
                <w:b/>
                <w:color w:val="000000" w:themeColor="text1"/>
                <w:kern w:val="2"/>
                <w:highlight w:val="none"/>
                <w:lang w:eastAsia="zh-CN"/>
                <w14:textFill>
                  <w14:solidFill>
                    <w14:schemeClr w14:val="tx1"/>
                  </w14:solidFill>
                </w14:textFill>
              </w:rPr>
              <w:t>环保、水保及绿化景观设计</w:t>
            </w:r>
          </w:p>
        </w:tc>
        <w:tc>
          <w:tcPr>
            <w:tcW w:w="1614" w:type="dxa"/>
            <w:tcBorders>
              <w:top w:val="single" w:color="auto" w:sz="4" w:space="0"/>
              <w:left w:val="single" w:color="auto" w:sz="4" w:space="0"/>
              <w:bottom w:val="single" w:color="auto" w:sz="4" w:space="0"/>
              <w:right w:val="single" w:color="auto" w:sz="4" w:space="0"/>
            </w:tcBorders>
            <w:vAlign w:val="center"/>
          </w:tcPr>
          <w:p w14:paraId="3C76A53D">
            <w:pPr>
              <w:jc w:val="center"/>
              <w:rPr>
                <w:rFonts w:ascii="Times New Roman" w:hAnsi="Times New Roman"/>
                <w:color w:val="000000" w:themeColor="text1"/>
                <w:kern w:val="2"/>
                <w:highlight w:val="none"/>
                <w:lang w:eastAsia="zh-CN"/>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35E6F73B">
            <w:pPr>
              <w:jc w:val="center"/>
              <w:rPr>
                <w:color w:val="000000" w:themeColor="text1"/>
                <w:kern w:val="2"/>
                <w:highlight w:val="none"/>
                <w:lang w:eastAsia="zh-CN"/>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36FDB738">
            <w:pPr>
              <w:jc w:val="center"/>
              <w:rPr>
                <w:color w:val="000000" w:themeColor="text1"/>
                <w:kern w:val="2"/>
                <w:highlight w:val="none"/>
                <w:lang w:eastAsia="zh-CN"/>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4C45DB4">
            <w:pPr>
              <w:jc w:val="center"/>
              <w:rPr>
                <w:color w:val="000000" w:themeColor="text1"/>
                <w:kern w:val="2"/>
                <w:highlight w:val="none"/>
                <w:lang w:eastAsia="zh-CN"/>
                <w14:textFill>
                  <w14:solidFill>
                    <w14:schemeClr w14:val="tx1"/>
                  </w14:solidFill>
                </w14:textFill>
              </w:rPr>
            </w:pPr>
          </w:p>
        </w:tc>
      </w:tr>
      <w:tr w14:paraId="6BEF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8ADAA9E">
            <w:pPr>
              <w:jc w:val="center"/>
              <w:rPr>
                <w:color w:val="000000" w:themeColor="text1"/>
                <w:kern w:val="2"/>
                <w:highlight w:val="none"/>
                <w:lang w:eastAsia="zh-CN"/>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5C0B3A0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5AE27FD1">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9B1596D">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FC5FCE6">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FB9B325">
            <w:pPr>
              <w:jc w:val="center"/>
              <w:rPr>
                <w:color w:val="000000" w:themeColor="text1"/>
                <w:kern w:val="2"/>
                <w:highlight w:val="none"/>
                <w14:textFill>
                  <w14:solidFill>
                    <w14:schemeClr w14:val="tx1"/>
                  </w14:solidFill>
                </w14:textFill>
              </w:rPr>
            </w:pPr>
          </w:p>
        </w:tc>
      </w:tr>
      <w:tr w14:paraId="5FF8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15A47F9">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7</w:t>
            </w:r>
          </w:p>
        </w:tc>
        <w:tc>
          <w:tcPr>
            <w:tcW w:w="2392" w:type="dxa"/>
            <w:tcBorders>
              <w:top w:val="single" w:color="auto" w:sz="4" w:space="0"/>
              <w:left w:val="single" w:color="auto" w:sz="4" w:space="0"/>
              <w:bottom w:val="single" w:color="auto" w:sz="4" w:space="0"/>
              <w:right w:val="single" w:color="auto" w:sz="4" w:space="0"/>
            </w:tcBorders>
            <w:vAlign w:val="center"/>
          </w:tcPr>
          <w:p w14:paraId="305D7919">
            <w:pPr>
              <w:jc w:val="center"/>
              <w:rPr>
                <w:rFonts w:ascii="Times New Roman" w:hAnsi="Times New Roman"/>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专题研究</w:t>
            </w:r>
          </w:p>
        </w:tc>
        <w:tc>
          <w:tcPr>
            <w:tcW w:w="1614" w:type="dxa"/>
            <w:tcBorders>
              <w:top w:val="single" w:color="auto" w:sz="4" w:space="0"/>
              <w:left w:val="single" w:color="auto" w:sz="4" w:space="0"/>
              <w:bottom w:val="single" w:color="auto" w:sz="4" w:space="0"/>
              <w:right w:val="single" w:color="auto" w:sz="4" w:space="0"/>
            </w:tcBorders>
            <w:vAlign w:val="center"/>
          </w:tcPr>
          <w:p w14:paraId="4C2F0AF3">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92FD024">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F09A32E">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05B8734">
            <w:pPr>
              <w:jc w:val="center"/>
              <w:rPr>
                <w:color w:val="000000" w:themeColor="text1"/>
                <w:kern w:val="2"/>
                <w:highlight w:val="none"/>
                <w14:textFill>
                  <w14:solidFill>
                    <w14:schemeClr w14:val="tx1"/>
                  </w14:solidFill>
                </w14:textFill>
              </w:rPr>
            </w:pPr>
          </w:p>
        </w:tc>
      </w:tr>
      <w:tr w14:paraId="2C50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CC49842">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6B0A38A3">
            <w:pPr>
              <w:jc w:val="center"/>
              <w:rPr>
                <w:rFonts w:ascii="Times New Roman" w:hAnsi="Times New Roman"/>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442FEB62">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09F52060">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2E8D43F">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6F4FAADA">
            <w:pPr>
              <w:jc w:val="center"/>
              <w:rPr>
                <w:color w:val="000000" w:themeColor="text1"/>
                <w:kern w:val="2"/>
                <w:highlight w:val="none"/>
                <w14:textFill>
                  <w14:solidFill>
                    <w14:schemeClr w14:val="tx1"/>
                  </w14:solidFill>
                </w14:textFill>
              </w:rPr>
            </w:pPr>
          </w:p>
        </w:tc>
      </w:tr>
      <w:tr w14:paraId="50F2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7E7069C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二</w:t>
            </w:r>
          </w:p>
        </w:tc>
        <w:tc>
          <w:tcPr>
            <w:tcW w:w="2392" w:type="dxa"/>
            <w:tcBorders>
              <w:top w:val="single" w:color="auto" w:sz="4" w:space="0"/>
              <w:left w:val="nil"/>
              <w:bottom w:val="single" w:color="auto" w:sz="4" w:space="0"/>
              <w:right w:val="single" w:color="auto" w:sz="4" w:space="0"/>
            </w:tcBorders>
            <w:vAlign w:val="center"/>
          </w:tcPr>
          <w:p w14:paraId="73E83C7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施工图设计</w:t>
            </w:r>
          </w:p>
        </w:tc>
        <w:tc>
          <w:tcPr>
            <w:tcW w:w="1614" w:type="dxa"/>
            <w:tcBorders>
              <w:top w:val="single" w:color="auto" w:sz="4" w:space="0"/>
              <w:left w:val="nil"/>
              <w:bottom w:val="single" w:color="auto" w:sz="4" w:space="0"/>
              <w:right w:val="single" w:color="auto" w:sz="4" w:space="0"/>
            </w:tcBorders>
            <w:vAlign w:val="center"/>
          </w:tcPr>
          <w:p w14:paraId="6BC8DA10">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03E2E66">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7F89485D">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3BBDB1A0">
            <w:pPr>
              <w:jc w:val="center"/>
              <w:rPr>
                <w:color w:val="000000" w:themeColor="text1"/>
                <w:kern w:val="2"/>
                <w:highlight w:val="none"/>
                <w14:textFill>
                  <w14:solidFill>
                    <w14:schemeClr w14:val="tx1"/>
                  </w14:solidFill>
                </w14:textFill>
              </w:rPr>
            </w:pPr>
          </w:p>
        </w:tc>
      </w:tr>
      <w:tr w14:paraId="09E2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39B68E8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72262D1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公路</w:t>
            </w:r>
          </w:p>
        </w:tc>
        <w:tc>
          <w:tcPr>
            <w:tcW w:w="1614" w:type="dxa"/>
            <w:tcBorders>
              <w:top w:val="single" w:color="auto" w:sz="4" w:space="0"/>
              <w:left w:val="nil"/>
              <w:bottom w:val="single" w:color="auto" w:sz="4" w:space="0"/>
              <w:right w:val="single" w:color="auto" w:sz="4" w:space="0"/>
            </w:tcBorders>
            <w:vAlign w:val="center"/>
          </w:tcPr>
          <w:p w14:paraId="7739CAFF">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C7EA81C">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D384537">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3B958814">
            <w:pPr>
              <w:jc w:val="center"/>
              <w:rPr>
                <w:color w:val="000000" w:themeColor="text1"/>
                <w:kern w:val="2"/>
                <w:highlight w:val="none"/>
                <w14:textFill>
                  <w14:solidFill>
                    <w14:schemeClr w14:val="tx1"/>
                  </w14:solidFill>
                </w14:textFill>
              </w:rPr>
            </w:pPr>
          </w:p>
        </w:tc>
      </w:tr>
      <w:tr w14:paraId="61E7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3614F478">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1DDFA0D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nil"/>
              <w:bottom w:val="single" w:color="auto" w:sz="4" w:space="0"/>
              <w:right w:val="single" w:color="auto" w:sz="4" w:space="0"/>
            </w:tcBorders>
            <w:vAlign w:val="center"/>
          </w:tcPr>
          <w:p w14:paraId="1601BD1F">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7196E3DF">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12C2F4FC">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C27099B">
            <w:pPr>
              <w:jc w:val="center"/>
              <w:rPr>
                <w:color w:val="000000" w:themeColor="text1"/>
                <w:kern w:val="2"/>
                <w:highlight w:val="none"/>
                <w14:textFill>
                  <w14:solidFill>
                    <w14:schemeClr w14:val="tx1"/>
                  </w14:solidFill>
                </w14:textFill>
              </w:rPr>
            </w:pPr>
          </w:p>
        </w:tc>
      </w:tr>
      <w:tr w14:paraId="5A5B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1042DE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61281DD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nil"/>
              <w:bottom w:val="single" w:color="auto" w:sz="4" w:space="0"/>
              <w:right w:val="single" w:color="auto" w:sz="4" w:space="0"/>
            </w:tcBorders>
            <w:vAlign w:val="center"/>
          </w:tcPr>
          <w:p w14:paraId="6F1F83BB">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31588456">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57399C76">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574C412B">
            <w:pPr>
              <w:jc w:val="center"/>
              <w:rPr>
                <w:color w:val="000000" w:themeColor="text1"/>
                <w:kern w:val="2"/>
                <w:highlight w:val="none"/>
                <w14:textFill>
                  <w14:solidFill>
                    <w14:schemeClr w14:val="tx1"/>
                  </w14:solidFill>
                </w14:textFill>
              </w:rPr>
            </w:pPr>
          </w:p>
        </w:tc>
      </w:tr>
      <w:tr w14:paraId="2D90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25661C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1D2E75BE">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nil"/>
              <w:bottom w:val="single" w:color="auto" w:sz="4" w:space="0"/>
              <w:right w:val="single" w:color="auto" w:sz="4" w:space="0"/>
            </w:tcBorders>
            <w:vAlign w:val="center"/>
          </w:tcPr>
          <w:p w14:paraId="5250FEA4">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D67A94C">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4FBCF64D">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E953922">
            <w:pPr>
              <w:jc w:val="center"/>
              <w:rPr>
                <w:color w:val="000000" w:themeColor="text1"/>
                <w:kern w:val="2"/>
                <w:highlight w:val="none"/>
                <w14:textFill>
                  <w14:solidFill>
                    <w14:schemeClr w14:val="tx1"/>
                  </w14:solidFill>
                </w14:textFill>
              </w:rPr>
            </w:pPr>
          </w:p>
        </w:tc>
      </w:tr>
      <w:tr w14:paraId="5A4E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78525F7">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59C1961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344098F8">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ED94944">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4C6C63F6">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A2E2FD5">
            <w:pPr>
              <w:jc w:val="center"/>
              <w:rPr>
                <w:color w:val="000000" w:themeColor="text1"/>
                <w:kern w:val="2"/>
                <w:highlight w:val="none"/>
                <w14:textFill>
                  <w14:solidFill>
                    <w14:schemeClr w14:val="tx1"/>
                  </w14:solidFill>
                </w14:textFill>
              </w:rPr>
            </w:pPr>
          </w:p>
        </w:tc>
      </w:tr>
      <w:tr w14:paraId="3CAD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734271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5248C19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桥梁</w:t>
            </w:r>
          </w:p>
        </w:tc>
        <w:tc>
          <w:tcPr>
            <w:tcW w:w="1614" w:type="dxa"/>
            <w:tcBorders>
              <w:top w:val="single" w:color="auto" w:sz="4" w:space="0"/>
              <w:left w:val="nil"/>
              <w:bottom w:val="single" w:color="auto" w:sz="4" w:space="0"/>
              <w:right w:val="single" w:color="auto" w:sz="4" w:space="0"/>
            </w:tcBorders>
            <w:vAlign w:val="center"/>
          </w:tcPr>
          <w:p w14:paraId="648FAC11">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FBC0550">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90B7975">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0D203013">
            <w:pPr>
              <w:jc w:val="center"/>
              <w:rPr>
                <w:color w:val="000000" w:themeColor="text1"/>
                <w:kern w:val="2"/>
                <w:highlight w:val="none"/>
                <w14:textFill>
                  <w14:solidFill>
                    <w14:schemeClr w14:val="tx1"/>
                  </w14:solidFill>
                </w14:textFill>
              </w:rPr>
            </w:pPr>
          </w:p>
        </w:tc>
      </w:tr>
      <w:tr w14:paraId="2A7E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C3457B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3F545B7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nil"/>
              <w:bottom w:val="single" w:color="auto" w:sz="4" w:space="0"/>
              <w:right w:val="single" w:color="auto" w:sz="4" w:space="0"/>
            </w:tcBorders>
            <w:vAlign w:val="center"/>
          </w:tcPr>
          <w:p w14:paraId="5C58CD2F">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FF645CA">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587D2DCF">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1C333744">
            <w:pPr>
              <w:jc w:val="center"/>
              <w:rPr>
                <w:color w:val="000000" w:themeColor="text1"/>
                <w:kern w:val="2"/>
                <w:highlight w:val="none"/>
                <w14:textFill>
                  <w14:solidFill>
                    <w14:schemeClr w14:val="tx1"/>
                  </w14:solidFill>
                </w14:textFill>
              </w:rPr>
            </w:pPr>
          </w:p>
        </w:tc>
      </w:tr>
      <w:tr w14:paraId="781D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88B491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4A76B62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nil"/>
              <w:bottom w:val="single" w:color="auto" w:sz="4" w:space="0"/>
              <w:right w:val="single" w:color="auto" w:sz="4" w:space="0"/>
            </w:tcBorders>
            <w:vAlign w:val="center"/>
          </w:tcPr>
          <w:p w14:paraId="6E09F4F3">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BB4508D">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5BB4AF10">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6EBBC7C">
            <w:pPr>
              <w:jc w:val="center"/>
              <w:rPr>
                <w:color w:val="000000" w:themeColor="text1"/>
                <w:kern w:val="2"/>
                <w:highlight w:val="none"/>
                <w14:textFill>
                  <w14:solidFill>
                    <w14:schemeClr w14:val="tx1"/>
                  </w14:solidFill>
                </w14:textFill>
              </w:rPr>
            </w:pPr>
          </w:p>
        </w:tc>
      </w:tr>
      <w:tr w14:paraId="7804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5EAEB8F">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25F392C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nil"/>
              <w:bottom w:val="single" w:color="auto" w:sz="4" w:space="0"/>
              <w:right w:val="single" w:color="auto" w:sz="4" w:space="0"/>
            </w:tcBorders>
            <w:vAlign w:val="center"/>
          </w:tcPr>
          <w:p w14:paraId="71EF1ECD">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E76183F">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E5C4E59">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10AE04E">
            <w:pPr>
              <w:jc w:val="center"/>
              <w:rPr>
                <w:color w:val="000000" w:themeColor="text1"/>
                <w:kern w:val="2"/>
                <w:highlight w:val="none"/>
                <w14:textFill>
                  <w14:solidFill>
                    <w14:schemeClr w14:val="tx1"/>
                  </w14:solidFill>
                </w14:textFill>
              </w:rPr>
            </w:pPr>
          </w:p>
        </w:tc>
      </w:tr>
      <w:tr w14:paraId="1707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5827FF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-a</w:t>
            </w:r>
          </w:p>
        </w:tc>
        <w:tc>
          <w:tcPr>
            <w:tcW w:w="2392" w:type="dxa"/>
            <w:tcBorders>
              <w:top w:val="single" w:color="auto" w:sz="4" w:space="0"/>
              <w:left w:val="nil"/>
              <w:bottom w:val="single" w:color="auto" w:sz="4" w:space="0"/>
              <w:right w:val="single" w:color="auto" w:sz="4" w:space="0"/>
            </w:tcBorders>
            <w:vAlign w:val="center"/>
          </w:tcPr>
          <w:p w14:paraId="303AD4F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河槽内桥梁</w:t>
            </w:r>
          </w:p>
        </w:tc>
        <w:tc>
          <w:tcPr>
            <w:tcW w:w="1614" w:type="dxa"/>
            <w:tcBorders>
              <w:top w:val="single" w:color="auto" w:sz="4" w:space="0"/>
              <w:left w:val="nil"/>
              <w:bottom w:val="single" w:color="auto" w:sz="4" w:space="0"/>
              <w:right w:val="single" w:color="auto" w:sz="4" w:space="0"/>
            </w:tcBorders>
            <w:vAlign w:val="center"/>
          </w:tcPr>
          <w:p w14:paraId="297B70B9">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BAFA5B5">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4184D637">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B3E523B">
            <w:pPr>
              <w:jc w:val="center"/>
              <w:rPr>
                <w:color w:val="000000" w:themeColor="text1"/>
                <w:kern w:val="2"/>
                <w:highlight w:val="none"/>
                <w14:textFill>
                  <w14:solidFill>
                    <w14:schemeClr w14:val="tx1"/>
                  </w14:solidFill>
                </w14:textFill>
              </w:rPr>
            </w:pPr>
          </w:p>
        </w:tc>
      </w:tr>
      <w:tr w14:paraId="38FE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7A7CD3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-b</w:t>
            </w:r>
          </w:p>
        </w:tc>
        <w:tc>
          <w:tcPr>
            <w:tcW w:w="2392" w:type="dxa"/>
            <w:tcBorders>
              <w:top w:val="single" w:color="auto" w:sz="4" w:space="0"/>
              <w:left w:val="nil"/>
              <w:bottom w:val="single" w:color="auto" w:sz="4" w:space="0"/>
              <w:right w:val="single" w:color="auto" w:sz="4" w:space="0"/>
            </w:tcBorders>
            <w:vAlign w:val="center"/>
          </w:tcPr>
          <w:p w14:paraId="05A90BE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河滩内桥梁</w:t>
            </w:r>
          </w:p>
        </w:tc>
        <w:tc>
          <w:tcPr>
            <w:tcW w:w="1614" w:type="dxa"/>
            <w:tcBorders>
              <w:top w:val="single" w:color="auto" w:sz="4" w:space="0"/>
              <w:left w:val="nil"/>
              <w:bottom w:val="single" w:color="auto" w:sz="4" w:space="0"/>
              <w:right w:val="single" w:color="auto" w:sz="4" w:space="0"/>
            </w:tcBorders>
            <w:vAlign w:val="center"/>
          </w:tcPr>
          <w:p w14:paraId="2BA1856E">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5675EA7D">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6A1ACAC">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6E8BB43">
            <w:pPr>
              <w:jc w:val="center"/>
              <w:rPr>
                <w:color w:val="000000" w:themeColor="text1"/>
                <w:kern w:val="2"/>
                <w:highlight w:val="none"/>
                <w14:textFill>
                  <w14:solidFill>
                    <w14:schemeClr w14:val="tx1"/>
                  </w14:solidFill>
                </w14:textFill>
              </w:rPr>
            </w:pPr>
          </w:p>
        </w:tc>
      </w:tr>
      <w:tr w14:paraId="17F3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98EC33F">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5F499750">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隧道</w:t>
            </w:r>
          </w:p>
        </w:tc>
        <w:tc>
          <w:tcPr>
            <w:tcW w:w="1614" w:type="dxa"/>
            <w:tcBorders>
              <w:top w:val="single" w:color="auto" w:sz="4" w:space="0"/>
              <w:left w:val="nil"/>
              <w:bottom w:val="single" w:color="auto" w:sz="4" w:space="0"/>
              <w:right w:val="single" w:color="auto" w:sz="4" w:space="0"/>
            </w:tcBorders>
            <w:vAlign w:val="center"/>
          </w:tcPr>
          <w:p w14:paraId="26FA9534">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D224C4A">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70129ADB">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86AFD99">
            <w:pPr>
              <w:jc w:val="center"/>
              <w:rPr>
                <w:color w:val="000000" w:themeColor="text1"/>
                <w:kern w:val="2"/>
                <w:highlight w:val="none"/>
                <w14:textFill>
                  <w14:solidFill>
                    <w14:schemeClr w14:val="tx1"/>
                  </w14:solidFill>
                </w14:textFill>
              </w:rPr>
            </w:pPr>
          </w:p>
        </w:tc>
      </w:tr>
      <w:tr w14:paraId="05D9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62F4BD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307627B0">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nil"/>
              <w:bottom w:val="single" w:color="auto" w:sz="4" w:space="0"/>
              <w:right w:val="single" w:color="auto" w:sz="4" w:space="0"/>
            </w:tcBorders>
            <w:vAlign w:val="center"/>
          </w:tcPr>
          <w:p w14:paraId="3B509CCE">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5746A9B1">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2D952C8">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0B8A809">
            <w:pPr>
              <w:jc w:val="center"/>
              <w:rPr>
                <w:color w:val="000000" w:themeColor="text1"/>
                <w:kern w:val="2"/>
                <w:highlight w:val="none"/>
                <w14:textFill>
                  <w14:solidFill>
                    <w14:schemeClr w14:val="tx1"/>
                  </w14:solidFill>
                </w14:textFill>
              </w:rPr>
            </w:pPr>
          </w:p>
        </w:tc>
      </w:tr>
      <w:tr w14:paraId="247B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9D0333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7A8D257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nil"/>
              <w:bottom w:val="single" w:color="auto" w:sz="4" w:space="0"/>
              <w:right w:val="single" w:color="auto" w:sz="4" w:space="0"/>
            </w:tcBorders>
            <w:vAlign w:val="center"/>
          </w:tcPr>
          <w:p w14:paraId="3A90B978">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6B7835A1">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534F680">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1DC292A9">
            <w:pPr>
              <w:jc w:val="center"/>
              <w:rPr>
                <w:color w:val="000000" w:themeColor="text1"/>
                <w:kern w:val="2"/>
                <w:highlight w:val="none"/>
                <w14:textFill>
                  <w14:solidFill>
                    <w14:schemeClr w14:val="tx1"/>
                  </w14:solidFill>
                </w14:textFill>
              </w:rPr>
            </w:pPr>
          </w:p>
        </w:tc>
      </w:tr>
      <w:tr w14:paraId="003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785A88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52A99E5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nil"/>
              <w:bottom w:val="single" w:color="auto" w:sz="4" w:space="0"/>
              <w:right w:val="single" w:color="auto" w:sz="4" w:space="0"/>
            </w:tcBorders>
            <w:vAlign w:val="center"/>
          </w:tcPr>
          <w:p w14:paraId="5A525687">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3497CDCA">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179E9DA1">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0B60280E">
            <w:pPr>
              <w:jc w:val="center"/>
              <w:rPr>
                <w:color w:val="000000" w:themeColor="text1"/>
                <w:kern w:val="2"/>
                <w:highlight w:val="none"/>
                <w14:textFill>
                  <w14:solidFill>
                    <w14:schemeClr w14:val="tx1"/>
                  </w14:solidFill>
                </w14:textFill>
              </w:rPr>
            </w:pPr>
          </w:p>
        </w:tc>
      </w:tr>
      <w:tr w14:paraId="0EBC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72E83DEF">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22BD1E0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66D6AA67">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15E5424D">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13AF025">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C1B4FBB">
            <w:pPr>
              <w:jc w:val="center"/>
              <w:rPr>
                <w:color w:val="000000" w:themeColor="text1"/>
                <w:kern w:val="2"/>
                <w:highlight w:val="none"/>
                <w14:textFill>
                  <w14:solidFill>
                    <w14:schemeClr w14:val="tx1"/>
                  </w14:solidFill>
                </w14:textFill>
              </w:rPr>
            </w:pPr>
          </w:p>
        </w:tc>
      </w:tr>
      <w:tr w14:paraId="4125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2BEB6D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4</w:t>
            </w:r>
          </w:p>
        </w:tc>
        <w:tc>
          <w:tcPr>
            <w:tcW w:w="2392" w:type="dxa"/>
            <w:tcBorders>
              <w:top w:val="single" w:color="auto" w:sz="4" w:space="0"/>
              <w:left w:val="nil"/>
              <w:bottom w:val="single" w:color="auto" w:sz="4" w:space="0"/>
              <w:right w:val="single" w:color="auto" w:sz="4" w:space="0"/>
            </w:tcBorders>
            <w:vAlign w:val="center"/>
          </w:tcPr>
          <w:p w14:paraId="691D23D6">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立体交叉</w:t>
            </w:r>
          </w:p>
        </w:tc>
        <w:tc>
          <w:tcPr>
            <w:tcW w:w="1614" w:type="dxa"/>
            <w:tcBorders>
              <w:top w:val="single" w:color="auto" w:sz="4" w:space="0"/>
              <w:left w:val="nil"/>
              <w:bottom w:val="single" w:color="auto" w:sz="4" w:space="0"/>
              <w:right w:val="single" w:color="auto" w:sz="4" w:space="0"/>
            </w:tcBorders>
            <w:vAlign w:val="center"/>
          </w:tcPr>
          <w:p w14:paraId="029B3D1D">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49A0023">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6B60DB27">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89877A2">
            <w:pPr>
              <w:jc w:val="center"/>
              <w:rPr>
                <w:color w:val="000000" w:themeColor="text1"/>
                <w:kern w:val="2"/>
                <w:highlight w:val="none"/>
                <w14:textFill>
                  <w14:solidFill>
                    <w14:schemeClr w14:val="tx1"/>
                  </w14:solidFill>
                </w14:textFill>
              </w:rPr>
            </w:pPr>
          </w:p>
        </w:tc>
      </w:tr>
      <w:tr w14:paraId="1709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6EF95F6">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7B0500F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nil"/>
              <w:bottom w:val="single" w:color="auto" w:sz="4" w:space="0"/>
              <w:right w:val="single" w:color="auto" w:sz="4" w:space="0"/>
            </w:tcBorders>
            <w:vAlign w:val="center"/>
          </w:tcPr>
          <w:p w14:paraId="33ED174E">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19E9A70B">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51CF0559">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01476A47">
            <w:pPr>
              <w:jc w:val="center"/>
              <w:rPr>
                <w:color w:val="000000" w:themeColor="text1"/>
                <w:kern w:val="2"/>
                <w:highlight w:val="none"/>
                <w14:textFill>
                  <w14:solidFill>
                    <w14:schemeClr w14:val="tx1"/>
                  </w14:solidFill>
                </w14:textFill>
              </w:rPr>
            </w:pPr>
          </w:p>
        </w:tc>
      </w:tr>
      <w:tr w14:paraId="7951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16F77A9">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671768E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nil"/>
              <w:bottom w:val="single" w:color="auto" w:sz="4" w:space="0"/>
              <w:right w:val="single" w:color="auto" w:sz="4" w:space="0"/>
            </w:tcBorders>
            <w:vAlign w:val="center"/>
          </w:tcPr>
          <w:p w14:paraId="4E9C0FA2">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FD2B8B1">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68EE41BC">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0F123D5D">
            <w:pPr>
              <w:jc w:val="center"/>
              <w:rPr>
                <w:color w:val="000000" w:themeColor="text1"/>
                <w:kern w:val="2"/>
                <w:highlight w:val="none"/>
                <w14:textFill>
                  <w14:solidFill>
                    <w14:schemeClr w14:val="tx1"/>
                  </w14:solidFill>
                </w14:textFill>
              </w:rPr>
            </w:pPr>
          </w:p>
        </w:tc>
      </w:tr>
      <w:tr w14:paraId="6779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0C1B87E">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60CB6FA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nil"/>
              <w:bottom w:val="single" w:color="auto" w:sz="4" w:space="0"/>
              <w:right w:val="single" w:color="auto" w:sz="4" w:space="0"/>
            </w:tcBorders>
            <w:vAlign w:val="center"/>
          </w:tcPr>
          <w:p w14:paraId="2A86BE45">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E897AE9">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4643A6A2">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1DDE293">
            <w:pPr>
              <w:jc w:val="center"/>
              <w:rPr>
                <w:color w:val="000000" w:themeColor="text1"/>
                <w:kern w:val="2"/>
                <w:highlight w:val="none"/>
                <w14:textFill>
                  <w14:solidFill>
                    <w14:schemeClr w14:val="tx1"/>
                  </w14:solidFill>
                </w14:textFill>
              </w:rPr>
            </w:pPr>
          </w:p>
        </w:tc>
      </w:tr>
      <w:tr w14:paraId="73B0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F16A778">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53A4A2D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5D080193">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3E8ED0A4">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297529E4">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4F66223">
            <w:pPr>
              <w:jc w:val="center"/>
              <w:rPr>
                <w:color w:val="000000" w:themeColor="text1"/>
                <w:kern w:val="2"/>
                <w:highlight w:val="none"/>
                <w14:textFill>
                  <w14:solidFill>
                    <w14:schemeClr w14:val="tx1"/>
                  </w14:solidFill>
                </w14:textFill>
              </w:rPr>
            </w:pPr>
          </w:p>
        </w:tc>
      </w:tr>
      <w:tr w14:paraId="3E24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D07F95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5</w:t>
            </w:r>
          </w:p>
        </w:tc>
        <w:tc>
          <w:tcPr>
            <w:tcW w:w="2392" w:type="dxa"/>
            <w:tcBorders>
              <w:top w:val="single" w:color="auto" w:sz="4" w:space="0"/>
              <w:left w:val="nil"/>
              <w:bottom w:val="single" w:color="auto" w:sz="4" w:space="0"/>
              <w:right w:val="single" w:color="auto" w:sz="4" w:space="0"/>
            </w:tcBorders>
            <w:vAlign w:val="center"/>
          </w:tcPr>
          <w:p w14:paraId="40E6B65E">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交通工程及沿线设施</w:t>
            </w:r>
          </w:p>
        </w:tc>
        <w:tc>
          <w:tcPr>
            <w:tcW w:w="1614" w:type="dxa"/>
            <w:tcBorders>
              <w:top w:val="single" w:color="auto" w:sz="4" w:space="0"/>
              <w:left w:val="nil"/>
              <w:bottom w:val="single" w:color="auto" w:sz="4" w:space="0"/>
              <w:right w:val="single" w:color="auto" w:sz="4" w:space="0"/>
            </w:tcBorders>
            <w:vAlign w:val="center"/>
          </w:tcPr>
          <w:p w14:paraId="37F8151D">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D1DEB47">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BD19ECA">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D8166A6">
            <w:pPr>
              <w:jc w:val="center"/>
              <w:rPr>
                <w:color w:val="000000" w:themeColor="text1"/>
                <w:kern w:val="2"/>
                <w:highlight w:val="none"/>
                <w14:textFill>
                  <w14:solidFill>
                    <w14:schemeClr w14:val="tx1"/>
                  </w14:solidFill>
                </w14:textFill>
              </w:rPr>
            </w:pPr>
          </w:p>
        </w:tc>
      </w:tr>
      <w:tr w14:paraId="4D0D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748C2563">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330AAA7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2F478AA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39D2C800">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2EA1AA25">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C2930EC">
            <w:pPr>
              <w:jc w:val="center"/>
              <w:rPr>
                <w:color w:val="000000" w:themeColor="text1"/>
                <w:kern w:val="2"/>
                <w:highlight w:val="none"/>
                <w14:textFill>
                  <w14:solidFill>
                    <w14:schemeClr w14:val="tx1"/>
                  </w14:solidFill>
                </w14:textFill>
              </w:rPr>
            </w:pPr>
          </w:p>
        </w:tc>
      </w:tr>
      <w:tr w14:paraId="41CB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8FEB42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6</w:t>
            </w:r>
          </w:p>
        </w:tc>
        <w:tc>
          <w:tcPr>
            <w:tcW w:w="2392" w:type="dxa"/>
            <w:tcBorders>
              <w:top w:val="single" w:color="auto" w:sz="4" w:space="0"/>
              <w:left w:val="nil"/>
              <w:bottom w:val="single" w:color="auto" w:sz="4" w:space="0"/>
              <w:right w:val="single" w:color="auto" w:sz="4" w:space="0"/>
            </w:tcBorders>
            <w:vAlign w:val="center"/>
          </w:tcPr>
          <w:p w14:paraId="527D2ECA">
            <w:pPr>
              <w:jc w:val="center"/>
              <w:rPr>
                <w:color w:val="000000" w:themeColor="text1"/>
                <w:kern w:val="2"/>
                <w:highlight w:val="none"/>
                <w:lang w:eastAsia="zh-CN"/>
                <w14:textFill>
                  <w14:solidFill>
                    <w14:schemeClr w14:val="tx1"/>
                  </w14:solidFill>
                </w14:textFill>
              </w:rPr>
            </w:pPr>
            <w:r>
              <w:rPr>
                <w:rFonts w:hint="eastAsia"/>
                <w:color w:val="000000" w:themeColor="text1"/>
                <w:kern w:val="2"/>
                <w:highlight w:val="none"/>
                <w:lang w:eastAsia="zh-CN"/>
                <w14:textFill>
                  <w14:solidFill>
                    <w14:schemeClr w14:val="tx1"/>
                  </w14:solidFill>
                </w14:textFill>
              </w:rPr>
              <w:t>环保、水保及绿化景观设计</w:t>
            </w:r>
          </w:p>
        </w:tc>
        <w:tc>
          <w:tcPr>
            <w:tcW w:w="1614" w:type="dxa"/>
            <w:tcBorders>
              <w:top w:val="single" w:color="auto" w:sz="4" w:space="0"/>
              <w:left w:val="nil"/>
              <w:bottom w:val="single" w:color="auto" w:sz="4" w:space="0"/>
              <w:right w:val="single" w:color="auto" w:sz="4" w:space="0"/>
            </w:tcBorders>
            <w:vAlign w:val="center"/>
          </w:tcPr>
          <w:p w14:paraId="3CA3C496">
            <w:pPr>
              <w:jc w:val="center"/>
              <w:rPr>
                <w:rFonts w:ascii="Times New Roman" w:hAnsi="Times New Roman"/>
                <w:color w:val="000000" w:themeColor="text1"/>
                <w:kern w:val="2"/>
                <w:highlight w:val="none"/>
                <w:lang w:eastAsia="zh-CN"/>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52FC8CF3">
            <w:pPr>
              <w:jc w:val="center"/>
              <w:rPr>
                <w:color w:val="000000" w:themeColor="text1"/>
                <w:kern w:val="2"/>
                <w:highlight w:val="none"/>
                <w:lang w:eastAsia="zh-CN"/>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AE51A9B">
            <w:pPr>
              <w:jc w:val="center"/>
              <w:rPr>
                <w:color w:val="000000" w:themeColor="text1"/>
                <w:kern w:val="2"/>
                <w:highlight w:val="none"/>
                <w:lang w:eastAsia="zh-CN"/>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D7F649B">
            <w:pPr>
              <w:jc w:val="center"/>
              <w:rPr>
                <w:color w:val="000000" w:themeColor="text1"/>
                <w:kern w:val="2"/>
                <w:highlight w:val="none"/>
                <w:lang w:eastAsia="zh-CN"/>
                <w14:textFill>
                  <w14:solidFill>
                    <w14:schemeClr w14:val="tx1"/>
                  </w14:solidFill>
                </w14:textFill>
              </w:rPr>
            </w:pPr>
          </w:p>
        </w:tc>
      </w:tr>
      <w:tr w14:paraId="7252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3D1606E">
            <w:pPr>
              <w:jc w:val="center"/>
              <w:rPr>
                <w:color w:val="000000" w:themeColor="text1"/>
                <w:kern w:val="2"/>
                <w:highlight w:val="none"/>
                <w:lang w:eastAsia="zh-CN"/>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094FBA07">
            <w:pPr>
              <w:jc w:val="center"/>
              <w:rPr>
                <w:rFonts w:ascii="Times New Roman" w:hAnsi="Times New Roman"/>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55489B9A">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10910FFF">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60C5EDB">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AF37AD6">
            <w:pPr>
              <w:jc w:val="center"/>
              <w:rPr>
                <w:color w:val="000000" w:themeColor="text1"/>
                <w:kern w:val="2"/>
                <w:highlight w:val="none"/>
                <w14:textFill>
                  <w14:solidFill>
                    <w14:schemeClr w14:val="tx1"/>
                  </w14:solidFill>
                </w14:textFill>
              </w:rPr>
            </w:pPr>
          </w:p>
        </w:tc>
      </w:tr>
      <w:tr w14:paraId="362E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CDB34DF">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7</w:t>
            </w:r>
          </w:p>
        </w:tc>
        <w:tc>
          <w:tcPr>
            <w:tcW w:w="2392" w:type="dxa"/>
            <w:tcBorders>
              <w:top w:val="single" w:color="auto" w:sz="4" w:space="0"/>
              <w:left w:val="nil"/>
              <w:bottom w:val="single" w:color="auto" w:sz="4" w:space="0"/>
              <w:right w:val="single" w:color="auto" w:sz="4" w:space="0"/>
            </w:tcBorders>
            <w:vAlign w:val="center"/>
          </w:tcPr>
          <w:p w14:paraId="1819D9F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专题研究</w:t>
            </w:r>
          </w:p>
        </w:tc>
        <w:tc>
          <w:tcPr>
            <w:tcW w:w="1614" w:type="dxa"/>
            <w:tcBorders>
              <w:top w:val="single" w:color="auto" w:sz="4" w:space="0"/>
              <w:left w:val="nil"/>
              <w:bottom w:val="single" w:color="auto" w:sz="4" w:space="0"/>
              <w:right w:val="single" w:color="auto" w:sz="4" w:space="0"/>
            </w:tcBorders>
            <w:vAlign w:val="center"/>
          </w:tcPr>
          <w:p w14:paraId="1DA449B9">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0B137D5">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787C1DEB">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522270AD">
            <w:pPr>
              <w:jc w:val="center"/>
              <w:rPr>
                <w:color w:val="000000" w:themeColor="text1"/>
                <w:kern w:val="2"/>
                <w:highlight w:val="none"/>
                <w14:textFill>
                  <w14:solidFill>
                    <w14:schemeClr w14:val="tx1"/>
                  </w14:solidFill>
                </w14:textFill>
              </w:rPr>
            </w:pPr>
          </w:p>
        </w:tc>
      </w:tr>
      <w:tr w14:paraId="061B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A1382A1">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12810FF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6B51E3E9">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4DEB2E7">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A2B9432">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8F0C88B">
            <w:pPr>
              <w:jc w:val="center"/>
              <w:rPr>
                <w:color w:val="000000" w:themeColor="text1"/>
                <w:kern w:val="2"/>
                <w:highlight w:val="none"/>
                <w14:textFill>
                  <w14:solidFill>
                    <w14:schemeClr w14:val="tx1"/>
                  </w14:solidFill>
                </w14:textFill>
              </w:rPr>
            </w:pPr>
          </w:p>
        </w:tc>
      </w:tr>
      <w:tr w14:paraId="3AD2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AE0BAF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三</w:t>
            </w:r>
          </w:p>
        </w:tc>
        <w:tc>
          <w:tcPr>
            <w:tcW w:w="2392" w:type="dxa"/>
            <w:tcBorders>
              <w:top w:val="single" w:color="auto" w:sz="4" w:space="0"/>
              <w:left w:val="nil"/>
              <w:bottom w:val="single" w:color="auto" w:sz="4" w:space="0"/>
              <w:right w:val="single" w:color="auto" w:sz="4" w:space="0"/>
            </w:tcBorders>
            <w:vAlign w:val="center"/>
          </w:tcPr>
          <w:p w14:paraId="10D826F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其他</w:t>
            </w:r>
          </w:p>
        </w:tc>
        <w:tc>
          <w:tcPr>
            <w:tcW w:w="1614" w:type="dxa"/>
            <w:tcBorders>
              <w:top w:val="single" w:color="auto" w:sz="4" w:space="0"/>
              <w:left w:val="nil"/>
              <w:bottom w:val="single" w:color="auto" w:sz="4" w:space="0"/>
              <w:right w:val="single" w:color="auto" w:sz="4" w:space="0"/>
            </w:tcBorders>
            <w:vAlign w:val="center"/>
          </w:tcPr>
          <w:p w14:paraId="206A658F">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1F0C731">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1B9774F5">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67DA96B8">
            <w:pPr>
              <w:jc w:val="center"/>
              <w:rPr>
                <w:color w:val="000000" w:themeColor="text1"/>
                <w:kern w:val="2"/>
                <w:highlight w:val="none"/>
                <w14:textFill>
                  <w14:solidFill>
                    <w14:schemeClr w14:val="tx1"/>
                  </w14:solidFill>
                </w14:textFill>
              </w:rPr>
            </w:pPr>
          </w:p>
        </w:tc>
      </w:tr>
      <w:tr w14:paraId="2FE7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F0153E9">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756C309D">
            <w:pPr>
              <w:jc w:val="center"/>
              <w:rPr>
                <w:rFonts w:ascii="Times New Roman" w:hAnsi="Times New Roman"/>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68A7A198">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6471EFF3">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7B4C688E">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1E2AFD1">
            <w:pPr>
              <w:jc w:val="center"/>
              <w:rPr>
                <w:color w:val="000000" w:themeColor="text1"/>
                <w:kern w:val="2"/>
                <w:highlight w:val="none"/>
                <w14:textFill>
                  <w14:solidFill>
                    <w14:schemeClr w14:val="tx1"/>
                  </w14:solidFill>
                </w14:textFill>
              </w:rPr>
            </w:pPr>
          </w:p>
        </w:tc>
      </w:tr>
      <w:tr w14:paraId="7DA9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43" w:type="dxa"/>
            <w:gridSpan w:val="6"/>
            <w:tcBorders>
              <w:top w:val="single" w:color="auto" w:sz="4" w:space="0"/>
              <w:left w:val="single" w:color="auto" w:sz="4" w:space="0"/>
              <w:bottom w:val="single" w:color="auto" w:sz="4" w:space="0"/>
              <w:right w:val="single" w:color="auto" w:sz="4" w:space="0"/>
            </w:tcBorders>
            <w:vAlign w:val="center"/>
          </w:tcPr>
          <w:p w14:paraId="16F24F7B">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 xml:space="preserve">合 </w:t>
            </w:r>
            <w:r>
              <w:rPr>
                <w:b/>
                <w:color w:val="000000" w:themeColor="text1"/>
                <w:kern w:val="2"/>
                <w:highlight w:val="none"/>
                <w14:textFill>
                  <w14:solidFill>
                    <w14:schemeClr w14:val="tx1"/>
                  </w14:solidFill>
                </w14:textFill>
              </w:rPr>
              <w:t xml:space="preserve">  </w:t>
            </w:r>
            <w:r>
              <w:rPr>
                <w:rFonts w:hint="eastAsia"/>
                <w:b/>
                <w:color w:val="000000" w:themeColor="text1"/>
                <w:kern w:val="2"/>
                <w:highlight w:val="none"/>
                <w14:textFill>
                  <w14:solidFill>
                    <w14:schemeClr w14:val="tx1"/>
                  </w14:solidFill>
                </w14:textFill>
              </w:rPr>
              <w:t>计：</w:t>
            </w:r>
          </w:p>
        </w:tc>
      </w:tr>
    </w:tbl>
    <w:p w14:paraId="72189F92">
      <w:pPr>
        <w:rPr>
          <w:rFonts w:cs="Times New Roman"/>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w:t>
      </w:r>
    </w:p>
    <w:p w14:paraId="5BF55A53">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注：1．本清单格式仅为示例，投标人应根据本招标项目工程特点和设计工作内容，分别列出并填写本表各设计项目的分项及子项。</w:t>
      </w:r>
    </w:p>
    <w:p w14:paraId="4DAED86D">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2．本清单表中“其他”是指工程设计实际需要或提供相关服务收取的费用，包括主体设计协调费、采用标准设计和复用设计费、非标准设备设计文件编制费、竣工图编制费等。</w:t>
      </w:r>
    </w:p>
    <w:p w14:paraId="46D5E8D4">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3．投标人应将详细的计算说明（包括每一分项、子项的计算依据及计算过程等）附在报价文件后面。</w:t>
      </w:r>
    </w:p>
    <w:p w14:paraId="7D8DA098">
      <w:pPr>
        <w:kinsoku/>
        <w:autoSpaceDE/>
        <w:autoSpaceDN/>
        <w:adjustRightInd/>
        <w:snapToGrid/>
        <w:textAlignment w:val="auto"/>
        <w:rPr>
          <w:color w:val="000000" w:themeColor="text1"/>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br w:type="page"/>
      </w:r>
    </w:p>
    <w:p w14:paraId="613651D7">
      <w:pPr>
        <w:jc w:val="center"/>
        <w:outlineLvl w:val="9"/>
        <w:rPr>
          <w:b/>
          <w:color w:val="000000" w:themeColor="text1"/>
          <w:spacing w:val="-3"/>
          <w:sz w:val="28"/>
          <w:szCs w:val="28"/>
          <w:highlight w:val="none"/>
          <w:lang w:eastAsia="zh-CN"/>
          <w14:textFill>
            <w14:solidFill>
              <w14:schemeClr w14:val="tx1"/>
            </w14:solidFill>
          </w14:textFill>
        </w:rPr>
      </w:pPr>
      <w:r>
        <w:rPr>
          <w:rFonts w:hint="eastAsia"/>
          <w:b/>
          <w:color w:val="000000" w:themeColor="text1"/>
          <w:spacing w:val="-3"/>
          <w:sz w:val="28"/>
          <w:szCs w:val="28"/>
          <w:highlight w:val="none"/>
          <w:lang w:eastAsia="zh-CN"/>
          <w14:textFill>
            <w14:solidFill>
              <w14:schemeClr w14:val="tx1"/>
            </w14:solidFill>
          </w14:textFill>
        </w:rPr>
        <w:t>（四）报价清单汇总表</w:t>
      </w:r>
    </w:p>
    <w:p w14:paraId="760995F2">
      <w:pPr>
        <w:ind w:firstLine="630" w:firstLineChars="300"/>
        <w:rPr>
          <w:color w:val="000000" w:themeColor="text1"/>
          <w:sz w:val="24"/>
          <w:szCs w:val="24"/>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 xml:space="preserve">                                         单位：万元（人民币）</w:t>
      </w:r>
    </w:p>
    <w:tbl>
      <w:tblPr>
        <w:tblStyle w:val="18"/>
        <w:tblW w:w="8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4"/>
        <w:gridCol w:w="2160"/>
        <w:gridCol w:w="2340"/>
        <w:gridCol w:w="3211"/>
      </w:tblGrid>
      <w:tr w14:paraId="0BCB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14:paraId="364E6B9E">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序 号</w:t>
            </w:r>
          </w:p>
        </w:tc>
        <w:tc>
          <w:tcPr>
            <w:tcW w:w="2160" w:type="dxa"/>
            <w:tcBorders>
              <w:top w:val="single" w:color="auto" w:sz="4" w:space="0"/>
              <w:left w:val="single" w:color="auto" w:sz="4" w:space="0"/>
              <w:bottom w:val="single" w:color="auto" w:sz="4" w:space="0"/>
              <w:right w:val="single" w:color="auto" w:sz="4" w:space="0"/>
            </w:tcBorders>
            <w:vAlign w:val="center"/>
          </w:tcPr>
          <w:p w14:paraId="23FE318E">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项 目</w:t>
            </w:r>
          </w:p>
        </w:tc>
        <w:tc>
          <w:tcPr>
            <w:tcW w:w="2340" w:type="dxa"/>
            <w:tcBorders>
              <w:top w:val="single" w:color="auto" w:sz="4" w:space="0"/>
              <w:left w:val="single" w:color="auto" w:sz="4" w:space="0"/>
              <w:bottom w:val="single" w:color="auto" w:sz="4" w:space="0"/>
              <w:right w:val="single" w:color="auto" w:sz="4" w:space="0"/>
            </w:tcBorders>
            <w:vAlign w:val="center"/>
          </w:tcPr>
          <w:p w14:paraId="0FE3BD8F">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费用合计</w:t>
            </w:r>
          </w:p>
        </w:tc>
        <w:tc>
          <w:tcPr>
            <w:tcW w:w="3211" w:type="dxa"/>
            <w:tcBorders>
              <w:top w:val="single" w:color="auto" w:sz="4" w:space="0"/>
              <w:left w:val="single" w:color="auto" w:sz="4" w:space="0"/>
              <w:bottom w:val="single" w:color="auto" w:sz="4" w:space="0"/>
              <w:right w:val="single" w:color="auto" w:sz="4" w:space="0"/>
            </w:tcBorders>
            <w:vAlign w:val="center"/>
          </w:tcPr>
          <w:p w14:paraId="224DAA5B">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备 注</w:t>
            </w:r>
          </w:p>
        </w:tc>
      </w:tr>
      <w:tr w14:paraId="4211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14:paraId="1618D550">
            <w:pPr>
              <w:jc w:val="center"/>
              <w:rPr>
                <w:rFonts w:hint="eastAsia" w:eastAsia="宋体"/>
                <w:color w:val="000000" w:themeColor="text1"/>
                <w:kern w:val="2"/>
                <w:highlight w:val="none"/>
                <w:lang w:eastAsia="zh-CN"/>
                <w14:textFill>
                  <w14:solidFill>
                    <w14:schemeClr w14:val="tx1"/>
                  </w14:solidFill>
                </w14:textFill>
              </w:rPr>
            </w:pPr>
            <w:r>
              <w:rPr>
                <w:rFonts w:hint="eastAsia" w:eastAsia="宋体"/>
                <w:color w:val="000000" w:themeColor="text1"/>
                <w:kern w:val="2"/>
                <w:highlight w:val="none"/>
                <w:lang w:eastAsia="zh-CN"/>
                <w14:textFill>
                  <w14:solidFill>
                    <w14:schemeClr w14:val="tx1"/>
                  </w14:solidFill>
                </w14:textFill>
              </w:rPr>
              <w:t>（</w:t>
            </w:r>
            <w:r>
              <w:rPr>
                <w:rFonts w:hint="eastAsia" w:eastAsia="宋体"/>
                <w:color w:val="000000" w:themeColor="text1"/>
                <w:kern w:val="2"/>
                <w:highlight w:val="none"/>
                <w:lang w:val="en-US" w:eastAsia="zh-CN"/>
                <w14:textFill>
                  <w14:solidFill>
                    <w14:schemeClr w14:val="tx1"/>
                  </w14:solidFill>
                </w14:textFill>
              </w:rPr>
              <w:t>1</w:t>
            </w:r>
            <w:r>
              <w:rPr>
                <w:rFonts w:hint="eastAsia" w:eastAsia="宋体"/>
                <w:color w:val="000000" w:themeColor="text1"/>
                <w:kern w:val="2"/>
                <w:highlight w:val="none"/>
                <w:lang w:eastAsia="zh-CN"/>
                <w14:textFill>
                  <w14:solidFill>
                    <w14:schemeClr w14:val="tx1"/>
                  </w14:solidFill>
                </w14:textFill>
              </w:rPr>
              <w:t>）</w:t>
            </w:r>
          </w:p>
        </w:tc>
        <w:tc>
          <w:tcPr>
            <w:tcW w:w="2160" w:type="dxa"/>
            <w:tcBorders>
              <w:top w:val="single" w:color="auto" w:sz="4" w:space="0"/>
              <w:left w:val="single" w:color="auto" w:sz="4" w:space="0"/>
              <w:bottom w:val="single" w:color="auto" w:sz="4" w:space="0"/>
              <w:right w:val="single" w:color="auto" w:sz="4" w:space="0"/>
            </w:tcBorders>
            <w:vAlign w:val="center"/>
          </w:tcPr>
          <w:p w14:paraId="7613E7C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公路工程设计</w:t>
            </w:r>
          </w:p>
        </w:tc>
        <w:tc>
          <w:tcPr>
            <w:tcW w:w="2340" w:type="dxa"/>
            <w:tcBorders>
              <w:top w:val="single" w:color="auto" w:sz="4" w:space="0"/>
              <w:left w:val="single" w:color="auto" w:sz="4" w:space="0"/>
              <w:bottom w:val="single" w:color="auto" w:sz="4" w:space="0"/>
              <w:right w:val="single" w:color="auto" w:sz="4" w:space="0"/>
            </w:tcBorders>
            <w:vAlign w:val="center"/>
          </w:tcPr>
          <w:p w14:paraId="37758F4D">
            <w:pPr>
              <w:jc w:val="center"/>
              <w:rPr>
                <w:color w:val="000000" w:themeColor="text1"/>
                <w:kern w:val="2"/>
                <w:highlight w:val="none"/>
                <w14:textFill>
                  <w14:solidFill>
                    <w14:schemeClr w14:val="tx1"/>
                  </w14:solidFill>
                </w14:textFill>
              </w:rPr>
            </w:pPr>
          </w:p>
        </w:tc>
        <w:tc>
          <w:tcPr>
            <w:tcW w:w="3211" w:type="dxa"/>
            <w:tcBorders>
              <w:top w:val="single" w:color="auto" w:sz="4" w:space="0"/>
              <w:left w:val="single" w:color="auto" w:sz="4" w:space="0"/>
              <w:bottom w:val="single" w:color="auto" w:sz="4" w:space="0"/>
              <w:right w:val="single" w:color="auto" w:sz="4" w:space="0"/>
            </w:tcBorders>
            <w:vAlign w:val="center"/>
          </w:tcPr>
          <w:p w14:paraId="4E45A725">
            <w:pPr>
              <w:jc w:val="center"/>
              <w:rPr>
                <w:color w:val="000000" w:themeColor="text1"/>
                <w:kern w:val="2"/>
                <w:highlight w:val="none"/>
                <w14:textFill>
                  <w14:solidFill>
                    <w14:schemeClr w14:val="tx1"/>
                  </w14:solidFill>
                </w14:textFill>
              </w:rPr>
            </w:pPr>
          </w:p>
        </w:tc>
      </w:tr>
      <w:tr w14:paraId="28F6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14:paraId="1F1A1D81">
            <w:pPr>
              <w:jc w:val="center"/>
              <w:rPr>
                <w:rFonts w:hint="eastAsia" w:eastAsia="宋体"/>
                <w:color w:val="000000" w:themeColor="text1"/>
                <w:kern w:val="2"/>
                <w:highlight w:val="none"/>
                <w:lang w:eastAsia="zh-CN"/>
                <w14:textFill>
                  <w14:solidFill>
                    <w14:schemeClr w14:val="tx1"/>
                  </w14:solidFill>
                </w14:textFill>
              </w:rPr>
            </w:pPr>
            <w:r>
              <w:rPr>
                <w:rFonts w:hint="eastAsia" w:eastAsia="宋体"/>
                <w:color w:val="000000" w:themeColor="text1"/>
                <w:kern w:val="2"/>
                <w:highlight w:val="none"/>
                <w:lang w:eastAsia="zh-CN"/>
                <w14:textFill>
                  <w14:solidFill>
                    <w14:schemeClr w14:val="tx1"/>
                  </w14:solidFill>
                </w14:textFill>
              </w:rPr>
              <w:t>（</w:t>
            </w:r>
            <w:r>
              <w:rPr>
                <w:rFonts w:hint="eastAsia" w:eastAsia="宋体"/>
                <w:color w:val="000000" w:themeColor="text1"/>
                <w:kern w:val="2"/>
                <w:highlight w:val="none"/>
                <w:lang w:val="en-US" w:eastAsia="zh-CN"/>
                <w14:textFill>
                  <w14:solidFill>
                    <w14:schemeClr w14:val="tx1"/>
                  </w14:solidFill>
                </w14:textFill>
              </w:rPr>
              <w:t>2</w:t>
            </w:r>
            <w:r>
              <w:rPr>
                <w:rFonts w:hint="eastAsia" w:eastAsia="宋体"/>
                <w:color w:val="000000" w:themeColor="text1"/>
                <w:kern w:val="2"/>
                <w:highlight w:val="none"/>
                <w:lang w:eastAsia="zh-CN"/>
                <w14:textFill>
                  <w14:solidFill>
                    <w14:schemeClr w14:val="tx1"/>
                  </w14:solidFill>
                </w14:textFill>
              </w:rPr>
              <w:t>）</w:t>
            </w:r>
          </w:p>
        </w:tc>
        <w:tc>
          <w:tcPr>
            <w:tcW w:w="2160" w:type="dxa"/>
            <w:tcBorders>
              <w:top w:val="single" w:color="auto" w:sz="4" w:space="0"/>
              <w:left w:val="single" w:color="auto" w:sz="4" w:space="0"/>
              <w:bottom w:val="single" w:color="auto" w:sz="4" w:space="0"/>
              <w:right w:val="single" w:color="auto" w:sz="4" w:space="0"/>
            </w:tcBorders>
            <w:vAlign w:val="center"/>
          </w:tcPr>
          <w:p w14:paraId="7BE3BA32">
            <w:pPr>
              <w:jc w:val="center"/>
              <w:rPr>
                <w:rFonts w:hint="default" w:eastAsia="宋体"/>
                <w:color w:val="000000" w:themeColor="text1"/>
                <w:kern w:val="2"/>
                <w:highlight w:val="none"/>
                <w:lang w:val="en-US" w:eastAsia="zh-CN"/>
                <w14:textFill>
                  <w14:solidFill>
                    <w14:schemeClr w14:val="tx1"/>
                  </w14:solidFill>
                </w14:textFill>
              </w:rPr>
            </w:pPr>
            <w:r>
              <w:rPr>
                <w:rFonts w:hint="eastAsia" w:eastAsia="宋体"/>
                <w:color w:val="000000" w:themeColor="text1"/>
                <w:kern w:val="2"/>
                <w:highlight w:val="none"/>
                <w:lang w:val="en-US" w:eastAsia="zh-CN"/>
                <w14:textFill>
                  <w14:solidFill>
                    <w14:schemeClr w14:val="tx1"/>
                  </w14:solidFill>
                </w14:textFill>
              </w:rPr>
              <w:t>.......</w:t>
            </w:r>
          </w:p>
        </w:tc>
        <w:tc>
          <w:tcPr>
            <w:tcW w:w="2340" w:type="dxa"/>
            <w:tcBorders>
              <w:top w:val="single" w:color="auto" w:sz="4" w:space="0"/>
              <w:left w:val="single" w:color="auto" w:sz="4" w:space="0"/>
              <w:bottom w:val="single" w:color="auto" w:sz="4" w:space="0"/>
              <w:right w:val="single" w:color="auto" w:sz="4" w:space="0"/>
            </w:tcBorders>
            <w:vAlign w:val="center"/>
          </w:tcPr>
          <w:p w14:paraId="51AAB802">
            <w:pPr>
              <w:jc w:val="center"/>
              <w:rPr>
                <w:color w:val="000000" w:themeColor="text1"/>
                <w:kern w:val="2"/>
                <w:highlight w:val="none"/>
                <w14:textFill>
                  <w14:solidFill>
                    <w14:schemeClr w14:val="tx1"/>
                  </w14:solidFill>
                </w14:textFill>
              </w:rPr>
            </w:pPr>
          </w:p>
        </w:tc>
        <w:tc>
          <w:tcPr>
            <w:tcW w:w="3211" w:type="dxa"/>
            <w:tcBorders>
              <w:top w:val="single" w:color="auto" w:sz="4" w:space="0"/>
              <w:left w:val="single" w:color="auto" w:sz="4" w:space="0"/>
              <w:bottom w:val="single" w:color="auto" w:sz="4" w:space="0"/>
              <w:right w:val="single" w:color="auto" w:sz="4" w:space="0"/>
            </w:tcBorders>
            <w:vAlign w:val="center"/>
          </w:tcPr>
          <w:p w14:paraId="19A15BD0">
            <w:pPr>
              <w:jc w:val="center"/>
              <w:rPr>
                <w:color w:val="000000" w:themeColor="text1"/>
                <w:kern w:val="2"/>
                <w:highlight w:val="none"/>
                <w14:textFill>
                  <w14:solidFill>
                    <w14:schemeClr w14:val="tx1"/>
                  </w14:solidFill>
                </w14:textFill>
              </w:rPr>
            </w:pPr>
          </w:p>
        </w:tc>
      </w:tr>
      <w:tr w14:paraId="19CB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14:paraId="2C6DA16D">
            <w:pPr>
              <w:jc w:val="center"/>
              <w:rPr>
                <w:rFonts w:hint="eastAsia" w:eastAsia="宋体"/>
                <w:color w:val="000000" w:themeColor="text1"/>
                <w:kern w:val="2"/>
                <w:highlight w:val="none"/>
                <w:lang w:eastAsia="zh-CN"/>
                <w14:textFill>
                  <w14:solidFill>
                    <w14:schemeClr w14:val="tx1"/>
                  </w14:solidFill>
                </w14:textFill>
              </w:rPr>
            </w:pPr>
            <w:r>
              <w:rPr>
                <w:rFonts w:hint="eastAsia" w:eastAsia="宋体"/>
                <w:color w:val="000000" w:themeColor="text1"/>
                <w:kern w:val="2"/>
                <w:highlight w:val="none"/>
                <w:lang w:eastAsia="zh-CN"/>
                <w14:textFill>
                  <w14:solidFill>
                    <w14:schemeClr w14:val="tx1"/>
                  </w14:solidFill>
                </w14:textFill>
              </w:rPr>
              <w:t>（</w:t>
            </w:r>
            <w:r>
              <w:rPr>
                <w:rFonts w:hint="eastAsia" w:eastAsia="宋体"/>
                <w:color w:val="000000" w:themeColor="text1"/>
                <w:kern w:val="2"/>
                <w:highlight w:val="none"/>
                <w:lang w:val="en-US" w:eastAsia="zh-CN"/>
                <w14:textFill>
                  <w14:solidFill>
                    <w14:schemeClr w14:val="tx1"/>
                  </w14:solidFill>
                </w14:textFill>
              </w:rPr>
              <w:t>3</w:t>
            </w:r>
            <w:r>
              <w:rPr>
                <w:rFonts w:hint="eastAsia" w:eastAsia="宋体"/>
                <w:color w:val="000000" w:themeColor="text1"/>
                <w:kern w:val="2"/>
                <w:highlight w:val="none"/>
                <w:lang w:eastAsia="zh-CN"/>
                <w14:textFill>
                  <w14:solidFill>
                    <w14:schemeClr w14:val="tx1"/>
                  </w14:solidFill>
                </w14:textFill>
              </w:rPr>
              <w:t>）</w:t>
            </w:r>
          </w:p>
        </w:tc>
        <w:tc>
          <w:tcPr>
            <w:tcW w:w="2160" w:type="dxa"/>
            <w:tcBorders>
              <w:top w:val="single" w:color="auto" w:sz="4" w:space="0"/>
              <w:left w:val="single" w:color="auto" w:sz="4" w:space="0"/>
              <w:bottom w:val="single" w:color="auto" w:sz="4" w:space="0"/>
              <w:right w:val="single" w:color="auto" w:sz="4" w:space="0"/>
            </w:tcBorders>
            <w:vAlign w:val="center"/>
          </w:tcPr>
          <w:p w14:paraId="1C4D097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投标总报价</w:t>
            </w:r>
          </w:p>
        </w:tc>
        <w:tc>
          <w:tcPr>
            <w:tcW w:w="2340" w:type="dxa"/>
            <w:tcBorders>
              <w:top w:val="single" w:color="auto" w:sz="4" w:space="0"/>
              <w:left w:val="single" w:color="auto" w:sz="4" w:space="0"/>
              <w:bottom w:val="single" w:color="auto" w:sz="4" w:space="0"/>
              <w:right w:val="single" w:color="auto" w:sz="4" w:space="0"/>
            </w:tcBorders>
            <w:vAlign w:val="center"/>
          </w:tcPr>
          <w:p w14:paraId="2926C491">
            <w:pPr>
              <w:jc w:val="center"/>
              <w:rPr>
                <w:color w:val="000000" w:themeColor="text1"/>
                <w:kern w:val="2"/>
                <w:highlight w:val="none"/>
                <w14:textFill>
                  <w14:solidFill>
                    <w14:schemeClr w14:val="tx1"/>
                  </w14:solidFill>
                </w14:textFill>
              </w:rPr>
            </w:pPr>
          </w:p>
        </w:tc>
        <w:tc>
          <w:tcPr>
            <w:tcW w:w="3211" w:type="dxa"/>
            <w:tcBorders>
              <w:top w:val="single" w:color="auto" w:sz="4" w:space="0"/>
              <w:left w:val="single" w:color="auto" w:sz="4" w:space="0"/>
              <w:bottom w:val="single" w:color="auto" w:sz="4" w:space="0"/>
              <w:right w:val="single" w:color="auto" w:sz="4" w:space="0"/>
            </w:tcBorders>
            <w:vAlign w:val="center"/>
          </w:tcPr>
          <w:p w14:paraId="2C82CA3C">
            <w:pPr>
              <w:jc w:val="center"/>
              <w:rPr>
                <w:color w:val="000000" w:themeColor="text1"/>
                <w:kern w:val="2"/>
                <w:highlight w:val="none"/>
                <w14:textFill>
                  <w14:solidFill>
                    <w14:schemeClr w14:val="tx1"/>
                  </w14:solidFill>
                </w14:textFill>
              </w:rPr>
            </w:pPr>
          </w:p>
        </w:tc>
      </w:tr>
    </w:tbl>
    <w:p w14:paraId="71C8EFE2">
      <w:pPr>
        <w:spacing w:line="360" w:lineRule="auto"/>
        <w:jc w:val="right"/>
        <w:rPr>
          <w:rFonts w:cs="Times New Roman"/>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w:t>
      </w:r>
    </w:p>
    <w:p w14:paraId="33FC9A14">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注：本报价清单汇总表格式仅为示例，投标人应根据本招标项目工程特点和设计工作内容，分别列出并填写本表各分项及子项。</w:t>
      </w:r>
    </w:p>
    <w:p w14:paraId="27F1A93E">
      <w:pPr>
        <w:spacing w:line="360" w:lineRule="auto"/>
        <w:jc w:val="center"/>
        <w:rPr>
          <w:rFonts w:ascii="Times New Roman" w:hAnsi="Times New Roman"/>
          <w:color w:val="000000" w:themeColor="text1"/>
          <w:sz w:val="24"/>
          <w:szCs w:val="24"/>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t xml:space="preserve"> </w:t>
      </w:r>
    </w:p>
    <w:p w14:paraId="53819523">
      <w:pPr>
        <w:rPr>
          <w:color w:val="000000" w:themeColor="text1"/>
          <w:highlight w:val="none"/>
          <w:lang w:eastAsia="zh-CN"/>
          <w14:textFill>
            <w14:solidFill>
              <w14:schemeClr w14:val="tx1"/>
            </w14:solidFill>
          </w14:textFill>
        </w:rPr>
      </w:pPr>
    </w:p>
    <w:p w14:paraId="048F0210">
      <w:pPr>
        <w:rPr>
          <w:color w:val="000000" w:themeColor="text1"/>
          <w:highlight w:val="none"/>
          <w:lang w:eastAsia="zh-CN"/>
          <w14:textFill>
            <w14:solidFill>
              <w14:schemeClr w14:val="tx1"/>
            </w14:solidFill>
          </w14:textFill>
        </w:rPr>
      </w:pPr>
    </w:p>
    <w:p w14:paraId="4BCD87DD">
      <w:pPr>
        <w:rPr>
          <w:color w:val="000000" w:themeColor="text1"/>
          <w:highlight w:val="none"/>
          <w:lang w:eastAsia="zh-CN"/>
          <w14:textFill>
            <w14:solidFill>
              <w14:schemeClr w14:val="tx1"/>
            </w14:solidFill>
          </w14:textFill>
        </w:rPr>
      </w:pPr>
    </w:p>
    <w:p w14:paraId="6CC57A32">
      <w:pPr>
        <w:rPr>
          <w:color w:val="000000" w:themeColor="text1"/>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br w:type="page"/>
      </w:r>
    </w:p>
    <w:p w14:paraId="077E4315">
      <w:pPr>
        <w:rPr>
          <w:color w:val="000000" w:themeColor="text1"/>
          <w:highlight w:val="none"/>
          <w:lang w:eastAsia="zh-CN"/>
          <w14:textFill>
            <w14:solidFill>
              <w14:schemeClr w14:val="tx1"/>
            </w14:solidFill>
          </w14:textFill>
        </w:rPr>
      </w:pPr>
    </w:p>
    <w:p w14:paraId="0F17BBBD">
      <w:pPr>
        <w:tabs>
          <w:tab w:val="left" w:pos="3287"/>
        </w:tabs>
        <w:kinsoku/>
        <w:spacing w:before="78" w:line="219" w:lineRule="auto"/>
        <w:ind w:left="0" w:leftChars="0" w:firstLine="0" w:firstLineChars="0"/>
        <w:jc w:val="center"/>
        <w:rPr>
          <w:rFonts w:ascii="宋体" w:hAnsi="宋体" w:eastAsia="宋体" w:cs="宋体"/>
          <w:color w:val="000000" w:themeColor="text1"/>
          <w:sz w:val="32"/>
          <w:szCs w:val="32"/>
          <w:highlight w:val="none"/>
          <w:u w:val="none"/>
          <w:lang w:eastAsia="zh-CN"/>
          <w14:textFill>
            <w14:solidFill>
              <w14:schemeClr w14:val="tx1"/>
            </w14:solidFill>
          </w14:textFill>
        </w:rPr>
      </w:pPr>
      <w:r>
        <w:rPr>
          <w:rFonts w:hint="eastAsia" w:ascii="宋体" w:hAnsi="宋体" w:eastAsia="宋体" w:cs="宋体"/>
          <w:color w:val="000000" w:themeColor="text1"/>
          <w:sz w:val="32"/>
          <w:szCs w:val="32"/>
          <w:highlight w:val="none"/>
          <w:u w:val="single"/>
          <w:lang w:eastAsia="zh-CN"/>
          <w14:textFill>
            <w14:solidFill>
              <w14:schemeClr w14:val="tx1"/>
            </w14:solidFill>
          </w14:textFill>
        </w:rPr>
        <w:t>广东省韶关市始兴县道路交通信息化工程建设项目设计</w:t>
      </w:r>
      <w:r>
        <w:rPr>
          <w:rFonts w:hint="eastAsia" w:ascii="宋体" w:hAnsi="宋体" w:eastAsia="宋体" w:cs="宋体"/>
          <w:color w:val="000000" w:themeColor="text1"/>
          <w:sz w:val="32"/>
          <w:szCs w:val="32"/>
          <w:highlight w:val="none"/>
          <w:u w:val="none"/>
          <w:lang w:eastAsia="zh-CN"/>
          <w14:textFill>
            <w14:solidFill>
              <w14:schemeClr w14:val="tx1"/>
            </w14:solidFill>
          </w14:textFill>
        </w:rPr>
        <w:t>招标</w:t>
      </w:r>
    </w:p>
    <w:p w14:paraId="284EB622">
      <w:pPr>
        <w:kinsoku/>
        <w:spacing w:line="261" w:lineRule="auto"/>
        <w:ind w:left="0" w:leftChars="0" w:firstLine="0" w:firstLineChars="0"/>
        <w:jc w:val="center"/>
        <w:rPr>
          <w:rFonts w:ascii="宋体" w:hAnsi="宋体" w:eastAsia="宋体" w:cs="宋体"/>
          <w:color w:val="000000" w:themeColor="text1"/>
          <w:highlight w:val="none"/>
          <w:u w:val="none"/>
          <w:lang w:eastAsia="zh-CN"/>
          <w14:textFill>
            <w14:solidFill>
              <w14:schemeClr w14:val="tx1"/>
            </w14:solidFill>
          </w14:textFill>
        </w:rPr>
      </w:pPr>
    </w:p>
    <w:p w14:paraId="0AF91B87">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20DA538">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4CAFEE3C">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436D2CBD">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50FAA47F">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0283E51">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4F3690C1">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423E585A">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01856429">
      <w:pPr>
        <w:kinsoku/>
        <w:spacing w:before="159" w:line="372" w:lineRule="auto"/>
        <w:ind w:left="3322" w:right="2621" w:hanging="691"/>
        <w:rPr>
          <w:rFonts w:ascii="宋体" w:hAnsi="宋体" w:eastAsia="宋体" w:cs="宋体"/>
          <w:color w:val="000000" w:themeColor="text1"/>
          <w:sz w:val="36"/>
          <w:szCs w:val="36"/>
          <w:highlight w:val="none"/>
          <w:lang w:eastAsia="zh-CN"/>
          <w14:textFill>
            <w14:solidFill>
              <w14:schemeClr w14:val="tx1"/>
            </w14:solidFill>
          </w14:textFill>
        </w:rPr>
      </w:pPr>
      <w:r>
        <w:rPr>
          <w:rFonts w:hint="eastAsia" w:ascii="宋体" w:hAnsi="宋体" w:eastAsia="宋体" w:cs="宋体"/>
          <w:color w:val="000000" w:themeColor="text1"/>
          <w:sz w:val="49"/>
          <w:szCs w:val="49"/>
          <w:highlight w:val="none"/>
          <w:lang w:eastAsia="zh-CN"/>
          <w14:textFill>
            <w14:solidFill>
              <w14:schemeClr w14:val="tx1"/>
            </w14:solidFill>
          </w14:textFill>
        </w:rPr>
        <w:t xml:space="preserve">投  标  文  件 </w:t>
      </w:r>
      <w:r>
        <w:rPr>
          <w:rFonts w:hint="eastAsia" w:ascii="宋体" w:hAnsi="宋体" w:eastAsia="宋体" w:cs="宋体"/>
          <w:color w:val="000000" w:themeColor="text1"/>
          <w:sz w:val="36"/>
          <w:szCs w:val="36"/>
          <w:highlight w:val="none"/>
          <w:lang w:eastAsia="zh-CN"/>
          <w14:textFill>
            <w14:solidFill>
              <w14:schemeClr w14:val="tx1"/>
            </w14:solidFill>
          </w14:textFill>
        </w:rPr>
        <w:t>（定标文件）</w:t>
      </w:r>
    </w:p>
    <w:p w14:paraId="25B5EA0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4009DC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A676E4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710D901">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F0D511A">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A13FDA4">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37AB79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C6B6E8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7CDE65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738C28B">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53234402">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8847799">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5C64680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6E38333">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C8F0165">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46DB29E6">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6FA29707">
      <w:pPr>
        <w:tabs>
          <w:tab w:val="left" w:pos="3313"/>
        </w:tabs>
        <w:kinsoku/>
        <w:spacing w:before="91" w:line="568" w:lineRule="auto"/>
        <w:ind w:left="2196" w:right="614" w:hanging="1602"/>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年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月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日</w:t>
      </w:r>
    </w:p>
    <w:p w14:paraId="1783FEFE">
      <w:pPr>
        <w:kinsoku/>
        <w:spacing w:line="568" w:lineRule="auto"/>
        <w:rPr>
          <w:rFonts w:ascii="宋体" w:hAnsi="宋体" w:eastAsia="宋体" w:cs="宋体"/>
          <w:color w:val="000000" w:themeColor="text1"/>
          <w:sz w:val="28"/>
          <w:szCs w:val="28"/>
          <w:highlight w:val="none"/>
          <w:lang w:eastAsia="zh-CN"/>
          <w14:textFill>
            <w14:solidFill>
              <w14:schemeClr w14:val="tx1"/>
            </w14:solidFill>
          </w14:textFill>
        </w:rPr>
        <w:sectPr>
          <w:headerReference r:id="rId65" w:type="default"/>
          <w:footerReference r:id="rId66" w:type="default"/>
          <w:pgSz w:w="11907" w:h="16841"/>
          <w:pgMar w:top="1173" w:right="1555" w:bottom="1014" w:left="1615" w:header="862" w:footer="853" w:gutter="0"/>
          <w:cols w:space="720" w:num="1"/>
        </w:sectPr>
      </w:pPr>
    </w:p>
    <w:p w14:paraId="56A646DF">
      <w:pPr>
        <w:spacing w:line="500" w:lineRule="exact"/>
        <w:jc w:val="cente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lang w:eastAsia="zh-CN"/>
          <w14:textFill>
            <w14:solidFill>
              <w14:schemeClr w14:val="tx1"/>
            </w14:solidFill>
          </w14:textFill>
        </w:rPr>
        <w:t>定标因素评审资料</w:t>
      </w:r>
    </w:p>
    <w:p w14:paraId="2AAFB12D">
      <w:pPr>
        <w:jc w:val="left"/>
        <w:rPr>
          <w:rFonts w:hint="eastAsia" w:ascii="宋体" w:hAnsi="宋体" w:eastAsia="宋体" w:cs="宋体"/>
          <w:color w:val="000000" w:themeColor="text1"/>
          <w:sz w:val="24"/>
          <w:highlight w:val="none"/>
          <w:lang w:eastAsia="zh-CN"/>
          <w14:textFill>
            <w14:solidFill>
              <w14:schemeClr w14:val="tx1"/>
            </w14:solidFill>
          </w14:textFill>
        </w:rPr>
      </w:pPr>
    </w:p>
    <w:p w14:paraId="2EE98819">
      <w:pPr>
        <w:kinsoku/>
        <w:jc w:val="lef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投标人根据“第三章 评标和定标办法（二）定标办法”载明的</w:t>
      </w:r>
      <w:r>
        <w:rPr>
          <w:rFonts w:hint="eastAsia" w:ascii="宋体" w:hAnsi="宋体" w:eastAsia="宋体" w:cs="宋体"/>
          <w:b w:val="0"/>
          <w:bCs w:val="0"/>
          <w:color w:val="000000" w:themeColor="text1"/>
          <w:sz w:val="28"/>
          <w:szCs w:val="28"/>
          <w:highlight w:val="none"/>
          <w:lang w:eastAsia="zh-CN"/>
          <w14:textFill>
            <w14:solidFill>
              <w14:schemeClr w14:val="tx1"/>
            </w14:solidFill>
          </w14:textFill>
        </w:rPr>
        <w:t>定标因素，</w:t>
      </w: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提交</w:t>
      </w:r>
      <w:r>
        <w:rPr>
          <w:rFonts w:hint="eastAsia" w:ascii="宋体" w:hAnsi="宋体" w:eastAsia="宋体" w:cs="宋体"/>
          <w:b w:val="0"/>
          <w:bCs w:val="0"/>
          <w:color w:val="000000" w:themeColor="text1"/>
          <w:sz w:val="28"/>
          <w:szCs w:val="28"/>
          <w:highlight w:val="none"/>
          <w:lang w:eastAsia="zh-CN"/>
          <w14:textFill>
            <w14:solidFill>
              <w14:schemeClr w14:val="tx1"/>
            </w14:solidFill>
          </w14:textFill>
        </w:rPr>
        <w:t>评审资料。</w:t>
      </w:r>
    </w:p>
    <w:sectPr>
      <w:headerReference r:id="rId67" w:type="default"/>
      <w:footerReference r:id="rId68" w:type="default"/>
      <w:pgSz w:w="11907" w:h="16841"/>
      <w:pgMar w:top="1173" w:right="1555" w:bottom="1014" w:left="1615" w:header="862" w:footer="85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7F" w:usb3="00000000" w:csb0="203F01FF" w:csb1="DFFF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88800">
    <w:pPr>
      <w:pStyle w:val="1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94563">
    <w:pPr>
      <w:spacing w:line="174" w:lineRule="auto"/>
      <w:ind w:left="4280"/>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0ADFAB">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Kux4z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QKux4zAgAAZQQAAA4AAAAAAAAAAQAgAAAAHwEAAGRycy9lMm9Eb2MueG1sUEsF&#10;BgAAAAAGAAYAWQEAAMQFAAAAAA==&#10;">
              <v:fill on="f" focussize="0,0"/>
              <v:stroke on="f" weight="0.5pt"/>
              <v:imagedata o:title=""/>
              <o:lock v:ext="edit" aspectratio="f"/>
              <v:textbox inset="0mm,0mm,0mm,0mm" style="mso-fit-shape-to-text:t;">
                <w:txbxContent>
                  <w:p w14:paraId="350ADFAB">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397BD">
    <w:pPr>
      <w:spacing w:line="174" w:lineRule="auto"/>
      <w:ind w:left="4280"/>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1C3A16">
                          <w:pPr>
                            <w:pStyle w:val="10"/>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wfDAy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jB8MDICAABlBAAADgAAAAAAAAABACAAAAAfAQAAZHJzL2Uyb0RvYy54bWxQSwUG&#10;AAAAAAYABgBZAQAAwwUAAAAA&#10;">
              <v:fill on="f" focussize="0,0"/>
              <v:stroke on="f" weight="0.5pt"/>
              <v:imagedata o:title=""/>
              <o:lock v:ext="edit" aspectratio="f"/>
              <v:textbox inset="0mm,0mm,0mm,0mm" style="mso-fit-shape-to-text:t;">
                <w:txbxContent>
                  <w:p w14:paraId="381C3A16">
                    <w:pPr>
                      <w:pStyle w:val="1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D215B">
    <w:pPr>
      <w:spacing w:line="174" w:lineRule="auto"/>
      <w:ind w:left="428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0C0FAC">
                          <w:pPr>
                            <w:pStyle w:val="1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ZPio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DZPiozAgAAZQQAAA4AAAAAAAAAAQAgAAAAHwEAAGRycy9lMm9Eb2MueG1sUEsF&#10;BgAAAAAGAAYAWQEAAMQFAAAAAA==&#10;">
              <v:fill on="f" focussize="0,0"/>
              <v:stroke on="f" weight="0.5pt"/>
              <v:imagedata o:title=""/>
              <o:lock v:ext="edit" aspectratio="f"/>
              <v:textbox inset="0mm,0mm,0mm,0mm" style="mso-fit-shape-to-text:t;">
                <w:txbxContent>
                  <w:p w14:paraId="550C0FAC">
                    <w:pPr>
                      <w:pStyle w:val="1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AA0CE">
    <w:pPr>
      <w:spacing w:line="174" w:lineRule="auto"/>
      <w:ind w:left="428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C4D8A5">
                          <w:pPr>
                            <w:pStyle w:val="1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K5b8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WH2LAtb&#10;vbM8Qkd5vF0dA+RMKkdROiXQnXjA9KU+9ZsSx/vPc4p6/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grlvzICAABlBAAADgAAAAAAAAABACAAAAAfAQAAZHJzL2Uyb0RvYy54bWxQSwUG&#10;AAAAAAYABgBZAQAAwwUAAAAA&#10;">
              <v:fill on="f" focussize="0,0"/>
              <v:stroke on="f" weight="0.5pt"/>
              <v:imagedata o:title=""/>
              <o:lock v:ext="edit" aspectratio="f"/>
              <v:textbox inset="0mm,0mm,0mm,0mm" style="mso-fit-shape-to-text:t;">
                <w:txbxContent>
                  <w:p w14:paraId="6BC4D8A5">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76721">
    <w:pPr>
      <w:spacing w:line="174" w:lineRule="auto"/>
      <w:ind w:left="428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02D276">
                          <w:pPr>
                            <w:pStyle w:val="10"/>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KUn8zAgAAZ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p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mKUn8zAgAAZQQAAA4AAAAAAAAAAQAgAAAAHwEAAGRycy9lMm9Eb2MueG1sUEsF&#10;BgAAAAAGAAYAWQEAAMQFAAAAAA==&#10;">
              <v:fill on="f" focussize="0,0"/>
              <v:stroke on="f" weight="0.5pt"/>
              <v:imagedata o:title=""/>
              <o:lock v:ext="edit" aspectratio="f"/>
              <v:textbox inset="0mm,0mm,0mm,0mm" style="mso-fit-shape-to-text:t;">
                <w:txbxContent>
                  <w:p w14:paraId="6702D276">
                    <w:pPr>
                      <w:pStyle w:val="10"/>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18B89">
    <w:pPr>
      <w:spacing w:line="174" w:lineRule="auto"/>
      <w:ind w:left="428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45B17D">
                          <w:pPr>
                            <w:pStyle w:val="10"/>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jEGUzAgAAZ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SE2bMs&#10;bPWj5RE6yuPt6hAgZ1I5itIpge7EA6Yv9anflDjef55T1NO/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jEGUzAgAAZQQAAA4AAAAAAAAAAQAgAAAAHwEAAGRycy9lMm9Eb2MueG1sUEsF&#10;BgAAAAAGAAYAWQEAAMQFAAAAAA==&#10;">
              <v:fill on="f" focussize="0,0"/>
              <v:stroke on="f" weight="0.5pt"/>
              <v:imagedata o:title=""/>
              <o:lock v:ext="edit" aspectratio="f"/>
              <v:textbox inset="0mm,0mm,0mm,0mm" style="mso-fit-shape-to-text:t;">
                <w:txbxContent>
                  <w:p w14:paraId="6B45B17D">
                    <w:pPr>
                      <w:pStyle w:val="10"/>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8A352">
    <w:pPr>
      <w:spacing w:line="174" w:lineRule="auto"/>
      <w:ind w:left="4284"/>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940271">
                          <w:pPr>
                            <w:pStyle w:val="1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164h8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XriHzICAABlBAAADgAAAAAAAAABACAAAAAfAQAAZHJzL2Uyb0RvYy54bWxQSwUG&#10;AAAAAAYABgBZAQAAwwUAAAAA&#10;">
              <v:fill on="f" focussize="0,0"/>
              <v:stroke on="f" weight="0.5pt"/>
              <v:imagedata o:title=""/>
              <o:lock v:ext="edit" aspectratio="f"/>
              <v:textbox inset="0mm,0mm,0mm,0mm" style="mso-fit-shape-to-text:t;">
                <w:txbxContent>
                  <w:p w14:paraId="07940271">
                    <w:pPr>
                      <w:pStyle w:val="1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307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D30B2B">
                          <w:pPr>
                            <w:pStyle w:val="10"/>
                          </w:pPr>
                          <w:r>
                            <w:fldChar w:fldCharType="begin"/>
                          </w:r>
                          <w:r>
                            <w:instrText xml:space="preserve"> PAGE  \* MERGEFORMAT </w:instrText>
                          </w:r>
                          <w:r>
                            <w:fldChar w:fldCharType="separate"/>
                          </w:r>
                          <w:r>
                            <w:t>105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hdABc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hdABczAgAAZQQAAA4AAAAAAAAAAQAgAAAAHwEAAGRycy9lMm9Eb2MueG1sUEsF&#10;BgAAAAAGAAYAWQEAAMQFAAAAAA==&#10;">
              <v:fill on="f" focussize="0,0"/>
              <v:stroke on="f" weight="0.5pt"/>
              <v:imagedata o:title=""/>
              <o:lock v:ext="edit" aspectratio="f"/>
              <v:textbox inset="0mm,0mm,0mm,0mm" style="mso-fit-shape-to-text:t;">
                <w:txbxContent>
                  <w:p w14:paraId="54D30B2B">
                    <w:pPr>
                      <w:pStyle w:val="10"/>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53244">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3DC430">
                          <w:pPr>
                            <w:pStyle w:val="10"/>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0Qg0zAgAAZ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K0Qg0zAgAAZQQAAA4AAAAAAAAAAQAgAAAAHwEAAGRycy9lMm9Eb2MueG1sUEsF&#10;BgAAAAAGAAYAWQEAAMQFAAAAAA==&#10;">
              <v:fill on="f" focussize="0,0"/>
              <v:stroke on="f" weight="0.5pt"/>
              <v:imagedata o:title=""/>
              <o:lock v:ext="edit" aspectratio="f"/>
              <v:textbox inset="0mm,0mm,0mm,0mm" style="mso-fit-shape-to-text:t;">
                <w:txbxContent>
                  <w:p w14:paraId="7F3DC430">
                    <w:pPr>
                      <w:pStyle w:val="10"/>
                    </w:pPr>
                    <w:r>
                      <w:fldChar w:fldCharType="begin"/>
                    </w:r>
                    <w:r>
                      <w:instrText xml:space="preserve"> PAGE  \* MERGEFORMAT </w:instrText>
                    </w:r>
                    <w:r>
                      <w:fldChar w:fldCharType="separate"/>
                    </w:r>
                    <w:r>
                      <w:t>106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FA2F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46B15">
                          <w:pPr>
                            <w:pStyle w:val="10"/>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7AzFAzAgAAZQQAAA4AAABkcnMvZTJvRG9jLnhtbK1UzY7TMBC+I/EO&#10;lu80adEu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7AzFAzAgAAZQQAAA4AAAAAAAAAAQAgAAAAHwEAAGRycy9lMm9Eb2MueG1sUEsF&#10;BgAAAAAGAAYAWQEAAMQFAAAAAA==&#10;">
              <v:fill on="f" focussize="0,0"/>
              <v:stroke on="f" weight="0.5pt"/>
              <v:imagedata o:title=""/>
              <o:lock v:ext="edit" aspectratio="f"/>
              <v:textbox inset="0mm,0mm,0mm,0mm" style="mso-fit-shape-to-text:t;">
                <w:txbxContent>
                  <w:p w14:paraId="7A246B15">
                    <w:pPr>
                      <w:pStyle w:val="10"/>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C8CD0">
    <w:pPr>
      <w:pStyle w:val="1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FA66">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FC4B55">
                          <w:pPr>
                            <w:pStyle w:val="10"/>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TSWQzAgAAZQ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fU6KZQsdP37+d&#10;fvw6/fxKcAeBWutniHuwiAzdW9NhbIZ7j8vIu6ucir9gROCHvMeLvKILhMdH08l0msPF4RsOwM8e&#10;n1vnwzthFIlGQR36l2Rlh40PfegQErNps26kTD2UmrQFvXr9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oTSWQzAgAAZQQAAA4AAAAAAAAAAQAgAAAAHwEAAGRycy9lMm9Eb2MueG1sUEsF&#10;BgAAAAAGAAYAWQEAAMQFAAAAAA==&#10;">
              <v:fill on="f" focussize="0,0"/>
              <v:stroke on="f" weight="0.5pt"/>
              <v:imagedata o:title=""/>
              <o:lock v:ext="edit" aspectratio="f"/>
              <v:textbox inset="0mm,0mm,0mm,0mm" style="mso-fit-shape-to-text:t;">
                <w:txbxContent>
                  <w:p w14:paraId="29FC4B55">
                    <w:pPr>
                      <w:pStyle w:val="10"/>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7641">
    <w:pPr>
      <w:spacing w:line="174" w:lineRule="auto"/>
      <w:ind w:left="425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1E7638">
                          <w:pPr>
                            <w:pStyle w:val="10"/>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zAkvE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zAkvEzAgAAZQQAAA4AAAAAAAAAAQAgAAAAHwEAAGRycy9lMm9Eb2MueG1sUEsF&#10;BgAAAAAGAAYAWQEAAMQFAAAAAA==&#10;">
              <v:fill on="f" focussize="0,0"/>
              <v:stroke on="f" weight="0.5pt"/>
              <v:imagedata o:title=""/>
              <o:lock v:ext="edit" aspectratio="f"/>
              <v:textbox inset="0mm,0mm,0mm,0mm" style="mso-fit-shape-to-text:t;">
                <w:txbxContent>
                  <w:p w14:paraId="791E7638">
                    <w:pPr>
                      <w:pStyle w:val="10"/>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F10C7">
    <w:pPr>
      <w:spacing w:line="174" w:lineRule="auto"/>
      <w:ind w:left="425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95F9D2">
                          <w:pPr>
                            <w:pStyle w:val="10"/>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DmMU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QizZ1nY&#10;6p3lETrK4+3qGCBnUjmK0imB7sQDpi/1qd+UON5/nlPU4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gOYxTICAABlBAAADgAAAAAAAAABACAAAAAfAQAAZHJzL2Uyb0RvYy54bWxQSwUG&#10;AAAAAAYABgBZAQAAwwUAAAAA&#10;">
              <v:fill on="f" focussize="0,0"/>
              <v:stroke on="f" weight="0.5pt"/>
              <v:imagedata o:title=""/>
              <o:lock v:ext="edit" aspectratio="f"/>
              <v:textbox inset="0mm,0mm,0mm,0mm" style="mso-fit-shape-to-text:t;">
                <w:txbxContent>
                  <w:p w14:paraId="5895F9D2">
                    <w:pPr>
                      <w:pStyle w:val="10"/>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4F5C2">
    <w:pPr>
      <w:spacing w:line="174" w:lineRule="auto"/>
      <w:ind w:left="425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EE2007">
                          <w:pPr>
                            <w:pStyle w:val="10"/>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q2t8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Z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q2t8zAgAAZQQAAA4AAAAAAAAAAQAgAAAAHwEAAGRycy9lMm9Eb2MueG1sUEsF&#10;BgAAAAAGAAYAWQEAAMQFAAAAAA==&#10;">
              <v:fill on="f" focussize="0,0"/>
              <v:stroke on="f" weight="0.5pt"/>
              <v:imagedata o:title=""/>
              <o:lock v:ext="edit" aspectratio="f"/>
              <v:textbox inset="0mm,0mm,0mm,0mm" style="mso-fit-shape-to-text:t;">
                <w:txbxContent>
                  <w:p w14:paraId="4DEE2007">
                    <w:pPr>
                      <w:pStyle w:val="10"/>
                    </w:pPr>
                    <w:r>
                      <w:fldChar w:fldCharType="begin"/>
                    </w:r>
                    <w:r>
                      <w:instrText xml:space="preserve"> PAGE  \* MERGEFORMAT </w:instrText>
                    </w:r>
                    <w:r>
                      <w:fldChar w:fldCharType="separate"/>
                    </w:r>
                    <w:r>
                      <w:t>121</w:t>
                    </w:r>
                    <w:r>
                      <w:fldChar w:fldCharType="end"/>
                    </w:r>
                  </w:p>
                </w:txbxContent>
              </v:textbox>
            </v:shape>
          </w:pict>
        </mc:Fallback>
      </mc:AlternateContent>
    </w:r>
    <w:r>
      <w:rPr>
        <w:rFonts w:ascii="Times New Roman" w:hAnsi="Times New Roman" w:eastAsia="Times New Roman" w:cs="Times New Roman"/>
        <w:spacing w:val="-9"/>
        <w:sz w:val="18"/>
        <w:szCs w:val="18"/>
      </w:rPr>
      <w:t>119</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DC3EC">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6501E1">
                          <w:pPr>
                            <w:pStyle w:val="10"/>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3Fpg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p3FpgzAgAAZQQAAA4AAAAAAAAAAQAgAAAAHwEAAGRycy9lMm9Eb2MueG1sUEsF&#10;BgAAAAAGAAYAWQEAAMQFAAAAAA==&#10;">
              <v:fill on="f" focussize="0,0"/>
              <v:stroke on="f" weight="0.5pt"/>
              <v:imagedata o:title=""/>
              <o:lock v:ext="edit" aspectratio="f"/>
              <v:textbox inset="0mm,0mm,0mm,0mm" style="mso-fit-shape-to-text:t;">
                <w:txbxContent>
                  <w:p w14:paraId="506501E1">
                    <w:pPr>
                      <w:pStyle w:val="10"/>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00D8">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900830">
                          <w:pPr>
                            <w:pStyle w:val="10"/>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eVIIz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Z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CeVIIzAgAAZQQAAA4AAAAAAAAAAQAgAAAAHwEAAGRycy9lMm9Eb2MueG1sUEsF&#10;BgAAAAAGAAYAWQEAAMQFAAAAAA==&#10;">
              <v:fill on="f" focussize="0,0"/>
              <v:stroke on="f" weight="0.5pt"/>
              <v:imagedata o:title=""/>
              <o:lock v:ext="edit" aspectratio="f"/>
              <v:textbox inset="0mm,0mm,0mm,0mm" style="mso-fit-shape-to-text:t;">
                <w:txbxContent>
                  <w:p w14:paraId="35900830">
                    <w:pPr>
                      <w:pStyle w:val="10"/>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3038C">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254204">
                          <w:pPr>
                            <w:pStyle w:val="10"/>
                          </w:pPr>
                          <w:r>
                            <w:fldChar w:fldCharType="begin"/>
                          </w:r>
                          <w:r>
                            <w:instrText xml:space="preserve"> PAGE  \* MERGEFORMAT </w:instrText>
                          </w:r>
                          <w:r>
                            <w:fldChar w:fldCharType="separate"/>
                          </w:r>
                          <w:r>
                            <w:t>125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6kk6wy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qSTrDICAABlBAAADgAAAAAAAAABACAAAAAfAQAAZHJzL2Uyb0RvYy54bWxQSwUG&#10;AAAAAAYABgBZAQAAwwUAAAAA&#10;">
              <v:fill on="f" focussize="0,0"/>
              <v:stroke on="f" weight="0.5pt"/>
              <v:imagedata o:title=""/>
              <o:lock v:ext="edit" aspectratio="f"/>
              <v:textbox inset="0mm,0mm,0mm,0mm" style="mso-fit-shape-to-text:t;">
                <w:txbxContent>
                  <w:p w14:paraId="1E254204">
                    <w:pPr>
                      <w:pStyle w:val="10"/>
                    </w:pPr>
                    <w:r>
                      <w:fldChar w:fldCharType="begin"/>
                    </w:r>
                    <w:r>
                      <w:instrText xml:space="preserve"> PAGE  \* MERGEFORMAT </w:instrText>
                    </w:r>
                    <w:r>
                      <w:fldChar w:fldCharType="separate"/>
                    </w:r>
                    <w:r>
                      <w:t>125</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020F2">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80B307">
                          <w:pPr>
                            <w:pStyle w:val="10"/>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RN0bY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RN0bYzAgAAZQQAAA4AAAAAAAAAAQAgAAAAHwEAAGRycy9lMm9Eb2MueG1sUEsF&#10;BgAAAAAGAAYAWQEAAMQFAAAAAA==&#10;">
              <v:fill on="f" focussize="0,0"/>
              <v:stroke on="f" weight="0.5pt"/>
              <v:imagedata o:title=""/>
              <o:lock v:ext="edit" aspectratio="f"/>
              <v:textbox inset="0mm,0mm,0mm,0mm" style="mso-fit-shape-to-text:t;">
                <w:txbxContent>
                  <w:p w14:paraId="5F80B307">
                    <w:pPr>
                      <w:pStyle w:val="10"/>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67E62">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9F5E0E">
                          <w:pPr>
                            <w:pStyle w:val="10"/>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KeCiM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WH2LAtb&#10;vbM8Qkd5vF0dA+RMKkdROiXQnXjA9KU+9ZsSx/vPc4p6/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p4KIzICAABlBAAADgAAAAAAAAABACAAAAAfAQAAZHJzL2Uyb0RvYy54bWxQSwUG&#10;AAAAAAYABgBZAQAAwwUAAAAA&#10;">
              <v:fill on="f" focussize="0,0"/>
              <v:stroke on="f" weight="0.5pt"/>
              <v:imagedata o:title=""/>
              <o:lock v:ext="edit" aspectratio="f"/>
              <v:textbox inset="0mm,0mm,0mm,0mm" style="mso-fit-shape-to-text:t;">
                <w:txbxContent>
                  <w:p w14:paraId="259F5E0E">
                    <w:pPr>
                      <w:pStyle w:val="10"/>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5C9E0">
    <w:pPr>
      <w:spacing w:line="174" w:lineRule="auto"/>
      <w:ind w:left="4279"/>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F458910">
                          <w:pPr>
                            <w:pStyle w:val="10"/>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3SDk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h3SDkzAgAAZQQAAA4AAAAAAAAAAQAgAAAAHwEAAGRycy9lMm9Eb2MueG1sUEsF&#10;BgAAAAAGAAYAWQEAAMQFAAAAAA==&#10;">
              <v:fill on="f" focussize="0,0"/>
              <v:stroke on="f" weight="0.5pt"/>
              <v:imagedata o:title=""/>
              <o:lock v:ext="edit" aspectratio="f"/>
              <v:textbox inset="0mm,0mm,0mm,0mm" style="mso-fit-shape-to-text:t;">
                <w:txbxContent>
                  <w:p w14:paraId="0F458910">
                    <w:pPr>
                      <w:pStyle w:val="10"/>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D50EF">
    <w:pPr>
      <w:pStyle w:val="1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78994">
    <w:pPr>
      <w:spacing w:line="174" w:lineRule="auto"/>
      <w:ind w:left="4281"/>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7EAB4B">
                          <w:pPr>
                            <w:pStyle w:val="10"/>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Q9JAyAgAAZQ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sLsWRY2&#10;+t7yCB3l8Xa5D5AzqRxF6ZVAd+IG05f6dH4pcbz/3Keox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z1D0kDICAABlBAAADgAAAAAAAAABACAAAAAfAQAAZHJzL2Uyb0RvYy54bWxQSwUG&#10;AAAAAAYABgBZAQAAwwUAAAAA&#10;">
              <v:fill on="f" focussize="0,0"/>
              <v:stroke on="f" weight="0.5pt"/>
              <v:imagedata o:title=""/>
              <o:lock v:ext="edit" aspectratio="f"/>
              <v:textbox inset="0mm,0mm,0mm,0mm" style="mso-fit-shape-to-text:t;">
                <w:txbxContent>
                  <w:p w14:paraId="667EAB4B">
                    <w:pPr>
                      <w:pStyle w:val="10"/>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F4069">
    <w:pPr>
      <w:spacing w:line="174" w:lineRule="auto"/>
      <w:ind w:left="4279"/>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7C81A9">
                          <w:pPr>
                            <w:pStyle w:val="10"/>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qM74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FqM74zAgAAZQQAAA4AAAAAAAAAAQAgAAAAHwEAAGRycy9lMm9Eb2MueG1sUEsF&#10;BgAAAAAGAAYAWQEAAMQFAAAAAA==&#10;">
              <v:fill on="f" focussize="0,0"/>
              <v:stroke on="f" weight="0.5pt"/>
              <v:imagedata o:title=""/>
              <o:lock v:ext="edit" aspectratio="f"/>
              <v:textbox inset="0mm,0mm,0mm,0mm" style="mso-fit-shape-to-text:t;">
                <w:txbxContent>
                  <w:p w14:paraId="487C81A9">
                    <w:pPr>
                      <w:pStyle w:val="10"/>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84F4E">
    <w:pPr>
      <w:spacing w:line="174" w:lineRule="auto"/>
      <w:ind w:left="4279"/>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4044FB">
                          <w:pPr>
                            <w:pStyle w:val="10"/>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uDcaQzAgAAZ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uDcaQzAgAAZQQAAA4AAAAAAAAAAQAgAAAAHwEAAGRycy9lMm9Eb2MueG1sUEsF&#10;BgAAAAAGAAYAWQEAAMQFAAAAAA==&#10;">
              <v:fill on="f" focussize="0,0"/>
              <v:stroke on="f" weight="0.5pt"/>
              <v:imagedata o:title=""/>
              <o:lock v:ext="edit" aspectratio="f"/>
              <v:textbox inset="0mm,0mm,0mm,0mm" style="mso-fit-shape-to-text:t;">
                <w:txbxContent>
                  <w:p w14:paraId="214044FB">
                    <w:pPr>
                      <w:pStyle w:val="10"/>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01EF7">
    <w:pPr>
      <w:spacing w:line="174" w:lineRule="auto"/>
      <w:ind w:left="4199"/>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639181">
                          <w:pPr>
                            <w:pStyle w:val="10"/>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eveMzAgAAZQ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tX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0eveMzAgAAZQQAAA4AAAAAAAAAAQAgAAAAHwEAAGRycy9lMm9Eb2MueG1sUEsF&#10;BgAAAAAGAAYAWQEAAMQFAAAAAA==&#10;">
              <v:fill on="f" focussize="0,0"/>
              <v:stroke on="f" weight="0.5pt"/>
              <v:imagedata o:title=""/>
              <o:lock v:ext="edit" aspectratio="f"/>
              <v:textbox inset="0mm,0mm,0mm,0mm" style="mso-fit-shape-to-text:t;">
                <w:txbxContent>
                  <w:p w14:paraId="09639181">
                    <w:pPr>
                      <w:pStyle w:val="10"/>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24D88">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C8D70B">
                          <w:pPr>
                            <w:pStyle w:val="10"/>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f3//kzAgAAZ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f3//kzAgAAZQQAAA4AAAAAAAAAAQAgAAAAHwEAAGRycy9lMm9Eb2MueG1sUEsF&#10;BgAAAAAGAAYAWQEAAMQFAAAAAA==&#10;">
              <v:fill on="f" focussize="0,0"/>
              <v:stroke on="f" weight="0.5pt"/>
              <v:imagedata o:title=""/>
              <o:lock v:ext="edit" aspectratio="f"/>
              <v:textbox inset="0mm,0mm,0mm,0mm" style="mso-fit-shape-to-text:t;">
                <w:txbxContent>
                  <w:p w14:paraId="3CC8D70B">
                    <w:pPr>
                      <w:pStyle w:val="10"/>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6E43E">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0383DB0">
                          <w:pPr>
                            <w:pStyle w:val="10"/>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NONczAgAAZQQAAA4AAABkcnMvZTJvRG9jLnhtbK1UzY7TMBC+I/EO&#10;lu80bRFVqZ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dUKKZQsfPP76f&#10;fz6cf30juINAjfUzxG0tIkP7zrQYm/7e4zLybkun4i8YEfgh7+kqr2gD4fHRdDydDuHi8PUH4GeP&#10;z63z4b0wikQjpw79S7Ky48aHLrQPidm0WddSph5KTZqcTl6/G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NONczAgAAZQQAAA4AAAAAAAAAAQAgAAAAHwEAAGRycy9lMm9Eb2MueG1sUEsF&#10;BgAAAAAGAAYAWQEAAMQFAAAAAA==&#10;">
              <v:fill on="f" focussize="0,0"/>
              <v:stroke on="f" weight="0.5pt"/>
              <v:imagedata o:title=""/>
              <o:lock v:ext="edit" aspectratio="f"/>
              <v:textbox inset="0mm,0mm,0mm,0mm" style="mso-fit-shape-to-text:t;">
                <w:txbxContent>
                  <w:p w14:paraId="00383DB0">
                    <w:pPr>
                      <w:pStyle w:val="10"/>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422C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D9B9B2">
                          <w:pPr>
                            <w:pStyle w:val="10"/>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kes0zAgAAZQQAAA4AAABkcnMvZTJvRG9jLnhtbK1UzY7TMBC+I/EO&#10;lu80aRFL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vXlGim0PHT92+n&#10;H79OP78S3EGg1voZ4jYWkaF7azqMzXDvcRl5d5VT8ReMCPyQ93iRV3SB8PhoOplOc7g4fMMB+NnD&#10;c+t8eCeMItEoqEP/kqzscOtDHzqExGzarBspUw+lJm1Br16+y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Mkes0zAgAAZQQAAA4AAAAAAAAAAQAgAAAAHwEAAGRycy9lMm9Eb2MueG1sUEsF&#10;BgAAAAAGAAYAWQEAAMQFAAAAAA==&#10;">
              <v:fill on="f" focussize="0,0"/>
              <v:stroke on="f" weight="0.5pt"/>
              <v:imagedata o:title=""/>
              <o:lock v:ext="edit" aspectratio="f"/>
              <v:textbox inset="0mm,0mm,0mm,0mm" style="mso-fit-shape-to-text:t;">
                <w:txbxContent>
                  <w:p w14:paraId="11D9B9B2">
                    <w:pPr>
                      <w:pStyle w:val="10"/>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4B9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7C975E">
                          <w:pPr>
                            <w:pStyle w:val="10"/>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3oVg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X3oVgzAgAAZQQAAA4AAAAAAAAAAQAgAAAAHwEAAGRycy9lMm9Eb2MueG1sUEsF&#10;BgAAAAAGAAYAWQEAAMQFAAAAAA==&#10;">
              <v:fill on="f" focussize="0,0"/>
              <v:stroke on="f" weight="0.5pt"/>
              <v:imagedata o:title=""/>
              <o:lock v:ext="edit" aspectratio="f"/>
              <v:textbox inset="0mm,0mm,0mm,0mm" style="mso-fit-shape-to-text:t;">
                <w:txbxContent>
                  <w:p w14:paraId="377C975E">
                    <w:pPr>
                      <w:pStyle w:val="10"/>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64A58">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22A744">
                          <w:pPr>
                            <w:pStyle w:val="10"/>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5322A744">
                    <w:pPr>
                      <w:pStyle w:val="10"/>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3B8B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02F1FB">
                          <w:pPr>
                            <w:pStyle w:val="10"/>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38ADICAABnBAAADgAAAAAAAAABACAAAAAfAQAAZHJzL2Uyb0RvYy54bWxQSwUG&#10;AAAAAAYABgBZAQAAwwUAAAAA&#10;">
              <v:fill on="f" focussize="0,0"/>
              <v:stroke on="f" weight="0.5pt"/>
              <v:imagedata o:title=""/>
              <o:lock v:ext="edit" aspectratio="f"/>
              <v:textbox inset="0mm,0mm,0mm,0mm" style="mso-fit-shape-to-text:t;">
                <w:txbxContent>
                  <w:p w14:paraId="1C02F1FB">
                    <w:pPr>
                      <w:pStyle w:val="10"/>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778351"/>
    </w:sdtPr>
    <w:sdtContent>
      <w:p w14:paraId="71B45BAF">
        <w:pPr>
          <w:pStyle w:val="10"/>
          <w:jc w:val="center"/>
        </w:pPr>
        <w:r>
          <w:fldChar w:fldCharType="begin"/>
        </w:r>
        <w:r>
          <w:instrText xml:space="preserve">PAGE   \* MERGEFORMAT</w:instrText>
        </w:r>
        <w:r>
          <w:fldChar w:fldCharType="separate"/>
        </w:r>
        <w:r>
          <w:rPr>
            <w:lang w:val="zh-CN"/>
          </w:rPr>
          <w:t>138</w:t>
        </w:r>
        <w:r>
          <w:rPr>
            <w:lang w:val="zh-CN"/>
          </w:rPr>
          <w:fldChar w:fldCharType="end"/>
        </w:r>
      </w:p>
    </w:sdtContent>
  </w:sdt>
  <w:p w14:paraId="5B3CE500">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8DDC5">
    <w:pPr>
      <w:pStyle w:val="10"/>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5AB242">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0D5AB242">
                    <w:pPr>
                      <w:pStyle w:val="1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31D51">
    <w:pPr>
      <w:pStyle w:val="10"/>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206C05">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09206C05">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32767">
    <w:pPr>
      <w:pStyle w:val="10"/>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1A005E9">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Xd1k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QizZ1nY&#10;6p3lETrK4+3qGCBnUjmK0imB7sQDpi/1qd+UON5/nlPU4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pd3WTICAABlBAAADgAAAAAAAAABACAAAAAfAQAAZHJzL2Uyb0RvYy54bWxQSwUG&#10;AAAAAAYABgBZAQAAwwUAAAAA&#10;">
              <v:fill on="f" focussize="0,0"/>
              <v:stroke on="f" weight="0.5pt"/>
              <v:imagedata o:title=""/>
              <o:lock v:ext="edit" aspectratio="f"/>
              <v:textbox inset="0mm,0mm,0mm,0mm" style="mso-fit-shape-to-text:t;">
                <w:txbxContent>
                  <w:p w14:paraId="51A005E9">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9A56A">
    <w:pPr>
      <w:spacing w:line="174" w:lineRule="auto"/>
      <w:ind w:left="4364"/>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019F72">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NUM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h+NUMzAgAAZQQAAA4AAAAAAAAAAQAgAAAAHwEAAGRycy9lMm9Eb2MueG1sUEsF&#10;BgAAAAAGAAYAWQEAAMQFAAAAAA==&#10;">
              <v:fill on="f" focussize="0,0"/>
              <v:stroke on="f" weight="0.5pt"/>
              <v:imagedata o:title=""/>
              <o:lock v:ext="edit" aspectratio="f"/>
              <v:textbox inset="0mm,0mm,0mm,0mm" style="mso-fit-shape-to-text:t;">
                <w:txbxContent>
                  <w:p w14:paraId="55019F72">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EB87C">
    <w:pPr>
      <w:spacing w:line="174" w:lineRule="auto"/>
      <w:ind w:left="4280"/>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A96B08">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j+QQ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j+QQzAgAAZQQAAA4AAAAAAAAAAQAgAAAAHwEAAGRycy9lMm9Eb2MueG1sUEsF&#10;BgAAAAAGAAYAWQEAAMQFAAAAAA==&#10;">
              <v:fill on="f" focussize="0,0"/>
              <v:stroke on="f" weight="0.5pt"/>
              <v:imagedata o:title=""/>
              <o:lock v:ext="edit" aspectratio="f"/>
              <v:textbox inset="0mm,0mm,0mm,0mm" style="mso-fit-shape-to-text:t;">
                <w:txbxContent>
                  <w:p w14:paraId="73A96B08">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9AD8D"/>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7E70B">
    <w:pPr>
      <w:pStyle w:val="1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2AA58">
    <w:pPr>
      <w:pStyle w:val="1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251AE">
    <w:pPr>
      <w:pStyle w:val="11"/>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30F2A">
    <w:pPr>
      <w:pStyle w:val="1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7A552">
    <w:pPr>
      <w:pStyle w:val="1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C255">
    <w:pPr>
      <w:pStyle w:val="11"/>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B3BB2">
    <w:pPr>
      <w:pStyle w:val="11"/>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655BD">
    <w:pPr>
      <w:pStyle w:val="11"/>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53F2E">
    <w:pPr>
      <w:pStyle w:val="11"/>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F9248">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8ED1B">
    <w:pPr>
      <w:pStyle w:val="11"/>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44ABF">
    <w:pPr>
      <w:pStyle w:val="11"/>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2C6EC">
    <w:pPr>
      <w:pStyle w:val="11"/>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13A9E">
    <w:pPr>
      <w:pStyle w:val="11"/>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6DC72">
    <w:pPr>
      <w:pStyle w:val="11"/>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37EAC">
    <w:pPr>
      <w:pStyle w:val="11"/>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5DC4E">
    <w:pPr>
      <w:pStyle w:val="11"/>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99E01">
    <w:pPr>
      <w:pStyle w:val="11"/>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7AAA9">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9ECC7">
    <w:pPr>
      <w:pStyle w:val="1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7BD20">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83CCB">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31EAF">
    <w:pPr>
      <w:pStyle w:val="1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1E533">
    <w:pPr>
      <w:pStyle w:val="1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F7B94">
    <w:pPr>
      <w:pStyle w:val="1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643B1">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73ADF5"/>
    <w:multiLevelType w:val="singleLevel"/>
    <w:tmpl w:val="C173ADF5"/>
    <w:lvl w:ilvl="0" w:tentative="0">
      <w:start w:val="5"/>
      <w:numFmt w:val="chineseCounting"/>
      <w:suff w:val="nothing"/>
      <w:lvlText w:val="（%1）"/>
      <w:lvlJc w:val="left"/>
      <w:rPr>
        <w:rFonts w:hint="eastAsia"/>
      </w:rPr>
    </w:lvl>
  </w:abstractNum>
  <w:abstractNum w:abstractNumId="1">
    <w:nsid w:val="06BFB274"/>
    <w:multiLevelType w:val="singleLevel"/>
    <w:tmpl w:val="06BFB274"/>
    <w:lvl w:ilvl="0" w:tentative="0">
      <w:start w:val="3"/>
      <w:numFmt w:val="decimal"/>
      <w:suff w:val="nothing"/>
      <w:lvlText w:val="（%1）"/>
      <w:lvlJc w:val="left"/>
    </w:lvl>
  </w:abstractNum>
  <w:abstractNum w:abstractNumId="2">
    <w:nsid w:val="6EB367B5"/>
    <w:multiLevelType w:val="singleLevel"/>
    <w:tmpl w:val="6EB367B5"/>
    <w:lvl w:ilvl="0" w:tentative="0">
      <w:start w:val="3"/>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hideSpellingErrors/>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29"/>
    <w:rsid w:val="00031233"/>
    <w:rsid w:val="000350CF"/>
    <w:rsid w:val="00046F93"/>
    <w:rsid w:val="00061259"/>
    <w:rsid w:val="0008235E"/>
    <w:rsid w:val="00095930"/>
    <w:rsid w:val="000B51D0"/>
    <w:rsid w:val="000C4B89"/>
    <w:rsid w:val="000C76BC"/>
    <w:rsid w:val="000C7B22"/>
    <w:rsid w:val="00117B83"/>
    <w:rsid w:val="00125EA5"/>
    <w:rsid w:val="0014136F"/>
    <w:rsid w:val="001514EC"/>
    <w:rsid w:val="00152A1B"/>
    <w:rsid w:val="00152C98"/>
    <w:rsid w:val="00154957"/>
    <w:rsid w:val="00177F06"/>
    <w:rsid w:val="001B755F"/>
    <w:rsid w:val="001C7EDE"/>
    <w:rsid w:val="00216AB1"/>
    <w:rsid w:val="0025467C"/>
    <w:rsid w:val="00263AF6"/>
    <w:rsid w:val="00274FA0"/>
    <w:rsid w:val="002943D9"/>
    <w:rsid w:val="002951AD"/>
    <w:rsid w:val="002A2832"/>
    <w:rsid w:val="002B5804"/>
    <w:rsid w:val="002B63E0"/>
    <w:rsid w:val="00325631"/>
    <w:rsid w:val="0034425D"/>
    <w:rsid w:val="00345A16"/>
    <w:rsid w:val="00363144"/>
    <w:rsid w:val="003674DF"/>
    <w:rsid w:val="00370FEC"/>
    <w:rsid w:val="003A5D4E"/>
    <w:rsid w:val="003B2ABA"/>
    <w:rsid w:val="003E158A"/>
    <w:rsid w:val="003F04AF"/>
    <w:rsid w:val="0046793F"/>
    <w:rsid w:val="00493BB4"/>
    <w:rsid w:val="004A0FB2"/>
    <w:rsid w:val="004F358A"/>
    <w:rsid w:val="005207E3"/>
    <w:rsid w:val="00524FE4"/>
    <w:rsid w:val="00532BC3"/>
    <w:rsid w:val="005460F8"/>
    <w:rsid w:val="0055645D"/>
    <w:rsid w:val="00565AA3"/>
    <w:rsid w:val="00596D37"/>
    <w:rsid w:val="005E04C0"/>
    <w:rsid w:val="00667C8F"/>
    <w:rsid w:val="006A0AA4"/>
    <w:rsid w:val="006A4AD7"/>
    <w:rsid w:val="006A53DE"/>
    <w:rsid w:val="006A57D1"/>
    <w:rsid w:val="006C403C"/>
    <w:rsid w:val="006F2C16"/>
    <w:rsid w:val="00723E3B"/>
    <w:rsid w:val="0074387C"/>
    <w:rsid w:val="00746DE4"/>
    <w:rsid w:val="00791662"/>
    <w:rsid w:val="007957E4"/>
    <w:rsid w:val="007A2068"/>
    <w:rsid w:val="007B1EF8"/>
    <w:rsid w:val="007C2CDB"/>
    <w:rsid w:val="007C3FE0"/>
    <w:rsid w:val="007E005B"/>
    <w:rsid w:val="008009B0"/>
    <w:rsid w:val="008064AD"/>
    <w:rsid w:val="00821221"/>
    <w:rsid w:val="00842CAF"/>
    <w:rsid w:val="00862C44"/>
    <w:rsid w:val="0086333C"/>
    <w:rsid w:val="00870944"/>
    <w:rsid w:val="00894391"/>
    <w:rsid w:val="00924FAB"/>
    <w:rsid w:val="009444C8"/>
    <w:rsid w:val="00944C66"/>
    <w:rsid w:val="0095377C"/>
    <w:rsid w:val="00966085"/>
    <w:rsid w:val="00986DC9"/>
    <w:rsid w:val="00995A1C"/>
    <w:rsid w:val="009B72CD"/>
    <w:rsid w:val="009C345A"/>
    <w:rsid w:val="009D5CD2"/>
    <w:rsid w:val="009D7C6E"/>
    <w:rsid w:val="009E125A"/>
    <w:rsid w:val="009E68F2"/>
    <w:rsid w:val="00A16CCB"/>
    <w:rsid w:val="00A26514"/>
    <w:rsid w:val="00A3141E"/>
    <w:rsid w:val="00AB1E4F"/>
    <w:rsid w:val="00AB6BF6"/>
    <w:rsid w:val="00AC40C9"/>
    <w:rsid w:val="00AE0D83"/>
    <w:rsid w:val="00B145F0"/>
    <w:rsid w:val="00B208BC"/>
    <w:rsid w:val="00B346CE"/>
    <w:rsid w:val="00B56A9B"/>
    <w:rsid w:val="00B94C65"/>
    <w:rsid w:val="00BE39E6"/>
    <w:rsid w:val="00BF600B"/>
    <w:rsid w:val="00C020F9"/>
    <w:rsid w:val="00C10943"/>
    <w:rsid w:val="00C12343"/>
    <w:rsid w:val="00C32143"/>
    <w:rsid w:val="00C84129"/>
    <w:rsid w:val="00CC3EF8"/>
    <w:rsid w:val="00CD2F66"/>
    <w:rsid w:val="00CF3238"/>
    <w:rsid w:val="00D04EDB"/>
    <w:rsid w:val="00D24A63"/>
    <w:rsid w:val="00D40BB2"/>
    <w:rsid w:val="00D7397B"/>
    <w:rsid w:val="00D94123"/>
    <w:rsid w:val="00DC7297"/>
    <w:rsid w:val="00DD72F0"/>
    <w:rsid w:val="00E006B2"/>
    <w:rsid w:val="00E30FAC"/>
    <w:rsid w:val="00E566D5"/>
    <w:rsid w:val="00E81E93"/>
    <w:rsid w:val="00E9106C"/>
    <w:rsid w:val="00EB1C0E"/>
    <w:rsid w:val="00EC4CD9"/>
    <w:rsid w:val="00EC5AB5"/>
    <w:rsid w:val="00EC7E2D"/>
    <w:rsid w:val="00F20BDA"/>
    <w:rsid w:val="00F20FD4"/>
    <w:rsid w:val="00F211EF"/>
    <w:rsid w:val="00F321E0"/>
    <w:rsid w:val="00F50B94"/>
    <w:rsid w:val="00F53E7A"/>
    <w:rsid w:val="00F831B6"/>
    <w:rsid w:val="00F911B1"/>
    <w:rsid w:val="00FB5F73"/>
    <w:rsid w:val="00FC0823"/>
    <w:rsid w:val="00FC09F3"/>
    <w:rsid w:val="00FC206D"/>
    <w:rsid w:val="00FD622E"/>
    <w:rsid w:val="01001B66"/>
    <w:rsid w:val="014970B8"/>
    <w:rsid w:val="015B6D94"/>
    <w:rsid w:val="015E4AD6"/>
    <w:rsid w:val="01780CE0"/>
    <w:rsid w:val="018C519F"/>
    <w:rsid w:val="01E1495A"/>
    <w:rsid w:val="01F01F8D"/>
    <w:rsid w:val="01FD609D"/>
    <w:rsid w:val="02054F52"/>
    <w:rsid w:val="020C615A"/>
    <w:rsid w:val="02247ACE"/>
    <w:rsid w:val="023B4C37"/>
    <w:rsid w:val="025308EF"/>
    <w:rsid w:val="02595BF1"/>
    <w:rsid w:val="027C7E28"/>
    <w:rsid w:val="02A86FB1"/>
    <w:rsid w:val="02BA21E0"/>
    <w:rsid w:val="02E74952"/>
    <w:rsid w:val="02ED6365"/>
    <w:rsid w:val="030F42DA"/>
    <w:rsid w:val="031E276F"/>
    <w:rsid w:val="033169AF"/>
    <w:rsid w:val="034A2073"/>
    <w:rsid w:val="035F0010"/>
    <w:rsid w:val="03604B36"/>
    <w:rsid w:val="036D4EAF"/>
    <w:rsid w:val="03867D4B"/>
    <w:rsid w:val="038A17A5"/>
    <w:rsid w:val="03927A94"/>
    <w:rsid w:val="039504BE"/>
    <w:rsid w:val="03B6017D"/>
    <w:rsid w:val="03CC2619"/>
    <w:rsid w:val="03DE5A5A"/>
    <w:rsid w:val="03FC3B32"/>
    <w:rsid w:val="040D490D"/>
    <w:rsid w:val="04277401"/>
    <w:rsid w:val="042A53CA"/>
    <w:rsid w:val="0468068C"/>
    <w:rsid w:val="046F249D"/>
    <w:rsid w:val="047333D2"/>
    <w:rsid w:val="04BB27B8"/>
    <w:rsid w:val="04C04179"/>
    <w:rsid w:val="04D57CB8"/>
    <w:rsid w:val="05144CB9"/>
    <w:rsid w:val="051E7ADC"/>
    <w:rsid w:val="05345979"/>
    <w:rsid w:val="054D142B"/>
    <w:rsid w:val="055F2CFC"/>
    <w:rsid w:val="0561126B"/>
    <w:rsid w:val="056637F7"/>
    <w:rsid w:val="056A0AB5"/>
    <w:rsid w:val="056A1C9B"/>
    <w:rsid w:val="056D1AA6"/>
    <w:rsid w:val="056E3C57"/>
    <w:rsid w:val="057A7E37"/>
    <w:rsid w:val="05953E92"/>
    <w:rsid w:val="05C759FB"/>
    <w:rsid w:val="05DB144E"/>
    <w:rsid w:val="060C4C23"/>
    <w:rsid w:val="0620235A"/>
    <w:rsid w:val="062742CF"/>
    <w:rsid w:val="06361B7E"/>
    <w:rsid w:val="063B2DBE"/>
    <w:rsid w:val="063D4CBA"/>
    <w:rsid w:val="064E058F"/>
    <w:rsid w:val="064F4292"/>
    <w:rsid w:val="06510766"/>
    <w:rsid w:val="0659586C"/>
    <w:rsid w:val="06636A5A"/>
    <w:rsid w:val="06823015"/>
    <w:rsid w:val="06A030C2"/>
    <w:rsid w:val="06A44D39"/>
    <w:rsid w:val="06B17456"/>
    <w:rsid w:val="06C91868"/>
    <w:rsid w:val="06D51397"/>
    <w:rsid w:val="06E95B65"/>
    <w:rsid w:val="06FB2296"/>
    <w:rsid w:val="07060306"/>
    <w:rsid w:val="070B4DB8"/>
    <w:rsid w:val="07100621"/>
    <w:rsid w:val="07190DE4"/>
    <w:rsid w:val="07541100"/>
    <w:rsid w:val="07550729"/>
    <w:rsid w:val="07552E4B"/>
    <w:rsid w:val="075A0829"/>
    <w:rsid w:val="077D02FC"/>
    <w:rsid w:val="078801B7"/>
    <w:rsid w:val="078C509F"/>
    <w:rsid w:val="07AF3EB7"/>
    <w:rsid w:val="07D272FA"/>
    <w:rsid w:val="080A2632"/>
    <w:rsid w:val="08122176"/>
    <w:rsid w:val="08242BFC"/>
    <w:rsid w:val="08273270"/>
    <w:rsid w:val="082B01F2"/>
    <w:rsid w:val="084E7652"/>
    <w:rsid w:val="084F566D"/>
    <w:rsid w:val="086329D2"/>
    <w:rsid w:val="0886276F"/>
    <w:rsid w:val="08DC72D4"/>
    <w:rsid w:val="08E12275"/>
    <w:rsid w:val="08E41C36"/>
    <w:rsid w:val="08F5187C"/>
    <w:rsid w:val="08FF0187"/>
    <w:rsid w:val="0901547A"/>
    <w:rsid w:val="090C3A7D"/>
    <w:rsid w:val="09170382"/>
    <w:rsid w:val="092B5AD2"/>
    <w:rsid w:val="0935611C"/>
    <w:rsid w:val="09641F93"/>
    <w:rsid w:val="0A12530B"/>
    <w:rsid w:val="0A1A07E6"/>
    <w:rsid w:val="0A3F7F89"/>
    <w:rsid w:val="0A466107"/>
    <w:rsid w:val="0A8773E4"/>
    <w:rsid w:val="0AA33275"/>
    <w:rsid w:val="0ACF3ABA"/>
    <w:rsid w:val="0AD7716B"/>
    <w:rsid w:val="0AD81455"/>
    <w:rsid w:val="0AF004B0"/>
    <w:rsid w:val="0AF6568A"/>
    <w:rsid w:val="0B094D81"/>
    <w:rsid w:val="0B0F4EB2"/>
    <w:rsid w:val="0B256BB9"/>
    <w:rsid w:val="0B270381"/>
    <w:rsid w:val="0B39368B"/>
    <w:rsid w:val="0B41524D"/>
    <w:rsid w:val="0B4A786C"/>
    <w:rsid w:val="0B4B7E79"/>
    <w:rsid w:val="0B4D3BF1"/>
    <w:rsid w:val="0B553428"/>
    <w:rsid w:val="0B6F31C3"/>
    <w:rsid w:val="0B72668B"/>
    <w:rsid w:val="0BA2691C"/>
    <w:rsid w:val="0BB772BD"/>
    <w:rsid w:val="0BC515E4"/>
    <w:rsid w:val="0BCB2D68"/>
    <w:rsid w:val="0BDF05C2"/>
    <w:rsid w:val="0C3A135C"/>
    <w:rsid w:val="0C4548C9"/>
    <w:rsid w:val="0C5B0590"/>
    <w:rsid w:val="0C632FA1"/>
    <w:rsid w:val="0C653F5B"/>
    <w:rsid w:val="0C6649C2"/>
    <w:rsid w:val="0C9709D9"/>
    <w:rsid w:val="0CA57A5D"/>
    <w:rsid w:val="0CAF0A31"/>
    <w:rsid w:val="0CC550C6"/>
    <w:rsid w:val="0CE6479B"/>
    <w:rsid w:val="0CE82647"/>
    <w:rsid w:val="0D083516"/>
    <w:rsid w:val="0D10302B"/>
    <w:rsid w:val="0D4E2564"/>
    <w:rsid w:val="0D7E5469"/>
    <w:rsid w:val="0D84748A"/>
    <w:rsid w:val="0DB02216"/>
    <w:rsid w:val="0DD30B7C"/>
    <w:rsid w:val="0DFE49A3"/>
    <w:rsid w:val="0DFE6F9F"/>
    <w:rsid w:val="0E10604C"/>
    <w:rsid w:val="0E146FEF"/>
    <w:rsid w:val="0E2C5B70"/>
    <w:rsid w:val="0E437CC0"/>
    <w:rsid w:val="0E5758F0"/>
    <w:rsid w:val="0E6B6848"/>
    <w:rsid w:val="0E781D0D"/>
    <w:rsid w:val="0E83091E"/>
    <w:rsid w:val="0E912047"/>
    <w:rsid w:val="0E987C5F"/>
    <w:rsid w:val="0EB5630C"/>
    <w:rsid w:val="0EBA3152"/>
    <w:rsid w:val="0EC8358F"/>
    <w:rsid w:val="0EC87A33"/>
    <w:rsid w:val="0F0D6389"/>
    <w:rsid w:val="0F1551DF"/>
    <w:rsid w:val="0F30565D"/>
    <w:rsid w:val="0F555725"/>
    <w:rsid w:val="0F566DED"/>
    <w:rsid w:val="0F5F12CE"/>
    <w:rsid w:val="0F89761F"/>
    <w:rsid w:val="0FA958B6"/>
    <w:rsid w:val="0FB30C37"/>
    <w:rsid w:val="0FE64614"/>
    <w:rsid w:val="0FF7412C"/>
    <w:rsid w:val="0FFD0FD3"/>
    <w:rsid w:val="100448CE"/>
    <w:rsid w:val="10096E60"/>
    <w:rsid w:val="100F0245"/>
    <w:rsid w:val="10176755"/>
    <w:rsid w:val="10233173"/>
    <w:rsid w:val="10321608"/>
    <w:rsid w:val="10343BF8"/>
    <w:rsid w:val="10376348"/>
    <w:rsid w:val="1038523A"/>
    <w:rsid w:val="105B0F5A"/>
    <w:rsid w:val="105D0EB6"/>
    <w:rsid w:val="107C6D27"/>
    <w:rsid w:val="10840B88"/>
    <w:rsid w:val="108C0C88"/>
    <w:rsid w:val="10B62239"/>
    <w:rsid w:val="11396DFB"/>
    <w:rsid w:val="113A6D57"/>
    <w:rsid w:val="1143724D"/>
    <w:rsid w:val="11692E07"/>
    <w:rsid w:val="11743B70"/>
    <w:rsid w:val="117B3780"/>
    <w:rsid w:val="118A77C7"/>
    <w:rsid w:val="11925FC1"/>
    <w:rsid w:val="11B31A31"/>
    <w:rsid w:val="11B8789F"/>
    <w:rsid w:val="11CA7A1A"/>
    <w:rsid w:val="11CB6AFA"/>
    <w:rsid w:val="11ED2D1D"/>
    <w:rsid w:val="11EF3086"/>
    <w:rsid w:val="11F8062F"/>
    <w:rsid w:val="11FE21B2"/>
    <w:rsid w:val="122942A7"/>
    <w:rsid w:val="124C46BA"/>
    <w:rsid w:val="126C7719"/>
    <w:rsid w:val="126D202A"/>
    <w:rsid w:val="127D5D0F"/>
    <w:rsid w:val="12825D0A"/>
    <w:rsid w:val="12891287"/>
    <w:rsid w:val="128E47CA"/>
    <w:rsid w:val="12901A06"/>
    <w:rsid w:val="12910C6D"/>
    <w:rsid w:val="12937C8C"/>
    <w:rsid w:val="12A0597B"/>
    <w:rsid w:val="12BB3B36"/>
    <w:rsid w:val="12C87155"/>
    <w:rsid w:val="12DD0B6F"/>
    <w:rsid w:val="12EA7F78"/>
    <w:rsid w:val="12FC7CAB"/>
    <w:rsid w:val="13394A5B"/>
    <w:rsid w:val="135E0219"/>
    <w:rsid w:val="1360023A"/>
    <w:rsid w:val="136D6ABE"/>
    <w:rsid w:val="13795E5C"/>
    <w:rsid w:val="137D5290"/>
    <w:rsid w:val="13924063"/>
    <w:rsid w:val="1393718E"/>
    <w:rsid w:val="13AC5B97"/>
    <w:rsid w:val="13CA4919"/>
    <w:rsid w:val="13EA459B"/>
    <w:rsid w:val="13EC7D20"/>
    <w:rsid w:val="13FC17C7"/>
    <w:rsid w:val="142851FC"/>
    <w:rsid w:val="144A5D9E"/>
    <w:rsid w:val="144B0EEA"/>
    <w:rsid w:val="14587163"/>
    <w:rsid w:val="1468384A"/>
    <w:rsid w:val="14A5642A"/>
    <w:rsid w:val="14B957B2"/>
    <w:rsid w:val="14F7697C"/>
    <w:rsid w:val="1544580C"/>
    <w:rsid w:val="154E1C63"/>
    <w:rsid w:val="15500DF1"/>
    <w:rsid w:val="15533B0A"/>
    <w:rsid w:val="156E3C1D"/>
    <w:rsid w:val="1574621E"/>
    <w:rsid w:val="15842905"/>
    <w:rsid w:val="159C398E"/>
    <w:rsid w:val="15B075C6"/>
    <w:rsid w:val="15BC1451"/>
    <w:rsid w:val="15D55C6E"/>
    <w:rsid w:val="15E6565B"/>
    <w:rsid w:val="15EE7D7F"/>
    <w:rsid w:val="15FB249C"/>
    <w:rsid w:val="15FE3F1E"/>
    <w:rsid w:val="16007AB2"/>
    <w:rsid w:val="16020E2B"/>
    <w:rsid w:val="164817EB"/>
    <w:rsid w:val="16612C47"/>
    <w:rsid w:val="167F05A4"/>
    <w:rsid w:val="16806361"/>
    <w:rsid w:val="1681190B"/>
    <w:rsid w:val="168B3820"/>
    <w:rsid w:val="169E1B3A"/>
    <w:rsid w:val="169F33D1"/>
    <w:rsid w:val="169F4829"/>
    <w:rsid w:val="16ED0036"/>
    <w:rsid w:val="16F5338F"/>
    <w:rsid w:val="17005FBC"/>
    <w:rsid w:val="17103D25"/>
    <w:rsid w:val="171E4694"/>
    <w:rsid w:val="172151A7"/>
    <w:rsid w:val="172915F5"/>
    <w:rsid w:val="17347B09"/>
    <w:rsid w:val="175977D3"/>
    <w:rsid w:val="176278FA"/>
    <w:rsid w:val="17780248"/>
    <w:rsid w:val="17784622"/>
    <w:rsid w:val="178C102A"/>
    <w:rsid w:val="17AA44AA"/>
    <w:rsid w:val="17C25ADF"/>
    <w:rsid w:val="17DE3C67"/>
    <w:rsid w:val="17FA6EAF"/>
    <w:rsid w:val="17FD6F6C"/>
    <w:rsid w:val="180715CC"/>
    <w:rsid w:val="1807759E"/>
    <w:rsid w:val="1816180F"/>
    <w:rsid w:val="18207F2E"/>
    <w:rsid w:val="183F6F1A"/>
    <w:rsid w:val="184053F5"/>
    <w:rsid w:val="185463E7"/>
    <w:rsid w:val="18586850"/>
    <w:rsid w:val="187B08B7"/>
    <w:rsid w:val="188F7779"/>
    <w:rsid w:val="189A5A8D"/>
    <w:rsid w:val="18A37DD2"/>
    <w:rsid w:val="18AA2C8E"/>
    <w:rsid w:val="18BA3025"/>
    <w:rsid w:val="18E72B38"/>
    <w:rsid w:val="18F465B9"/>
    <w:rsid w:val="19043EF9"/>
    <w:rsid w:val="19124904"/>
    <w:rsid w:val="1941466A"/>
    <w:rsid w:val="19665982"/>
    <w:rsid w:val="1968700C"/>
    <w:rsid w:val="197C6E4A"/>
    <w:rsid w:val="19811475"/>
    <w:rsid w:val="19BA2CBF"/>
    <w:rsid w:val="19DB061A"/>
    <w:rsid w:val="19DE5E98"/>
    <w:rsid w:val="19E33973"/>
    <w:rsid w:val="1A1913AB"/>
    <w:rsid w:val="1A3B730B"/>
    <w:rsid w:val="1A4C6BF6"/>
    <w:rsid w:val="1A897DC1"/>
    <w:rsid w:val="1AA82C77"/>
    <w:rsid w:val="1AB57681"/>
    <w:rsid w:val="1ABF5C9C"/>
    <w:rsid w:val="1AC76DF0"/>
    <w:rsid w:val="1AD5775F"/>
    <w:rsid w:val="1AF01D56"/>
    <w:rsid w:val="1AF24BE0"/>
    <w:rsid w:val="1AF271EC"/>
    <w:rsid w:val="1AF81F25"/>
    <w:rsid w:val="1B026D4D"/>
    <w:rsid w:val="1B042B2E"/>
    <w:rsid w:val="1B210BF7"/>
    <w:rsid w:val="1B2744F4"/>
    <w:rsid w:val="1B440441"/>
    <w:rsid w:val="1B487F31"/>
    <w:rsid w:val="1B5876A2"/>
    <w:rsid w:val="1B59213E"/>
    <w:rsid w:val="1B600D27"/>
    <w:rsid w:val="1B7E1B04"/>
    <w:rsid w:val="1B9375C5"/>
    <w:rsid w:val="1B9443C5"/>
    <w:rsid w:val="1B9B4505"/>
    <w:rsid w:val="1BA86144"/>
    <w:rsid w:val="1BA869C7"/>
    <w:rsid w:val="1BAC6712"/>
    <w:rsid w:val="1BBD002A"/>
    <w:rsid w:val="1BC03B41"/>
    <w:rsid w:val="1BDB0FA5"/>
    <w:rsid w:val="1BE870E9"/>
    <w:rsid w:val="1BF800DA"/>
    <w:rsid w:val="1BF80468"/>
    <w:rsid w:val="1C0C002B"/>
    <w:rsid w:val="1C1642E7"/>
    <w:rsid w:val="1C384B2F"/>
    <w:rsid w:val="1C4C53C0"/>
    <w:rsid w:val="1C5216CE"/>
    <w:rsid w:val="1C627CB7"/>
    <w:rsid w:val="1C746F5A"/>
    <w:rsid w:val="1C7805C8"/>
    <w:rsid w:val="1C7D1864"/>
    <w:rsid w:val="1CC83229"/>
    <w:rsid w:val="1CD550E9"/>
    <w:rsid w:val="1CD777BF"/>
    <w:rsid w:val="1CE30EC6"/>
    <w:rsid w:val="1D057D11"/>
    <w:rsid w:val="1D3C0E85"/>
    <w:rsid w:val="1D4260CC"/>
    <w:rsid w:val="1D57445C"/>
    <w:rsid w:val="1D6D1ED1"/>
    <w:rsid w:val="1D867F3E"/>
    <w:rsid w:val="1D8E3FE2"/>
    <w:rsid w:val="1D9045AF"/>
    <w:rsid w:val="1D972EC8"/>
    <w:rsid w:val="1DA37992"/>
    <w:rsid w:val="1DAB72A4"/>
    <w:rsid w:val="1DB95116"/>
    <w:rsid w:val="1DBC60D0"/>
    <w:rsid w:val="1DF8316A"/>
    <w:rsid w:val="1E1B2345"/>
    <w:rsid w:val="1E6257AE"/>
    <w:rsid w:val="1E8700CD"/>
    <w:rsid w:val="1E982F7E"/>
    <w:rsid w:val="1E990AA4"/>
    <w:rsid w:val="1E9C7D72"/>
    <w:rsid w:val="1EB77B79"/>
    <w:rsid w:val="1EDA1028"/>
    <w:rsid w:val="1F006516"/>
    <w:rsid w:val="1F0F0268"/>
    <w:rsid w:val="1F1F3C4D"/>
    <w:rsid w:val="1F51312D"/>
    <w:rsid w:val="1F521A61"/>
    <w:rsid w:val="1F6F0F65"/>
    <w:rsid w:val="1F7312F5"/>
    <w:rsid w:val="1F850636"/>
    <w:rsid w:val="1F8B3EF6"/>
    <w:rsid w:val="1FAB0A8F"/>
    <w:rsid w:val="1FBC2C9C"/>
    <w:rsid w:val="1FE16BA6"/>
    <w:rsid w:val="1FF27DC6"/>
    <w:rsid w:val="200770BD"/>
    <w:rsid w:val="203B6856"/>
    <w:rsid w:val="204131A1"/>
    <w:rsid w:val="204977F8"/>
    <w:rsid w:val="204F3B10"/>
    <w:rsid w:val="205A1F06"/>
    <w:rsid w:val="205C372A"/>
    <w:rsid w:val="206407FD"/>
    <w:rsid w:val="20646707"/>
    <w:rsid w:val="208E5AB1"/>
    <w:rsid w:val="20CB6E6D"/>
    <w:rsid w:val="20DC314F"/>
    <w:rsid w:val="20E42254"/>
    <w:rsid w:val="20E645CA"/>
    <w:rsid w:val="20EA5156"/>
    <w:rsid w:val="21224C83"/>
    <w:rsid w:val="2137680F"/>
    <w:rsid w:val="21413899"/>
    <w:rsid w:val="214C2AFA"/>
    <w:rsid w:val="215F3175"/>
    <w:rsid w:val="21694BF3"/>
    <w:rsid w:val="21717AB6"/>
    <w:rsid w:val="21751354"/>
    <w:rsid w:val="21857DC6"/>
    <w:rsid w:val="218C669E"/>
    <w:rsid w:val="2190618E"/>
    <w:rsid w:val="21933C81"/>
    <w:rsid w:val="21971EE3"/>
    <w:rsid w:val="21997535"/>
    <w:rsid w:val="219B57C9"/>
    <w:rsid w:val="219E4D4F"/>
    <w:rsid w:val="21A47E8B"/>
    <w:rsid w:val="21B315B7"/>
    <w:rsid w:val="21C127EB"/>
    <w:rsid w:val="21CA5B44"/>
    <w:rsid w:val="21D27B51"/>
    <w:rsid w:val="21F939AD"/>
    <w:rsid w:val="221B2C24"/>
    <w:rsid w:val="223A3F16"/>
    <w:rsid w:val="22737F8A"/>
    <w:rsid w:val="22A42701"/>
    <w:rsid w:val="22C117F2"/>
    <w:rsid w:val="22E72F77"/>
    <w:rsid w:val="22EB130A"/>
    <w:rsid w:val="232A5C69"/>
    <w:rsid w:val="233F4DD2"/>
    <w:rsid w:val="234F2190"/>
    <w:rsid w:val="235D3171"/>
    <w:rsid w:val="23750E48"/>
    <w:rsid w:val="2376237B"/>
    <w:rsid w:val="237646A6"/>
    <w:rsid w:val="23825FAA"/>
    <w:rsid w:val="23A203FB"/>
    <w:rsid w:val="23A47D06"/>
    <w:rsid w:val="23AB399C"/>
    <w:rsid w:val="23C72304"/>
    <w:rsid w:val="23DC45C3"/>
    <w:rsid w:val="23F01166"/>
    <w:rsid w:val="23F06CFD"/>
    <w:rsid w:val="23F76221"/>
    <w:rsid w:val="2413315A"/>
    <w:rsid w:val="241906BD"/>
    <w:rsid w:val="241B2D61"/>
    <w:rsid w:val="241F37F9"/>
    <w:rsid w:val="24274E22"/>
    <w:rsid w:val="24471934"/>
    <w:rsid w:val="24904B88"/>
    <w:rsid w:val="24997A50"/>
    <w:rsid w:val="24A67A27"/>
    <w:rsid w:val="24A756CB"/>
    <w:rsid w:val="24A843FE"/>
    <w:rsid w:val="24B56B61"/>
    <w:rsid w:val="24B771A7"/>
    <w:rsid w:val="24BE1264"/>
    <w:rsid w:val="24E000F6"/>
    <w:rsid w:val="251130A9"/>
    <w:rsid w:val="251568FE"/>
    <w:rsid w:val="251B47FC"/>
    <w:rsid w:val="252A7D7C"/>
    <w:rsid w:val="252C2672"/>
    <w:rsid w:val="25553B78"/>
    <w:rsid w:val="255A0588"/>
    <w:rsid w:val="25723CAB"/>
    <w:rsid w:val="257E3A21"/>
    <w:rsid w:val="258E0C37"/>
    <w:rsid w:val="259C2031"/>
    <w:rsid w:val="25B327FF"/>
    <w:rsid w:val="25B35117"/>
    <w:rsid w:val="25B64840"/>
    <w:rsid w:val="25EF3DCB"/>
    <w:rsid w:val="25F80884"/>
    <w:rsid w:val="26094F01"/>
    <w:rsid w:val="262D66A1"/>
    <w:rsid w:val="262F2F49"/>
    <w:rsid w:val="264F6F26"/>
    <w:rsid w:val="26572ACD"/>
    <w:rsid w:val="265E2CFF"/>
    <w:rsid w:val="266876DA"/>
    <w:rsid w:val="266F7066"/>
    <w:rsid w:val="267E39BD"/>
    <w:rsid w:val="2681079B"/>
    <w:rsid w:val="26850EB0"/>
    <w:rsid w:val="268703B5"/>
    <w:rsid w:val="26A25800"/>
    <w:rsid w:val="26A761E0"/>
    <w:rsid w:val="26C562C8"/>
    <w:rsid w:val="26DD2B60"/>
    <w:rsid w:val="26DD7622"/>
    <w:rsid w:val="26DE31EC"/>
    <w:rsid w:val="26DF337D"/>
    <w:rsid w:val="26EB3E67"/>
    <w:rsid w:val="26F92A28"/>
    <w:rsid w:val="27005B64"/>
    <w:rsid w:val="27046100"/>
    <w:rsid w:val="27182EAE"/>
    <w:rsid w:val="272A498F"/>
    <w:rsid w:val="2749750B"/>
    <w:rsid w:val="275E0DE5"/>
    <w:rsid w:val="276B4A96"/>
    <w:rsid w:val="27725098"/>
    <w:rsid w:val="2789789E"/>
    <w:rsid w:val="2790793A"/>
    <w:rsid w:val="27A16033"/>
    <w:rsid w:val="27BA1DF1"/>
    <w:rsid w:val="27BD29B1"/>
    <w:rsid w:val="27C070A1"/>
    <w:rsid w:val="27CC0335"/>
    <w:rsid w:val="27E05829"/>
    <w:rsid w:val="2812143D"/>
    <w:rsid w:val="28326FC3"/>
    <w:rsid w:val="284654FB"/>
    <w:rsid w:val="284C64E6"/>
    <w:rsid w:val="286454FC"/>
    <w:rsid w:val="28951901"/>
    <w:rsid w:val="28A55630"/>
    <w:rsid w:val="28D75E7F"/>
    <w:rsid w:val="28DB0637"/>
    <w:rsid w:val="28EA0757"/>
    <w:rsid w:val="28F614AB"/>
    <w:rsid w:val="29252DE4"/>
    <w:rsid w:val="292559B5"/>
    <w:rsid w:val="29514FB8"/>
    <w:rsid w:val="29620ABE"/>
    <w:rsid w:val="296315D6"/>
    <w:rsid w:val="29A7676B"/>
    <w:rsid w:val="29BC4B37"/>
    <w:rsid w:val="29C16846"/>
    <w:rsid w:val="29C55F3E"/>
    <w:rsid w:val="29D62BAC"/>
    <w:rsid w:val="29DE70E7"/>
    <w:rsid w:val="29E6185C"/>
    <w:rsid w:val="2A0D1FB9"/>
    <w:rsid w:val="2A81612B"/>
    <w:rsid w:val="2AB279D0"/>
    <w:rsid w:val="2AB54336"/>
    <w:rsid w:val="2AC427C6"/>
    <w:rsid w:val="2AD37B70"/>
    <w:rsid w:val="2ADA18D3"/>
    <w:rsid w:val="2AF0631D"/>
    <w:rsid w:val="2B044801"/>
    <w:rsid w:val="2B0B2D29"/>
    <w:rsid w:val="2B0F281A"/>
    <w:rsid w:val="2B132E66"/>
    <w:rsid w:val="2B361B54"/>
    <w:rsid w:val="2B362BF3"/>
    <w:rsid w:val="2B5B4387"/>
    <w:rsid w:val="2B7625E1"/>
    <w:rsid w:val="2B8D223A"/>
    <w:rsid w:val="2B914308"/>
    <w:rsid w:val="2B9A3712"/>
    <w:rsid w:val="2BA20995"/>
    <w:rsid w:val="2BA627AC"/>
    <w:rsid w:val="2BB736EE"/>
    <w:rsid w:val="2BBE15E2"/>
    <w:rsid w:val="2BC06835"/>
    <w:rsid w:val="2BFC5462"/>
    <w:rsid w:val="2BFD08C4"/>
    <w:rsid w:val="2C0D08BC"/>
    <w:rsid w:val="2C163E61"/>
    <w:rsid w:val="2C55747C"/>
    <w:rsid w:val="2C627A2D"/>
    <w:rsid w:val="2C725257"/>
    <w:rsid w:val="2C7827B8"/>
    <w:rsid w:val="2C7B7B25"/>
    <w:rsid w:val="2CD177B2"/>
    <w:rsid w:val="2CD9414F"/>
    <w:rsid w:val="2CE83FC1"/>
    <w:rsid w:val="2CF26BB3"/>
    <w:rsid w:val="2D173C07"/>
    <w:rsid w:val="2D191C7C"/>
    <w:rsid w:val="2D482013"/>
    <w:rsid w:val="2D5E35E4"/>
    <w:rsid w:val="2D726292"/>
    <w:rsid w:val="2D81640F"/>
    <w:rsid w:val="2D821BBD"/>
    <w:rsid w:val="2D957F46"/>
    <w:rsid w:val="2DA90EB5"/>
    <w:rsid w:val="2DDD1E91"/>
    <w:rsid w:val="2E1848FC"/>
    <w:rsid w:val="2E2E2FB7"/>
    <w:rsid w:val="2E535759"/>
    <w:rsid w:val="2E9335DF"/>
    <w:rsid w:val="2E9E448B"/>
    <w:rsid w:val="2ECB4447"/>
    <w:rsid w:val="2EE44E2E"/>
    <w:rsid w:val="2EEE32BC"/>
    <w:rsid w:val="2F1F5DAD"/>
    <w:rsid w:val="2F484282"/>
    <w:rsid w:val="2F5800FF"/>
    <w:rsid w:val="2F5E1127"/>
    <w:rsid w:val="2F8F217B"/>
    <w:rsid w:val="2F9C4660"/>
    <w:rsid w:val="2FA362B7"/>
    <w:rsid w:val="2FC279D2"/>
    <w:rsid w:val="2FF975F4"/>
    <w:rsid w:val="30286057"/>
    <w:rsid w:val="302F0E08"/>
    <w:rsid w:val="302F2A38"/>
    <w:rsid w:val="305667F5"/>
    <w:rsid w:val="305708EA"/>
    <w:rsid w:val="305D4027"/>
    <w:rsid w:val="307015F8"/>
    <w:rsid w:val="309A7A3E"/>
    <w:rsid w:val="30A1372A"/>
    <w:rsid w:val="30DF4A3C"/>
    <w:rsid w:val="310E0E7D"/>
    <w:rsid w:val="3132789A"/>
    <w:rsid w:val="31436D73"/>
    <w:rsid w:val="315216B2"/>
    <w:rsid w:val="316311C9"/>
    <w:rsid w:val="31B40B66"/>
    <w:rsid w:val="31BF1AB8"/>
    <w:rsid w:val="31C22153"/>
    <w:rsid w:val="31DE4686"/>
    <w:rsid w:val="31FC517A"/>
    <w:rsid w:val="32125138"/>
    <w:rsid w:val="321E5B75"/>
    <w:rsid w:val="322518E6"/>
    <w:rsid w:val="32313FA5"/>
    <w:rsid w:val="32382656"/>
    <w:rsid w:val="323F1C36"/>
    <w:rsid w:val="325D030E"/>
    <w:rsid w:val="32AD579D"/>
    <w:rsid w:val="32B05ACE"/>
    <w:rsid w:val="32B15668"/>
    <w:rsid w:val="32CC0FF0"/>
    <w:rsid w:val="32DB3574"/>
    <w:rsid w:val="32DD2181"/>
    <w:rsid w:val="32E75E2A"/>
    <w:rsid w:val="32F64634"/>
    <w:rsid w:val="33150500"/>
    <w:rsid w:val="33844E91"/>
    <w:rsid w:val="3387625C"/>
    <w:rsid w:val="338866DE"/>
    <w:rsid w:val="338D04DD"/>
    <w:rsid w:val="339A5F22"/>
    <w:rsid w:val="33A90E1D"/>
    <w:rsid w:val="33BB327D"/>
    <w:rsid w:val="33D60378"/>
    <w:rsid w:val="33DC1707"/>
    <w:rsid w:val="33DD3477"/>
    <w:rsid w:val="33E10ACB"/>
    <w:rsid w:val="33ED56C2"/>
    <w:rsid w:val="34173AF7"/>
    <w:rsid w:val="341D7D55"/>
    <w:rsid w:val="341E587B"/>
    <w:rsid w:val="34495916"/>
    <w:rsid w:val="345B262C"/>
    <w:rsid w:val="3465490B"/>
    <w:rsid w:val="347C2CBA"/>
    <w:rsid w:val="34825E0A"/>
    <w:rsid w:val="3489363D"/>
    <w:rsid w:val="348A1163"/>
    <w:rsid w:val="349F13D6"/>
    <w:rsid w:val="34CA2B8F"/>
    <w:rsid w:val="34CF6B76"/>
    <w:rsid w:val="34CF7657"/>
    <w:rsid w:val="34EF21EB"/>
    <w:rsid w:val="35140AD8"/>
    <w:rsid w:val="35302274"/>
    <w:rsid w:val="353D6260"/>
    <w:rsid w:val="35571045"/>
    <w:rsid w:val="35702107"/>
    <w:rsid w:val="357716E7"/>
    <w:rsid w:val="357A4D33"/>
    <w:rsid w:val="35855B64"/>
    <w:rsid w:val="3592207D"/>
    <w:rsid w:val="359D4169"/>
    <w:rsid w:val="35B44A00"/>
    <w:rsid w:val="35DF7739"/>
    <w:rsid w:val="35E5295E"/>
    <w:rsid w:val="35F03248"/>
    <w:rsid w:val="36183502"/>
    <w:rsid w:val="361C3A47"/>
    <w:rsid w:val="36251507"/>
    <w:rsid w:val="362B2522"/>
    <w:rsid w:val="36546371"/>
    <w:rsid w:val="36656A72"/>
    <w:rsid w:val="366E2AEA"/>
    <w:rsid w:val="36783969"/>
    <w:rsid w:val="367E55AC"/>
    <w:rsid w:val="36806E54"/>
    <w:rsid w:val="36807657"/>
    <w:rsid w:val="36B434EB"/>
    <w:rsid w:val="36BD137C"/>
    <w:rsid w:val="36CE5337"/>
    <w:rsid w:val="36D04E2D"/>
    <w:rsid w:val="36EA5EE9"/>
    <w:rsid w:val="37092813"/>
    <w:rsid w:val="37152631"/>
    <w:rsid w:val="37167122"/>
    <w:rsid w:val="372640BD"/>
    <w:rsid w:val="373213E2"/>
    <w:rsid w:val="374603E0"/>
    <w:rsid w:val="37D20E57"/>
    <w:rsid w:val="380F5C07"/>
    <w:rsid w:val="3812046C"/>
    <w:rsid w:val="38545EE9"/>
    <w:rsid w:val="385E093C"/>
    <w:rsid w:val="38670BB5"/>
    <w:rsid w:val="386D5023"/>
    <w:rsid w:val="386E2DF5"/>
    <w:rsid w:val="387700FC"/>
    <w:rsid w:val="38983E4E"/>
    <w:rsid w:val="38AC78FA"/>
    <w:rsid w:val="38B73B63"/>
    <w:rsid w:val="38C42F04"/>
    <w:rsid w:val="38C91EDE"/>
    <w:rsid w:val="38CA7D80"/>
    <w:rsid w:val="38D56870"/>
    <w:rsid w:val="38E15F1D"/>
    <w:rsid w:val="38E63EB3"/>
    <w:rsid w:val="39113643"/>
    <w:rsid w:val="39116875"/>
    <w:rsid w:val="39243934"/>
    <w:rsid w:val="39272820"/>
    <w:rsid w:val="39316051"/>
    <w:rsid w:val="394445BA"/>
    <w:rsid w:val="39553AED"/>
    <w:rsid w:val="39657AA9"/>
    <w:rsid w:val="3970002D"/>
    <w:rsid w:val="397318E8"/>
    <w:rsid w:val="39754190"/>
    <w:rsid w:val="3992765E"/>
    <w:rsid w:val="39A5011C"/>
    <w:rsid w:val="39AA1A47"/>
    <w:rsid w:val="39B13E07"/>
    <w:rsid w:val="39BD3961"/>
    <w:rsid w:val="39DE5A4C"/>
    <w:rsid w:val="39FD0783"/>
    <w:rsid w:val="39FD0947"/>
    <w:rsid w:val="3A372822"/>
    <w:rsid w:val="3A396F6B"/>
    <w:rsid w:val="3A3B0B97"/>
    <w:rsid w:val="3A824DB6"/>
    <w:rsid w:val="3A8723CC"/>
    <w:rsid w:val="3A8E0752"/>
    <w:rsid w:val="3A932DF2"/>
    <w:rsid w:val="3AAD60B3"/>
    <w:rsid w:val="3AD925C9"/>
    <w:rsid w:val="3AEE2535"/>
    <w:rsid w:val="3AF534E6"/>
    <w:rsid w:val="3B037579"/>
    <w:rsid w:val="3B252B5B"/>
    <w:rsid w:val="3B337E5E"/>
    <w:rsid w:val="3B5D137F"/>
    <w:rsid w:val="3B8843C5"/>
    <w:rsid w:val="3B8A781E"/>
    <w:rsid w:val="3B8C4327"/>
    <w:rsid w:val="3BBA4322"/>
    <w:rsid w:val="3BBB17DC"/>
    <w:rsid w:val="3C027831"/>
    <w:rsid w:val="3C096E11"/>
    <w:rsid w:val="3C1E100C"/>
    <w:rsid w:val="3C530294"/>
    <w:rsid w:val="3C5B34B7"/>
    <w:rsid w:val="3C803B80"/>
    <w:rsid w:val="3C905633"/>
    <w:rsid w:val="3C971AE4"/>
    <w:rsid w:val="3C9755B1"/>
    <w:rsid w:val="3CB35F70"/>
    <w:rsid w:val="3CB90837"/>
    <w:rsid w:val="3CD411CD"/>
    <w:rsid w:val="3CDA6666"/>
    <w:rsid w:val="3CEA0280"/>
    <w:rsid w:val="3CF01335"/>
    <w:rsid w:val="3CF42891"/>
    <w:rsid w:val="3D385B1B"/>
    <w:rsid w:val="3D3918E3"/>
    <w:rsid w:val="3D4A3F4C"/>
    <w:rsid w:val="3D7D6EF6"/>
    <w:rsid w:val="3DA82244"/>
    <w:rsid w:val="3DC20F0F"/>
    <w:rsid w:val="3DC94740"/>
    <w:rsid w:val="3DDF42CD"/>
    <w:rsid w:val="3DDF46DF"/>
    <w:rsid w:val="3DE03BA2"/>
    <w:rsid w:val="3DE5658D"/>
    <w:rsid w:val="3DE93FE1"/>
    <w:rsid w:val="3DF67F84"/>
    <w:rsid w:val="3E03501D"/>
    <w:rsid w:val="3E18333B"/>
    <w:rsid w:val="3E1B21D4"/>
    <w:rsid w:val="3E221460"/>
    <w:rsid w:val="3E244320"/>
    <w:rsid w:val="3E372F9F"/>
    <w:rsid w:val="3E4A72D8"/>
    <w:rsid w:val="3E4C3E35"/>
    <w:rsid w:val="3E4D53B4"/>
    <w:rsid w:val="3E4E6111"/>
    <w:rsid w:val="3E5325C6"/>
    <w:rsid w:val="3E6D6330"/>
    <w:rsid w:val="3E742C68"/>
    <w:rsid w:val="3ED27799"/>
    <w:rsid w:val="3EEF22EE"/>
    <w:rsid w:val="3EF9046A"/>
    <w:rsid w:val="3F220916"/>
    <w:rsid w:val="3F44046C"/>
    <w:rsid w:val="3F441B14"/>
    <w:rsid w:val="3F4426B2"/>
    <w:rsid w:val="3F7354E2"/>
    <w:rsid w:val="3F7857D1"/>
    <w:rsid w:val="3F8F587F"/>
    <w:rsid w:val="3F9F3D14"/>
    <w:rsid w:val="3FA26579"/>
    <w:rsid w:val="3FA5377A"/>
    <w:rsid w:val="3FC4619E"/>
    <w:rsid w:val="3FCE63A8"/>
    <w:rsid w:val="3FEB336E"/>
    <w:rsid w:val="400159AA"/>
    <w:rsid w:val="40274478"/>
    <w:rsid w:val="402D5E96"/>
    <w:rsid w:val="402E32EA"/>
    <w:rsid w:val="40363F4D"/>
    <w:rsid w:val="405D76A1"/>
    <w:rsid w:val="4065146E"/>
    <w:rsid w:val="406E36E7"/>
    <w:rsid w:val="4094716A"/>
    <w:rsid w:val="40D82A90"/>
    <w:rsid w:val="40DE2154"/>
    <w:rsid w:val="41382CD2"/>
    <w:rsid w:val="413C5593"/>
    <w:rsid w:val="41466412"/>
    <w:rsid w:val="4153338C"/>
    <w:rsid w:val="417B4290"/>
    <w:rsid w:val="41855D01"/>
    <w:rsid w:val="419B6A3A"/>
    <w:rsid w:val="419B6D4B"/>
    <w:rsid w:val="419D24D5"/>
    <w:rsid w:val="41AD502C"/>
    <w:rsid w:val="41AF040A"/>
    <w:rsid w:val="41C77552"/>
    <w:rsid w:val="41CD4292"/>
    <w:rsid w:val="41CF108A"/>
    <w:rsid w:val="41EC0D67"/>
    <w:rsid w:val="42056D56"/>
    <w:rsid w:val="4216246A"/>
    <w:rsid w:val="425A520B"/>
    <w:rsid w:val="425A621B"/>
    <w:rsid w:val="425C5EED"/>
    <w:rsid w:val="429E4757"/>
    <w:rsid w:val="42A87384"/>
    <w:rsid w:val="42B62C93"/>
    <w:rsid w:val="42BA6C89"/>
    <w:rsid w:val="42C77231"/>
    <w:rsid w:val="42D0566D"/>
    <w:rsid w:val="42DE4F24"/>
    <w:rsid w:val="42ED1BED"/>
    <w:rsid w:val="4301163F"/>
    <w:rsid w:val="4330052B"/>
    <w:rsid w:val="43691167"/>
    <w:rsid w:val="437B05F4"/>
    <w:rsid w:val="43867396"/>
    <w:rsid w:val="439471AF"/>
    <w:rsid w:val="43A7763B"/>
    <w:rsid w:val="43BE5EA4"/>
    <w:rsid w:val="43DD305D"/>
    <w:rsid w:val="43F263DD"/>
    <w:rsid w:val="440962F5"/>
    <w:rsid w:val="440E1E3A"/>
    <w:rsid w:val="442C35F3"/>
    <w:rsid w:val="443F0452"/>
    <w:rsid w:val="44565E2A"/>
    <w:rsid w:val="44592FA7"/>
    <w:rsid w:val="446E2DED"/>
    <w:rsid w:val="4479751F"/>
    <w:rsid w:val="449450A2"/>
    <w:rsid w:val="44965583"/>
    <w:rsid w:val="44F4700B"/>
    <w:rsid w:val="450E44FF"/>
    <w:rsid w:val="45232EC1"/>
    <w:rsid w:val="45376011"/>
    <w:rsid w:val="454607EE"/>
    <w:rsid w:val="456C67DF"/>
    <w:rsid w:val="45A87B87"/>
    <w:rsid w:val="45D97854"/>
    <w:rsid w:val="45E701C3"/>
    <w:rsid w:val="45F70334"/>
    <w:rsid w:val="460C0966"/>
    <w:rsid w:val="46162856"/>
    <w:rsid w:val="461C4E18"/>
    <w:rsid w:val="461E795D"/>
    <w:rsid w:val="463061A1"/>
    <w:rsid w:val="465515D1"/>
    <w:rsid w:val="46566B9A"/>
    <w:rsid w:val="46592743"/>
    <w:rsid w:val="4665558C"/>
    <w:rsid w:val="467B68FF"/>
    <w:rsid w:val="46B856BC"/>
    <w:rsid w:val="46F95AEB"/>
    <w:rsid w:val="46FA0816"/>
    <w:rsid w:val="46FC7C9E"/>
    <w:rsid w:val="47047C8E"/>
    <w:rsid w:val="47134122"/>
    <w:rsid w:val="473C355E"/>
    <w:rsid w:val="47424128"/>
    <w:rsid w:val="47581FE8"/>
    <w:rsid w:val="475E0161"/>
    <w:rsid w:val="476475F1"/>
    <w:rsid w:val="479A3013"/>
    <w:rsid w:val="479D346C"/>
    <w:rsid w:val="47A6371A"/>
    <w:rsid w:val="47AE2C9B"/>
    <w:rsid w:val="47B12E23"/>
    <w:rsid w:val="47D75B8A"/>
    <w:rsid w:val="47F161DD"/>
    <w:rsid w:val="47F22E4F"/>
    <w:rsid w:val="47F40640"/>
    <w:rsid w:val="481334F1"/>
    <w:rsid w:val="48272928"/>
    <w:rsid w:val="482A25E9"/>
    <w:rsid w:val="48313978"/>
    <w:rsid w:val="48315726"/>
    <w:rsid w:val="48435459"/>
    <w:rsid w:val="485E29B0"/>
    <w:rsid w:val="4868311F"/>
    <w:rsid w:val="48AC74A2"/>
    <w:rsid w:val="48DB7923"/>
    <w:rsid w:val="48ED143C"/>
    <w:rsid w:val="48FD385A"/>
    <w:rsid w:val="491F22BA"/>
    <w:rsid w:val="49331890"/>
    <w:rsid w:val="494476DB"/>
    <w:rsid w:val="49484020"/>
    <w:rsid w:val="498872D5"/>
    <w:rsid w:val="498B5309"/>
    <w:rsid w:val="498B5A38"/>
    <w:rsid w:val="498D3ED1"/>
    <w:rsid w:val="49A40B61"/>
    <w:rsid w:val="49D12082"/>
    <w:rsid w:val="49E36EF3"/>
    <w:rsid w:val="49E7024F"/>
    <w:rsid w:val="49FE77F1"/>
    <w:rsid w:val="4A01742E"/>
    <w:rsid w:val="4A084BAC"/>
    <w:rsid w:val="4A172AD7"/>
    <w:rsid w:val="4A296BD1"/>
    <w:rsid w:val="4A3B0644"/>
    <w:rsid w:val="4A526669"/>
    <w:rsid w:val="4A8138AB"/>
    <w:rsid w:val="4A857FAB"/>
    <w:rsid w:val="4ABE5084"/>
    <w:rsid w:val="4ACE583E"/>
    <w:rsid w:val="4AD55B40"/>
    <w:rsid w:val="4AD645BB"/>
    <w:rsid w:val="4AF225DA"/>
    <w:rsid w:val="4B0918DB"/>
    <w:rsid w:val="4B0B5E8E"/>
    <w:rsid w:val="4B174894"/>
    <w:rsid w:val="4B2D3436"/>
    <w:rsid w:val="4B2E0642"/>
    <w:rsid w:val="4B2E2689"/>
    <w:rsid w:val="4B346643"/>
    <w:rsid w:val="4B4749F9"/>
    <w:rsid w:val="4B5F6814"/>
    <w:rsid w:val="4B634A1D"/>
    <w:rsid w:val="4B784D60"/>
    <w:rsid w:val="4B7F4E2F"/>
    <w:rsid w:val="4B8D35BB"/>
    <w:rsid w:val="4BA34342"/>
    <w:rsid w:val="4BC871E5"/>
    <w:rsid w:val="4BDB06A3"/>
    <w:rsid w:val="4C093B2B"/>
    <w:rsid w:val="4C156EBE"/>
    <w:rsid w:val="4C791583"/>
    <w:rsid w:val="4C80651B"/>
    <w:rsid w:val="4C93180F"/>
    <w:rsid w:val="4CC31F2D"/>
    <w:rsid w:val="4CC61D2C"/>
    <w:rsid w:val="4CC62B8A"/>
    <w:rsid w:val="4CD82614"/>
    <w:rsid w:val="4CE10E12"/>
    <w:rsid w:val="4CEB5D58"/>
    <w:rsid w:val="4CF805A8"/>
    <w:rsid w:val="4D007DBC"/>
    <w:rsid w:val="4D027691"/>
    <w:rsid w:val="4D094ED6"/>
    <w:rsid w:val="4D227280"/>
    <w:rsid w:val="4D2C6390"/>
    <w:rsid w:val="4D3A08EF"/>
    <w:rsid w:val="4D404BF1"/>
    <w:rsid w:val="4D4978AC"/>
    <w:rsid w:val="4D4E6D7A"/>
    <w:rsid w:val="4D7020FE"/>
    <w:rsid w:val="4D8409ED"/>
    <w:rsid w:val="4D8825E1"/>
    <w:rsid w:val="4D883876"/>
    <w:rsid w:val="4DA7479D"/>
    <w:rsid w:val="4DAA25FF"/>
    <w:rsid w:val="4DBF5582"/>
    <w:rsid w:val="4DCD7C9F"/>
    <w:rsid w:val="4DDA72CC"/>
    <w:rsid w:val="4DFA07B6"/>
    <w:rsid w:val="4DFB2A31"/>
    <w:rsid w:val="4E465CA3"/>
    <w:rsid w:val="4E5C1022"/>
    <w:rsid w:val="4E72085C"/>
    <w:rsid w:val="4E964534"/>
    <w:rsid w:val="4E994025"/>
    <w:rsid w:val="4EB42846"/>
    <w:rsid w:val="4EC310A1"/>
    <w:rsid w:val="4ED7003C"/>
    <w:rsid w:val="4EEE16B2"/>
    <w:rsid w:val="4F043B94"/>
    <w:rsid w:val="4F111E0D"/>
    <w:rsid w:val="4F145FCA"/>
    <w:rsid w:val="4F2215D0"/>
    <w:rsid w:val="4F8B2F51"/>
    <w:rsid w:val="4F9B5B7A"/>
    <w:rsid w:val="4FBC7095"/>
    <w:rsid w:val="4FCC5A56"/>
    <w:rsid w:val="4FE438A2"/>
    <w:rsid w:val="4FF57980"/>
    <w:rsid w:val="50147786"/>
    <w:rsid w:val="50150625"/>
    <w:rsid w:val="501C4F0D"/>
    <w:rsid w:val="50245B70"/>
    <w:rsid w:val="50380B0C"/>
    <w:rsid w:val="505B2128"/>
    <w:rsid w:val="506258E1"/>
    <w:rsid w:val="50655D36"/>
    <w:rsid w:val="50680222"/>
    <w:rsid w:val="507B4011"/>
    <w:rsid w:val="508F4404"/>
    <w:rsid w:val="509239E2"/>
    <w:rsid w:val="50A5479F"/>
    <w:rsid w:val="50DF170F"/>
    <w:rsid w:val="50E22B52"/>
    <w:rsid w:val="50EC48E0"/>
    <w:rsid w:val="510247DE"/>
    <w:rsid w:val="510269CE"/>
    <w:rsid w:val="51081D48"/>
    <w:rsid w:val="51091E4E"/>
    <w:rsid w:val="511D092D"/>
    <w:rsid w:val="512F5EC8"/>
    <w:rsid w:val="51412457"/>
    <w:rsid w:val="514318D7"/>
    <w:rsid w:val="51597A9B"/>
    <w:rsid w:val="516E081B"/>
    <w:rsid w:val="51714DE5"/>
    <w:rsid w:val="51D535C6"/>
    <w:rsid w:val="51FD19F7"/>
    <w:rsid w:val="52110A39"/>
    <w:rsid w:val="521D4F6D"/>
    <w:rsid w:val="522956BF"/>
    <w:rsid w:val="523072B3"/>
    <w:rsid w:val="52495EEE"/>
    <w:rsid w:val="524D7600"/>
    <w:rsid w:val="526E7576"/>
    <w:rsid w:val="527411C4"/>
    <w:rsid w:val="52857403"/>
    <w:rsid w:val="529C694C"/>
    <w:rsid w:val="529D22EE"/>
    <w:rsid w:val="52B61649"/>
    <w:rsid w:val="52FD33E0"/>
    <w:rsid w:val="53163E96"/>
    <w:rsid w:val="532760A3"/>
    <w:rsid w:val="532A5B93"/>
    <w:rsid w:val="5346248F"/>
    <w:rsid w:val="534C79D0"/>
    <w:rsid w:val="534F3F30"/>
    <w:rsid w:val="535914C6"/>
    <w:rsid w:val="535C0653"/>
    <w:rsid w:val="538F59F6"/>
    <w:rsid w:val="539518A9"/>
    <w:rsid w:val="5398661A"/>
    <w:rsid w:val="53AD2FCC"/>
    <w:rsid w:val="53C25DCC"/>
    <w:rsid w:val="53D035D9"/>
    <w:rsid w:val="53D62F23"/>
    <w:rsid w:val="53DD2C05"/>
    <w:rsid w:val="53E8590D"/>
    <w:rsid w:val="53F42A19"/>
    <w:rsid w:val="53FD74E0"/>
    <w:rsid w:val="540E3ED0"/>
    <w:rsid w:val="54107BDD"/>
    <w:rsid w:val="542B7E0E"/>
    <w:rsid w:val="54872DEE"/>
    <w:rsid w:val="549517D1"/>
    <w:rsid w:val="54A019B1"/>
    <w:rsid w:val="54A86D6F"/>
    <w:rsid w:val="54B40213"/>
    <w:rsid w:val="54C94F38"/>
    <w:rsid w:val="54D91DF2"/>
    <w:rsid w:val="54F56ADF"/>
    <w:rsid w:val="54FB1595"/>
    <w:rsid w:val="552222BA"/>
    <w:rsid w:val="55236D3E"/>
    <w:rsid w:val="556A3010"/>
    <w:rsid w:val="558D0DCD"/>
    <w:rsid w:val="55977EAB"/>
    <w:rsid w:val="559E7614"/>
    <w:rsid w:val="55A040F5"/>
    <w:rsid w:val="55A11FE0"/>
    <w:rsid w:val="55AD3F41"/>
    <w:rsid w:val="55AF05D2"/>
    <w:rsid w:val="55B94FAC"/>
    <w:rsid w:val="55C220B3"/>
    <w:rsid w:val="55CE6366"/>
    <w:rsid w:val="55E95CD5"/>
    <w:rsid w:val="55F7664B"/>
    <w:rsid w:val="562465E2"/>
    <w:rsid w:val="566969D2"/>
    <w:rsid w:val="566E6661"/>
    <w:rsid w:val="566F134E"/>
    <w:rsid w:val="56784A1E"/>
    <w:rsid w:val="567D247D"/>
    <w:rsid w:val="569577C7"/>
    <w:rsid w:val="56994E6B"/>
    <w:rsid w:val="56B17D0D"/>
    <w:rsid w:val="56B95742"/>
    <w:rsid w:val="56C66CCF"/>
    <w:rsid w:val="56D85106"/>
    <w:rsid w:val="56D906E3"/>
    <w:rsid w:val="56E72CFA"/>
    <w:rsid w:val="570524FE"/>
    <w:rsid w:val="572B1A69"/>
    <w:rsid w:val="572C2FA1"/>
    <w:rsid w:val="57326672"/>
    <w:rsid w:val="57545446"/>
    <w:rsid w:val="57A858DC"/>
    <w:rsid w:val="57AC3163"/>
    <w:rsid w:val="57C24AFE"/>
    <w:rsid w:val="57E17F30"/>
    <w:rsid w:val="582232DD"/>
    <w:rsid w:val="5822790B"/>
    <w:rsid w:val="583F79EB"/>
    <w:rsid w:val="584C4139"/>
    <w:rsid w:val="58532F26"/>
    <w:rsid w:val="5861548F"/>
    <w:rsid w:val="588D2A5C"/>
    <w:rsid w:val="58950CD8"/>
    <w:rsid w:val="58A571B3"/>
    <w:rsid w:val="58A61818"/>
    <w:rsid w:val="58A81A34"/>
    <w:rsid w:val="58B02697"/>
    <w:rsid w:val="58B67A9B"/>
    <w:rsid w:val="58C56CB7"/>
    <w:rsid w:val="58D44CFC"/>
    <w:rsid w:val="58F96AF1"/>
    <w:rsid w:val="59034EBC"/>
    <w:rsid w:val="590D02E9"/>
    <w:rsid w:val="59213594"/>
    <w:rsid w:val="592F03B7"/>
    <w:rsid w:val="59457F07"/>
    <w:rsid w:val="59626DD3"/>
    <w:rsid w:val="59925DF2"/>
    <w:rsid w:val="59C26B25"/>
    <w:rsid w:val="59CD7C93"/>
    <w:rsid w:val="59D47E2E"/>
    <w:rsid w:val="59D57095"/>
    <w:rsid w:val="59DF695F"/>
    <w:rsid w:val="59DF76D7"/>
    <w:rsid w:val="59E24E9D"/>
    <w:rsid w:val="59F313E7"/>
    <w:rsid w:val="5A001F32"/>
    <w:rsid w:val="5A04524C"/>
    <w:rsid w:val="5A0A57FF"/>
    <w:rsid w:val="5A634509"/>
    <w:rsid w:val="5A651556"/>
    <w:rsid w:val="5A7A082C"/>
    <w:rsid w:val="5AA005D1"/>
    <w:rsid w:val="5ADB3CBD"/>
    <w:rsid w:val="5AE94B3E"/>
    <w:rsid w:val="5AF34ABD"/>
    <w:rsid w:val="5B063975"/>
    <w:rsid w:val="5B0C4325"/>
    <w:rsid w:val="5B4134F3"/>
    <w:rsid w:val="5B515489"/>
    <w:rsid w:val="5B706DAF"/>
    <w:rsid w:val="5B89006B"/>
    <w:rsid w:val="5B9718EC"/>
    <w:rsid w:val="5B9E0ECC"/>
    <w:rsid w:val="5BA76FE6"/>
    <w:rsid w:val="5BC8216B"/>
    <w:rsid w:val="5BE21EEE"/>
    <w:rsid w:val="5BF913A2"/>
    <w:rsid w:val="5BFE4F6F"/>
    <w:rsid w:val="5C1D335D"/>
    <w:rsid w:val="5C2B7C22"/>
    <w:rsid w:val="5C9E3B0B"/>
    <w:rsid w:val="5CDE306E"/>
    <w:rsid w:val="5D0631CD"/>
    <w:rsid w:val="5D076F21"/>
    <w:rsid w:val="5D211DB5"/>
    <w:rsid w:val="5D2F3F6C"/>
    <w:rsid w:val="5D6337A5"/>
    <w:rsid w:val="5D6508F9"/>
    <w:rsid w:val="5D6725DF"/>
    <w:rsid w:val="5D6D6DA8"/>
    <w:rsid w:val="5D796845"/>
    <w:rsid w:val="5D7D2004"/>
    <w:rsid w:val="5D8234CA"/>
    <w:rsid w:val="5D966D74"/>
    <w:rsid w:val="5D9E0E37"/>
    <w:rsid w:val="5D9F646C"/>
    <w:rsid w:val="5DA44D9E"/>
    <w:rsid w:val="5DA53B10"/>
    <w:rsid w:val="5DE33377"/>
    <w:rsid w:val="5E055233"/>
    <w:rsid w:val="5E0577A1"/>
    <w:rsid w:val="5E1E00A2"/>
    <w:rsid w:val="5E207FC0"/>
    <w:rsid w:val="5E4044BD"/>
    <w:rsid w:val="5E503BBD"/>
    <w:rsid w:val="5E525F9E"/>
    <w:rsid w:val="5E53789D"/>
    <w:rsid w:val="5E575A76"/>
    <w:rsid w:val="5E90738B"/>
    <w:rsid w:val="5E9E2432"/>
    <w:rsid w:val="5E9E4667"/>
    <w:rsid w:val="5EA9720E"/>
    <w:rsid w:val="5EB420DF"/>
    <w:rsid w:val="5EB505C7"/>
    <w:rsid w:val="5EBC4022"/>
    <w:rsid w:val="5ECE7DD0"/>
    <w:rsid w:val="5EFF17CF"/>
    <w:rsid w:val="5F080F7F"/>
    <w:rsid w:val="5F134680"/>
    <w:rsid w:val="5F1C2834"/>
    <w:rsid w:val="5F260774"/>
    <w:rsid w:val="5F297B33"/>
    <w:rsid w:val="5F3A0F0C"/>
    <w:rsid w:val="5F503D12"/>
    <w:rsid w:val="5F5521EA"/>
    <w:rsid w:val="5F63529E"/>
    <w:rsid w:val="5F750C91"/>
    <w:rsid w:val="5F7A64AD"/>
    <w:rsid w:val="5F7F2DC3"/>
    <w:rsid w:val="5F88611B"/>
    <w:rsid w:val="5F8A4894"/>
    <w:rsid w:val="5F8B2697"/>
    <w:rsid w:val="5F8E3006"/>
    <w:rsid w:val="5F942E25"/>
    <w:rsid w:val="5FA14253"/>
    <w:rsid w:val="5FAF54BD"/>
    <w:rsid w:val="5FB8032D"/>
    <w:rsid w:val="5FC50609"/>
    <w:rsid w:val="5FD40C2B"/>
    <w:rsid w:val="5FE60307"/>
    <w:rsid w:val="5FF94923"/>
    <w:rsid w:val="601479AF"/>
    <w:rsid w:val="60211D98"/>
    <w:rsid w:val="606371D1"/>
    <w:rsid w:val="60795A64"/>
    <w:rsid w:val="608E59B3"/>
    <w:rsid w:val="609739B4"/>
    <w:rsid w:val="60AB6843"/>
    <w:rsid w:val="60B63147"/>
    <w:rsid w:val="60B96500"/>
    <w:rsid w:val="60FF6129"/>
    <w:rsid w:val="61520A88"/>
    <w:rsid w:val="61AC31DA"/>
    <w:rsid w:val="61E17E29"/>
    <w:rsid w:val="61F41846"/>
    <w:rsid w:val="620C07C2"/>
    <w:rsid w:val="62146D6D"/>
    <w:rsid w:val="6220263B"/>
    <w:rsid w:val="62213805"/>
    <w:rsid w:val="62241D2F"/>
    <w:rsid w:val="622A170C"/>
    <w:rsid w:val="624214A2"/>
    <w:rsid w:val="62431C38"/>
    <w:rsid w:val="625B6E07"/>
    <w:rsid w:val="625E6E3F"/>
    <w:rsid w:val="62721147"/>
    <w:rsid w:val="6295188B"/>
    <w:rsid w:val="62970423"/>
    <w:rsid w:val="62AC6B3E"/>
    <w:rsid w:val="62B1722F"/>
    <w:rsid w:val="62BA0AE5"/>
    <w:rsid w:val="62BF5811"/>
    <w:rsid w:val="62CE0268"/>
    <w:rsid w:val="63243CF9"/>
    <w:rsid w:val="63614F08"/>
    <w:rsid w:val="637A13B3"/>
    <w:rsid w:val="6386043D"/>
    <w:rsid w:val="639305A3"/>
    <w:rsid w:val="63AB4186"/>
    <w:rsid w:val="63D7471A"/>
    <w:rsid w:val="63E21829"/>
    <w:rsid w:val="63FD17F6"/>
    <w:rsid w:val="63FE0C96"/>
    <w:rsid w:val="64063AB3"/>
    <w:rsid w:val="64086C57"/>
    <w:rsid w:val="641919DC"/>
    <w:rsid w:val="641E545C"/>
    <w:rsid w:val="64267613"/>
    <w:rsid w:val="642B6FB7"/>
    <w:rsid w:val="643B31AC"/>
    <w:rsid w:val="64460353"/>
    <w:rsid w:val="64754794"/>
    <w:rsid w:val="647F2405"/>
    <w:rsid w:val="649E3CEB"/>
    <w:rsid w:val="64D37E39"/>
    <w:rsid w:val="64D539FE"/>
    <w:rsid w:val="64D771FD"/>
    <w:rsid w:val="64E3351C"/>
    <w:rsid w:val="64E66DF4"/>
    <w:rsid w:val="65042353"/>
    <w:rsid w:val="65181CEF"/>
    <w:rsid w:val="651C3C63"/>
    <w:rsid w:val="651D7306"/>
    <w:rsid w:val="65230A03"/>
    <w:rsid w:val="653908EB"/>
    <w:rsid w:val="65765F2C"/>
    <w:rsid w:val="657B7B0D"/>
    <w:rsid w:val="659B28B6"/>
    <w:rsid w:val="65A74E21"/>
    <w:rsid w:val="65B84BB9"/>
    <w:rsid w:val="65C165F6"/>
    <w:rsid w:val="65C97C25"/>
    <w:rsid w:val="65E5017A"/>
    <w:rsid w:val="65F8567D"/>
    <w:rsid w:val="66281727"/>
    <w:rsid w:val="665E2F44"/>
    <w:rsid w:val="66655DBA"/>
    <w:rsid w:val="667411A7"/>
    <w:rsid w:val="66815016"/>
    <w:rsid w:val="66815672"/>
    <w:rsid w:val="669A06E8"/>
    <w:rsid w:val="66AE7E43"/>
    <w:rsid w:val="66B5531C"/>
    <w:rsid w:val="66C739CD"/>
    <w:rsid w:val="66EF68CF"/>
    <w:rsid w:val="66F127F8"/>
    <w:rsid w:val="671B325F"/>
    <w:rsid w:val="675C4CD8"/>
    <w:rsid w:val="67704A67"/>
    <w:rsid w:val="677874C4"/>
    <w:rsid w:val="678C30B5"/>
    <w:rsid w:val="67D26A10"/>
    <w:rsid w:val="67D43D2A"/>
    <w:rsid w:val="67F117A8"/>
    <w:rsid w:val="67F43D56"/>
    <w:rsid w:val="67FD625D"/>
    <w:rsid w:val="680734FE"/>
    <w:rsid w:val="682855D5"/>
    <w:rsid w:val="682A2C53"/>
    <w:rsid w:val="683267A0"/>
    <w:rsid w:val="683C70E7"/>
    <w:rsid w:val="68415F39"/>
    <w:rsid w:val="68481CB4"/>
    <w:rsid w:val="68584458"/>
    <w:rsid w:val="68604EB0"/>
    <w:rsid w:val="68715B33"/>
    <w:rsid w:val="687D514A"/>
    <w:rsid w:val="68823C33"/>
    <w:rsid w:val="68946690"/>
    <w:rsid w:val="68A0350F"/>
    <w:rsid w:val="68AB1F9B"/>
    <w:rsid w:val="68B60018"/>
    <w:rsid w:val="692A0243"/>
    <w:rsid w:val="69335C12"/>
    <w:rsid w:val="6937182D"/>
    <w:rsid w:val="69373383"/>
    <w:rsid w:val="693F59F2"/>
    <w:rsid w:val="69466C17"/>
    <w:rsid w:val="6951757E"/>
    <w:rsid w:val="69620B1A"/>
    <w:rsid w:val="69756E9E"/>
    <w:rsid w:val="699456BD"/>
    <w:rsid w:val="69976551"/>
    <w:rsid w:val="69A5383F"/>
    <w:rsid w:val="69A9560C"/>
    <w:rsid w:val="69AD7C07"/>
    <w:rsid w:val="69B63885"/>
    <w:rsid w:val="69CE5543"/>
    <w:rsid w:val="69D02B99"/>
    <w:rsid w:val="69D07516"/>
    <w:rsid w:val="69E228CC"/>
    <w:rsid w:val="6A132A85"/>
    <w:rsid w:val="6A3A1929"/>
    <w:rsid w:val="6A4454E8"/>
    <w:rsid w:val="6A5F2A84"/>
    <w:rsid w:val="6A697B8D"/>
    <w:rsid w:val="6A923A69"/>
    <w:rsid w:val="6AA037D0"/>
    <w:rsid w:val="6AA87B5B"/>
    <w:rsid w:val="6ADE08A2"/>
    <w:rsid w:val="6AE61F7B"/>
    <w:rsid w:val="6AF7052B"/>
    <w:rsid w:val="6B0C26E9"/>
    <w:rsid w:val="6B0E7DE3"/>
    <w:rsid w:val="6B104EE7"/>
    <w:rsid w:val="6B111453"/>
    <w:rsid w:val="6B122D3D"/>
    <w:rsid w:val="6B265296"/>
    <w:rsid w:val="6B315878"/>
    <w:rsid w:val="6B3C54D1"/>
    <w:rsid w:val="6B3F5BD0"/>
    <w:rsid w:val="6B55512C"/>
    <w:rsid w:val="6B555497"/>
    <w:rsid w:val="6B630500"/>
    <w:rsid w:val="6B7D195F"/>
    <w:rsid w:val="6B7E2AD2"/>
    <w:rsid w:val="6B800FF9"/>
    <w:rsid w:val="6B80504A"/>
    <w:rsid w:val="6B94633D"/>
    <w:rsid w:val="6B985938"/>
    <w:rsid w:val="6B990896"/>
    <w:rsid w:val="6BAA5094"/>
    <w:rsid w:val="6BD00EFF"/>
    <w:rsid w:val="6BE51D9B"/>
    <w:rsid w:val="6C141D47"/>
    <w:rsid w:val="6C264CF2"/>
    <w:rsid w:val="6C296590"/>
    <w:rsid w:val="6C2B055A"/>
    <w:rsid w:val="6C325359"/>
    <w:rsid w:val="6C3E5380"/>
    <w:rsid w:val="6C411B2C"/>
    <w:rsid w:val="6C4C04D0"/>
    <w:rsid w:val="6C57189D"/>
    <w:rsid w:val="6C5B4564"/>
    <w:rsid w:val="6C6A0AC0"/>
    <w:rsid w:val="6C72358B"/>
    <w:rsid w:val="6C77456B"/>
    <w:rsid w:val="6C7F057E"/>
    <w:rsid w:val="6C8B3C11"/>
    <w:rsid w:val="6C9078D2"/>
    <w:rsid w:val="6C961BE6"/>
    <w:rsid w:val="6C9B6688"/>
    <w:rsid w:val="6C9D0489"/>
    <w:rsid w:val="6CD417E7"/>
    <w:rsid w:val="6CE22E2B"/>
    <w:rsid w:val="6CEE4A35"/>
    <w:rsid w:val="6CF46B9E"/>
    <w:rsid w:val="6CF52916"/>
    <w:rsid w:val="6CF748E0"/>
    <w:rsid w:val="6D00068F"/>
    <w:rsid w:val="6D132F62"/>
    <w:rsid w:val="6D4D3600"/>
    <w:rsid w:val="6D4F3208"/>
    <w:rsid w:val="6D4F525E"/>
    <w:rsid w:val="6DA33B84"/>
    <w:rsid w:val="6DA77DB7"/>
    <w:rsid w:val="6DAB5BDF"/>
    <w:rsid w:val="6DB6785C"/>
    <w:rsid w:val="6E016BB6"/>
    <w:rsid w:val="6E101F1B"/>
    <w:rsid w:val="6E160D96"/>
    <w:rsid w:val="6E31797E"/>
    <w:rsid w:val="6E3828B1"/>
    <w:rsid w:val="6E72228A"/>
    <w:rsid w:val="6E7D71C4"/>
    <w:rsid w:val="6E9543B1"/>
    <w:rsid w:val="6EB267F4"/>
    <w:rsid w:val="6ED8604B"/>
    <w:rsid w:val="6EDD3AFA"/>
    <w:rsid w:val="6EF914F5"/>
    <w:rsid w:val="6F15104E"/>
    <w:rsid w:val="6F1654F2"/>
    <w:rsid w:val="6F181DAF"/>
    <w:rsid w:val="6F2908C4"/>
    <w:rsid w:val="6F420CF5"/>
    <w:rsid w:val="6F4B4A6F"/>
    <w:rsid w:val="6F745D74"/>
    <w:rsid w:val="6F767D3E"/>
    <w:rsid w:val="6F775864"/>
    <w:rsid w:val="6F7E6BF3"/>
    <w:rsid w:val="6F965739"/>
    <w:rsid w:val="6F967962"/>
    <w:rsid w:val="6FA97229"/>
    <w:rsid w:val="6FC07769"/>
    <w:rsid w:val="6FD15B87"/>
    <w:rsid w:val="6FFE2617"/>
    <w:rsid w:val="700211A5"/>
    <w:rsid w:val="70046BA3"/>
    <w:rsid w:val="701E15EE"/>
    <w:rsid w:val="70344E5F"/>
    <w:rsid w:val="703B23DF"/>
    <w:rsid w:val="704240C4"/>
    <w:rsid w:val="706146B1"/>
    <w:rsid w:val="706531EB"/>
    <w:rsid w:val="709541F4"/>
    <w:rsid w:val="70BF74C3"/>
    <w:rsid w:val="70D10D46"/>
    <w:rsid w:val="70D54F38"/>
    <w:rsid w:val="70DF5DB7"/>
    <w:rsid w:val="70E20B3E"/>
    <w:rsid w:val="70F02B0F"/>
    <w:rsid w:val="71202C04"/>
    <w:rsid w:val="71223FCF"/>
    <w:rsid w:val="713E0DE6"/>
    <w:rsid w:val="714038B4"/>
    <w:rsid w:val="71791D68"/>
    <w:rsid w:val="717B174D"/>
    <w:rsid w:val="71825C11"/>
    <w:rsid w:val="718D7729"/>
    <w:rsid w:val="719941B8"/>
    <w:rsid w:val="71B92164"/>
    <w:rsid w:val="71C254BD"/>
    <w:rsid w:val="71C942C6"/>
    <w:rsid w:val="71D172F4"/>
    <w:rsid w:val="71D44F99"/>
    <w:rsid w:val="71E47AEB"/>
    <w:rsid w:val="72004DA8"/>
    <w:rsid w:val="72091924"/>
    <w:rsid w:val="723314F1"/>
    <w:rsid w:val="723E6D56"/>
    <w:rsid w:val="72475FCF"/>
    <w:rsid w:val="725C482C"/>
    <w:rsid w:val="725E2DC6"/>
    <w:rsid w:val="726C0D52"/>
    <w:rsid w:val="727A02F8"/>
    <w:rsid w:val="72AE1024"/>
    <w:rsid w:val="72B265A2"/>
    <w:rsid w:val="72B400FC"/>
    <w:rsid w:val="72BB4362"/>
    <w:rsid w:val="72DE34A1"/>
    <w:rsid w:val="72FC67AC"/>
    <w:rsid w:val="730F7282"/>
    <w:rsid w:val="732B0E40"/>
    <w:rsid w:val="732C6966"/>
    <w:rsid w:val="733A72D5"/>
    <w:rsid w:val="733C0236"/>
    <w:rsid w:val="734B27AA"/>
    <w:rsid w:val="734D4DE5"/>
    <w:rsid w:val="73600DF5"/>
    <w:rsid w:val="73613DC2"/>
    <w:rsid w:val="73634A7D"/>
    <w:rsid w:val="7368184F"/>
    <w:rsid w:val="737629FD"/>
    <w:rsid w:val="737722D7"/>
    <w:rsid w:val="737756DC"/>
    <w:rsid w:val="738F4C8A"/>
    <w:rsid w:val="739E0321"/>
    <w:rsid w:val="73A77DFA"/>
    <w:rsid w:val="73B37C57"/>
    <w:rsid w:val="73C0335A"/>
    <w:rsid w:val="73C9498B"/>
    <w:rsid w:val="73CA7FA9"/>
    <w:rsid w:val="73CB43D1"/>
    <w:rsid w:val="73D019E7"/>
    <w:rsid w:val="73D613AB"/>
    <w:rsid w:val="73ED07EB"/>
    <w:rsid w:val="74041A81"/>
    <w:rsid w:val="74043A9C"/>
    <w:rsid w:val="741152AF"/>
    <w:rsid w:val="742F670E"/>
    <w:rsid w:val="743908C3"/>
    <w:rsid w:val="744D548A"/>
    <w:rsid w:val="74682EF9"/>
    <w:rsid w:val="746B1BF9"/>
    <w:rsid w:val="746E5488"/>
    <w:rsid w:val="74704814"/>
    <w:rsid w:val="74831A34"/>
    <w:rsid w:val="74944905"/>
    <w:rsid w:val="749D75FC"/>
    <w:rsid w:val="74AF0CF8"/>
    <w:rsid w:val="74BF4EC8"/>
    <w:rsid w:val="74C43129"/>
    <w:rsid w:val="74C72DEA"/>
    <w:rsid w:val="74D61899"/>
    <w:rsid w:val="75190464"/>
    <w:rsid w:val="751F349A"/>
    <w:rsid w:val="752A5F89"/>
    <w:rsid w:val="7549555D"/>
    <w:rsid w:val="756679EC"/>
    <w:rsid w:val="75875317"/>
    <w:rsid w:val="75924901"/>
    <w:rsid w:val="75A20C58"/>
    <w:rsid w:val="75D40049"/>
    <w:rsid w:val="75E714CC"/>
    <w:rsid w:val="75F463FF"/>
    <w:rsid w:val="75F75F79"/>
    <w:rsid w:val="760479EA"/>
    <w:rsid w:val="760C31AA"/>
    <w:rsid w:val="762543CB"/>
    <w:rsid w:val="76366479"/>
    <w:rsid w:val="763A2754"/>
    <w:rsid w:val="763B0338"/>
    <w:rsid w:val="76477A91"/>
    <w:rsid w:val="764F3ACF"/>
    <w:rsid w:val="766A2C65"/>
    <w:rsid w:val="769D6829"/>
    <w:rsid w:val="76A01DB8"/>
    <w:rsid w:val="76A80B95"/>
    <w:rsid w:val="76C770D1"/>
    <w:rsid w:val="76D340C7"/>
    <w:rsid w:val="76D66F5D"/>
    <w:rsid w:val="771F0CBB"/>
    <w:rsid w:val="77400C32"/>
    <w:rsid w:val="7750356B"/>
    <w:rsid w:val="77591C5E"/>
    <w:rsid w:val="776D5ECB"/>
    <w:rsid w:val="77884AB3"/>
    <w:rsid w:val="778E18B2"/>
    <w:rsid w:val="77951B06"/>
    <w:rsid w:val="77966CA0"/>
    <w:rsid w:val="779F004E"/>
    <w:rsid w:val="77B533CE"/>
    <w:rsid w:val="77C6362F"/>
    <w:rsid w:val="77F84EAE"/>
    <w:rsid w:val="780F6F82"/>
    <w:rsid w:val="78156E3E"/>
    <w:rsid w:val="784139C6"/>
    <w:rsid w:val="787648A7"/>
    <w:rsid w:val="787677ED"/>
    <w:rsid w:val="787943FB"/>
    <w:rsid w:val="788F00C3"/>
    <w:rsid w:val="78C76F8C"/>
    <w:rsid w:val="78D27CC5"/>
    <w:rsid w:val="791F682C"/>
    <w:rsid w:val="792955B3"/>
    <w:rsid w:val="79507E21"/>
    <w:rsid w:val="795A5FDB"/>
    <w:rsid w:val="798B30D0"/>
    <w:rsid w:val="799728E1"/>
    <w:rsid w:val="79C54D55"/>
    <w:rsid w:val="79C7027F"/>
    <w:rsid w:val="79C72DD6"/>
    <w:rsid w:val="79CE0777"/>
    <w:rsid w:val="79EA19A9"/>
    <w:rsid w:val="7A1A7578"/>
    <w:rsid w:val="7A347300"/>
    <w:rsid w:val="7A3634C2"/>
    <w:rsid w:val="7A884DCA"/>
    <w:rsid w:val="7AA16A07"/>
    <w:rsid w:val="7AB931D5"/>
    <w:rsid w:val="7AC676A0"/>
    <w:rsid w:val="7ACE27CD"/>
    <w:rsid w:val="7AD24043"/>
    <w:rsid w:val="7AD61FD9"/>
    <w:rsid w:val="7ADD5362"/>
    <w:rsid w:val="7AEB55AA"/>
    <w:rsid w:val="7B083579"/>
    <w:rsid w:val="7B5F7507"/>
    <w:rsid w:val="7BC0478B"/>
    <w:rsid w:val="7BC40083"/>
    <w:rsid w:val="7BD67367"/>
    <w:rsid w:val="7BDF7E15"/>
    <w:rsid w:val="7BF60675"/>
    <w:rsid w:val="7BF6554F"/>
    <w:rsid w:val="7C1D4F2A"/>
    <w:rsid w:val="7C21696A"/>
    <w:rsid w:val="7C227142"/>
    <w:rsid w:val="7C7C7C1E"/>
    <w:rsid w:val="7C855A65"/>
    <w:rsid w:val="7C871995"/>
    <w:rsid w:val="7CA36059"/>
    <w:rsid w:val="7CAB3E12"/>
    <w:rsid w:val="7CB93A97"/>
    <w:rsid w:val="7CC06A9D"/>
    <w:rsid w:val="7CD1486A"/>
    <w:rsid w:val="7CED2B0F"/>
    <w:rsid w:val="7CF825E3"/>
    <w:rsid w:val="7D2C0325"/>
    <w:rsid w:val="7D3B4375"/>
    <w:rsid w:val="7D3D00ED"/>
    <w:rsid w:val="7D5267C8"/>
    <w:rsid w:val="7D5D18DC"/>
    <w:rsid w:val="7D78001F"/>
    <w:rsid w:val="7D8555F0"/>
    <w:rsid w:val="7DA47A2D"/>
    <w:rsid w:val="7DBD5B7F"/>
    <w:rsid w:val="7DC46119"/>
    <w:rsid w:val="7DE1316F"/>
    <w:rsid w:val="7DE948D5"/>
    <w:rsid w:val="7DEB54A4"/>
    <w:rsid w:val="7E2748F9"/>
    <w:rsid w:val="7E2D6C10"/>
    <w:rsid w:val="7E4E1C03"/>
    <w:rsid w:val="7E5751DF"/>
    <w:rsid w:val="7E5C27F5"/>
    <w:rsid w:val="7E7D61E4"/>
    <w:rsid w:val="7E9247D6"/>
    <w:rsid w:val="7EC64112"/>
    <w:rsid w:val="7F0F5AB9"/>
    <w:rsid w:val="7F10538E"/>
    <w:rsid w:val="7F2D5F40"/>
    <w:rsid w:val="7F345520"/>
    <w:rsid w:val="7F3D43D5"/>
    <w:rsid w:val="7F420881"/>
    <w:rsid w:val="7F5D6825"/>
    <w:rsid w:val="7F6D6F0A"/>
    <w:rsid w:val="7F78525E"/>
    <w:rsid w:val="7F8C2C66"/>
    <w:rsid w:val="7F9A4CEF"/>
    <w:rsid w:val="7FB14DC3"/>
    <w:rsid w:val="7FB57EFD"/>
    <w:rsid w:val="7FB90F14"/>
    <w:rsid w:val="7FB946BB"/>
    <w:rsid w:val="7FBC2E67"/>
    <w:rsid w:val="7FDA7E75"/>
    <w:rsid w:val="7FF20268"/>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keepNext/>
      <w:keepLines/>
      <w:spacing w:before="40" w:after="40" w:line="415" w:lineRule="auto"/>
      <w:jc w:val="center"/>
      <w:outlineLvl w:val="1"/>
    </w:pPr>
    <w:rPr>
      <w:rFonts w:eastAsia="黑体"/>
      <w:b/>
      <w:bCs/>
      <w:sz w:val="44"/>
      <w:szCs w:val="32"/>
    </w:rPr>
  </w:style>
  <w:style w:type="paragraph" w:styleId="3">
    <w:name w:val="heading 3"/>
    <w:basedOn w:val="1"/>
    <w:next w:val="1"/>
    <w:qFormat/>
    <w:uiPriority w:val="0"/>
    <w:pPr>
      <w:keepNext/>
      <w:keepLines/>
      <w:spacing w:before="260" w:after="260" w:line="415" w:lineRule="auto"/>
      <w:outlineLvl w:val="2"/>
    </w:pPr>
    <w:rPr>
      <w:b/>
      <w:bCs/>
      <w:sz w:val="32"/>
      <w:szCs w:val="32"/>
    </w:rPr>
  </w:style>
  <w:style w:type="paragraph" w:styleId="4">
    <w:name w:val="heading 4"/>
    <w:basedOn w:val="1"/>
    <w:next w:val="1"/>
    <w:qFormat/>
    <w:uiPriority w:val="0"/>
    <w:pPr>
      <w:keepNext/>
      <w:keepLines/>
      <w:spacing w:before="280" w:after="290" w:line="374" w:lineRule="auto"/>
      <w:outlineLvl w:val="3"/>
    </w:pPr>
    <w:rPr>
      <w:rFonts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semiHidden/>
    <w:qFormat/>
    <w:uiPriority w:val="0"/>
    <w:rPr>
      <w:rFonts w:ascii="Arial Unicode MS" w:hAnsi="Arial Unicode MS" w:eastAsia="Arial Unicode MS" w:cs="Arial Unicode MS"/>
      <w:sz w:val="25"/>
      <w:szCs w:val="25"/>
    </w:rPr>
  </w:style>
  <w:style w:type="paragraph" w:styleId="7">
    <w:name w:val="Body Text Indent"/>
    <w:basedOn w:val="1"/>
    <w:qFormat/>
    <w:uiPriority w:val="0"/>
    <w:pPr>
      <w:ind w:firstLine="560" w:firstLineChars="200"/>
    </w:pPr>
    <w:rPr>
      <w:rFonts w:hint="default"/>
    </w:rPr>
  </w:style>
  <w:style w:type="paragraph" w:styleId="8">
    <w:name w:val="toc 3"/>
    <w:basedOn w:val="1"/>
    <w:next w:val="1"/>
    <w:qFormat/>
    <w:uiPriority w:val="0"/>
    <w:pPr>
      <w:ind w:left="840" w:leftChars="400"/>
    </w:pPr>
  </w:style>
  <w:style w:type="paragraph" w:styleId="9">
    <w:name w:val="Balloon Text"/>
    <w:basedOn w:val="1"/>
    <w:link w:val="34"/>
    <w:qFormat/>
    <w:uiPriority w:val="0"/>
    <w:rPr>
      <w:sz w:val="18"/>
      <w:szCs w:val="18"/>
    </w:rPr>
  </w:style>
  <w:style w:type="paragraph" w:styleId="10">
    <w:name w:val="footer"/>
    <w:basedOn w:val="1"/>
    <w:qFormat/>
    <w:uiPriority w:val="0"/>
    <w:pPr>
      <w:tabs>
        <w:tab w:val="center" w:pos="4153"/>
        <w:tab w:val="right" w:pos="8306"/>
      </w:tabs>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Body Text 2"/>
    <w:basedOn w:val="1"/>
    <w:unhideWhenUsed/>
    <w:qFormat/>
    <w:uiPriority w:val="99"/>
    <w:pPr>
      <w:spacing w:line="500" w:lineRule="exact"/>
    </w:pPr>
  </w:style>
  <w:style w:type="paragraph" w:styleId="15">
    <w:name w:val="Normal (Web)"/>
    <w:basedOn w:val="1"/>
    <w:unhideWhenUsed/>
    <w:qFormat/>
    <w:uiPriority w:val="99"/>
    <w:pPr>
      <w:spacing w:beforeAutospacing="1" w:afterAutospacing="1"/>
    </w:pPr>
    <w:rPr>
      <w:rFonts w:cs="Times New Roman"/>
      <w:sz w:val="24"/>
      <w:lang w:eastAsia="zh-CN"/>
    </w:rPr>
  </w:style>
  <w:style w:type="paragraph" w:styleId="16">
    <w:name w:val="Body Text First Indent"/>
    <w:basedOn w:val="6"/>
    <w:next w:val="1"/>
    <w:qFormat/>
    <w:uiPriority w:val="99"/>
    <w:pPr>
      <w:spacing w:line="240" w:lineRule="auto"/>
      <w:ind w:firstLine="420" w:firstLineChars="100"/>
    </w:pPr>
    <w:rPr>
      <w:rFonts w:ascii="Times New Roman" w:cs="Times New Roman"/>
      <w:sz w:val="20"/>
      <w:szCs w:val="20"/>
    </w:rPr>
  </w:style>
  <w:style w:type="paragraph" w:styleId="17">
    <w:name w:val="Body Text First Indent 2"/>
    <w:basedOn w:val="7"/>
    <w:next w:val="16"/>
    <w:qFormat/>
    <w:uiPriority w:val="0"/>
    <w:pPr>
      <w:ind w:firstLine="420" w:firstLineChars="20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qFormat/>
    <w:uiPriority w:val="0"/>
    <w:rPr>
      <w:color w:val="0000FF" w:themeColor="hyperlink"/>
      <w:u w:val="single"/>
      <w14:textFill>
        <w14:solidFill>
          <w14:schemeClr w14:val="hlink"/>
        </w14:solidFill>
      </w14:textFill>
    </w:rPr>
  </w:style>
  <w:style w:type="character" w:styleId="22">
    <w:name w:val="annotation reference"/>
    <w:basedOn w:val="20"/>
    <w:qFormat/>
    <w:uiPriority w:val="0"/>
    <w:rPr>
      <w:sz w:val="21"/>
      <w:szCs w:val="21"/>
    </w:rPr>
  </w:style>
  <w:style w:type="paragraph" w:customStyle="1" w:styleId="23">
    <w:name w:val="样式 宋体 行距: 1.5 倍行距"/>
    <w:basedOn w:val="24"/>
    <w:next w:val="1"/>
    <w:autoRedefine/>
    <w:qFormat/>
    <w:uiPriority w:val="0"/>
    <w:pPr>
      <w:jc w:val="center"/>
    </w:pPr>
    <w:rPr>
      <w:b/>
    </w:rPr>
  </w:style>
  <w:style w:type="paragraph" w:customStyle="1" w:styleId="2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3"/>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25">
    <w:name w:val="正文正"/>
    <w:basedOn w:val="1"/>
    <w:qFormat/>
    <w:uiPriority w:val="99"/>
    <w:pPr>
      <w:spacing w:line="560" w:lineRule="exact"/>
      <w:ind w:firstLine="561"/>
    </w:pPr>
    <w:rPr>
      <w:rFonts w:ascii="Calibri" w:hAnsi="Calibri" w:cs="Calibri"/>
      <w:sz w:val="28"/>
      <w:szCs w:val="28"/>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黑体" w:hAnsi="黑体" w:eastAsia="黑体" w:cs="黑体"/>
      <w:sz w:val="28"/>
      <w:szCs w:val="28"/>
    </w:rPr>
  </w:style>
  <w:style w:type="paragraph" w:customStyle="1" w:styleId="28">
    <w:name w:val="WPSOffice手动目录 1"/>
    <w:qFormat/>
    <w:uiPriority w:val="0"/>
    <w:rPr>
      <w:rFonts w:ascii="Arial" w:hAnsi="Arial" w:eastAsia="Arial" w:cs="Arial"/>
      <w:lang w:val="en-US" w:eastAsia="zh-CN" w:bidi="ar-SA"/>
    </w:rPr>
  </w:style>
  <w:style w:type="paragraph" w:customStyle="1" w:styleId="29">
    <w:name w:val="WPSOffice手动目录 2"/>
    <w:qFormat/>
    <w:uiPriority w:val="0"/>
    <w:pPr>
      <w:ind w:left="200" w:leftChars="200"/>
    </w:pPr>
    <w:rPr>
      <w:rFonts w:ascii="Arial" w:hAnsi="Arial" w:eastAsia="Arial" w:cs="Arial"/>
      <w:lang w:val="en-US" w:eastAsia="zh-CN" w:bidi="ar-SA"/>
    </w:rPr>
  </w:style>
  <w:style w:type="paragraph" w:customStyle="1" w:styleId="30">
    <w:name w:val="WPSOffice手动目录 3"/>
    <w:qFormat/>
    <w:uiPriority w:val="0"/>
    <w:pPr>
      <w:ind w:left="400" w:leftChars="400"/>
    </w:pPr>
    <w:rPr>
      <w:rFonts w:ascii="Arial" w:hAnsi="Arial" w:eastAsia="Arial" w:cs="Arial"/>
      <w:lang w:val="en-US" w:eastAsia="zh-CN" w:bidi="ar-SA"/>
    </w:rPr>
  </w:style>
  <w:style w:type="paragraph" w:customStyle="1" w:styleId="31">
    <w:name w:val="正文 New New New"/>
    <w:qFormat/>
    <w:uiPriority w:val="0"/>
    <w:pPr>
      <w:widowControl w:val="0"/>
      <w:spacing w:after="200" w:line="276" w:lineRule="auto"/>
    </w:pPr>
    <w:rPr>
      <w:rFonts w:ascii="Times New Roman" w:hAnsi="Times New Roman" w:eastAsia="宋体" w:cs="Times New Roman"/>
      <w:sz w:val="22"/>
      <w:szCs w:val="22"/>
      <w:lang w:val="en-US" w:eastAsia="en-US" w:bidi="ar-SA"/>
    </w:rPr>
  </w:style>
  <w:style w:type="paragraph" w:customStyle="1" w:styleId="32">
    <w:name w:val="列出段落7"/>
    <w:basedOn w:val="1"/>
    <w:unhideWhenUsed/>
    <w:qFormat/>
    <w:uiPriority w:val="99"/>
    <w:pPr>
      <w:ind w:firstLine="420" w:firstLineChars="200"/>
    </w:pPr>
  </w:style>
  <w:style w:type="paragraph" w:customStyle="1" w:styleId="33">
    <w:name w:val="Table Paragraph"/>
    <w:basedOn w:val="1"/>
    <w:qFormat/>
    <w:uiPriority w:val="1"/>
  </w:style>
  <w:style w:type="character" w:customStyle="1" w:styleId="34">
    <w:name w:val="批注框文本 字符"/>
    <w:basedOn w:val="20"/>
    <w:link w:val="9"/>
    <w:qFormat/>
    <w:uiPriority w:val="0"/>
    <w:rPr>
      <w:rFonts w:ascii="Arial" w:hAnsi="Arial" w:eastAsia="Arial" w:cs="Arial"/>
      <w:snapToGrid w:val="0"/>
      <w:color w:val="000000"/>
      <w:sz w:val="18"/>
      <w:szCs w:val="18"/>
      <w:lang w:eastAsia="en-US"/>
    </w:rPr>
  </w:style>
  <w:style w:type="paragraph" w:customStyle="1" w:styleId="35">
    <w:name w:val="样式 标题 2 + Times New Roman 四号 非加粗 段前: 5 磅 段后: 0 磅 行距: 固定值 20..."/>
    <w:basedOn w:val="2"/>
    <w:qFormat/>
    <w:uiPriority w:val="0"/>
    <w:pPr>
      <w:spacing w:before="100" w:after="0" w:line="400" w:lineRule="exact"/>
    </w:pPr>
    <w:rPr>
      <w:rFonts w:ascii="Times New Roman" w:hAnsi="Times New Roman" w:cs="宋体"/>
      <w:b w:val="0"/>
      <w:bCs w:val="0"/>
      <w:sz w:val="28"/>
      <w:szCs w:val="20"/>
    </w:rPr>
  </w:style>
  <w:style w:type="paragraph" w:customStyle="1" w:styleId="36">
    <w:name w:val="Default"/>
    <w:qFormat/>
    <w:uiPriority w:val="0"/>
    <w:pPr>
      <w:widowControl w:val="0"/>
      <w:autoSpaceDE w:val="0"/>
      <w:autoSpaceDN w:val="0"/>
      <w:adjustRightInd w:val="0"/>
      <w:spacing w:line="360" w:lineRule="auto"/>
    </w:pPr>
    <w:rPr>
      <w:rFonts w:ascii="宋体" w:hAnsi="Times New Roman" w:eastAsia="宋体" w:cs="宋体"/>
      <w:color w:val="000000"/>
      <w:sz w:val="24"/>
      <w:szCs w:val="24"/>
      <w:lang w:val="en-US" w:eastAsia="zh-CN" w:bidi="ar-SA"/>
    </w:rPr>
  </w:style>
  <w:style w:type="paragraph" w:customStyle="1" w:styleId="37">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paragraph" w:customStyle="1" w:styleId="38">
    <w:name w:val="Revision"/>
    <w:hidden/>
    <w:semiHidden/>
    <w:qFormat/>
    <w:uiPriority w:val="99"/>
    <w:rPr>
      <w:rFonts w:ascii="Arial" w:hAnsi="Arial" w:eastAsia="Arial" w:cs="Arial"/>
      <w:snapToGrid w:val="0"/>
      <w:color w:val="000000"/>
      <w:sz w:val="21"/>
      <w:szCs w:val="21"/>
      <w:lang w:val="en-US" w:eastAsia="en-US" w:bidi="ar-SA"/>
    </w:rPr>
  </w:style>
  <w:style w:type="paragraph" w:customStyle="1" w:styleId="39">
    <w:name w:val="招标正文"/>
    <w:basedOn w:val="1"/>
    <w:autoRedefine/>
    <w:qFormat/>
    <w:uiPriority w:val="0"/>
    <w:pPr>
      <w:autoSpaceDE w:val="0"/>
      <w:autoSpaceDN w:val="0"/>
      <w:adjustRightInd w:val="0"/>
      <w:ind w:firstLine="480" w:firstLineChars="200"/>
    </w:pPr>
    <w:rPr>
      <w:rFonts w:cs="微软雅黑"/>
      <w:kern w:val="0"/>
      <w:sz w:val="24"/>
    </w:rPr>
  </w:style>
  <w:style w:type="character" w:customStyle="1" w:styleId="40">
    <w:name w:val="NormalCharacter"/>
    <w:semiHidden/>
    <w:qFormat/>
    <w:uiPriority w:val="0"/>
    <w:rPr>
      <w:rFonts w:ascii="宋体"/>
      <w:kern w:val="2"/>
      <w:sz w:val="24"/>
      <w:lang w:val="en-US" w:eastAsia="zh-CN" w:bidi="ar-SA"/>
    </w:rPr>
  </w:style>
  <w:style w:type="paragraph" w:customStyle="1" w:styleId="41">
    <w:name w:val=" Char Char Char Char"/>
    <w:basedOn w:val="1"/>
    <w:qFormat/>
    <w:uiPriority w:val="0"/>
    <w:pPr>
      <w:tabs>
        <w:tab w:val="left" w:pos="360"/>
      </w:tabs>
      <w:spacing w:line="440" w:lineRule="exact"/>
      <w:ind w:firstLine="480" w:firstLineChars="200"/>
    </w:pPr>
    <w:rPr>
      <w:rFonts w:cs="宋体"/>
      <w:kern w:val="0"/>
      <w:sz w:val="24"/>
      <w:u w:val="wav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4" Type="http://schemas.openxmlformats.org/officeDocument/2006/relationships/fontTable" Target="fontTable.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2.png"/><Relationship Id="rId70" Type="http://schemas.openxmlformats.org/officeDocument/2006/relationships/image" Target="media/image1.png"/><Relationship Id="rId7" Type="http://schemas.openxmlformats.org/officeDocument/2006/relationships/footer" Target="footer2.xml"/><Relationship Id="rId69" Type="http://schemas.openxmlformats.org/officeDocument/2006/relationships/theme" Target="theme/theme1.xml"/><Relationship Id="rId68" Type="http://schemas.openxmlformats.org/officeDocument/2006/relationships/footer" Target="footer39.xml"/><Relationship Id="rId67" Type="http://schemas.openxmlformats.org/officeDocument/2006/relationships/header" Target="header27.xml"/><Relationship Id="rId66" Type="http://schemas.openxmlformats.org/officeDocument/2006/relationships/footer" Target="footer38.xml"/><Relationship Id="rId65" Type="http://schemas.openxmlformats.org/officeDocument/2006/relationships/header" Target="header26.xml"/><Relationship Id="rId64" Type="http://schemas.openxmlformats.org/officeDocument/2006/relationships/footer" Target="footer37.xml"/><Relationship Id="rId63" Type="http://schemas.openxmlformats.org/officeDocument/2006/relationships/footer" Target="footer36.xml"/><Relationship Id="rId62" Type="http://schemas.openxmlformats.org/officeDocument/2006/relationships/header" Target="header25.xml"/><Relationship Id="rId61" Type="http://schemas.openxmlformats.org/officeDocument/2006/relationships/footer" Target="footer35.xml"/><Relationship Id="rId60" Type="http://schemas.openxmlformats.org/officeDocument/2006/relationships/footer" Target="footer34.xml"/><Relationship Id="rId6" Type="http://schemas.openxmlformats.org/officeDocument/2006/relationships/footer" Target="footer1.xml"/><Relationship Id="rId59" Type="http://schemas.openxmlformats.org/officeDocument/2006/relationships/header" Target="header24.xml"/><Relationship Id="rId58" Type="http://schemas.openxmlformats.org/officeDocument/2006/relationships/footer" Target="footer33.xml"/><Relationship Id="rId57" Type="http://schemas.openxmlformats.org/officeDocument/2006/relationships/header" Target="header23.xml"/><Relationship Id="rId56" Type="http://schemas.openxmlformats.org/officeDocument/2006/relationships/footer" Target="footer32.xml"/><Relationship Id="rId55" Type="http://schemas.openxmlformats.org/officeDocument/2006/relationships/header" Target="header22.xml"/><Relationship Id="rId54" Type="http://schemas.openxmlformats.org/officeDocument/2006/relationships/footer" Target="footer31.xml"/><Relationship Id="rId53" Type="http://schemas.openxmlformats.org/officeDocument/2006/relationships/header" Target="header21.xml"/><Relationship Id="rId52" Type="http://schemas.openxmlformats.org/officeDocument/2006/relationships/footer" Target="footer30.xml"/><Relationship Id="rId51" Type="http://schemas.openxmlformats.org/officeDocument/2006/relationships/header" Target="header20.xml"/><Relationship Id="rId50" Type="http://schemas.openxmlformats.org/officeDocument/2006/relationships/footer" Target="footer29.xml"/><Relationship Id="rId5" Type="http://schemas.openxmlformats.org/officeDocument/2006/relationships/header" Target="header3.xml"/><Relationship Id="rId49" Type="http://schemas.openxmlformats.org/officeDocument/2006/relationships/header" Target="header19.xml"/><Relationship Id="rId48" Type="http://schemas.openxmlformats.org/officeDocument/2006/relationships/footer" Target="footer28.xml"/><Relationship Id="rId47" Type="http://schemas.openxmlformats.org/officeDocument/2006/relationships/footer" Target="footer27.xml"/><Relationship Id="rId46" Type="http://schemas.openxmlformats.org/officeDocument/2006/relationships/footer" Target="footer26.xml"/><Relationship Id="rId45" Type="http://schemas.openxmlformats.org/officeDocument/2006/relationships/footer" Target="footer25.xml"/><Relationship Id="rId44" Type="http://schemas.openxmlformats.org/officeDocument/2006/relationships/footer" Target="footer24.xml"/><Relationship Id="rId43" Type="http://schemas.openxmlformats.org/officeDocument/2006/relationships/footer" Target="footer23.xml"/><Relationship Id="rId42" Type="http://schemas.openxmlformats.org/officeDocument/2006/relationships/footer" Target="footer22.xml"/><Relationship Id="rId41" Type="http://schemas.openxmlformats.org/officeDocument/2006/relationships/header" Target="header18.xml"/><Relationship Id="rId40" Type="http://schemas.openxmlformats.org/officeDocument/2006/relationships/footer" Target="footer21.xml"/><Relationship Id="rId4" Type="http://schemas.openxmlformats.org/officeDocument/2006/relationships/header" Target="header2.xml"/><Relationship Id="rId39" Type="http://schemas.openxmlformats.org/officeDocument/2006/relationships/header" Target="header17.xml"/><Relationship Id="rId38" Type="http://schemas.openxmlformats.org/officeDocument/2006/relationships/footer" Target="footer20.xml"/><Relationship Id="rId37" Type="http://schemas.openxmlformats.org/officeDocument/2006/relationships/header" Target="header16.xml"/><Relationship Id="rId36" Type="http://schemas.openxmlformats.org/officeDocument/2006/relationships/footer" Target="footer19.xml"/><Relationship Id="rId35" Type="http://schemas.openxmlformats.org/officeDocument/2006/relationships/header" Target="header15.xml"/><Relationship Id="rId34" Type="http://schemas.openxmlformats.org/officeDocument/2006/relationships/footer" Target="footer18.xml"/><Relationship Id="rId33" Type="http://schemas.openxmlformats.org/officeDocument/2006/relationships/footer" Target="footer17.xml"/><Relationship Id="rId32" Type="http://schemas.openxmlformats.org/officeDocument/2006/relationships/header" Target="header14.xml"/><Relationship Id="rId31" Type="http://schemas.openxmlformats.org/officeDocument/2006/relationships/footer" Target="footer16.xml"/><Relationship Id="rId30" Type="http://schemas.openxmlformats.org/officeDocument/2006/relationships/header" Target="header13.xml"/><Relationship Id="rId3" Type="http://schemas.openxmlformats.org/officeDocument/2006/relationships/header" Target="header1.xml"/><Relationship Id="rId29" Type="http://schemas.openxmlformats.org/officeDocument/2006/relationships/footer" Target="footer15.xml"/><Relationship Id="rId28" Type="http://schemas.openxmlformats.org/officeDocument/2006/relationships/footer" Target="footer14.xml"/><Relationship Id="rId27" Type="http://schemas.openxmlformats.org/officeDocument/2006/relationships/header" Target="header12.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164</Pages>
  <Words>1967</Words>
  <Characters>2415</Characters>
  <Lines>780</Lines>
  <Paragraphs>219</Paragraphs>
  <TotalTime>2</TotalTime>
  <ScaleCrop>false</ScaleCrop>
  <LinksUpToDate>false</LinksUpToDate>
  <CharactersWithSpaces>2467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2025-05-07T11:11:00Z</dcterms:created>
  <dc:creator>袁静</dc:creator>
  <cp:lastModifiedBy>Administrator</cp:lastModifiedBy>
  <cp:lastPrinted>2026-03-20T08:23:00Z</cp:lastPrinted>
  <dcterms:modified xsi:type="dcterms:W3CDTF">2026-04-30T02:56:04Z</dcterms:modified>
  <dc:title>公路工程标准施工招标文件</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2024-12-16T16:00:17Z</vt:filetime>
  </property>
  <property fmtid="{D5CDD505-2E9C-101B-9397-08002B2CF9AE}" pid="4" name="KSOProductBuildVer">
    <vt:lpwstr>2052-12.1.0.25865</vt:lpwstr>
  </property>
  <property fmtid="{D5CDD505-2E9C-101B-9397-08002B2CF9AE}" pid="5" name="ICV">
    <vt:lpwstr>DCDB7C0B0AFF4C4F8EB0CA7228EF34B6_13</vt:lpwstr>
  </property>
  <property fmtid="{D5CDD505-2E9C-101B-9397-08002B2CF9AE}" pid="6" name="KSOTemplateDocerSaveRecord">
    <vt:lpwstr>eyJoZGlkIjoiOTk3YmY4ZmQ2Y2RhNThjY2JhMzI3NmFjZjM2YTY5MTgiLCJ1c2VySWQiOiIzNTEyNjg2NDQifQ==</vt:lpwstr>
  </property>
</Properties>
</file>