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A9C74B">
      <w:pPr>
        <w:pStyle w:val="186"/>
        <w:wordWrap w:val="0"/>
        <w:adjustRightInd w:val="0"/>
        <w:snapToGrid w:val="0"/>
        <w:spacing w:line="360" w:lineRule="auto"/>
        <w:jc w:val="center"/>
        <w:rPr>
          <w:rFonts w:hint="eastAsia" w:ascii="宋体" w:hAnsi="宋体" w:eastAsia="宋体" w:cs="宋体"/>
          <w:snapToGrid w:val="0"/>
          <w:color w:val="auto"/>
          <w:kern w:val="0"/>
          <w:sz w:val="32"/>
          <w:szCs w:val="18"/>
          <w:highlight w:val="none"/>
          <w:u w:val="single"/>
        </w:rPr>
      </w:pPr>
      <w:r>
        <w:rPr>
          <w:rFonts w:hint="eastAsia" w:ascii="宋体" w:hAnsi="宋体" w:eastAsia="宋体" w:cs="宋体"/>
          <w:b/>
          <w:snapToGrid w:val="0"/>
          <w:color w:val="auto"/>
          <w:kern w:val="0"/>
          <w:sz w:val="56"/>
          <w:szCs w:val="56"/>
          <w:highlight w:val="none"/>
          <w:lang w:eastAsia="zh-CN"/>
        </w:rPr>
        <w:t>韶关市武江区城市地下综合管廊建设工程（一期）项目设计</w:t>
      </w:r>
    </w:p>
    <w:p w14:paraId="1B4811D5">
      <w:pPr>
        <w:pStyle w:val="186"/>
        <w:wordWrap w:val="0"/>
        <w:adjustRightInd w:val="0"/>
        <w:snapToGrid w:val="0"/>
        <w:spacing w:line="360" w:lineRule="auto"/>
        <w:rPr>
          <w:rFonts w:hint="eastAsia" w:ascii="宋体" w:hAnsi="宋体" w:eastAsia="宋体" w:cs="宋体"/>
          <w:snapToGrid w:val="0"/>
          <w:color w:val="auto"/>
          <w:kern w:val="0"/>
          <w:sz w:val="36"/>
          <w:highlight w:val="none"/>
          <w:u w:val="single"/>
        </w:rPr>
      </w:pPr>
    </w:p>
    <w:p w14:paraId="128CBFBF">
      <w:pPr>
        <w:pStyle w:val="186"/>
        <w:wordWrap w:val="0"/>
        <w:adjustRightInd w:val="0"/>
        <w:snapToGrid w:val="0"/>
        <w:spacing w:line="360" w:lineRule="auto"/>
        <w:rPr>
          <w:rFonts w:hint="eastAsia" w:ascii="宋体" w:hAnsi="宋体" w:eastAsia="宋体" w:cs="宋体"/>
          <w:snapToGrid w:val="0"/>
          <w:color w:val="auto"/>
          <w:kern w:val="0"/>
          <w:sz w:val="36"/>
          <w:highlight w:val="none"/>
          <w:u w:val="single"/>
        </w:rPr>
      </w:pPr>
    </w:p>
    <w:p w14:paraId="712B2601">
      <w:pPr>
        <w:pStyle w:val="186"/>
        <w:wordWrap w:val="0"/>
        <w:adjustRightInd w:val="0"/>
        <w:snapToGrid w:val="0"/>
        <w:spacing w:line="360" w:lineRule="auto"/>
        <w:rPr>
          <w:rFonts w:hint="eastAsia" w:ascii="宋体" w:hAnsi="宋体" w:eastAsia="宋体" w:cs="宋体"/>
          <w:snapToGrid w:val="0"/>
          <w:color w:val="auto"/>
          <w:kern w:val="0"/>
          <w:sz w:val="36"/>
          <w:highlight w:val="none"/>
          <w:u w:val="single"/>
        </w:rPr>
      </w:pPr>
    </w:p>
    <w:p w14:paraId="470EB76D">
      <w:pPr>
        <w:pStyle w:val="186"/>
        <w:wordWrap w:val="0"/>
        <w:adjustRightInd w:val="0"/>
        <w:snapToGrid w:val="0"/>
        <w:spacing w:line="360" w:lineRule="auto"/>
        <w:jc w:val="center"/>
        <w:rPr>
          <w:rFonts w:hint="eastAsia" w:ascii="宋体" w:hAnsi="宋体" w:eastAsia="宋体" w:cs="宋体"/>
          <w:b/>
          <w:bCs/>
          <w:snapToGrid w:val="0"/>
          <w:color w:val="auto"/>
          <w:kern w:val="0"/>
          <w:sz w:val="48"/>
          <w:szCs w:val="48"/>
          <w:highlight w:val="none"/>
        </w:rPr>
      </w:pPr>
      <w:r>
        <w:rPr>
          <w:rFonts w:hint="eastAsia" w:ascii="宋体" w:hAnsi="宋体" w:eastAsia="宋体" w:cs="宋体"/>
          <w:b/>
          <w:bCs/>
          <w:snapToGrid w:val="0"/>
          <w:color w:val="auto"/>
          <w:kern w:val="0"/>
          <w:sz w:val="72"/>
          <w:szCs w:val="72"/>
          <w:highlight w:val="none"/>
          <w14:shadow w14:blurRad="50800" w14:dist="38100" w14:dir="2700000" w14:sx="100000" w14:sy="100000" w14:kx="0" w14:ky="0" w14:algn="tl">
            <w14:srgbClr w14:val="000000">
              <w14:alpha w14:val="60000"/>
            </w14:srgbClr>
          </w14:shadow>
        </w:rPr>
        <w:t>招标文件</w:t>
      </w:r>
    </w:p>
    <w:p w14:paraId="3A800B82">
      <w:pPr>
        <w:wordWrap w:val="0"/>
        <w:adjustRightInd w:val="0"/>
        <w:snapToGrid w:val="0"/>
        <w:jc w:val="center"/>
        <w:rPr>
          <w:rFonts w:hint="eastAsia" w:ascii="宋体" w:hAnsi="宋体" w:eastAsia="宋体" w:cs="宋体"/>
          <w:b/>
          <w:bCs/>
          <w:snapToGrid w:val="0"/>
          <w:color w:val="auto"/>
          <w:kern w:val="0"/>
          <w:sz w:val="48"/>
          <w:szCs w:val="48"/>
          <w:highlight w:val="none"/>
        </w:rPr>
      </w:pPr>
    </w:p>
    <w:p w14:paraId="1BB4F25A">
      <w:pPr>
        <w:pStyle w:val="2"/>
        <w:rPr>
          <w:rFonts w:hint="eastAsia" w:ascii="宋体" w:hAnsi="宋体" w:eastAsia="宋体" w:cs="宋体"/>
          <w:color w:val="auto"/>
        </w:rPr>
      </w:pPr>
    </w:p>
    <w:p w14:paraId="0ADDAEAD">
      <w:pPr>
        <w:wordWrap w:val="0"/>
        <w:adjustRightInd w:val="0"/>
        <w:snapToGrid w:val="0"/>
        <w:jc w:val="center"/>
        <w:rPr>
          <w:rFonts w:hint="eastAsia" w:ascii="宋体" w:hAnsi="宋体" w:eastAsia="宋体" w:cs="宋体"/>
          <w:b/>
          <w:bCs/>
          <w:snapToGrid w:val="0"/>
          <w:color w:val="auto"/>
          <w:kern w:val="0"/>
          <w:sz w:val="48"/>
          <w:szCs w:val="48"/>
          <w:highlight w:val="none"/>
        </w:rPr>
      </w:pPr>
    </w:p>
    <w:p w14:paraId="1219B570">
      <w:pPr>
        <w:pStyle w:val="10"/>
        <w:rPr>
          <w:rFonts w:hint="eastAsia" w:ascii="宋体" w:hAnsi="宋体" w:eastAsia="宋体" w:cs="宋体"/>
          <w:color w:val="auto"/>
          <w:highlight w:val="none"/>
        </w:rPr>
      </w:pPr>
    </w:p>
    <w:tbl>
      <w:tblPr>
        <w:tblStyle w:val="34"/>
        <w:tblW w:w="9899" w:type="dxa"/>
        <w:tblInd w:w="-100" w:type="dxa"/>
        <w:tblLayout w:type="fixed"/>
        <w:tblCellMar>
          <w:top w:w="0" w:type="dxa"/>
          <w:left w:w="0" w:type="dxa"/>
          <w:bottom w:w="0" w:type="dxa"/>
          <w:right w:w="0" w:type="dxa"/>
        </w:tblCellMar>
      </w:tblPr>
      <w:tblGrid>
        <w:gridCol w:w="4694"/>
        <w:gridCol w:w="5205"/>
      </w:tblGrid>
      <w:tr w14:paraId="3BC6846A">
        <w:tblPrEx>
          <w:tblCellMar>
            <w:top w:w="0" w:type="dxa"/>
            <w:left w:w="0" w:type="dxa"/>
            <w:bottom w:w="0" w:type="dxa"/>
            <w:right w:w="0" w:type="dxa"/>
          </w:tblCellMar>
        </w:tblPrEx>
        <w:trPr>
          <w:trHeight w:val="888" w:hRule="atLeast"/>
        </w:trPr>
        <w:tc>
          <w:tcPr>
            <w:tcW w:w="4694" w:type="dxa"/>
            <w:noWrap w:val="0"/>
            <w:vAlign w:val="center"/>
          </w:tcPr>
          <w:p w14:paraId="39A807EC">
            <w:pPr>
              <w:pStyle w:val="113"/>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     标     人（盖单位章）：</w:t>
            </w:r>
          </w:p>
        </w:tc>
        <w:tc>
          <w:tcPr>
            <w:tcW w:w="5205" w:type="dxa"/>
            <w:noWrap w:val="0"/>
            <w:vAlign w:val="center"/>
          </w:tcPr>
          <w:p w14:paraId="28556E84">
            <w:pPr>
              <w:pStyle w:val="113"/>
              <w:wordWrap w:val="0"/>
              <w:adjustRightInd w:val="0"/>
              <w:snapToGrid w:val="0"/>
              <w:spacing w:line="240" w:lineRule="auto"/>
              <w:rPr>
                <w:rFonts w:hint="eastAsia" w:ascii="宋体" w:hAnsi="宋体" w:eastAsia="宋体" w:cs="宋体"/>
                <w:snapToGrid w:val="0"/>
                <w:color w:val="auto"/>
                <w:kern w:val="0"/>
                <w:sz w:val="28"/>
                <w:szCs w:val="28"/>
                <w:highlight w:val="none"/>
                <w:lang w:eastAsia="zh-CN"/>
              </w:rPr>
            </w:pPr>
            <w:r>
              <w:rPr>
                <w:rFonts w:hint="eastAsia" w:ascii="宋体" w:hAnsi="宋体" w:eastAsia="宋体" w:cs="宋体"/>
                <w:color w:val="auto"/>
                <w:sz w:val="28"/>
                <w:szCs w:val="28"/>
                <w:highlight w:val="none"/>
                <w:lang w:eastAsia="zh-CN"/>
              </w:rPr>
              <w:t>韶关市武江区城市管理和综合执法局</w:t>
            </w:r>
          </w:p>
        </w:tc>
      </w:tr>
      <w:tr w14:paraId="602C0499">
        <w:tblPrEx>
          <w:tblCellMar>
            <w:top w:w="0" w:type="dxa"/>
            <w:left w:w="0" w:type="dxa"/>
            <w:bottom w:w="0" w:type="dxa"/>
            <w:right w:w="0" w:type="dxa"/>
          </w:tblCellMar>
        </w:tblPrEx>
        <w:trPr>
          <w:trHeight w:val="833" w:hRule="atLeast"/>
        </w:trPr>
        <w:tc>
          <w:tcPr>
            <w:tcW w:w="4694" w:type="dxa"/>
            <w:noWrap w:val="0"/>
            <w:vAlign w:val="center"/>
          </w:tcPr>
          <w:p w14:paraId="37B156B4">
            <w:pPr>
              <w:pStyle w:val="113"/>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招标人工作领导小组负责人（签字）：</w:t>
            </w:r>
          </w:p>
        </w:tc>
        <w:tc>
          <w:tcPr>
            <w:tcW w:w="5205" w:type="dxa"/>
            <w:noWrap w:val="0"/>
            <w:vAlign w:val="center"/>
          </w:tcPr>
          <w:p w14:paraId="1E0482BA">
            <w:pPr>
              <w:pStyle w:val="113"/>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14:paraId="162331F6">
        <w:tblPrEx>
          <w:tblCellMar>
            <w:top w:w="0" w:type="dxa"/>
            <w:left w:w="0" w:type="dxa"/>
            <w:bottom w:w="0" w:type="dxa"/>
            <w:right w:w="0" w:type="dxa"/>
          </w:tblCellMar>
        </w:tblPrEx>
        <w:trPr>
          <w:trHeight w:val="877" w:hRule="atLeast"/>
        </w:trPr>
        <w:tc>
          <w:tcPr>
            <w:tcW w:w="4694" w:type="dxa"/>
            <w:noWrap w:val="0"/>
            <w:vAlign w:val="center"/>
          </w:tcPr>
          <w:p w14:paraId="36740A46">
            <w:pPr>
              <w:pStyle w:val="113"/>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 标 代 理 机 构 （盖单位章）：</w:t>
            </w:r>
          </w:p>
        </w:tc>
        <w:tc>
          <w:tcPr>
            <w:tcW w:w="5205" w:type="dxa"/>
            <w:noWrap w:val="0"/>
            <w:vAlign w:val="center"/>
          </w:tcPr>
          <w:p w14:paraId="5C18C23F">
            <w:pPr>
              <w:pStyle w:val="113"/>
              <w:wordWrap w:val="0"/>
              <w:adjustRightInd w:val="0"/>
              <w:snapToGrid w:val="0"/>
              <w:spacing w:line="240" w:lineRule="auto"/>
              <w:rPr>
                <w:rFonts w:hint="eastAsia" w:ascii="宋体" w:hAnsi="宋体" w:eastAsia="宋体" w:cs="宋体"/>
                <w:snapToGrid w:val="0"/>
                <w:color w:val="auto"/>
                <w:kern w:val="0"/>
                <w:sz w:val="28"/>
                <w:szCs w:val="28"/>
                <w:highlight w:val="none"/>
                <w:lang w:eastAsia="zh-CN"/>
              </w:rPr>
            </w:pPr>
            <w:r>
              <w:rPr>
                <w:rFonts w:hint="eastAsia" w:ascii="宋体" w:hAnsi="宋体" w:eastAsia="宋体" w:cs="宋体"/>
                <w:snapToGrid w:val="0"/>
                <w:color w:val="auto"/>
                <w:kern w:val="0"/>
                <w:sz w:val="28"/>
                <w:szCs w:val="28"/>
                <w:highlight w:val="none"/>
                <w:lang w:eastAsia="zh-CN"/>
              </w:rPr>
              <w:t>深圳市腾达工程顾问有限公司</w:t>
            </w:r>
          </w:p>
        </w:tc>
      </w:tr>
      <w:tr w14:paraId="577E3193">
        <w:tblPrEx>
          <w:tblCellMar>
            <w:top w:w="0" w:type="dxa"/>
            <w:left w:w="0" w:type="dxa"/>
            <w:bottom w:w="0" w:type="dxa"/>
            <w:right w:w="0" w:type="dxa"/>
          </w:tblCellMar>
        </w:tblPrEx>
        <w:trPr>
          <w:trHeight w:val="873" w:hRule="atLeast"/>
        </w:trPr>
        <w:tc>
          <w:tcPr>
            <w:tcW w:w="4694" w:type="dxa"/>
            <w:noWrap w:val="0"/>
            <w:vAlign w:val="center"/>
          </w:tcPr>
          <w:p w14:paraId="38364EB6">
            <w:pPr>
              <w:pStyle w:val="113"/>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招标文件编制人（签字）：</w:t>
            </w:r>
          </w:p>
        </w:tc>
        <w:tc>
          <w:tcPr>
            <w:tcW w:w="5205" w:type="dxa"/>
            <w:noWrap w:val="0"/>
            <w:vAlign w:val="center"/>
          </w:tcPr>
          <w:p w14:paraId="18979775">
            <w:pPr>
              <w:pStyle w:val="113"/>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14:paraId="1147053D">
        <w:tblPrEx>
          <w:tblCellMar>
            <w:top w:w="0" w:type="dxa"/>
            <w:left w:w="0" w:type="dxa"/>
            <w:bottom w:w="0" w:type="dxa"/>
            <w:right w:w="0" w:type="dxa"/>
          </w:tblCellMar>
        </w:tblPrEx>
        <w:trPr>
          <w:trHeight w:val="873" w:hRule="atLeast"/>
        </w:trPr>
        <w:tc>
          <w:tcPr>
            <w:tcW w:w="4694" w:type="dxa"/>
            <w:noWrap w:val="0"/>
            <w:vAlign w:val="center"/>
          </w:tcPr>
          <w:p w14:paraId="195F7E15">
            <w:pPr>
              <w:pStyle w:val="113"/>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招标代理机构项目负责人（签字）：</w:t>
            </w:r>
          </w:p>
        </w:tc>
        <w:tc>
          <w:tcPr>
            <w:tcW w:w="5205" w:type="dxa"/>
            <w:noWrap w:val="0"/>
            <w:vAlign w:val="center"/>
          </w:tcPr>
          <w:p w14:paraId="471115BA">
            <w:pPr>
              <w:pStyle w:val="113"/>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14:paraId="1BCE6FE7">
        <w:tblPrEx>
          <w:tblCellMar>
            <w:top w:w="0" w:type="dxa"/>
            <w:left w:w="0" w:type="dxa"/>
            <w:bottom w:w="0" w:type="dxa"/>
            <w:right w:w="0" w:type="dxa"/>
          </w:tblCellMar>
        </w:tblPrEx>
        <w:trPr>
          <w:trHeight w:val="839" w:hRule="atLeast"/>
        </w:trPr>
        <w:tc>
          <w:tcPr>
            <w:tcW w:w="4694" w:type="dxa"/>
            <w:noWrap w:val="0"/>
            <w:vAlign w:val="center"/>
          </w:tcPr>
          <w:p w14:paraId="0B7E6D62">
            <w:pPr>
              <w:pStyle w:val="113"/>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招标文件编制日期：</w:t>
            </w:r>
          </w:p>
        </w:tc>
        <w:tc>
          <w:tcPr>
            <w:tcW w:w="5205" w:type="dxa"/>
            <w:noWrap w:val="0"/>
            <w:vAlign w:val="center"/>
          </w:tcPr>
          <w:p w14:paraId="40213B9B">
            <w:pPr>
              <w:pStyle w:val="113"/>
              <w:wordWrap w:val="0"/>
              <w:adjustRightInd w:val="0"/>
              <w:snapToGrid w:val="0"/>
              <w:spacing w:line="240" w:lineRule="auto"/>
              <w:rPr>
                <w:rFonts w:hint="eastAsia" w:ascii="宋体" w:hAnsi="宋体" w:eastAsia="宋体" w:cs="宋体"/>
                <w:snapToGrid w:val="0"/>
                <w:color w:val="auto"/>
                <w:kern w:val="0"/>
                <w:sz w:val="28"/>
                <w:highlight w:val="none"/>
                <w:lang w:eastAsia="zh-CN"/>
              </w:rPr>
            </w:pPr>
            <w:r>
              <w:rPr>
                <w:rFonts w:hint="eastAsia" w:ascii="宋体" w:hAnsi="宋体" w:eastAsia="宋体" w:cs="宋体"/>
                <w:snapToGrid w:val="0"/>
                <w:color w:val="auto"/>
                <w:kern w:val="0"/>
                <w:sz w:val="28"/>
                <w:highlight w:val="none"/>
              </w:rPr>
              <w:t xml:space="preserve"> </w:t>
            </w:r>
            <w:r>
              <w:rPr>
                <w:rFonts w:hint="eastAsia" w:ascii="宋体" w:hAnsi="宋体" w:eastAsia="宋体" w:cs="宋体"/>
                <w:snapToGrid w:val="0"/>
                <w:color w:val="auto"/>
                <w:kern w:val="0"/>
                <w:sz w:val="28"/>
                <w:highlight w:val="none"/>
                <w:lang w:eastAsia="zh-CN"/>
              </w:rPr>
              <w:t>2025年0</w:t>
            </w:r>
            <w:r>
              <w:rPr>
                <w:rFonts w:hint="eastAsia" w:hAnsi="宋体" w:cs="宋体"/>
                <w:snapToGrid w:val="0"/>
                <w:color w:val="auto"/>
                <w:kern w:val="0"/>
                <w:sz w:val="28"/>
                <w:highlight w:val="none"/>
                <w:lang w:val="en-US" w:eastAsia="zh-CN"/>
              </w:rPr>
              <w:t>3</w:t>
            </w:r>
            <w:r>
              <w:rPr>
                <w:rFonts w:hint="eastAsia" w:ascii="宋体" w:hAnsi="宋体" w:eastAsia="宋体" w:cs="宋体"/>
                <w:snapToGrid w:val="0"/>
                <w:color w:val="auto"/>
                <w:kern w:val="0"/>
                <w:sz w:val="28"/>
                <w:highlight w:val="none"/>
                <w:lang w:eastAsia="zh-CN"/>
              </w:rPr>
              <w:t>月</w:t>
            </w:r>
          </w:p>
        </w:tc>
      </w:tr>
    </w:tbl>
    <w:p w14:paraId="65EDBF08">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33F2D00F">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25D80F7F">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6F4790CF">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377F885D">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5704409B">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26B1E155">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59FB027E">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5F78D280">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3367D257">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3C5EE059">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0BE1644C">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04B7ADEF">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11D94261">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14E8CF3E">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15F3B1E3">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09270360">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5AD52346">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68F3BB71">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3A906BF6">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631BDD3F">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5DCF9603">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500B4AC6">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63D0E8B6">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5CFBA1CF">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1F819AAB">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50103D46">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63940526">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4468E9EF">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2055601A">
      <w:pPr>
        <w:pStyle w:val="189"/>
        <w:keepNext w:val="0"/>
        <w:keepLines w:val="0"/>
        <w:pageBreakBefore w:val="0"/>
        <w:widowControl w:val="0"/>
        <w:kinsoku/>
        <w:wordWrap/>
        <w:overflowPunct/>
        <w:topLinePunct w:val="0"/>
        <w:autoSpaceDE/>
        <w:autoSpaceDN/>
        <w:bidi w:val="0"/>
        <w:adjustRightInd/>
        <w:snapToGrid w:val="0"/>
        <w:spacing w:line="288" w:lineRule="auto"/>
        <w:ind w:left="0"/>
        <w:jc w:val="center"/>
        <w:textAlignment w:val="auto"/>
        <w:rPr>
          <w:rFonts w:hint="eastAsia" w:ascii="宋体" w:hAnsi="宋体" w:eastAsia="宋体" w:cs="宋体"/>
          <w:b/>
          <w:color w:val="auto"/>
          <w:sz w:val="28"/>
          <w:szCs w:val="28"/>
          <w:highlight w:val="none"/>
        </w:rPr>
      </w:pPr>
    </w:p>
    <w:p w14:paraId="06752E01">
      <w:pPr>
        <w:pStyle w:val="60"/>
        <w:rPr>
          <w:rFonts w:hint="eastAsia" w:ascii="宋体" w:hAnsi="宋体" w:eastAsia="宋体" w:cs="宋体"/>
          <w:color w:val="auto"/>
        </w:rPr>
      </w:pPr>
    </w:p>
    <w:p w14:paraId="6F6F23E7">
      <w:pPr>
        <w:pStyle w:val="189"/>
        <w:keepNext w:val="0"/>
        <w:keepLines w:val="0"/>
        <w:pageBreakBefore w:val="0"/>
        <w:widowControl w:val="0"/>
        <w:kinsoku/>
        <w:wordWrap/>
        <w:overflowPunct/>
        <w:topLinePunct w:val="0"/>
        <w:autoSpaceDE/>
        <w:autoSpaceDN/>
        <w:bidi w:val="0"/>
        <w:adjustRightInd/>
        <w:snapToGrid w:val="0"/>
        <w:spacing w:line="288" w:lineRule="auto"/>
        <w:ind w:left="0"/>
        <w:jc w:val="both"/>
        <w:textAlignment w:val="auto"/>
        <w:rPr>
          <w:rFonts w:hint="eastAsia" w:ascii="宋体" w:hAnsi="宋体" w:eastAsia="宋体" w:cs="宋体"/>
          <w:b/>
          <w:color w:val="auto"/>
          <w:sz w:val="28"/>
          <w:szCs w:val="28"/>
          <w:highlight w:val="none"/>
        </w:rPr>
      </w:pPr>
    </w:p>
    <w:p w14:paraId="4E61AFFC">
      <w:pPr>
        <w:rPr>
          <w:rFonts w:hint="eastAsia" w:ascii="宋体" w:hAnsi="宋体" w:eastAsia="宋体" w:cs="宋体"/>
          <w:b w:val="0"/>
          <w:color w:val="auto"/>
          <w:sz w:val="32"/>
          <w:szCs w:val="36"/>
          <w:highlight w:val="none"/>
        </w:rPr>
      </w:pPr>
      <w:r>
        <w:rPr>
          <w:rFonts w:hint="eastAsia" w:ascii="宋体" w:hAnsi="宋体" w:eastAsia="宋体" w:cs="宋体"/>
          <w:b w:val="0"/>
          <w:color w:val="auto"/>
          <w:sz w:val="32"/>
          <w:szCs w:val="36"/>
          <w:highlight w:val="none"/>
        </w:rPr>
        <w:br w:type="page"/>
      </w:r>
    </w:p>
    <w:p w14:paraId="0604ECCF">
      <w:pPr>
        <w:pStyle w:val="189"/>
        <w:keepNext w:val="0"/>
        <w:keepLines w:val="0"/>
        <w:pageBreakBefore w:val="0"/>
        <w:widowControl w:val="0"/>
        <w:kinsoku/>
        <w:wordWrap/>
        <w:overflowPunct/>
        <w:topLinePunct w:val="0"/>
        <w:autoSpaceDE/>
        <w:autoSpaceDN/>
        <w:bidi w:val="0"/>
        <w:adjustRightInd/>
        <w:snapToGrid/>
        <w:spacing w:before="480" w:beforeAutospacing="0" w:after="120" w:afterAutospacing="0" w:line="240" w:lineRule="auto"/>
        <w:ind w:left="0" w:leftChars="0" w:right="0" w:rightChars="0" w:firstLine="0" w:firstLineChars="0"/>
        <w:jc w:val="center"/>
        <w:textAlignment w:val="auto"/>
        <w:outlineLvl w:val="0"/>
        <w:rPr>
          <w:rFonts w:hint="eastAsia" w:ascii="宋体" w:hAnsi="宋体" w:eastAsia="宋体" w:cs="宋体"/>
          <w:b/>
          <w:color w:val="auto"/>
          <w:kern w:val="2"/>
          <w:sz w:val="24"/>
          <w:highlight w:val="none"/>
          <w:lang w:val="en-US" w:eastAsia="zh-CN" w:bidi="ar-SA"/>
        </w:rPr>
      </w:pPr>
      <w:r>
        <w:rPr>
          <w:rFonts w:hint="eastAsia" w:ascii="宋体" w:hAnsi="宋体" w:eastAsia="宋体" w:cs="宋体"/>
          <w:b w:val="0"/>
          <w:color w:val="auto"/>
          <w:sz w:val="32"/>
          <w:szCs w:val="36"/>
          <w:highlight w:val="none"/>
        </w:rPr>
        <w:t>目   录</w:t>
      </w:r>
      <w:bookmarkStart w:id="0" w:name="_Hlt69333523"/>
      <w:bookmarkStart w:id="1" w:name="_Hlt68775471"/>
      <w:r>
        <w:rPr>
          <w:rFonts w:hint="eastAsia" w:ascii="宋体" w:hAnsi="宋体" w:eastAsia="宋体" w:cs="宋体"/>
          <w:b w:val="0"/>
          <w:color w:val="auto"/>
          <w:sz w:val="32"/>
          <w:highlight w:val="none"/>
        </w:rPr>
        <w:fldChar w:fldCharType="begin"/>
      </w:r>
      <w:r>
        <w:rPr>
          <w:rFonts w:hint="eastAsia" w:ascii="宋体" w:hAnsi="宋体" w:eastAsia="宋体" w:cs="宋体"/>
          <w:b w:val="0"/>
          <w:color w:val="auto"/>
          <w:sz w:val="32"/>
          <w:highlight w:val="none"/>
        </w:rPr>
        <w:instrText xml:space="preserve"> TOC \o "1-4" \h \z </w:instrText>
      </w:r>
      <w:r>
        <w:rPr>
          <w:rFonts w:hint="eastAsia" w:ascii="宋体" w:hAnsi="宋体" w:eastAsia="宋体" w:cs="宋体"/>
          <w:b w:val="0"/>
          <w:color w:val="auto"/>
          <w:sz w:val="32"/>
          <w:highlight w:val="none"/>
        </w:rPr>
        <w:fldChar w:fldCharType="separate"/>
      </w:r>
    </w:p>
    <w:p w14:paraId="54A2DA0B">
      <w:pPr>
        <w:pStyle w:val="25"/>
        <w:tabs>
          <w:tab w:val="right" w:leader="dot" w:pos="9746"/>
        </w:tabs>
        <w:spacing w:line="360" w:lineRule="auto"/>
        <w:ind w:left="19" w:leftChars="0" w:hanging="19" w:hangingChars="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 xml:space="preserve">章 </w:t>
      </w:r>
      <w:r>
        <w:rPr>
          <w:rFonts w:hint="eastAsia" w:ascii="宋体" w:hAnsi="宋体" w:eastAsia="宋体" w:cs="宋体"/>
          <w:color w:val="auto"/>
          <w:sz w:val="24"/>
          <w:szCs w:val="24"/>
        </w:rPr>
        <w:t>投标人</w:t>
      </w:r>
      <w:r>
        <w:rPr>
          <w:rFonts w:hint="eastAsia" w:ascii="宋体" w:hAnsi="宋体" w:eastAsia="宋体" w:cs="宋体"/>
          <w:bCs/>
          <w:color w:val="auto"/>
          <w:sz w:val="24"/>
          <w:szCs w:val="24"/>
          <w:highlight w:val="none"/>
        </w:rPr>
        <w:t>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rPr>
        <w:fldChar w:fldCharType="end"/>
      </w:r>
    </w:p>
    <w:p w14:paraId="42ECDD85">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_Toc17589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第一节 投标人须知前附表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2BDE31D">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rPr>
        <w:t xml:space="preserve">第二节 </w:t>
      </w:r>
      <w:r>
        <w:rPr>
          <w:rFonts w:hint="eastAsia" w:ascii="宋体" w:hAnsi="宋体" w:eastAsia="宋体" w:cs="宋体"/>
          <w:bCs/>
          <w:color w:val="auto"/>
          <w:sz w:val="24"/>
          <w:szCs w:val="24"/>
          <w:highlight w:val="none"/>
        </w:rPr>
        <w:t>重要事项时间地点一览表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4B893D2A">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第三节 投标人须知正文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_Toc760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346FCB6">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_Toc27599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工程概况综合说明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11DF166F">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_Toc21126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76DD104">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_Toc4251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工期要求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_Toc4251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6F32C8F2">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_Toc15838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投标人资</w:t>
      </w:r>
      <w:r>
        <w:rPr>
          <w:rFonts w:hint="eastAsia" w:ascii="宋体" w:hAnsi="宋体" w:eastAsia="宋体" w:cs="宋体"/>
          <w:color w:val="auto"/>
          <w:sz w:val="24"/>
          <w:szCs w:val="24"/>
          <w:lang w:eastAsia="zh-CN"/>
        </w:rPr>
        <w:t>格</w:t>
      </w:r>
      <w:r>
        <w:rPr>
          <w:rFonts w:hint="eastAsia" w:ascii="宋体" w:hAnsi="宋体" w:eastAsia="宋体" w:cs="宋体"/>
          <w:color w:val="auto"/>
          <w:sz w:val="24"/>
          <w:szCs w:val="24"/>
        </w:rPr>
        <w:t>员要求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_Toc15838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FE4B987">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.招标文件获取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7958463">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_Toc29331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设计工程内容和质量标准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8B1F27B">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_Toc4575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snapToGrid w:val="0"/>
          <w:color w:val="auto"/>
          <w:kern w:val="0"/>
          <w:sz w:val="24"/>
          <w:szCs w:val="24"/>
          <w:lang w:val="en-US" w:eastAsia="zh-CN" w:bidi="ar-SA"/>
        </w:rPr>
        <w:t>7.</w:t>
      </w:r>
      <w:r>
        <w:rPr>
          <w:rFonts w:hint="eastAsia" w:ascii="宋体" w:hAnsi="宋体" w:eastAsia="宋体" w:cs="宋体"/>
          <w:color w:val="auto"/>
          <w:sz w:val="24"/>
          <w:szCs w:val="24"/>
        </w:rPr>
        <w:t>现场踏勘</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_Toc4575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62B94666">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_Toc10510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招标答疑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_Toc10510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5E453A40">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_Toc15543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最高投标限价的确定及投标报价的约定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74C0378">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_Toc29596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投标文件的编制要求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A1F9864">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_Toc10868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电子投标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_Toc10868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A791E7C">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12.电子投标及评标时突发补救方案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_Toc32149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EB9E9DA">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13.投标文件的提交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_Toc385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5DAA11B9">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_Toc24510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投标有效期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_Toc24510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D18D408">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_Toc8502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开标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_Toc8502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4705F414">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_Toc14774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16.评标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129D164C">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推荐中标候选人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4ABA389A">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_Toc23876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中标候选人公示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_Toc23876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39D7AA8">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_Toc7834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第四节 否决投标条件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_Toc7834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E7E4764">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1.资格评审环节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95661BB">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_Toc18573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2.形式评审环节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_Toc18573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477BEC5">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_Toc14105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3.响应性评审环节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_Toc14105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E6E0964">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4.其他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_Toc10147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3356825">
      <w:pPr>
        <w:pStyle w:val="22"/>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二</w:t>
      </w:r>
      <w:r>
        <w:rPr>
          <w:rFonts w:hint="eastAsia" w:ascii="宋体" w:hAnsi="宋体" w:eastAsia="宋体" w:cs="宋体"/>
          <w:bCs/>
          <w:color w:val="auto"/>
          <w:sz w:val="24"/>
          <w:szCs w:val="24"/>
          <w:highlight w:val="none"/>
        </w:rPr>
        <w:t>章 中标人须知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53D5360D">
      <w:pPr>
        <w:pStyle w:val="22"/>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_Toc17439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第三章 拟签订合同的主要条款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_Toc17439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2C1DCC4">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_Toc9692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1.承包方式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_Toc9692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D44491A">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_Toc29994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2.合同价款支付办法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_Toc29994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1308C86A">
      <w:pPr>
        <w:pStyle w:val="13"/>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_Toc6753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3．结算原则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A356116">
      <w:pPr>
        <w:pStyle w:val="22"/>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_Toc24388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 xml:space="preserve">第四章 </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_Toc24388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DE3C5FF">
      <w:pPr>
        <w:pStyle w:val="22"/>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_Toc10824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第五章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_Toc10824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AF75A65">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格式一  封面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5A86FF7">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格式二  投标函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_Toc1375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5F5DD40B">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格式三  工程项目报价表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_Toc4189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8EBF2D3">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_Toc21014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lang w:val="en-US" w:eastAsia="zh-CN"/>
        </w:rPr>
        <w:t>格式四  各项承诺一览表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_Toc21014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460CD20B">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_Toc30909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格式</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bCs/>
          <w:color w:val="auto"/>
          <w:sz w:val="24"/>
          <w:szCs w:val="24"/>
          <w:highlight w:val="none"/>
        </w:rPr>
        <w:t xml:space="preserve"> 法定代表人身份证明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_Toc30909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D5CAB02">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_Toc17790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格式</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 xml:space="preserve"> 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_Toc17790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38303F65">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_Toc20618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格式</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 xml:space="preserve"> 投标人基本情况表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_Toc20618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60F5B3D">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格式</w:t>
      </w: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 xml:space="preserve"> 设计负责人简历表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75778707">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格式</w:t>
      </w: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 xml:space="preserve"> 本项目拟投入的人员基本情况表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_Toc18651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2981C81B">
      <w:pPr>
        <w:pStyle w:val="25"/>
        <w:tabs>
          <w:tab w:val="right" w:leader="dot" w:pos="9746"/>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_Toc14387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rPr>
        <w:t>格式</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 xml:space="preserve"> 原件一览表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_Toc14387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53F750D4">
      <w:pPr>
        <w:pStyle w:val="22"/>
        <w:tabs>
          <w:tab w:val="right" w:leader="dot" w:pos="9746"/>
        </w:tabs>
        <w:spacing w:line="360" w:lineRule="auto"/>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_Toc23935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44"/>
          <w:sz w:val="24"/>
          <w:szCs w:val="24"/>
          <w:highlight w:val="none"/>
        </w:rPr>
        <w:t>第</w:t>
      </w:r>
      <w:r>
        <w:rPr>
          <w:rFonts w:hint="eastAsia" w:ascii="宋体" w:hAnsi="宋体" w:eastAsia="宋体" w:cs="宋体"/>
          <w:color w:val="auto"/>
          <w:kern w:val="44"/>
          <w:sz w:val="24"/>
          <w:szCs w:val="24"/>
          <w:highlight w:val="none"/>
          <w:lang w:eastAsia="zh-CN"/>
        </w:rPr>
        <w:t>六</w:t>
      </w:r>
      <w:r>
        <w:rPr>
          <w:rFonts w:hint="eastAsia" w:ascii="宋体" w:hAnsi="宋体" w:eastAsia="宋体" w:cs="宋体"/>
          <w:color w:val="auto"/>
          <w:kern w:val="44"/>
          <w:sz w:val="24"/>
          <w:szCs w:val="24"/>
          <w:highlight w:val="none"/>
        </w:rPr>
        <w:t>章 设计任务书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_Toc23935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highlight w:val="none"/>
        </w:rPr>
        <w:fldChar w:fldCharType="end"/>
      </w:r>
    </w:p>
    <w:p w14:paraId="0B63B30E">
      <w:pPr>
        <w:pStyle w:val="189"/>
        <w:keepNext w:val="0"/>
        <w:keepLines w:val="0"/>
        <w:pageBreakBefore w:val="0"/>
        <w:widowControl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center"/>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fldChar w:fldCharType="end"/>
      </w:r>
      <w:bookmarkEnd w:id="0"/>
      <w:bookmarkEnd w:id="1"/>
      <w:bookmarkStart w:id="2" w:name="_Hlt111690251"/>
    </w:p>
    <w:p w14:paraId="0E051974">
      <w:pPr>
        <w:pStyle w:val="189"/>
        <w:keepNext w:val="0"/>
        <w:keepLines w:val="0"/>
        <w:pageBreakBefore w:val="0"/>
        <w:widowControl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center"/>
        <w:textAlignment w:val="auto"/>
        <w:outlineLvl w:val="0"/>
        <w:rPr>
          <w:rFonts w:hint="eastAsia" w:ascii="宋体" w:hAnsi="宋体" w:eastAsia="宋体" w:cs="宋体"/>
          <w:b/>
          <w:color w:val="auto"/>
          <w:kern w:val="44"/>
          <w:sz w:val="32"/>
          <w:szCs w:val="28"/>
          <w:highlight w:val="none"/>
        </w:rPr>
        <w:sectPr>
          <w:footerReference r:id="rId3" w:type="default"/>
          <w:endnotePr>
            <w:numFmt w:val="decimal"/>
          </w:endnotePr>
          <w:pgSz w:w="11906" w:h="16838"/>
          <w:pgMar w:top="1327" w:right="1080" w:bottom="1327" w:left="1080" w:header="850" w:footer="772" w:gutter="0"/>
          <w:pgNumType w:fmt="decimal" w:start="1"/>
          <w:cols w:space="720" w:num="1"/>
          <w:docGrid w:linePitch="327" w:charSpace="0"/>
        </w:sectPr>
      </w:pPr>
    </w:p>
    <w:p w14:paraId="27AB241D">
      <w:pPr>
        <w:pStyle w:val="189"/>
        <w:keepNext w:val="0"/>
        <w:keepLines w:val="0"/>
        <w:pageBreakBefore w:val="0"/>
        <w:widowControl w:val="0"/>
        <w:kinsoku/>
        <w:wordWrap/>
        <w:overflowPunct/>
        <w:topLinePunct w:val="0"/>
        <w:autoSpaceDE/>
        <w:autoSpaceDN/>
        <w:bidi w:val="0"/>
        <w:adjustRightInd/>
        <w:snapToGrid/>
        <w:spacing w:before="200" w:beforeAutospacing="0" w:after="200" w:afterAutospacing="0" w:line="240" w:lineRule="auto"/>
        <w:ind w:left="0" w:leftChars="0" w:right="0" w:rightChars="0" w:firstLine="0" w:firstLineChars="0"/>
        <w:jc w:val="center"/>
        <w:textAlignment w:val="auto"/>
        <w:outlineLvl w:val="0"/>
        <w:rPr>
          <w:rFonts w:hint="eastAsia" w:ascii="宋体" w:hAnsi="宋体" w:eastAsia="宋体" w:cs="宋体"/>
          <w:b/>
          <w:color w:val="auto"/>
          <w:kern w:val="44"/>
          <w:sz w:val="24"/>
          <w:szCs w:val="22"/>
          <w:highlight w:val="none"/>
        </w:rPr>
      </w:pPr>
      <w:r>
        <w:rPr>
          <w:rFonts w:hint="eastAsia" w:ascii="宋体" w:hAnsi="宋体" w:eastAsia="宋体" w:cs="宋体"/>
          <w:b/>
          <w:color w:val="auto"/>
          <w:kern w:val="44"/>
          <w:sz w:val="32"/>
          <w:szCs w:val="28"/>
          <w:highlight w:val="none"/>
        </w:rPr>
        <w:t>第一章 投标人须知</w:t>
      </w:r>
    </w:p>
    <w:p w14:paraId="0A89D865">
      <w:pPr>
        <w:pStyle w:val="4"/>
        <w:bidi w:val="0"/>
        <w:snapToGrid/>
        <w:spacing w:before="200" w:beforeLines="0" w:beforeAutospacing="0" w:after="200" w:afterAutospacing="0" w:line="240" w:lineRule="auto"/>
        <w:ind w:left="0" w:leftChars="0" w:right="0" w:rightChars="0" w:firstLine="0" w:firstLineChars="0"/>
        <w:jc w:val="left"/>
        <w:outlineLvl w:val="1"/>
        <w:rPr>
          <w:rFonts w:hint="eastAsia" w:ascii="宋体" w:hAnsi="宋体" w:eastAsia="宋体" w:cs="宋体"/>
          <w:b/>
          <w:color w:val="auto"/>
          <w:sz w:val="24"/>
        </w:rPr>
      </w:pPr>
      <w:bookmarkStart w:id="3" w:name="_Hlt127175444"/>
      <w:bookmarkEnd w:id="3"/>
      <w:bookmarkStart w:id="4" w:name="_Toc2102"/>
      <w:bookmarkStart w:id="5" w:name="_Toc7880"/>
      <w:bookmarkStart w:id="6" w:name="_Toc17589"/>
      <w:bookmarkStart w:id="7" w:name="_Toc12674"/>
      <w:bookmarkStart w:id="8" w:name="_Hlt120077520"/>
      <w:r>
        <w:rPr>
          <w:rFonts w:hint="eastAsia" w:ascii="宋体" w:hAnsi="宋体" w:eastAsia="宋体" w:cs="宋体"/>
          <w:b/>
          <w:color w:val="auto"/>
          <w:sz w:val="24"/>
        </w:rPr>
        <w:t>第一节 投标人须知前附表</w:t>
      </w:r>
      <w:bookmarkEnd w:id="4"/>
      <w:bookmarkEnd w:id="5"/>
      <w:bookmarkEnd w:id="6"/>
      <w:bookmarkEnd w:id="7"/>
    </w:p>
    <w:tbl>
      <w:tblPr>
        <w:tblStyle w:val="34"/>
        <w:tblW w:w="101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753"/>
        <w:gridCol w:w="7603"/>
      </w:tblGrid>
      <w:tr w14:paraId="16A58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1AB72DE">
            <w:pPr>
              <w:pStyle w:val="6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B0DBEA0">
            <w:pPr>
              <w:pStyle w:val="60"/>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内容</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0AFECA4D">
            <w:pPr>
              <w:pStyle w:val="60"/>
              <w:tabs>
                <w:tab w:val="left" w:pos="1180"/>
              </w:tabs>
              <w:spacing w:line="40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说明与要求</w:t>
            </w:r>
          </w:p>
        </w:tc>
      </w:tr>
      <w:tr w14:paraId="4902E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8A4F7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C0E0D55">
            <w:pPr>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eastAsia="zh-CN"/>
              </w:rPr>
              <w:t>项目</w:t>
            </w:r>
            <w:r>
              <w:rPr>
                <w:rFonts w:hint="eastAsia" w:ascii="宋体" w:hAnsi="宋体" w:eastAsia="宋体" w:cs="宋体"/>
                <w:snapToGrid w:val="0"/>
                <w:color w:val="auto"/>
                <w:kern w:val="0"/>
                <w:sz w:val="24"/>
                <w:szCs w:val="24"/>
                <w:highlight w:val="none"/>
              </w:rPr>
              <w:t>名称</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493398DB">
            <w:pPr>
              <w:tabs>
                <w:tab w:val="left" w:pos="1180"/>
              </w:tabs>
              <w:wordWrap w:val="0"/>
              <w:adjustRightInd w:val="0"/>
              <w:snapToGrid w:val="0"/>
              <w:spacing w:line="400" w:lineRule="exact"/>
              <w:ind w:left="36" w:leftChars="17" w:right="48" w:rightChars="23"/>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eastAsia="zh-CN"/>
              </w:rPr>
              <w:t>韶关市武江区城市地下综合管廊建设工程（一期）项目</w:t>
            </w:r>
            <w:r>
              <w:rPr>
                <w:rFonts w:hint="eastAsia" w:ascii="宋体" w:hAnsi="宋体" w:eastAsia="宋体" w:cs="宋体"/>
                <w:snapToGrid w:val="0"/>
                <w:color w:val="auto"/>
                <w:kern w:val="0"/>
                <w:sz w:val="24"/>
                <w:szCs w:val="24"/>
                <w:highlight w:val="none"/>
                <w:lang w:eastAsia="zh-CN"/>
              </w:rPr>
              <w:t>设计</w:t>
            </w:r>
          </w:p>
        </w:tc>
      </w:tr>
      <w:tr w14:paraId="1DB54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A5668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24EE54F">
            <w:pPr>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项目业主</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19AE9D11">
            <w:pPr>
              <w:wordWrap w:val="0"/>
              <w:adjustRightInd w:val="0"/>
              <w:snapToGrid w:val="0"/>
              <w:spacing w:line="400" w:lineRule="exact"/>
              <w:ind w:right="48" w:rightChars="2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aps w:val="0"/>
                <w:smallCaps w:val="0"/>
                <w:snapToGrid w:val="0"/>
                <w:color w:val="auto"/>
                <w:spacing w:val="0"/>
                <w:kern w:val="0"/>
                <w:sz w:val="24"/>
                <w:szCs w:val="24"/>
                <w:highlight w:val="none"/>
                <w:lang w:val="en-US" w:eastAsia="zh-CN"/>
              </w:rPr>
              <w:t>韶关市武江区城市管理和综合执法局</w:t>
            </w:r>
          </w:p>
        </w:tc>
      </w:tr>
      <w:tr w14:paraId="160ED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D78A4D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F8DD8FD">
            <w:pPr>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项目批准部门</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0E7B51FB">
            <w:pPr>
              <w:wordWrap w:val="0"/>
              <w:adjustRightInd w:val="0"/>
              <w:snapToGrid w:val="0"/>
              <w:spacing w:line="360" w:lineRule="exact"/>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韶关市武江区发展和改革局</w:t>
            </w:r>
          </w:p>
        </w:tc>
      </w:tr>
      <w:tr w14:paraId="7261A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6"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1C396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D7368DC">
            <w:pPr>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项目批准文号</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6A42740B">
            <w:pPr>
              <w:wordWrap w:val="0"/>
              <w:adjustRightInd w:val="0"/>
              <w:snapToGrid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韶武发改投审〔2024〕138号</w:t>
            </w:r>
          </w:p>
        </w:tc>
      </w:tr>
      <w:tr w14:paraId="60D3C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24FCC4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9005C63">
            <w:pPr>
              <w:wordWrap w:val="0"/>
              <w:adjustRightInd w:val="0"/>
              <w:snapToGrid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项目代码</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63208123">
            <w:pPr>
              <w:wordWrap w:val="0"/>
              <w:adjustRightInd w:val="0"/>
              <w:snapToGrid w:val="0"/>
              <w:spacing w:line="36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2412-440203-04-01-302525</w:t>
            </w:r>
          </w:p>
        </w:tc>
      </w:tr>
      <w:tr w14:paraId="3FCCF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8356C3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4DAE5DF">
            <w:pPr>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资金来源</w:t>
            </w:r>
          </w:p>
          <w:p w14:paraId="4E08487A">
            <w:pPr>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及出资比例</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360582F9">
            <w:pPr>
              <w:wordWrap w:val="0"/>
              <w:adjustRightInd w:val="0"/>
              <w:snapToGrid w:val="0"/>
              <w:spacing w:line="400" w:lineRule="exact"/>
              <w:ind w:right="48" w:rightChars="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区财政统筹，</w:t>
            </w:r>
            <w:r>
              <w:rPr>
                <w:rFonts w:hint="eastAsia" w:ascii="宋体" w:hAnsi="宋体" w:eastAsia="宋体" w:cs="宋体"/>
                <w:color w:val="auto"/>
                <w:sz w:val="24"/>
                <w:szCs w:val="24"/>
                <w:highlight w:val="none"/>
              </w:rPr>
              <w:t>100%</w:t>
            </w:r>
          </w:p>
        </w:tc>
      </w:tr>
      <w:tr w14:paraId="06B30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1C233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F5BE084">
            <w:pPr>
              <w:pStyle w:val="2"/>
              <w:pageBreakBefore w:val="0"/>
              <w:widowControl w:val="0"/>
              <w:kinsoku/>
              <w:overflowPunct/>
              <w:topLinePunct w:val="0"/>
              <w:autoSpaceDE/>
              <w:autoSpaceDN/>
              <w:bidi w:val="0"/>
              <w:snapToGrid w:val="0"/>
              <w:spacing w:before="0" w:beforeLines="0" w:after="0" w:afterLines="0" w:line="240" w:lineRule="auto"/>
              <w:ind w:left="0" w:leftChars="0" w:firstLine="0" w:firstLineChars="0"/>
              <w:jc w:val="center"/>
              <w:textAlignment w:val="auto"/>
              <w:rPr>
                <w:rFonts w:hint="eastAsia" w:ascii="宋体" w:hAnsi="宋体" w:eastAsia="宋体" w:cs="宋体"/>
                <w:color w:val="auto"/>
                <w:kern w:val="0"/>
                <w:sz w:val="24"/>
                <w:szCs w:val="24"/>
                <w:highlight w:val="none"/>
              </w:rPr>
            </w:pPr>
            <w:bookmarkStart w:id="9" w:name="_Toc26196"/>
            <w:bookmarkStart w:id="10" w:name="_Toc10770"/>
            <w:bookmarkStart w:id="11" w:name="_Toc27552"/>
            <w:bookmarkStart w:id="12" w:name="_Toc6825"/>
            <w:bookmarkStart w:id="13" w:name="_Toc364"/>
            <w:bookmarkStart w:id="14" w:name="_Toc7040"/>
            <w:r>
              <w:rPr>
                <w:rFonts w:hint="eastAsia" w:ascii="宋体" w:hAnsi="宋体" w:eastAsia="宋体" w:cs="宋体"/>
                <w:b w:val="0"/>
                <w:bCs/>
                <w:snapToGrid w:val="0"/>
                <w:color w:val="auto"/>
                <w:kern w:val="0"/>
                <w:sz w:val="24"/>
                <w:szCs w:val="24"/>
                <w:highlight w:val="none"/>
                <w:lang w:val="en-US" w:eastAsia="zh-CN"/>
              </w:rPr>
              <w:t>招标人</w:t>
            </w:r>
            <w:bookmarkEnd w:id="9"/>
            <w:bookmarkEnd w:id="10"/>
            <w:bookmarkEnd w:id="11"/>
            <w:bookmarkEnd w:id="12"/>
            <w:bookmarkEnd w:id="13"/>
            <w:bookmarkEnd w:id="14"/>
          </w:p>
        </w:tc>
        <w:tc>
          <w:tcPr>
            <w:tcW w:w="7603" w:type="dxa"/>
            <w:tcBorders>
              <w:top w:val="single" w:color="auto" w:sz="4" w:space="0"/>
              <w:left w:val="single" w:color="auto" w:sz="4" w:space="0"/>
              <w:bottom w:val="single" w:color="auto" w:sz="4" w:space="0"/>
              <w:right w:val="single" w:color="auto" w:sz="4" w:space="0"/>
            </w:tcBorders>
            <w:noWrap w:val="0"/>
            <w:vAlign w:val="center"/>
          </w:tcPr>
          <w:p w14:paraId="73F68333">
            <w:pPr>
              <w:wordWrap w:val="0"/>
              <w:adjustRightInd w:val="0"/>
              <w:snapToGrid w:val="0"/>
              <w:spacing w:line="400" w:lineRule="exact"/>
              <w:ind w:right="48" w:rightChars="23"/>
              <w:rPr>
                <w:rFonts w:hint="eastAsia" w:ascii="宋体" w:hAnsi="宋体" w:eastAsia="宋体" w:cs="宋体"/>
                <w:color w:val="auto"/>
                <w:sz w:val="24"/>
                <w:szCs w:val="24"/>
                <w:highlight w:val="none"/>
              </w:rPr>
            </w:pPr>
            <w:r>
              <w:rPr>
                <w:rFonts w:hint="eastAsia" w:ascii="宋体" w:hAnsi="宋体" w:eastAsia="宋体" w:cs="宋体"/>
                <w:b w:val="0"/>
                <w:bCs w:val="0"/>
                <w:caps w:val="0"/>
                <w:smallCaps w:val="0"/>
                <w:snapToGrid w:val="0"/>
                <w:color w:val="auto"/>
                <w:spacing w:val="0"/>
                <w:kern w:val="0"/>
                <w:sz w:val="24"/>
                <w:szCs w:val="24"/>
                <w:highlight w:val="none"/>
                <w:lang w:val="en-US" w:eastAsia="zh-CN"/>
              </w:rPr>
              <w:t>韶关市武江区城市管理和综合执法局</w:t>
            </w:r>
          </w:p>
        </w:tc>
      </w:tr>
      <w:tr w14:paraId="17350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0543DA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600C9E2">
            <w:pPr>
              <w:wordWrap w:val="0"/>
              <w:adjustRightInd w:val="0"/>
              <w:snapToGrid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招标代理机构</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323B67AD">
            <w:pPr>
              <w:wordWrap w:val="0"/>
              <w:adjustRightInd w:val="0"/>
              <w:snapToGrid w:val="0"/>
              <w:spacing w:line="400" w:lineRule="exact"/>
              <w:ind w:right="48" w:rightChars="23"/>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eastAsia="zh-CN"/>
              </w:rPr>
              <w:t>深圳市腾达工程顾问有限公司</w:t>
            </w:r>
          </w:p>
        </w:tc>
      </w:tr>
      <w:tr w14:paraId="67BFA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6"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3D3D1B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FE2B045">
            <w:pPr>
              <w:wordWrap w:val="0"/>
              <w:adjustRightInd w:val="0"/>
              <w:snapToGrid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建设地点</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08C7E2D7">
            <w:pPr>
              <w:wordWrap w:val="0"/>
              <w:adjustRightInd w:val="0"/>
              <w:snapToGrid w:val="0"/>
              <w:spacing w:line="400" w:lineRule="exact"/>
              <w:ind w:left="36" w:leftChars="17" w:right="48" w:rightChars="2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韶关市武江区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韶州公园周边片区、芙蓉北片区等</w:t>
            </w:r>
            <w:r>
              <w:rPr>
                <w:rFonts w:hint="eastAsia" w:ascii="宋体" w:hAnsi="宋体" w:cs="宋体"/>
                <w:color w:val="auto"/>
                <w:sz w:val="24"/>
                <w:szCs w:val="24"/>
                <w:highlight w:val="none"/>
                <w:lang w:val="en-US" w:eastAsia="zh-CN"/>
              </w:rPr>
              <w:t>区域</w:t>
            </w:r>
          </w:p>
        </w:tc>
      </w:tr>
      <w:tr w14:paraId="30A57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6"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F71F97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7680CD2A">
            <w:pPr>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建设内容和规模</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5DF3B546">
            <w:pPr>
              <w:wordWrap w:val="0"/>
              <w:adjustRightInd w:val="0"/>
              <w:snapToGrid w:val="0"/>
              <w:spacing w:line="400" w:lineRule="exact"/>
              <w:ind w:right="48" w:rightChars="23"/>
              <w:rPr>
                <w:rFonts w:hint="eastAsia" w:ascii="宋体" w:hAnsi="宋体" w:eastAsia="宋体" w:cs="宋体"/>
                <w:b w:val="0"/>
                <w:bCs w:val="0"/>
                <w:caps w:val="0"/>
                <w:smallCaps w:val="0"/>
                <w:snapToGrid w:val="0"/>
                <w:color w:val="auto"/>
                <w:spacing w:val="0"/>
                <w:kern w:val="0"/>
                <w:sz w:val="24"/>
                <w:szCs w:val="24"/>
                <w:highlight w:val="none"/>
                <w:lang w:val="en-US" w:eastAsia="zh-CN"/>
              </w:rPr>
            </w:pPr>
            <w:r>
              <w:rPr>
                <w:rFonts w:hint="eastAsia" w:ascii="宋体" w:hAnsi="宋体" w:eastAsia="宋体" w:cs="宋体"/>
                <w:color w:val="auto"/>
                <w:sz w:val="24"/>
                <w:szCs w:val="24"/>
                <w:highlight w:val="none"/>
                <w:lang w:val="en-US" w:eastAsia="zh-CN"/>
              </w:rPr>
              <w:t>在韶关市武江区的韶州公园周边片区、芙蓉北片区等主要交通主、</w:t>
            </w:r>
            <w:r>
              <w:rPr>
                <w:rFonts w:hint="eastAsia" w:ascii="宋体" w:hAnsi="宋体" w:cs="宋体"/>
                <w:color w:val="auto"/>
                <w:sz w:val="24"/>
                <w:szCs w:val="24"/>
                <w:highlight w:val="none"/>
                <w:lang w:val="en-US" w:eastAsia="zh-CN"/>
              </w:rPr>
              <w:t>次干</w:t>
            </w:r>
            <w:r>
              <w:rPr>
                <w:rFonts w:hint="eastAsia" w:ascii="宋体" w:hAnsi="宋体" w:eastAsia="宋体" w:cs="宋体"/>
                <w:color w:val="auto"/>
                <w:sz w:val="24"/>
                <w:szCs w:val="24"/>
                <w:highlight w:val="none"/>
                <w:lang w:val="en-US" w:eastAsia="zh-CN"/>
              </w:rPr>
              <w:t>道以及支路新建缆线管廊总长约8131m，断面尺寸2.1-2.4mx1.6-2.4m，改造排水管道约8362m。</w:t>
            </w:r>
          </w:p>
        </w:tc>
      </w:tr>
      <w:tr w14:paraId="5049F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6"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C8173C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E008736">
            <w:pPr>
              <w:wordWrap w:val="0"/>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项目总投资</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1389EA5B">
            <w:pPr>
              <w:wordWrap w:val="0"/>
              <w:adjustRightInd w:val="0"/>
              <w:snapToGrid w:val="0"/>
              <w:spacing w:line="400" w:lineRule="exact"/>
              <w:ind w:left="36" w:leftChars="17" w:right="48" w:rightChars="2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项目估算总投资9800.00万元，其中：工程费用7782.73万元、工程建设其他费用1288.53万元、预备费453.56万元。</w:t>
            </w:r>
          </w:p>
        </w:tc>
      </w:tr>
      <w:tr w14:paraId="4A1B5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5950420">
            <w:pPr>
              <w:pStyle w:val="60"/>
              <w:keepNext w:val="0"/>
              <w:keepLines w:val="0"/>
              <w:pageBreakBefore w:val="0"/>
              <w:widowControl w:val="0"/>
              <w:numPr>
                <w:ilvl w:val="0"/>
                <w:numId w:val="0"/>
              </w:numPr>
              <w:kinsoku/>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982CE0F">
            <w:pPr>
              <w:pStyle w:val="60"/>
              <w:keepNext w:val="0"/>
              <w:keepLines w:val="0"/>
              <w:pageBreakBefore w:val="0"/>
              <w:widowControl w:val="0"/>
              <w:kinsoku/>
              <w:overflowPunct/>
              <w:topLinePunct w:val="0"/>
              <w:autoSpaceDE/>
              <w:autoSpaceDN/>
              <w:bidi w:val="0"/>
              <w:spacing w:line="400" w:lineRule="exact"/>
              <w:jc w:val="center"/>
              <w:textAlignment w:val="auto"/>
              <w:rPr>
                <w:rFonts w:hint="eastAsia" w:ascii="宋体" w:hAnsi="宋体" w:eastAsia="宋体" w:cs="宋体"/>
                <w:strike/>
                <w:color w:val="auto"/>
                <w:szCs w:val="24"/>
                <w:highlight w:val="none"/>
              </w:rPr>
            </w:pPr>
            <w:r>
              <w:rPr>
                <w:rFonts w:hint="eastAsia" w:ascii="宋体" w:hAnsi="宋体" w:eastAsia="宋体" w:cs="宋体"/>
                <w:color w:val="auto"/>
                <w:szCs w:val="24"/>
                <w:highlight w:val="none"/>
              </w:rPr>
              <w:t>招标范围</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36F3C4B9">
            <w:pPr>
              <w:pStyle w:val="130"/>
              <w:keepNext w:val="0"/>
              <w:keepLines w:val="0"/>
              <w:pageBreakBefore w:val="0"/>
              <w:widowControl w:val="0"/>
              <w:kinsoku/>
              <w:wordWrap w:val="0"/>
              <w:overflowPunct/>
              <w:topLinePunct w:val="0"/>
              <w:autoSpaceDE/>
              <w:autoSpaceDN/>
              <w:bidi w:val="0"/>
              <w:adjustRightInd w:val="0"/>
              <w:snapToGrid w:val="0"/>
              <w:spacing w:line="288" w:lineRule="auto"/>
              <w:ind w:left="63" w:leftChars="30"/>
              <w:jc w:val="left"/>
              <w:textAlignment w:val="auto"/>
              <w:rPr>
                <w:rFonts w:hint="eastAsia" w:ascii="宋体" w:hAnsi="宋体" w:eastAsia="宋体" w:cs="宋体"/>
                <w:snapToGrid w:val="0"/>
                <w:color w:val="auto"/>
                <w:kern w:val="0"/>
                <w:sz w:val="24"/>
              </w:rPr>
            </w:pPr>
            <w:bookmarkStart w:id="15" w:name="_Hlt106417017"/>
            <w:bookmarkEnd w:id="15"/>
            <w:r>
              <w:rPr>
                <w:rFonts w:hint="eastAsia" w:ascii="宋体" w:hAnsi="宋体" w:eastAsia="宋体" w:cs="宋体"/>
                <w:snapToGrid w:val="0"/>
                <w:color w:val="auto"/>
                <w:kern w:val="0"/>
                <w:sz w:val="24"/>
              </w:rPr>
              <w:t>本项目所涉及的内容包括但不限于以下：</w:t>
            </w:r>
          </w:p>
          <w:p w14:paraId="6E2656E6">
            <w:pPr>
              <w:pStyle w:val="130"/>
              <w:keepNext w:val="0"/>
              <w:keepLines w:val="0"/>
              <w:pageBreakBefore w:val="0"/>
              <w:widowControl w:val="0"/>
              <w:kinsoku/>
              <w:wordWrap w:val="0"/>
              <w:overflowPunct/>
              <w:topLinePunct w:val="0"/>
              <w:autoSpaceDE/>
              <w:autoSpaceDN/>
              <w:bidi w:val="0"/>
              <w:adjustRightInd w:val="0"/>
              <w:snapToGrid w:val="0"/>
              <w:spacing w:line="288" w:lineRule="auto"/>
              <w:ind w:left="63" w:leftChars="30"/>
              <w:jc w:val="left"/>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设计部分：</w:t>
            </w:r>
          </w:p>
          <w:p w14:paraId="1F516AFB">
            <w:pPr>
              <w:pStyle w:val="130"/>
              <w:keepNext w:val="0"/>
              <w:keepLines w:val="0"/>
              <w:pageBreakBefore w:val="0"/>
              <w:widowControl w:val="0"/>
              <w:kinsoku/>
              <w:wordWrap w:val="0"/>
              <w:overflowPunct/>
              <w:topLinePunct w:val="0"/>
              <w:autoSpaceDE/>
              <w:autoSpaceDN/>
              <w:bidi w:val="0"/>
              <w:adjustRightInd w:val="0"/>
              <w:snapToGrid w:val="0"/>
              <w:spacing w:line="288" w:lineRule="auto"/>
              <w:ind w:left="63" w:leftChars="30"/>
              <w:jc w:val="left"/>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① 确保项目顺利实施的报建、报批、施工等所需的设计文件（含初步设计文件及概算、施工图设计文件）及施工图审查（若需要）并确保审查合格。</w:t>
            </w:r>
          </w:p>
          <w:p w14:paraId="405B8128">
            <w:pPr>
              <w:pStyle w:val="130"/>
              <w:keepNext w:val="0"/>
              <w:keepLines w:val="0"/>
              <w:pageBreakBefore w:val="0"/>
              <w:widowControl w:val="0"/>
              <w:kinsoku/>
              <w:wordWrap w:val="0"/>
              <w:overflowPunct/>
              <w:topLinePunct w:val="0"/>
              <w:autoSpaceDE/>
              <w:autoSpaceDN/>
              <w:bidi w:val="0"/>
              <w:adjustRightInd w:val="0"/>
              <w:snapToGrid w:val="0"/>
              <w:spacing w:line="288" w:lineRule="auto"/>
              <w:ind w:left="63" w:leftChars="30"/>
              <w:jc w:val="left"/>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② 此部分所需相关检测项的明细表。</w:t>
            </w:r>
          </w:p>
          <w:p w14:paraId="5CBFE1F7">
            <w:pPr>
              <w:pStyle w:val="130"/>
              <w:keepNext w:val="0"/>
              <w:keepLines w:val="0"/>
              <w:pageBreakBefore w:val="0"/>
              <w:widowControl w:val="0"/>
              <w:kinsoku/>
              <w:wordWrap w:val="0"/>
              <w:overflowPunct/>
              <w:topLinePunct w:val="0"/>
              <w:autoSpaceDE/>
              <w:autoSpaceDN/>
              <w:bidi w:val="0"/>
              <w:adjustRightInd w:val="0"/>
              <w:snapToGrid w:val="0"/>
              <w:spacing w:line="288" w:lineRule="auto"/>
              <w:ind w:left="63" w:leftChars="30"/>
              <w:jc w:val="left"/>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③ 调整并优化设计和在工程施工期间指导和解决施工难题。</w:t>
            </w:r>
          </w:p>
          <w:p w14:paraId="1C005F16">
            <w:pPr>
              <w:pStyle w:val="130"/>
              <w:keepNext w:val="0"/>
              <w:keepLines w:val="0"/>
              <w:pageBreakBefore w:val="0"/>
              <w:widowControl w:val="0"/>
              <w:kinsoku/>
              <w:wordWrap w:val="0"/>
              <w:overflowPunct/>
              <w:topLinePunct w:val="0"/>
              <w:autoSpaceDE/>
              <w:autoSpaceDN/>
              <w:bidi w:val="0"/>
              <w:adjustRightInd w:val="0"/>
              <w:snapToGrid w:val="0"/>
              <w:spacing w:line="288" w:lineRule="auto"/>
              <w:ind w:left="63" w:leftChars="30"/>
              <w:jc w:val="left"/>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④ 配合阶段验收及档案整理、协助施工单位编制竣工图及后续设计服务工作。</w:t>
            </w:r>
          </w:p>
          <w:p w14:paraId="1FDB78DB">
            <w:pPr>
              <w:pStyle w:val="130"/>
              <w:keepNext w:val="0"/>
              <w:keepLines w:val="0"/>
              <w:pageBreakBefore w:val="0"/>
              <w:widowControl w:val="0"/>
              <w:kinsoku/>
              <w:wordWrap w:val="0"/>
              <w:overflowPunct/>
              <w:topLinePunct w:val="0"/>
              <w:autoSpaceDE/>
              <w:autoSpaceDN/>
              <w:bidi w:val="0"/>
              <w:adjustRightInd w:val="0"/>
              <w:snapToGrid w:val="0"/>
              <w:spacing w:line="288" w:lineRule="auto"/>
              <w:ind w:left="63" w:leftChars="30"/>
              <w:jc w:val="left"/>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⑤ 完成招标人提出的与项目相关并确保项目顺利实施的其他要求。</w:t>
            </w:r>
          </w:p>
        </w:tc>
      </w:tr>
      <w:tr w14:paraId="25C19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1C5B75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13</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83E6B39">
            <w:pPr>
              <w:wordWrap w:val="0"/>
              <w:adjustRightInd w:val="0"/>
              <w:snapToGrid w:val="0"/>
              <w:spacing w:line="360" w:lineRule="exact"/>
              <w:jc w:val="center"/>
              <w:rPr>
                <w:rFonts w:hint="eastAsia" w:ascii="宋体" w:hAnsi="宋体" w:eastAsia="宋体" w:cs="宋体"/>
                <w:color w:val="auto"/>
                <w:szCs w:val="24"/>
                <w:highlight w:val="none"/>
              </w:rPr>
            </w:pPr>
            <w:r>
              <w:rPr>
                <w:rFonts w:hint="eastAsia" w:ascii="宋体" w:hAnsi="宋体" w:eastAsia="宋体" w:cs="宋体"/>
                <w:snapToGrid w:val="0"/>
                <w:color w:val="auto"/>
                <w:kern w:val="0"/>
                <w:sz w:val="24"/>
                <w:szCs w:val="24"/>
                <w:highlight w:val="none"/>
              </w:rPr>
              <w:t>标段划分</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64E629CB">
            <w:pPr>
              <w:wordWrap w:val="0"/>
              <w:adjustRightInd w:val="0"/>
              <w:snapToGrid w:val="0"/>
              <w:spacing w:line="400" w:lineRule="exact"/>
              <w:ind w:right="48" w:rightChars="23"/>
              <w:rPr>
                <w:rFonts w:hint="eastAsia" w:ascii="宋体" w:hAnsi="宋体" w:eastAsia="宋体" w:cs="宋体"/>
                <w:color w:val="auto"/>
                <w:sz w:val="24"/>
                <w:highlight w:val="none"/>
              </w:rPr>
            </w:pPr>
            <w:r>
              <w:rPr>
                <w:rFonts w:hint="eastAsia" w:ascii="宋体" w:hAnsi="宋体" w:eastAsia="宋体" w:cs="宋体"/>
                <w:b w:val="0"/>
                <w:bCs w:val="0"/>
                <w:caps w:val="0"/>
                <w:smallCaps w:val="0"/>
                <w:snapToGrid w:val="0"/>
                <w:color w:val="auto"/>
                <w:spacing w:val="0"/>
                <w:kern w:val="0"/>
                <w:sz w:val="24"/>
                <w:szCs w:val="24"/>
                <w:highlight w:val="none"/>
                <w:lang w:val="en-US" w:eastAsia="zh-CN"/>
              </w:rPr>
              <w:t>本项目不划分标段。</w:t>
            </w:r>
          </w:p>
        </w:tc>
      </w:tr>
      <w:tr w14:paraId="1E039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53DAC023">
            <w:pPr>
              <w:pStyle w:val="60"/>
              <w:keepNext w:val="0"/>
              <w:keepLines w:val="0"/>
              <w:pageBreakBefore w:val="0"/>
              <w:widowControl w:val="0"/>
              <w:numPr>
                <w:ilvl w:val="0"/>
                <w:numId w:val="0"/>
              </w:numPr>
              <w:kinsoku/>
              <w:overflowPunct/>
              <w:topLinePunct w:val="0"/>
              <w:autoSpaceDE/>
              <w:autoSpaceDN/>
              <w:bidi w:val="0"/>
              <w:spacing w:line="40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31CFD22">
            <w:pPr>
              <w:pStyle w:val="60"/>
              <w:keepNext w:val="0"/>
              <w:keepLines w:val="0"/>
              <w:pageBreakBefore w:val="0"/>
              <w:widowControl w:val="0"/>
              <w:kinsoku/>
              <w:overflowPunct/>
              <w:topLinePunct w:val="0"/>
              <w:autoSpaceDE/>
              <w:autoSpaceDN/>
              <w:bidi w:val="0"/>
              <w:spacing w:line="400" w:lineRule="exact"/>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工期要求</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41B125C8">
            <w:pPr>
              <w:pStyle w:val="60"/>
              <w:spacing w:line="400" w:lineRule="exact"/>
              <w:ind w:left="36" w:leftChars="17" w:right="48" w:rightChars="23"/>
              <w:rPr>
                <w:rFonts w:hint="eastAsia" w:ascii="宋体" w:hAnsi="宋体" w:eastAsia="宋体" w:cs="宋体"/>
                <w:color w:val="auto"/>
                <w:sz w:val="24"/>
                <w:szCs w:val="24"/>
                <w:highlight w:val="none"/>
                <w:lang w:val="en-US" w:eastAsia="zh-CN"/>
              </w:rPr>
            </w:pPr>
            <w:r>
              <w:rPr>
                <w:rFonts w:hint="eastAsia" w:hAnsi="宋体" w:cs="宋体"/>
                <w:snapToGrid w:val="0"/>
                <w:color w:val="auto"/>
                <w:kern w:val="0"/>
                <w:sz w:val="24"/>
                <w:lang w:val="en-US" w:eastAsia="zh-CN"/>
              </w:rPr>
              <w:t>设</w:t>
            </w:r>
            <w:r>
              <w:rPr>
                <w:rFonts w:hint="eastAsia" w:ascii="宋体" w:hAnsi="宋体" w:eastAsia="宋体" w:cs="宋体"/>
                <w:snapToGrid w:val="0"/>
                <w:color w:val="auto"/>
                <w:kern w:val="0"/>
                <w:sz w:val="24"/>
                <w:lang w:eastAsia="zh-CN"/>
              </w:rPr>
              <w:t xml:space="preserve">计总工期共 </w:t>
            </w:r>
            <w:r>
              <w:rPr>
                <w:rFonts w:hint="eastAsia" w:hAnsi="宋体" w:cs="宋体"/>
                <w:snapToGrid w:val="0"/>
                <w:color w:val="auto"/>
                <w:kern w:val="0"/>
                <w:sz w:val="24"/>
                <w:lang w:val="en-US" w:eastAsia="zh-CN"/>
              </w:rPr>
              <w:t>50</w:t>
            </w:r>
            <w:r>
              <w:rPr>
                <w:rFonts w:hint="eastAsia" w:ascii="宋体" w:hAnsi="宋体" w:eastAsia="宋体" w:cs="宋体"/>
                <w:snapToGrid w:val="0"/>
                <w:color w:val="auto"/>
                <w:kern w:val="0"/>
                <w:sz w:val="24"/>
                <w:lang w:eastAsia="zh-CN"/>
              </w:rPr>
              <w:t>日历天</w:t>
            </w:r>
            <w:r>
              <w:rPr>
                <w:rFonts w:hint="eastAsia" w:ascii="宋体" w:hAnsi="宋体" w:eastAsia="宋体" w:cs="宋体"/>
                <w:snapToGrid w:val="0"/>
                <w:color w:val="auto"/>
                <w:kern w:val="0"/>
                <w:sz w:val="24"/>
              </w:rPr>
              <w:t>（具体工期要求详见本</w:t>
            </w:r>
            <w:r>
              <w:rPr>
                <w:rFonts w:hint="eastAsia" w:ascii="宋体" w:hAnsi="宋体" w:eastAsia="宋体" w:cs="宋体"/>
                <w:snapToGrid w:val="0"/>
                <w:color w:val="auto"/>
                <w:kern w:val="0"/>
                <w:sz w:val="24"/>
                <w:lang w:val="en-US" w:eastAsia="zh-CN"/>
              </w:rPr>
              <w:t>项目</w:t>
            </w:r>
            <w:r>
              <w:rPr>
                <w:rFonts w:hint="eastAsia" w:ascii="宋体" w:hAnsi="宋体" w:eastAsia="宋体" w:cs="宋体"/>
                <w:snapToGrid w:val="0"/>
                <w:color w:val="auto"/>
                <w:kern w:val="0"/>
                <w:sz w:val="24"/>
              </w:rPr>
              <w:t>招标文件第一章第三节 投标人须知正文）。</w:t>
            </w:r>
          </w:p>
        </w:tc>
      </w:tr>
      <w:tr w14:paraId="055EC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76B091B">
            <w:pPr>
              <w:pStyle w:val="60"/>
              <w:numPr>
                <w:ilvl w:val="0"/>
                <w:numId w:val="0"/>
              </w:numPr>
              <w:spacing w:line="400" w:lineRule="exact"/>
              <w:ind w:left="0" w:leftChars="0" w:firstLine="0" w:firstLine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lang w:val="en-US" w:eastAsia="zh-CN"/>
              </w:rPr>
              <w:t>15</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32F031C">
            <w:pPr>
              <w:pStyle w:val="60"/>
              <w:spacing w:line="400" w:lineRule="exact"/>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质量标准</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4F7182C8">
            <w:pPr>
              <w:pStyle w:val="60"/>
              <w:spacing w:line="400" w:lineRule="exac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eastAsia="zh-CN"/>
              </w:rPr>
              <w:t>设计要求：符合现行的国家及地方的有关规划、设计的规范要求，并通过有关部门的审查，若需进行审图则必须经有资质的审图公司审图合格。</w:t>
            </w:r>
          </w:p>
        </w:tc>
      </w:tr>
      <w:tr w14:paraId="4DF9A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22B2BFC">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87402D9">
            <w:pPr>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房屋建筑工程</w:t>
            </w:r>
          </w:p>
          <w:p w14:paraId="250923D1">
            <w:pPr>
              <w:wordWrap w:val="0"/>
              <w:adjustRightInd w:val="0"/>
              <w:snapToGrid w:val="0"/>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绿色建筑标准</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423DF03F">
            <w:pPr>
              <w:wordWrap w:val="0"/>
              <w:adjustRightInd w:val="0"/>
              <w:snapToGrid w:val="0"/>
              <w:spacing w:line="38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本招标项目不纳入绿色建设实施范围。</w:t>
            </w:r>
          </w:p>
        </w:tc>
      </w:tr>
      <w:tr w14:paraId="2889F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5ADD5FE">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071AE22">
            <w:pPr>
              <w:pStyle w:val="60"/>
              <w:spacing w:line="40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最高投标限价</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668DE796">
            <w:pPr>
              <w:pStyle w:val="60"/>
              <w:spacing w:line="400" w:lineRule="exact"/>
              <w:rPr>
                <w:rFonts w:hint="eastAsia" w:ascii="宋体" w:hAnsi="宋体" w:eastAsia="宋体" w:cs="宋体"/>
                <w:color w:val="auto"/>
                <w:highlight w:val="none"/>
                <w:lang w:eastAsia="zh-CN"/>
              </w:rPr>
            </w:pPr>
            <w:r>
              <w:rPr>
                <w:rFonts w:hint="eastAsia" w:ascii="宋体" w:hAnsi="宋体" w:eastAsia="宋体" w:cs="宋体"/>
                <w:bCs/>
                <w:color w:val="auto"/>
                <w:szCs w:val="22"/>
                <w:highlight w:val="none"/>
                <w:lang w:val="en-US" w:eastAsia="zh-CN"/>
              </w:rPr>
              <w:t>本招标项目最高投标限价为：</w:t>
            </w:r>
            <w:r>
              <w:rPr>
                <w:rFonts w:hint="eastAsia" w:ascii="宋体" w:hAnsi="宋体" w:eastAsia="宋体" w:cs="宋体"/>
                <w:color w:val="auto"/>
                <w:sz w:val="24"/>
                <w:szCs w:val="24"/>
                <w:lang w:eastAsia="zh-CN"/>
              </w:rPr>
              <w:t>人民币</w:t>
            </w:r>
            <w:r>
              <w:rPr>
                <w:rFonts w:hint="eastAsia" w:hAnsi="宋体" w:cs="宋体"/>
                <w:color w:val="auto"/>
                <w:sz w:val="24"/>
                <w:szCs w:val="24"/>
                <w:lang w:val="en-US" w:eastAsia="zh-CN"/>
              </w:rPr>
              <w:t>壹佰肆拾陆万零叁佰伍拾玖元捌角整</w:t>
            </w:r>
            <w:r>
              <w:rPr>
                <w:rFonts w:hint="eastAsia" w:ascii="宋体" w:hAnsi="宋体" w:eastAsia="宋体" w:cs="宋体"/>
                <w:color w:val="auto"/>
                <w:sz w:val="24"/>
                <w:szCs w:val="24"/>
                <w:lang w:eastAsia="zh-CN"/>
              </w:rPr>
              <w:t>（¥</w:t>
            </w:r>
            <w:r>
              <w:rPr>
                <w:rFonts w:hint="eastAsia" w:hAnsi="宋体" w:cs="宋体"/>
                <w:color w:val="auto"/>
                <w:sz w:val="24"/>
                <w:szCs w:val="24"/>
                <w:lang w:val="en-US" w:eastAsia="zh-CN"/>
              </w:rPr>
              <w:t>1460359.80</w:t>
            </w:r>
            <w:r>
              <w:rPr>
                <w:rFonts w:hint="eastAsia" w:ascii="宋体" w:hAnsi="宋体" w:eastAsia="宋体" w:cs="宋体"/>
                <w:color w:val="auto"/>
                <w:sz w:val="24"/>
                <w:szCs w:val="24"/>
                <w:lang w:eastAsia="zh-CN"/>
              </w:rPr>
              <w:t>元）</w:t>
            </w:r>
            <w:r>
              <w:rPr>
                <w:rFonts w:hint="eastAsia" w:ascii="宋体" w:hAnsi="宋体" w:eastAsia="宋体" w:cs="宋体"/>
                <w:bCs/>
                <w:color w:val="auto"/>
                <w:szCs w:val="22"/>
                <w:highlight w:val="none"/>
                <w:lang w:val="en-US" w:eastAsia="zh-CN"/>
              </w:rPr>
              <w:t>。</w:t>
            </w:r>
            <w:r>
              <w:rPr>
                <w:rFonts w:hint="eastAsia" w:ascii="宋体" w:hAnsi="宋体" w:eastAsia="宋体" w:cs="宋体"/>
                <w:bCs/>
                <w:color w:val="auto"/>
                <w:szCs w:val="22"/>
                <w:highlight w:val="none"/>
              </w:rPr>
              <w:t>详见招标文件“9、</w:t>
            </w:r>
            <w:r>
              <w:rPr>
                <w:rFonts w:hint="eastAsia" w:ascii="宋体" w:hAnsi="宋体" w:eastAsia="宋体" w:cs="宋体"/>
                <w:bCs/>
                <w:color w:val="auto"/>
                <w:szCs w:val="40"/>
                <w:highlight w:val="none"/>
              </w:rPr>
              <w:t>最高投标限价的确定及投标报价的约定</w:t>
            </w:r>
            <w:r>
              <w:rPr>
                <w:rFonts w:hint="eastAsia" w:ascii="宋体" w:hAnsi="宋体" w:eastAsia="宋体" w:cs="宋体"/>
                <w:bCs/>
                <w:color w:val="auto"/>
                <w:szCs w:val="22"/>
                <w:highlight w:val="none"/>
              </w:rPr>
              <w:t>”</w:t>
            </w:r>
            <w:r>
              <w:rPr>
                <w:rFonts w:hint="eastAsia" w:ascii="宋体" w:hAnsi="宋体" w:eastAsia="宋体" w:cs="宋体"/>
                <w:bCs/>
                <w:color w:val="auto"/>
                <w:szCs w:val="22"/>
                <w:highlight w:val="none"/>
                <w:lang w:eastAsia="zh-CN"/>
              </w:rPr>
              <w:t>。</w:t>
            </w:r>
          </w:p>
        </w:tc>
      </w:tr>
      <w:tr w14:paraId="11560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1504BDBA">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609F9D3">
            <w:pPr>
              <w:pStyle w:val="60"/>
              <w:spacing w:line="400" w:lineRule="exact"/>
              <w:jc w:val="center"/>
              <w:rPr>
                <w:rFonts w:hint="eastAsia" w:ascii="宋体" w:hAnsi="宋体" w:eastAsia="宋体" w:cs="宋体"/>
                <w:color w:val="auto"/>
                <w:highlight w:val="none"/>
              </w:rPr>
            </w:pPr>
            <w:r>
              <w:rPr>
                <w:rFonts w:hint="eastAsia" w:ascii="宋体" w:hAnsi="宋体" w:eastAsia="宋体" w:cs="宋体"/>
                <w:color w:val="auto"/>
                <w:sz w:val="24"/>
                <w:szCs w:val="22"/>
                <w:highlight w:val="none"/>
              </w:rPr>
              <w:t>投标人</w:t>
            </w:r>
            <w:r>
              <w:rPr>
                <w:rFonts w:hint="eastAsia" w:ascii="宋体" w:hAnsi="宋体" w:eastAsia="宋体" w:cs="宋体"/>
                <w:color w:val="auto"/>
                <w:sz w:val="24"/>
                <w:szCs w:val="22"/>
                <w:highlight w:val="none"/>
                <w:lang w:eastAsia="zh-CN"/>
              </w:rPr>
              <w:t>资格</w:t>
            </w:r>
            <w:r>
              <w:rPr>
                <w:rFonts w:hint="eastAsia" w:ascii="宋体" w:hAnsi="宋体" w:eastAsia="宋体" w:cs="宋体"/>
                <w:color w:val="auto"/>
                <w:szCs w:val="22"/>
                <w:highlight w:val="none"/>
              </w:rPr>
              <w:t>要求</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3AEAADB8">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kern w:val="0"/>
                <w:sz w:val="24"/>
                <w:highlight w:val="none"/>
              </w:rPr>
              <w:t>本次招标</w:t>
            </w:r>
            <w:r>
              <w:rPr>
                <w:rFonts w:hint="eastAsia" w:ascii="宋体" w:hAnsi="宋体" w:cs="宋体"/>
                <w:color w:val="auto"/>
                <w:kern w:val="0"/>
                <w:sz w:val="24"/>
                <w:highlight w:val="none"/>
                <w:u w:val="single"/>
                <w:lang w:val="en-US" w:eastAsia="zh-CN"/>
              </w:rPr>
              <w:t>不接受</w:t>
            </w:r>
            <w:r>
              <w:rPr>
                <w:rFonts w:hint="eastAsia" w:ascii="宋体" w:hAnsi="宋体" w:cs="宋体"/>
                <w:color w:val="auto"/>
                <w:kern w:val="0"/>
                <w:sz w:val="24"/>
                <w:highlight w:val="none"/>
              </w:rPr>
              <w:t>联合体投标</w:t>
            </w:r>
          </w:p>
          <w:p w14:paraId="67B51E93">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2.资质要求</w:t>
            </w:r>
          </w:p>
          <w:p w14:paraId="51C71230">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投标人须具备独立法人资格，按国家法律经营。</w:t>
            </w:r>
          </w:p>
          <w:p w14:paraId="5B1AE0B2">
            <w:pPr>
              <w:widowControl/>
              <w:numPr>
                <w:ilvl w:val="0"/>
                <w:numId w:val="0"/>
              </w:numPr>
              <w:shd w:val="clear" w:color="auto" w:fill="FFFFFF"/>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2.2 设计资质必须具备建设行政主管部门颁发的以下资质之一：</w:t>
            </w:r>
          </w:p>
          <w:p w14:paraId="7D6BC703">
            <w:pPr>
              <w:widowControl/>
              <w:numPr>
                <w:ilvl w:val="0"/>
                <w:numId w:val="0"/>
              </w:numPr>
              <w:shd w:val="clear" w:color="auto" w:fill="FFFFFF"/>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a、</w:t>
            </w:r>
            <w:r>
              <w:rPr>
                <w:rFonts w:hint="eastAsia" w:ascii="宋体" w:hAnsi="宋体" w:eastAsia="宋体" w:cs="宋体"/>
                <w:color w:val="auto"/>
                <w:kern w:val="0"/>
                <w:sz w:val="24"/>
                <w:szCs w:val="24"/>
                <w:highlight w:val="none"/>
              </w:rPr>
              <w:t>工程设计综合甲级资质</w:t>
            </w:r>
            <w:r>
              <w:rPr>
                <w:rFonts w:hint="eastAsia" w:ascii="宋体" w:hAnsi="宋体" w:eastAsia="宋体" w:cs="宋体"/>
                <w:color w:val="auto"/>
                <w:kern w:val="0"/>
                <w:sz w:val="24"/>
                <w:szCs w:val="24"/>
                <w:highlight w:val="none"/>
                <w:lang w:eastAsia="zh-CN"/>
              </w:rPr>
              <w:t>；</w:t>
            </w:r>
          </w:p>
          <w:p w14:paraId="09118373">
            <w:pPr>
              <w:pStyle w:val="130"/>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b、工程设计市政行业乙级以上（含乙级）资质</w:t>
            </w:r>
            <w:r>
              <w:rPr>
                <w:rFonts w:hint="eastAsia" w:ascii="宋体" w:hAnsi="宋体" w:eastAsia="宋体" w:cs="宋体"/>
                <w:color w:val="auto"/>
                <w:kern w:val="0"/>
                <w:sz w:val="24"/>
                <w:szCs w:val="24"/>
                <w:highlight w:val="none"/>
                <w:lang w:eastAsia="zh-CN"/>
              </w:rPr>
              <w:t>；</w:t>
            </w:r>
          </w:p>
          <w:p w14:paraId="183F8DFB">
            <w:pPr>
              <w:pStyle w:val="130"/>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c、工程设计市政行业乙级（燃气工程、轨道交通工程除外）以上（含乙级）资质；</w:t>
            </w:r>
          </w:p>
          <w:p w14:paraId="1B0A68A2">
            <w:pPr>
              <w:pStyle w:val="130"/>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d、工程设计市政行业（道路工程）专业乙级以上（含乙级）资质。</w:t>
            </w:r>
          </w:p>
          <w:p w14:paraId="4571E7EB">
            <w:pPr>
              <w:pStyle w:val="130"/>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e、</w:t>
            </w:r>
            <w:r>
              <w:rPr>
                <w:rFonts w:hint="eastAsia" w:ascii="宋体" w:hAnsi="宋体" w:eastAsia="宋体" w:cs="宋体"/>
                <w:color w:val="auto"/>
                <w:kern w:val="0"/>
                <w:sz w:val="24"/>
                <w:szCs w:val="24"/>
                <w:highlight w:val="none"/>
                <w:lang w:val="en-US" w:eastAsia="zh-CN"/>
              </w:rPr>
              <w:t>工程设计市政行业（</w:t>
            </w:r>
            <w:r>
              <w:rPr>
                <w:rFonts w:hint="eastAsia" w:ascii="宋体" w:hAnsi="宋体" w:cs="宋体"/>
                <w:color w:val="auto"/>
                <w:kern w:val="0"/>
                <w:sz w:val="24"/>
                <w:szCs w:val="24"/>
                <w:highlight w:val="none"/>
                <w:lang w:val="en-US" w:eastAsia="zh-CN"/>
              </w:rPr>
              <w:t>排水工程</w:t>
            </w:r>
            <w:r>
              <w:rPr>
                <w:rFonts w:hint="eastAsia" w:ascii="宋体" w:hAnsi="宋体" w:eastAsia="宋体" w:cs="宋体"/>
                <w:color w:val="auto"/>
                <w:kern w:val="0"/>
                <w:sz w:val="24"/>
                <w:szCs w:val="24"/>
                <w:highlight w:val="none"/>
                <w:lang w:val="en-US" w:eastAsia="zh-CN"/>
              </w:rPr>
              <w:t>）专业乙级以上（含乙级）资质。</w:t>
            </w:r>
          </w:p>
          <w:p w14:paraId="259A7392">
            <w:pPr>
              <w:widowControl/>
              <w:shd w:val="clear" w:color="auto" w:fill="FFFFFF"/>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04500D5">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3.相关人员要求</w:t>
            </w:r>
          </w:p>
          <w:p w14:paraId="252FFC8B">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u w:val="none"/>
              </w:rPr>
            </w:pPr>
            <w:r>
              <w:rPr>
                <w:rFonts w:hint="eastAsia" w:ascii="宋体" w:hAnsi="宋体" w:eastAsia="宋体" w:cs="宋体"/>
                <w:color w:val="auto"/>
                <w:kern w:val="0"/>
                <w:sz w:val="24"/>
                <w:szCs w:val="24"/>
                <w:highlight w:val="none"/>
              </w:rPr>
              <w:t>3.1</w:t>
            </w:r>
            <w:r>
              <w:rPr>
                <w:rFonts w:hint="eastAsia" w:ascii="宋体" w:hAnsi="宋体" w:eastAsia="宋体" w:cs="宋体"/>
                <w:b w:val="0"/>
                <w:bCs w:val="0"/>
                <w:snapToGrid w:val="0"/>
                <w:color w:val="auto"/>
                <w:kern w:val="0"/>
                <w:sz w:val="24"/>
                <w:szCs w:val="24"/>
                <w:highlight w:val="none"/>
                <w:lang w:val="en-US" w:eastAsia="zh-CN"/>
              </w:rPr>
              <w:t>拟委派担任本工程的项目负责人（即设计负责人）须</w:t>
            </w:r>
            <w:r>
              <w:rPr>
                <w:rFonts w:hint="eastAsia" w:ascii="宋体" w:hAnsi="宋体" w:cs="宋体"/>
                <w:b w:val="0"/>
                <w:bCs w:val="0"/>
                <w:snapToGrid w:val="0"/>
                <w:color w:val="auto"/>
                <w:kern w:val="0"/>
                <w:sz w:val="24"/>
                <w:szCs w:val="24"/>
                <w:highlight w:val="none"/>
                <w:lang w:val="en-US" w:eastAsia="zh-CN"/>
              </w:rPr>
              <w:t>具</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u w:val="none"/>
              </w:rPr>
              <w:t>给水排水设计专业高级工程师</w:t>
            </w:r>
            <w:r>
              <w:rPr>
                <w:rFonts w:hint="eastAsia" w:ascii="宋体" w:hAnsi="宋体" w:eastAsia="宋体" w:cs="宋体"/>
                <w:color w:val="auto"/>
                <w:sz w:val="24"/>
                <w:szCs w:val="24"/>
                <w:highlight w:val="none"/>
                <w:u w:val="none"/>
                <w:lang w:val="en-US" w:eastAsia="zh-CN"/>
              </w:rPr>
              <w:t>或以上</w:t>
            </w:r>
            <w:r>
              <w:rPr>
                <w:rFonts w:hint="eastAsia" w:ascii="宋体" w:hAnsi="宋体" w:eastAsia="宋体" w:cs="宋体"/>
                <w:color w:val="auto"/>
                <w:sz w:val="24"/>
                <w:szCs w:val="24"/>
                <w:highlight w:val="none"/>
                <w:u w:val="none"/>
              </w:rPr>
              <w:t>技术职称或</w:t>
            </w:r>
            <w:r>
              <w:rPr>
                <w:rFonts w:hint="eastAsia" w:ascii="宋体" w:hAnsi="宋体" w:eastAsia="宋体" w:cs="宋体"/>
                <w:color w:val="auto"/>
                <w:sz w:val="24"/>
                <w:szCs w:val="24"/>
                <w:highlight w:val="none"/>
                <w:u w:val="none"/>
                <w:lang w:eastAsia="zh-CN"/>
              </w:rPr>
              <w:t>市政</w:t>
            </w:r>
            <w:r>
              <w:rPr>
                <w:rFonts w:hint="eastAsia" w:ascii="宋体" w:hAnsi="宋体" w:eastAsia="宋体" w:cs="宋体"/>
                <w:color w:val="auto"/>
                <w:sz w:val="24"/>
                <w:szCs w:val="24"/>
                <w:highlight w:val="none"/>
                <w:u w:val="none"/>
                <w:lang w:val="en-US" w:eastAsia="zh-CN"/>
              </w:rPr>
              <w:t>路桥设计</w:t>
            </w:r>
            <w:r>
              <w:rPr>
                <w:rFonts w:hint="eastAsia" w:ascii="宋体" w:hAnsi="宋体" w:eastAsia="宋体" w:cs="宋体"/>
                <w:color w:val="auto"/>
                <w:sz w:val="24"/>
                <w:szCs w:val="24"/>
                <w:highlight w:val="none"/>
                <w:u w:val="none"/>
              </w:rPr>
              <w:t>专业高级工程师</w:t>
            </w:r>
            <w:r>
              <w:rPr>
                <w:rFonts w:hint="eastAsia" w:ascii="宋体" w:hAnsi="宋体" w:eastAsia="宋体" w:cs="宋体"/>
                <w:color w:val="auto"/>
                <w:sz w:val="24"/>
                <w:szCs w:val="24"/>
                <w:highlight w:val="none"/>
                <w:u w:val="none"/>
                <w:lang w:val="en-US" w:eastAsia="zh-CN"/>
              </w:rPr>
              <w:t>或以上</w:t>
            </w:r>
            <w:r>
              <w:rPr>
                <w:rFonts w:hint="eastAsia" w:ascii="宋体" w:hAnsi="宋体" w:eastAsia="宋体" w:cs="宋体"/>
                <w:color w:val="auto"/>
                <w:sz w:val="24"/>
                <w:szCs w:val="24"/>
                <w:highlight w:val="none"/>
                <w:u w:val="none"/>
              </w:rPr>
              <w:t>技术职称</w:t>
            </w:r>
            <w:r>
              <w:rPr>
                <w:rFonts w:hint="eastAsia" w:ascii="宋体" w:hAnsi="宋体" w:eastAsia="宋体" w:cs="宋体"/>
                <w:color w:val="auto"/>
                <w:sz w:val="24"/>
                <w:szCs w:val="24"/>
                <w:highlight w:val="none"/>
                <w:u w:val="none"/>
                <w:lang w:val="en-US" w:eastAsia="zh-CN"/>
              </w:rPr>
              <w:t>。</w:t>
            </w:r>
          </w:p>
          <w:p w14:paraId="524B6CBE">
            <w:pPr>
              <w:widowControl/>
              <w:shd w:val="clear" w:color="auto" w:fill="FFFFFF"/>
              <w:spacing w:line="360" w:lineRule="auto"/>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投标人与其拟派往本项目所有人员之间必须具备合法、唯一的劳动聘用关系。拟派人员中具备注册执业资格的，其注册单位须与投标人保持一致。</w:t>
            </w:r>
          </w:p>
          <w:p w14:paraId="5450F8E6">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注：若投标人拟投入本工程团队人员的社保由上级事业单位统一缴纳的，必须提供上级事业单位出具的投标人在编人员社保在上级事业单位缴纳的证明文件及该人员在上级事业单位缴纳的社保证明</w:t>
            </w:r>
            <w:r>
              <w:rPr>
                <w:rFonts w:hint="eastAsia" w:ascii="宋体" w:hAnsi="宋体" w:eastAsia="宋体" w:cs="宋体"/>
                <w:color w:val="auto"/>
                <w:kern w:val="0"/>
                <w:sz w:val="24"/>
                <w:szCs w:val="24"/>
                <w:highlight w:val="none"/>
              </w:rPr>
              <w:t>。</w:t>
            </w:r>
          </w:p>
          <w:p w14:paraId="344EA496">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4.禁止投标条款</w:t>
            </w:r>
          </w:p>
          <w:p w14:paraId="7BAB6EBA">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 投标人不得存在下列情形之一：</w:t>
            </w:r>
          </w:p>
          <w:p w14:paraId="1F419EBC">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（1）为招标人不具有独立法人资格的附属机构（单位）；</w:t>
            </w:r>
          </w:p>
          <w:p w14:paraId="3218E521">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（2）与招标人存在利害关系且可能影响招标公正性；</w:t>
            </w:r>
          </w:p>
          <w:p w14:paraId="596641EA">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（3）与本招标项目的其他投标人为同一个单位负责人；</w:t>
            </w:r>
          </w:p>
          <w:p w14:paraId="617A5B18">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（4）与本招标项目的其他投标人存在控股、管理关系；</w:t>
            </w:r>
          </w:p>
          <w:p w14:paraId="551E5654">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（5）为本招标项目的代建人；</w:t>
            </w:r>
          </w:p>
          <w:p w14:paraId="7F0FC04D">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（6）为本招标项目的招标代理机构；</w:t>
            </w:r>
          </w:p>
          <w:p w14:paraId="3FE4309E">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（7）与本招标项目的代建人或招标代理机构同为一个法定代表人；</w:t>
            </w:r>
          </w:p>
          <w:p w14:paraId="44829C8F">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（8）与本招标项目的代建人或招标代理机构存在控股或参股关系；</w:t>
            </w:r>
          </w:p>
          <w:p w14:paraId="71FE58C4">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（9）被依法暂停或者取消投标资格；</w:t>
            </w:r>
          </w:p>
          <w:p w14:paraId="7A27AC17">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（10）被责令停产停业、暂扣或者吊销许可证、暂扣或者吊销执照；</w:t>
            </w:r>
          </w:p>
          <w:p w14:paraId="39A43987">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（11）进入清算程序，或被宣告破产，或其他丧失履约能力的情形；</w:t>
            </w:r>
          </w:p>
          <w:p w14:paraId="7FEAFE2C">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（12）在最近三年内发生重大质量问题（以相关行业主管部门的行政处罚决定或司法机关出具的有关法律文书为准）；</w:t>
            </w:r>
          </w:p>
          <w:p w14:paraId="1728EFA2">
            <w:pPr>
              <w:pStyle w:val="130"/>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（13）被“信用中国”网站（https://www.creditchina.gov.cn）发布的《法人和非法人组织公共信用信息报告》列为</w:t>
            </w:r>
            <w:r>
              <w:rPr>
                <w:rFonts w:hint="eastAsia" w:ascii="宋体" w:hAnsi="宋体" w:eastAsia="宋体" w:cs="宋体"/>
                <w:color w:val="auto"/>
                <w:kern w:val="0"/>
                <w:sz w:val="24"/>
                <w:highlight w:val="none"/>
                <w:lang w:val="en-US" w:eastAsia="zh-CN"/>
              </w:rPr>
              <w:t>严重</w:t>
            </w:r>
            <w:r>
              <w:rPr>
                <w:rFonts w:hint="eastAsia" w:ascii="宋体" w:hAnsi="宋体" w:eastAsia="宋体" w:cs="宋体"/>
                <w:color w:val="auto"/>
                <w:kern w:val="0"/>
                <w:sz w:val="24"/>
                <w:highlight w:val="none"/>
              </w:rPr>
              <w:t>失信</w:t>
            </w:r>
            <w:r>
              <w:rPr>
                <w:rFonts w:hint="eastAsia" w:ascii="宋体" w:hAnsi="宋体" w:eastAsia="宋体" w:cs="宋体"/>
                <w:color w:val="auto"/>
                <w:kern w:val="0"/>
                <w:sz w:val="24"/>
                <w:highlight w:val="none"/>
                <w:lang w:val="en-US" w:eastAsia="zh-CN"/>
              </w:rPr>
              <w:t>主体名单的</w:t>
            </w:r>
            <w:r>
              <w:rPr>
                <w:rFonts w:hint="eastAsia" w:ascii="宋体" w:hAnsi="宋体" w:eastAsia="宋体" w:cs="宋体"/>
                <w:color w:val="auto"/>
                <w:kern w:val="0"/>
                <w:sz w:val="24"/>
                <w:highlight w:val="none"/>
              </w:rPr>
              <w:t>。</w:t>
            </w:r>
          </w:p>
          <w:p w14:paraId="48260E2E">
            <w:pPr>
              <w:pStyle w:val="130"/>
              <w:keepNext w:val="0"/>
              <w:keepLines w:val="0"/>
              <w:pageBreakBefore w:val="0"/>
              <w:widowControl/>
              <w:kinsoku/>
              <w:wordWrap/>
              <w:overflowPunct/>
              <w:topLinePunct w:val="0"/>
              <w:autoSpaceDE/>
              <w:autoSpaceDN/>
              <w:bidi w:val="0"/>
              <w:adjustRightInd w:val="0"/>
              <w:snapToGrid w:val="0"/>
              <w:spacing w:line="38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4.2招标人拒绝以下名单中的单位参加本次投标：</w:t>
            </w:r>
          </w:p>
          <w:tbl>
            <w:tblPr>
              <w:tblStyle w:val="34"/>
              <w:tblW w:w="7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360"/>
              <w:gridCol w:w="3356"/>
            </w:tblGrid>
            <w:tr w14:paraId="6614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3" w:type="dxa"/>
                  <w:noWrap w:val="0"/>
                  <w:vAlign w:val="center"/>
                </w:tcPr>
                <w:p w14:paraId="7228041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360" w:type="dxa"/>
                  <w:noWrap w:val="0"/>
                  <w:vAlign w:val="center"/>
                </w:tcPr>
                <w:p w14:paraId="2BFAC05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356" w:type="dxa"/>
                  <w:noWrap w:val="0"/>
                  <w:vAlign w:val="center"/>
                </w:tcPr>
                <w:p w14:paraId="0514079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361D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3" w:type="dxa"/>
                  <w:noWrap w:val="0"/>
                  <w:vAlign w:val="center"/>
                </w:tcPr>
                <w:p w14:paraId="5FCB1091">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1</w:t>
                  </w:r>
                </w:p>
              </w:tc>
              <w:tc>
                <w:tcPr>
                  <w:tcW w:w="3360" w:type="dxa"/>
                  <w:noWrap w:val="0"/>
                  <w:vAlign w:val="center"/>
                </w:tcPr>
                <w:p w14:paraId="31572C91">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lang w:val="en-US" w:eastAsia="zh-CN"/>
                    </w:rPr>
                    <w:t>韶关市武江区城市管理和综合执法局</w:t>
                  </w:r>
                </w:p>
              </w:tc>
              <w:tc>
                <w:tcPr>
                  <w:tcW w:w="3356" w:type="dxa"/>
                  <w:noWrap w:val="0"/>
                  <w:vAlign w:val="center"/>
                </w:tcPr>
                <w:p w14:paraId="22CEDE4E">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为本招标项目的</w:t>
                  </w:r>
                  <w:r>
                    <w:rPr>
                      <w:rFonts w:hint="eastAsia" w:ascii="宋体" w:hAnsi="宋体" w:eastAsia="宋体" w:cs="宋体"/>
                      <w:color w:val="auto"/>
                      <w:sz w:val="24"/>
                      <w:szCs w:val="24"/>
                      <w:highlight w:val="none"/>
                    </w:rPr>
                    <w:t>业主单位</w:t>
                  </w:r>
                </w:p>
              </w:tc>
            </w:tr>
            <w:tr w14:paraId="058B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3" w:type="dxa"/>
                  <w:noWrap w:val="0"/>
                  <w:vAlign w:val="center"/>
                </w:tcPr>
                <w:p w14:paraId="145B007F">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val="en-US" w:eastAsia="zh-CN"/>
                    </w:rPr>
                    <w:t>2</w:t>
                  </w:r>
                </w:p>
              </w:tc>
              <w:tc>
                <w:tcPr>
                  <w:tcW w:w="3360" w:type="dxa"/>
                  <w:noWrap w:val="0"/>
                  <w:vAlign w:val="center"/>
                </w:tcPr>
                <w:p w14:paraId="4CD146E1">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eastAsia="zh-CN"/>
                    </w:rPr>
                    <w:t>深圳市腾达工程顾问有限公司</w:t>
                  </w:r>
                </w:p>
              </w:tc>
              <w:tc>
                <w:tcPr>
                  <w:tcW w:w="3356" w:type="dxa"/>
                  <w:noWrap w:val="0"/>
                  <w:vAlign w:val="center"/>
                </w:tcPr>
                <w:p w14:paraId="0ACA3281">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为本招标项目的招标代理机构</w:t>
                  </w:r>
                </w:p>
              </w:tc>
            </w:tr>
          </w:tbl>
          <w:p w14:paraId="0E1E77E4">
            <w:pPr>
              <w:pStyle w:val="130"/>
              <w:keepNext w:val="0"/>
              <w:keepLines w:val="0"/>
              <w:pageBreakBefore w:val="0"/>
              <w:widowControl w:val="0"/>
              <w:kinsoku/>
              <w:wordWrap w:val="0"/>
              <w:overflowPunct/>
              <w:topLinePunct w:val="0"/>
              <w:autoSpaceDE/>
              <w:autoSpaceDN/>
              <w:bidi w:val="0"/>
              <w:adjustRightInd w:val="0"/>
              <w:snapToGrid w:val="0"/>
              <w:spacing w:line="380" w:lineRule="exact"/>
              <w:ind w:firstLine="240" w:firstLineChars="100"/>
              <w:textAlignment w:val="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5．其他要求</w:t>
            </w:r>
          </w:p>
          <w:p w14:paraId="6B8C69E0">
            <w:pPr>
              <w:pStyle w:val="130"/>
              <w:keepNext w:val="0"/>
              <w:keepLines w:val="0"/>
              <w:pageBreakBefore w:val="0"/>
              <w:widowControl w:val="0"/>
              <w:kinsoku/>
              <w:wordWrap w:val="0"/>
              <w:overflowPunct/>
              <w:topLinePunct w:val="0"/>
              <w:autoSpaceDE/>
              <w:autoSpaceDN/>
              <w:bidi w:val="0"/>
              <w:adjustRightInd w:val="0"/>
              <w:snapToGrid w:val="0"/>
              <w:spacing w:line="380" w:lineRule="exact"/>
              <w:ind w:firstLine="480" w:firstLineChars="200"/>
              <w:textAlignment w:val="auto"/>
              <w:rPr>
                <w:rFonts w:hint="eastAsia" w:ascii="宋体" w:hAnsi="宋体" w:eastAsia="宋体" w:cs="宋体"/>
                <w:color w:val="auto"/>
                <w:kern w:val="0"/>
                <w:highlight w:val="none"/>
              </w:rPr>
            </w:pPr>
            <w:r>
              <w:rPr>
                <w:rFonts w:hint="eastAsia" w:ascii="宋体" w:hAnsi="宋体" w:eastAsia="宋体" w:cs="宋体"/>
                <w:snapToGrid w:val="0"/>
                <w:color w:val="auto"/>
                <w:kern w:val="0"/>
                <w:sz w:val="24"/>
                <w:highlight w:val="none"/>
                <w:lang w:eastAsia="zh-CN"/>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tc>
      </w:tr>
      <w:tr w14:paraId="70535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1ECBA1A">
            <w:pPr>
              <w:pStyle w:val="60"/>
              <w:numPr>
                <w:ilvl w:val="0"/>
                <w:numId w:val="0"/>
              </w:numPr>
              <w:spacing w:line="400" w:lineRule="exact"/>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DBFAB26">
            <w:pPr>
              <w:pStyle w:val="6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投标保证</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0854FBC3">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1．投标人须缴纳金额为人民币</w:t>
            </w:r>
            <w:r>
              <w:rPr>
                <w:rFonts w:hint="eastAsia" w:ascii="宋体" w:hAnsi="宋体" w:cs="宋体"/>
                <w:color w:val="auto"/>
                <w:kern w:val="0"/>
                <w:sz w:val="24"/>
                <w:highlight w:val="none"/>
                <w:u w:val="single"/>
                <w:lang w:val="en-US" w:eastAsia="zh-CN"/>
              </w:rPr>
              <w:t>贰万元整</w:t>
            </w:r>
            <w:r>
              <w:rPr>
                <w:rFonts w:hint="eastAsia" w:ascii="宋体" w:hAnsi="宋体" w:eastAsia="宋体" w:cs="宋体"/>
                <w:color w:val="auto"/>
                <w:kern w:val="0"/>
                <w:sz w:val="24"/>
                <w:highlight w:val="none"/>
                <w:u w:val="single"/>
                <w:lang w:val="en-US" w:eastAsia="zh-CN"/>
              </w:rPr>
              <w:t>（￥</w:t>
            </w:r>
            <w:r>
              <w:rPr>
                <w:rFonts w:hint="eastAsia" w:ascii="宋体" w:hAnsi="宋体" w:cs="宋体"/>
                <w:color w:val="auto"/>
                <w:kern w:val="0"/>
                <w:sz w:val="24"/>
                <w:highlight w:val="none"/>
                <w:u w:val="single"/>
                <w:lang w:val="en-US" w:eastAsia="zh-CN"/>
              </w:rPr>
              <w:t>20000.00</w:t>
            </w:r>
            <w:r>
              <w:rPr>
                <w:rFonts w:hint="eastAsia" w:ascii="宋体" w:hAnsi="宋体" w:eastAsia="宋体" w:cs="宋体"/>
                <w:color w:val="auto"/>
                <w:kern w:val="0"/>
                <w:sz w:val="24"/>
                <w:highlight w:val="none"/>
                <w:u w:val="single"/>
                <w:lang w:val="en-US" w:eastAsia="zh-CN"/>
              </w:rPr>
              <w:t>元）</w:t>
            </w:r>
            <w:r>
              <w:rPr>
                <w:rFonts w:hint="eastAsia" w:ascii="宋体" w:hAnsi="宋体" w:eastAsia="宋体" w:cs="宋体"/>
                <w:color w:val="auto"/>
                <w:kern w:val="0"/>
                <w:sz w:val="24"/>
                <w:highlight w:val="none"/>
              </w:rPr>
              <w:t>的投标保证</w:t>
            </w:r>
            <w:r>
              <w:rPr>
                <w:rFonts w:hint="eastAsia" w:ascii="宋体" w:hAnsi="宋体" w:eastAsia="宋体" w:cs="宋体"/>
                <w:snapToGrid w:val="0"/>
                <w:color w:val="auto"/>
                <w:kern w:val="0"/>
                <w:sz w:val="24"/>
                <w:szCs w:val="24"/>
                <w:highlight w:val="none"/>
              </w:rPr>
              <w:t>。</w:t>
            </w:r>
          </w:p>
          <w:p w14:paraId="5E7F93CD">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2．投标保证的形式包括投标保证金、投标保证担保、投标保证保险三种，由投标人自主选择。</w:t>
            </w:r>
          </w:p>
          <w:p w14:paraId="1582C687">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(1)采用投标保证金的，投标人在建设工程交易系统</w:t>
            </w:r>
            <w:r>
              <w:rPr>
                <w:rFonts w:hint="eastAsia" w:ascii="宋体" w:hAnsi="宋体" w:eastAsia="宋体" w:cs="宋体"/>
                <w:color w:val="auto"/>
                <w:kern w:val="0"/>
                <w:sz w:val="24"/>
                <w:highlight w:val="none"/>
                <w:lang w:val="en-US" w:eastAsia="zh-CN"/>
              </w:rPr>
              <w:t>获取招标文件</w:t>
            </w:r>
            <w:r>
              <w:rPr>
                <w:rFonts w:hint="eastAsia" w:ascii="宋体" w:hAnsi="宋体" w:eastAsia="宋体" w:cs="宋体"/>
                <w:color w:val="auto"/>
                <w:kern w:val="0"/>
                <w:sz w:val="24"/>
                <w:highlight w:val="none"/>
              </w:rPr>
              <w:t>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6D4A62C0">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(2)采用投标保证担保的，投标人应提交有效的银行保函，银行保函的有效期不得短于投标有效期。投标人必须在投标保证担保截止时间（详见</w:t>
            </w:r>
            <w:r>
              <w:rPr>
                <w:rFonts w:hint="eastAsia" w:ascii="宋体" w:hAnsi="宋体" w:eastAsia="宋体" w:cs="宋体"/>
                <w:color w:val="auto"/>
                <w:kern w:val="0"/>
                <w:sz w:val="24"/>
                <w:highlight w:val="none"/>
                <w:lang w:val="en-US" w:eastAsia="zh-CN"/>
              </w:rPr>
              <w:t>本章第二节</w:t>
            </w:r>
            <w:r>
              <w:rPr>
                <w:rFonts w:hint="eastAsia" w:ascii="宋体" w:hAnsi="宋体" w:eastAsia="宋体" w:cs="宋体"/>
                <w:color w:val="auto"/>
                <w:kern w:val="0"/>
                <w:sz w:val="24"/>
                <w:highlight w:val="none"/>
              </w:rPr>
              <w:t>“重要事项时间地点一览表”）前，使用工程建设交易系统完成网上办理电子保函。</w:t>
            </w:r>
          </w:p>
          <w:p w14:paraId="0436FE6C">
            <w:pPr>
              <w:keepNext w:val="0"/>
              <w:keepLines w:val="0"/>
              <w:pageBreakBefore w:val="0"/>
              <w:widowControl w:val="0"/>
              <w:kinsoku/>
              <w:wordWrap w:val="0"/>
              <w:overflowPunct/>
              <w:topLinePunct/>
              <w:autoSpaceDE/>
              <w:autoSpaceDN/>
              <w:bidi w:val="0"/>
              <w:adjustRightInd/>
              <w:snapToGrid w:val="0"/>
              <w:spacing w:line="38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eastAsia="宋体" w:cs="宋体"/>
                <w:color w:val="auto"/>
                <w:kern w:val="0"/>
                <w:sz w:val="24"/>
                <w:highlight w:val="none"/>
                <w:lang w:eastAsia="zh-CN"/>
              </w:rPr>
              <w:t>全国公共资源交易平台</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广东省·韶关市</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https://ygp.gdzwfw.gov.cn/ggzy-portal/#/440200/index</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，在【服务指南】栏目中下载《韶关市公共资源</w:t>
            </w:r>
            <w:r>
              <w:rPr>
                <w:rFonts w:hint="eastAsia" w:ascii="宋体" w:hAnsi="宋体" w:eastAsia="宋体" w:cs="宋体"/>
                <w:color w:val="auto"/>
                <w:kern w:val="0"/>
                <w:sz w:val="24"/>
                <w:highlight w:val="none"/>
                <w:lang w:eastAsia="zh-CN"/>
              </w:rPr>
              <w:t>一体化平台—</w:t>
            </w:r>
            <w:r>
              <w:rPr>
                <w:rFonts w:hint="eastAsia" w:ascii="宋体" w:hAnsi="宋体" w:eastAsia="宋体" w:cs="宋体"/>
                <w:color w:val="auto"/>
                <w:kern w:val="0"/>
                <w:sz w:val="24"/>
                <w:highlight w:val="none"/>
              </w:rPr>
              <w:t>建设工程交易投标人操作指南</w:t>
            </w:r>
            <w:r>
              <w:rPr>
                <w:rFonts w:hint="eastAsia" w:ascii="宋体" w:hAnsi="宋体" w:eastAsia="宋体" w:cs="宋体"/>
                <w:color w:val="auto"/>
                <w:kern w:val="0"/>
                <w:sz w:val="24"/>
                <w:highlight w:val="none"/>
                <w:lang w:eastAsia="zh-CN"/>
              </w:rPr>
              <w:t>（电子评标）</w:t>
            </w:r>
            <w:r>
              <w:rPr>
                <w:rFonts w:hint="eastAsia" w:ascii="宋体" w:hAnsi="宋体" w:eastAsia="宋体" w:cs="宋体"/>
                <w:color w:val="auto"/>
                <w:kern w:val="0"/>
                <w:sz w:val="24"/>
                <w:highlight w:val="none"/>
              </w:rPr>
              <w:t>》，了解网上投保具体操作流程。逾期投保的，其投标无效。</w:t>
            </w:r>
          </w:p>
          <w:p w14:paraId="3A14E155">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DE25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823D510">
            <w:pPr>
              <w:wordWrap w:val="0"/>
              <w:adjustRightInd w:val="0"/>
              <w:snapToGrid w:val="0"/>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snapToGrid w:val="0"/>
                <w:color w:val="auto"/>
                <w:kern w:val="0"/>
                <w:sz w:val="24"/>
                <w:szCs w:val="32"/>
                <w:lang w:val="en-US" w:eastAsia="zh-CN"/>
              </w:rPr>
              <w:t>20</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D4C0047">
            <w:pPr>
              <w:wordWrap w:val="0"/>
              <w:adjustRightInd w:val="0"/>
              <w:snapToGrid w:val="0"/>
              <w:spacing w:line="360" w:lineRule="exact"/>
              <w:jc w:val="center"/>
              <w:rPr>
                <w:rFonts w:hint="eastAsia" w:ascii="宋体" w:hAnsi="宋体" w:eastAsia="宋体" w:cs="宋体"/>
                <w:color w:val="auto"/>
                <w:highlight w:val="none"/>
              </w:rPr>
            </w:pPr>
            <w:r>
              <w:rPr>
                <w:rFonts w:hint="eastAsia" w:ascii="宋体" w:hAnsi="宋体" w:eastAsia="宋体" w:cs="宋体"/>
                <w:snapToGrid w:val="0"/>
                <w:color w:val="auto"/>
                <w:kern w:val="0"/>
                <w:sz w:val="24"/>
                <w:szCs w:val="32"/>
              </w:rPr>
              <w:t>投标有效期</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1B31AF91">
            <w:pPr>
              <w:wordWrap w:val="0"/>
              <w:adjustRightInd w:val="0"/>
              <w:snapToGrid w:val="0"/>
              <w:spacing w:line="400" w:lineRule="exact"/>
              <w:ind w:firstLine="240" w:firstLineChars="100"/>
              <w:rPr>
                <w:rFonts w:hint="eastAsia" w:ascii="宋体" w:hAnsi="宋体" w:eastAsia="宋体" w:cs="宋体"/>
                <w:color w:val="auto"/>
                <w:highlight w:val="none"/>
              </w:rPr>
            </w:pPr>
            <w:r>
              <w:rPr>
                <w:rFonts w:hint="eastAsia" w:ascii="宋体" w:hAnsi="宋体" w:eastAsia="宋体" w:cs="宋体"/>
                <w:snapToGrid w:val="0"/>
                <w:color w:val="auto"/>
                <w:kern w:val="0"/>
                <w:sz w:val="24"/>
                <w:szCs w:val="32"/>
              </w:rPr>
              <w:t>本次招标的投标有效期为</w:t>
            </w:r>
            <w:r>
              <w:rPr>
                <w:rFonts w:hint="eastAsia" w:ascii="宋体" w:hAnsi="宋体" w:eastAsia="宋体" w:cs="宋体"/>
                <w:snapToGrid w:val="0"/>
                <w:color w:val="auto"/>
                <w:kern w:val="0"/>
                <w:sz w:val="24"/>
                <w:szCs w:val="32"/>
                <w:u w:val="single"/>
              </w:rPr>
              <w:t xml:space="preserve"> 90 </w:t>
            </w:r>
            <w:r>
              <w:rPr>
                <w:rFonts w:hint="eastAsia" w:ascii="宋体" w:hAnsi="宋体" w:eastAsia="宋体" w:cs="宋体"/>
                <w:snapToGrid w:val="0"/>
                <w:color w:val="auto"/>
                <w:kern w:val="0"/>
                <w:sz w:val="24"/>
                <w:szCs w:val="32"/>
              </w:rPr>
              <w:t>个日历天。</w:t>
            </w:r>
          </w:p>
        </w:tc>
      </w:tr>
      <w:tr w14:paraId="0CA7F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68A8565">
            <w:pPr>
              <w:pStyle w:val="60"/>
              <w:numPr>
                <w:ilvl w:val="0"/>
                <w:numId w:val="0"/>
              </w:numPr>
              <w:spacing w:line="400" w:lineRule="exact"/>
              <w:ind w:left="0" w:leftChars="0" w:firstLine="0" w:firstLine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lang w:val="en-US" w:eastAsia="zh-CN"/>
              </w:rPr>
              <w:t>21</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337A4463">
            <w:pPr>
              <w:pStyle w:val="60"/>
              <w:spacing w:line="400" w:lineRule="exact"/>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投标文件组成</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6CD67537">
            <w:pPr>
              <w:pStyle w:val="60"/>
              <w:spacing w:line="400" w:lineRule="exact"/>
              <w:ind w:firstLine="240" w:firstLineChars="1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投标文件包括商务经济标书、技术标书</w:t>
            </w:r>
            <w:r>
              <w:rPr>
                <w:rFonts w:hint="eastAsia" w:ascii="宋体" w:hAnsi="宋体" w:eastAsia="宋体" w:cs="宋体"/>
                <w:i w:val="0"/>
                <w:iCs w:val="0"/>
                <w:caps w:val="0"/>
                <w:smallCaps w:val="0"/>
                <w:snapToGrid w:val="0"/>
                <w:color w:val="auto"/>
                <w:spacing w:val="0"/>
                <w:kern w:val="0"/>
                <w:sz w:val="24"/>
                <w:szCs w:val="24"/>
                <w:highlight w:val="none"/>
                <w:lang w:val="en-US" w:eastAsia="zh-CN"/>
              </w:rPr>
              <w:t>两个分册</w:t>
            </w:r>
            <w:r>
              <w:rPr>
                <w:rFonts w:hint="eastAsia" w:ascii="宋体" w:hAnsi="宋体" w:eastAsia="宋体" w:cs="宋体"/>
                <w:color w:val="auto"/>
                <w:highlight w:val="none"/>
              </w:rPr>
              <w:t>。</w:t>
            </w:r>
          </w:p>
        </w:tc>
      </w:tr>
      <w:tr w14:paraId="6F651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AF17051">
            <w:pPr>
              <w:pStyle w:val="60"/>
              <w:numPr>
                <w:ilvl w:val="0"/>
                <w:numId w:val="0"/>
              </w:numPr>
              <w:spacing w:line="400" w:lineRule="exact"/>
              <w:ind w:left="0" w:leftChars="0" w:firstLine="0" w:firstLine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lang w:val="en-US" w:eastAsia="zh-CN"/>
              </w:rPr>
              <w:t>22</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2AC0FF9">
            <w:pPr>
              <w:pStyle w:val="6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技术标书</w:t>
            </w:r>
          </w:p>
          <w:p w14:paraId="5134E8EF">
            <w:pPr>
              <w:pStyle w:val="60"/>
              <w:spacing w:line="400" w:lineRule="exact"/>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评审方式</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41C510C8">
            <w:pPr>
              <w:pStyle w:val="60"/>
              <w:spacing w:line="400" w:lineRule="exact"/>
              <w:ind w:firstLine="240" w:firstLineChars="1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本次招标技术标书</w:t>
            </w:r>
            <w:r>
              <w:rPr>
                <w:rFonts w:hint="eastAsia" w:ascii="宋体" w:hAnsi="宋体" w:eastAsia="宋体" w:cs="宋体"/>
                <w:color w:val="auto"/>
                <w:highlight w:val="none"/>
                <w:u w:val="single"/>
              </w:rPr>
              <w:t xml:space="preserve"> 不采用 </w:t>
            </w:r>
            <w:r>
              <w:rPr>
                <w:rFonts w:hint="eastAsia" w:ascii="宋体" w:hAnsi="宋体" w:eastAsia="宋体" w:cs="宋体"/>
                <w:color w:val="auto"/>
                <w:highlight w:val="none"/>
              </w:rPr>
              <w:t>“暗标”方式进行评审。</w:t>
            </w:r>
          </w:p>
        </w:tc>
      </w:tr>
      <w:tr w14:paraId="1E1F8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049EFF59">
            <w:pPr>
              <w:pStyle w:val="60"/>
              <w:numPr>
                <w:ilvl w:val="0"/>
                <w:numId w:val="0"/>
              </w:numPr>
              <w:spacing w:line="400" w:lineRule="exact"/>
              <w:ind w:left="0" w:leftChars="0" w:firstLine="0" w:firstLine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lang w:val="en-US" w:eastAsia="zh-CN"/>
              </w:rPr>
              <w:t>23</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ACE6936">
            <w:pPr>
              <w:pStyle w:val="60"/>
              <w:spacing w:line="400" w:lineRule="exact"/>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rPr>
              <w:t>评标委员会组成</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0D44BDE2">
            <w:pPr>
              <w:pStyle w:val="60"/>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bCs/>
                <w:color w:val="auto"/>
                <w:kern w:val="2"/>
                <w:sz w:val="24"/>
                <w:highlight w:val="none"/>
                <w:lang w:val="en-US" w:eastAsia="zh-CN" w:bidi="ar-SA"/>
              </w:rPr>
            </w:pPr>
            <w:r>
              <w:rPr>
                <w:rFonts w:hint="eastAsia" w:ascii="宋体" w:hAnsi="宋体" w:eastAsia="宋体" w:cs="宋体"/>
                <w:color w:val="auto"/>
                <w:kern w:val="0"/>
                <w:szCs w:val="24"/>
                <w:highlight w:val="none"/>
              </w:rPr>
              <w:t>评标委员会由</w:t>
            </w:r>
            <w:r>
              <w:rPr>
                <w:rFonts w:hint="eastAsia" w:ascii="宋体" w:hAnsi="宋体" w:eastAsia="宋体" w:cs="宋体"/>
                <w:color w:val="auto"/>
                <w:kern w:val="0"/>
                <w:szCs w:val="24"/>
                <w:highlight w:val="none"/>
                <w:u w:val="single"/>
              </w:rPr>
              <w:t xml:space="preserve"> 5 </w:t>
            </w:r>
            <w:r>
              <w:rPr>
                <w:rFonts w:hint="eastAsia" w:ascii="宋体" w:hAnsi="宋体" w:eastAsia="宋体" w:cs="宋体"/>
                <w:color w:val="auto"/>
                <w:kern w:val="0"/>
                <w:szCs w:val="24"/>
                <w:highlight w:val="none"/>
              </w:rPr>
              <w:t>人组成，其中招标人代表</w:t>
            </w:r>
            <w:r>
              <w:rPr>
                <w:rFonts w:hint="eastAsia" w:ascii="宋体" w:hAnsi="宋体" w:eastAsia="宋体" w:cs="宋体"/>
                <w:color w:val="auto"/>
                <w:kern w:val="0"/>
                <w:szCs w:val="24"/>
                <w:highlight w:val="none"/>
                <w:u w:val="single"/>
              </w:rPr>
              <w:t xml:space="preserve"> 0 </w:t>
            </w:r>
            <w:r>
              <w:rPr>
                <w:rFonts w:hint="eastAsia" w:ascii="宋体" w:hAnsi="宋体" w:eastAsia="宋体" w:cs="宋体"/>
                <w:color w:val="auto"/>
                <w:kern w:val="0"/>
                <w:szCs w:val="24"/>
                <w:highlight w:val="none"/>
              </w:rPr>
              <w:t>人，专家</w:t>
            </w:r>
            <w:r>
              <w:rPr>
                <w:rFonts w:hint="eastAsia" w:ascii="宋体" w:hAnsi="宋体" w:eastAsia="宋体" w:cs="宋体"/>
                <w:color w:val="auto"/>
                <w:kern w:val="0"/>
                <w:szCs w:val="24"/>
                <w:highlight w:val="none"/>
                <w:u w:val="single"/>
              </w:rPr>
              <w:t xml:space="preserve"> 5 </w:t>
            </w:r>
            <w:r>
              <w:rPr>
                <w:rFonts w:hint="eastAsia" w:ascii="宋体" w:hAnsi="宋体" w:eastAsia="宋体" w:cs="宋体"/>
                <w:color w:val="auto"/>
                <w:kern w:val="0"/>
                <w:szCs w:val="24"/>
                <w:highlight w:val="none"/>
              </w:rPr>
              <w:t>人。专家从广东省综合评标评审专家库</w:t>
            </w:r>
            <w:r>
              <w:rPr>
                <w:rFonts w:hint="eastAsia" w:ascii="宋体" w:hAnsi="宋体" w:eastAsia="宋体" w:cs="宋体"/>
                <w:snapToGrid w:val="0"/>
                <w:color w:val="auto"/>
                <w:kern w:val="0"/>
                <w:szCs w:val="24"/>
                <w:highlight w:val="none"/>
              </w:rPr>
              <w:t>-韶关市区域</w:t>
            </w:r>
            <w:r>
              <w:rPr>
                <w:rFonts w:hint="eastAsia" w:ascii="宋体" w:hAnsi="宋体" w:eastAsia="宋体" w:cs="宋体"/>
                <w:color w:val="auto"/>
                <w:kern w:val="0"/>
                <w:szCs w:val="24"/>
                <w:highlight w:val="none"/>
              </w:rPr>
              <w:t>中随机抽取，其中技术类专家</w:t>
            </w:r>
            <w:r>
              <w:rPr>
                <w:rFonts w:hint="eastAsia" w:ascii="宋体" w:hAnsi="宋体" w:eastAsia="宋体" w:cs="宋体"/>
                <w:color w:val="auto"/>
                <w:kern w:val="0"/>
                <w:szCs w:val="24"/>
                <w:highlight w:val="none"/>
                <w:u w:val="single"/>
                <w:lang w:val="en-US" w:eastAsia="zh-CN"/>
              </w:rPr>
              <w:t>3</w:t>
            </w:r>
            <w:r>
              <w:rPr>
                <w:rFonts w:hint="eastAsia" w:ascii="宋体" w:hAnsi="宋体" w:eastAsia="宋体" w:cs="宋体"/>
                <w:color w:val="auto"/>
                <w:kern w:val="0"/>
                <w:szCs w:val="24"/>
                <w:highlight w:val="none"/>
              </w:rPr>
              <w:t>人，经济类专家</w:t>
            </w:r>
            <w:r>
              <w:rPr>
                <w:rFonts w:hint="eastAsia" w:ascii="宋体" w:hAnsi="宋体" w:eastAsia="宋体" w:cs="宋体"/>
                <w:color w:val="auto"/>
                <w:kern w:val="0"/>
                <w:szCs w:val="24"/>
                <w:highlight w:val="none"/>
                <w:u w:val="single"/>
                <w:lang w:val="en-US" w:eastAsia="zh-CN"/>
              </w:rPr>
              <w:t>2</w:t>
            </w:r>
            <w:r>
              <w:rPr>
                <w:rFonts w:hint="eastAsia" w:ascii="宋体" w:hAnsi="宋体" w:eastAsia="宋体" w:cs="宋体"/>
                <w:color w:val="auto"/>
                <w:kern w:val="0"/>
                <w:szCs w:val="24"/>
                <w:highlight w:val="none"/>
              </w:rPr>
              <w:t>人。</w:t>
            </w:r>
          </w:p>
        </w:tc>
      </w:tr>
      <w:tr w14:paraId="3718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B06796E">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08D51C8">
            <w:pPr>
              <w:pStyle w:val="6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674DFBE7">
            <w:pPr>
              <w:pStyle w:val="60"/>
              <w:spacing w:line="400" w:lineRule="exact"/>
              <w:ind w:firstLine="240" w:firstLineChars="100"/>
              <w:rPr>
                <w:rFonts w:hint="eastAsia" w:ascii="宋体" w:hAnsi="宋体" w:eastAsia="宋体" w:cs="宋体"/>
                <w:color w:val="auto"/>
                <w:highlight w:val="none"/>
              </w:rPr>
            </w:pPr>
            <w:r>
              <w:rPr>
                <w:rFonts w:hint="eastAsia"/>
                <w:color w:val="auto"/>
                <w:lang w:val="en-US" w:eastAsia="zh-CN"/>
              </w:rPr>
              <w:t>综合评估法</w:t>
            </w:r>
          </w:p>
        </w:tc>
      </w:tr>
      <w:tr w14:paraId="2AFB2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4B38C3F9">
            <w:pPr>
              <w:pStyle w:val="60"/>
              <w:numPr>
                <w:ilvl w:val="0"/>
                <w:numId w:val="0"/>
              </w:numPr>
              <w:spacing w:line="40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B994A75">
            <w:pPr>
              <w:snapToGrid w:val="0"/>
              <w:spacing w:line="360" w:lineRule="exact"/>
              <w:jc w:val="center"/>
              <w:rPr>
                <w:rFonts w:hint="eastAsia" w:ascii="宋体" w:hAnsi="宋体" w:eastAsia="宋体" w:cs="宋体"/>
                <w:color w:val="auto"/>
                <w:sz w:val="24"/>
                <w:szCs w:val="24"/>
                <w:highlight w:val="none"/>
              </w:rPr>
            </w:pPr>
            <w:r>
              <w:rPr>
                <w:rStyle w:val="49"/>
                <w:rFonts w:hint="eastAsia" w:ascii="宋体" w:hAnsi="宋体" w:eastAsia="宋体" w:cs="宋体"/>
                <w:color w:val="auto"/>
                <w:kern w:val="0"/>
                <w:sz w:val="24"/>
                <w:szCs w:val="24"/>
              </w:rPr>
              <w:t>中标后须提交的投标文件</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2B3F82A8">
            <w:pPr>
              <w:snapToGrid w:val="0"/>
              <w:spacing w:line="360" w:lineRule="exact"/>
              <w:ind w:firstLine="240" w:firstLineChars="100"/>
              <w:jc w:val="left"/>
              <w:rPr>
                <w:rFonts w:hint="eastAsia" w:ascii="宋体" w:hAnsi="宋体" w:eastAsia="宋体" w:cs="宋体"/>
                <w:bCs/>
                <w:color w:val="auto"/>
                <w:sz w:val="24"/>
                <w:szCs w:val="24"/>
                <w:highlight w:val="none"/>
              </w:rPr>
            </w:pPr>
            <w:r>
              <w:rPr>
                <w:rStyle w:val="49"/>
                <w:rFonts w:hint="eastAsia" w:ascii="宋体" w:hAnsi="宋体" w:eastAsia="宋体" w:cs="宋体"/>
                <w:color w:val="auto"/>
                <w:kern w:val="0"/>
                <w:sz w:val="24"/>
                <w:szCs w:val="24"/>
              </w:rPr>
              <w:t>中标人须自中标通知书发出之日起五个工作日内，提供与电子投标电子文档一致的正副本各1份的纸质版投标文件给招标人存档。</w:t>
            </w:r>
          </w:p>
        </w:tc>
      </w:tr>
      <w:tr w14:paraId="61B49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D55D644">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96C32EA">
            <w:pPr>
              <w:pStyle w:val="6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合同价款支付</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491FA2BD">
            <w:pPr>
              <w:pStyle w:val="60"/>
              <w:spacing w:line="400" w:lineRule="exact"/>
              <w:ind w:firstLine="240" w:firstLineChars="100"/>
              <w:rPr>
                <w:rFonts w:hint="eastAsia" w:ascii="宋体" w:hAnsi="宋体" w:eastAsia="宋体" w:cs="宋体"/>
                <w:color w:val="auto"/>
                <w:szCs w:val="24"/>
                <w:highlight w:val="none"/>
              </w:rPr>
            </w:pPr>
            <w:r>
              <w:rPr>
                <w:rFonts w:hint="eastAsia" w:ascii="宋体" w:hAnsi="宋体" w:eastAsia="宋体" w:cs="宋体"/>
                <w:color w:val="auto"/>
                <w:highlight w:val="none"/>
              </w:rPr>
              <w:t>详见本招标文件第二章 拟签订合同的主要条款。</w:t>
            </w:r>
          </w:p>
        </w:tc>
      </w:tr>
      <w:tr w14:paraId="00738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FBE149F">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8714F16">
            <w:pPr>
              <w:pStyle w:val="60"/>
              <w:spacing w:line="400" w:lineRule="exact"/>
              <w:jc w:val="center"/>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招标代理服务的</w:t>
            </w:r>
            <w:r>
              <w:rPr>
                <w:rFonts w:hint="eastAsia" w:ascii="宋体" w:hAnsi="宋体" w:eastAsia="宋体" w:cs="宋体"/>
                <w:color w:val="auto"/>
                <w:kern w:val="0"/>
                <w:sz w:val="24"/>
                <w:szCs w:val="24"/>
                <w:highlight w:val="none"/>
              </w:rPr>
              <w:t>相关费用支付</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33B99705">
            <w:pPr>
              <w:pStyle w:val="60"/>
              <w:spacing w:line="400" w:lineRule="exact"/>
              <w:ind w:firstLine="240" w:firstLineChars="100"/>
              <w:outlineLvl w:val="9"/>
              <w:rPr>
                <w:rFonts w:hint="eastAsia" w:ascii="宋体" w:hAnsi="宋体" w:eastAsia="宋体" w:cs="宋体"/>
                <w:color w:val="auto"/>
                <w:highlight w:val="none"/>
                <w:lang w:val="en-US" w:eastAsia="zh-CN"/>
              </w:rPr>
            </w:pPr>
            <w:r>
              <w:rPr>
                <w:rFonts w:hint="eastAsia" w:ascii="宋体" w:hAnsi="宋体" w:eastAsia="宋体" w:cs="宋体"/>
                <w:color w:val="auto"/>
              </w:rPr>
              <w:t>本项目的招标代理费和评标专家酬劳由中标人支付，该费用不再另行报价，由投标人在投标报价时综合考虑在内。（招标代理服务费参照《招标代理服务收费管理暂行办法》（计价格[2002]1980号）</w:t>
            </w:r>
            <w:r>
              <w:rPr>
                <w:rFonts w:hint="eastAsia" w:ascii="宋体" w:hAnsi="宋体" w:eastAsia="宋体" w:cs="宋体"/>
                <w:color w:val="auto"/>
                <w:lang w:eastAsia="zh-CN"/>
              </w:rPr>
              <w:t>，</w:t>
            </w:r>
            <w:r>
              <w:rPr>
                <w:rFonts w:hint="eastAsia" w:ascii="宋体" w:hAnsi="宋体" w:eastAsia="宋体" w:cs="宋体"/>
                <w:color w:val="auto"/>
              </w:rPr>
              <w:t>以中标价为计费基数，按规定下浮</w:t>
            </w:r>
            <w:r>
              <w:rPr>
                <w:rFonts w:hint="eastAsia" w:ascii="宋体" w:hAnsi="宋体" w:eastAsia="宋体" w:cs="宋体"/>
                <w:color w:val="auto"/>
                <w:lang w:val="en-US" w:eastAsia="zh-CN"/>
              </w:rPr>
              <w:t>2</w:t>
            </w:r>
            <w:r>
              <w:rPr>
                <w:rFonts w:hint="eastAsia" w:ascii="宋体" w:hAnsi="宋体" w:eastAsia="宋体" w:cs="宋体"/>
                <w:color w:val="auto"/>
              </w:rPr>
              <w:t>0%来计算。评标专家酬劳包括食宿费用、交通费、专家评审劳务费等）</w:t>
            </w:r>
          </w:p>
        </w:tc>
      </w:tr>
      <w:tr w14:paraId="410DE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38D5ADC">
            <w:pPr>
              <w:pStyle w:val="60"/>
              <w:numPr>
                <w:ilvl w:val="0"/>
                <w:numId w:val="0"/>
              </w:numPr>
              <w:spacing w:line="400" w:lineRule="exact"/>
              <w:ind w:left="0" w:leftChars="0" w:firstLine="0" w:firstLine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highlight w:val="none"/>
                <w:lang w:val="en-US" w:eastAsia="zh-CN"/>
              </w:rPr>
              <w:t>28</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08F7D851">
            <w:pPr>
              <w:spacing w:line="400" w:lineRule="exact"/>
              <w:jc w:val="center"/>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z w:val="24"/>
                <w:szCs w:val="24"/>
                <w:highlight w:val="none"/>
                <w:lang w:val="zh-CN"/>
              </w:rPr>
              <w:t>招标文件要求提交的用于评审的证书、证件、证明原件</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val="zh-CN" w:eastAsia="zh-CN"/>
              </w:rPr>
              <w:t>）</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28B4C534">
            <w:pPr>
              <w:spacing w:line="400" w:lineRule="exact"/>
              <w:ind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投标人在提交用于评审的证书、证件、证明原件的，投标人应自行将所需原件密封于文件袋（箱）中，并自行准备</w:t>
            </w:r>
            <w:r>
              <w:rPr>
                <w:rFonts w:hint="eastAsia" w:ascii="宋体" w:hAnsi="宋体" w:eastAsia="宋体" w:cs="宋体"/>
                <w:b/>
                <w:bCs/>
                <w:color w:val="auto"/>
                <w:sz w:val="24"/>
                <w:szCs w:val="24"/>
                <w:highlight w:val="none"/>
                <w:lang w:val="zh-CN"/>
              </w:rPr>
              <w:t>两张</w:t>
            </w:r>
            <w:r>
              <w:rPr>
                <w:rFonts w:hint="eastAsia" w:ascii="宋体" w:hAnsi="宋体" w:eastAsia="宋体" w:cs="宋体"/>
                <w:color w:val="auto"/>
                <w:sz w:val="24"/>
                <w:szCs w:val="24"/>
                <w:highlight w:val="none"/>
                <w:lang w:val="zh-CN"/>
              </w:rPr>
              <w:t>“原件一览表”(详见“投标文件格式”，投标人须自行填写，表格可扩展)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一张贴于文件袋（箱），一份在递交文件袋（箱）时由招标代理机构、投标人签字后</w:t>
            </w:r>
            <w:r>
              <w:rPr>
                <w:rFonts w:hint="eastAsia" w:ascii="宋体" w:hAnsi="宋体" w:eastAsia="宋体" w:cs="宋体"/>
                <w:color w:val="auto"/>
                <w:sz w:val="24"/>
                <w:szCs w:val="24"/>
                <w:highlight w:val="none"/>
                <w:lang w:val="zh-CN" w:eastAsia="zh-CN"/>
              </w:rPr>
              <w:t>作为签收及退回原件的凭证</w:t>
            </w:r>
            <w:r>
              <w:rPr>
                <w:rFonts w:hint="eastAsia" w:ascii="宋体" w:hAnsi="宋体" w:eastAsia="宋体" w:cs="宋体"/>
                <w:color w:val="auto"/>
                <w:sz w:val="24"/>
                <w:szCs w:val="24"/>
                <w:highlight w:val="none"/>
                <w:lang w:val="zh-CN"/>
              </w:rPr>
              <w:t>。招标代理机构仅代签收，不对文件袋（箱）中资料的数量、内容及真实性负责。评标结束后，招标代理机构将退回投标人的原件。若投标人未按要求提交相应证明材料原件或投标文件中证明材料的复印件与原件不一致，评审时相应证明材料不予认可。</w:t>
            </w:r>
          </w:p>
        </w:tc>
      </w:tr>
      <w:tr w14:paraId="7BAFE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7E7F4682">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2984644">
            <w:pPr>
              <w:pStyle w:val="60"/>
              <w:spacing w:line="400" w:lineRule="exact"/>
              <w:ind w:firstLine="240" w:firstLineChars="1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招标人</w:t>
            </w:r>
          </w:p>
          <w:p w14:paraId="382DD8FE">
            <w:pPr>
              <w:pStyle w:val="60"/>
              <w:spacing w:line="400" w:lineRule="exact"/>
              <w:ind w:firstLine="240" w:firstLineChars="100"/>
              <w:jc w:val="left"/>
              <w:rPr>
                <w:rFonts w:hint="eastAsia" w:ascii="宋体" w:hAnsi="宋体" w:eastAsia="宋体" w:cs="宋体"/>
                <w:color w:val="auto"/>
                <w:highlight w:val="none"/>
              </w:rPr>
            </w:pPr>
            <w:r>
              <w:rPr>
                <w:rFonts w:hint="eastAsia" w:ascii="宋体" w:hAnsi="宋体" w:eastAsia="宋体" w:cs="宋体"/>
                <w:color w:val="auto"/>
                <w:szCs w:val="24"/>
                <w:highlight w:val="none"/>
              </w:rPr>
              <w:t>联系方法</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28F654EB">
            <w:pPr>
              <w:wordWrap w:val="0"/>
              <w:adjustRightInd w:val="0"/>
              <w:snapToGrid w:val="0"/>
              <w:spacing w:line="400" w:lineRule="exact"/>
              <w:ind w:firstLine="240" w:firstLineChars="100"/>
              <w:jc w:val="left"/>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单位名称：</w:t>
            </w:r>
            <w:r>
              <w:rPr>
                <w:rFonts w:hint="eastAsia" w:ascii="宋体" w:hAnsi="宋体" w:eastAsia="宋体" w:cs="宋体"/>
                <w:snapToGrid w:val="0"/>
                <w:color w:val="auto"/>
                <w:kern w:val="0"/>
                <w:sz w:val="24"/>
                <w:szCs w:val="24"/>
                <w:highlight w:val="none"/>
                <w:lang w:eastAsia="zh-CN"/>
              </w:rPr>
              <w:t>韶关市武江区城市管理和综合执法局</w:t>
            </w:r>
          </w:p>
          <w:p w14:paraId="3ED8781B">
            <w:pPr>
              <w:wordWrap w:val="0"/>
              <w:adjustRightInd w:val="0"/>
              <w:snapToGrid w:val="0"/>
              <w:spacing w:line="400" w:lineRule="exact"/>
              <w:ind w:firstLine="240" w:firstLineChars="100"/>
              <w:jc w:val="left"/>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办公地址：韶关市武江区沙湖路18号</w:t>
            </w:r>
          </w:p>
          <w:p w14:paraId="6D8D981C">
            <w:pPr>
              <w:wordWrap w:val="0"/>
              <w:adjustRightInd w:val="0"/>
              <w:snapToGrid w:val="0"/>
              <w:spacing w:line="400" w:lineRule="exact"/>
              <w:ind w:firstLine="240" w:firstLineChars="100"/>
              <w:jc w:val="left"/>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联 系 人：马工</w:t>
            </w:r>
          </w:p>
          <w:p w14:paraId="075EE943">
            <w:pPr>
              <w:wordWrap w:val="0"/>
              <w:adjustRightInd w:val="0"/>
              <w:snapToGrid w:val="0"/>
              <w:spacing w:line="400" w:lineRule="exact"/>
              <w:ind w:firstLine="240" w:firstLineChars="100"/>
              <w:jc w:val="left"/>
              <w:outlineLvl w:val="9"/>
              <w:rPr>
                <w:rFonts w:hint="eastAsia" w:ascii="宋体" w:hAnsi="宋体" w:eastAsia="宋体" w:cs="宋体"/>
                <w:color w:val="auto"/>
                <w:highlight w:val="none"/>
                <w:lang w:val="en-US" w:eastAsia="zh-CN"/>
              </w:rPr>
            </w:pPr>
            <w:r>
              <w:rPr>
                <w:rFonts w:hint="eastAsia" w:ascii="宋体" w:hAnsi="宋体" w:eastAsia="宋体" w:cs="宋体"/>
                <w:snapToGrid w:val="0"/>
                <w:color w:val="auto"/>
                <w:kern w:val="0"/>
                <w:sz w:val="24"/>
                <w:szCs w:val="24"/>
                <w:highlight w:val="none"/>
                <w:lang w:val="en-US" w:eastAsia="zh-CN"/>
              </w:rPr>
              <w:t>联系电话：0751-8700765</w:t>
            </w:r>
          </w:p>
        </w:tc>
      </w:tr>
      <w:tr w14:paraId="0318C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296D30BA">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61C7345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p w14:paraId="02570D48">
            <w:pPr>
              <w:spacing w:line="400" w:lineRule="exact"/>
              <w:jc w:val="center"/>
              <w:rPr>
                <w:rFonts w:hint="eastAsia" w:ascii="宋体" w:hAnsi="宋体" w:eastAsia="宋体" w:cs="宋体"/>
                <w:color w:val="auto"/>
                <w:szCs w:val="22"/>
                <w:highlight w:val="none"/>
              </w:rPr>
            </w:pPr>
            <w:r>
              <w:rPr>
                <w:rFonts w:hint="eastAsia" w:ascii="宋体" w:hAnsi="宋体" w:eastAsia="宋体" w:cs="宋体"/>
                <w:color w:val="auto"/>
                <w:sz w:val="24"/>
                <w:szCs w:val="24"/>
                <w:highlight w:val="none"/>
              </w:rPr>
              <w:t>联系方法</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489722E4">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32"/>
                <w:lang w:eastAsia="zh-CN"/>
              </w:rPr>
            </w:pPr>
            <w:r>
              <w:rPr>
                <w:rFonts w:hint="eastAsia" w:ascii="宋体" w:hAnsi="宋体" w:eastAsia="宋体" w:cs="宋体"/>
                <w:snapToGrid w:val="0"/>
                <w:color w:val="auto"/>
                <w:kern w:val="0"/>
                <w:sz w:val="24"/>
                <w:szCs w:val="32"/>
              </w:rPr>
              <w:t>单位名称：</w:t>
            </w:r>
            <w:r>
              <w:rPr>
                <w:rFonts w:hint="eastAsia" w:ascii="宋体" w:hAnsi="宋体" w:eastAsia="宋体" w:cs="宋体"/>
                <w:snapToGrid w:val="0"/>
                <w:color w:val="auto"/>
                <w:kern w:val="0"/>
                <w:sz w:val="24"/>
                <w:szCs w:val="32"/>
                <w:lang w:eastAsia="zh-CN"/>
              </w:rPr>
              <w:t>深圳市腾达工程顾问有限公</w:t>
            </w:r>
            <w:bookmarkStart w:id="417" w:name="_GoBack"/>
            <w:bookmarkEnd w:id="417"/>
            <w:r>
              <w:rPr>
                <w:rFonts w:hint="eastAsia" w:ascii="宋体" w:hAnsi="宋体" w:eastAsia="宋体" w:cs="宋体"/>
                <w:snapToGrid w:val="0"/>
                <w:color w:val="auto"/>
                <w:kern w:val="0"/>
                <w:sz w:val="24"/>
                <w:szCs w:val="32"/>
                <w:lang w:eastAsia="zh-CN"/>
              </w:rPr>
              <w:t>司</w:t>
            </w:r>
          </w:p>
          <w:p w14:paraId="48D85E4B">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32"/>
                <w:lang w:eastAsia="zh-CN"/>
              </w:rPr>
            </w:pPr>
            <w:r>
              <w:rPr>
                <w:rFonts w:hint="eastAsia" w:ascii="宋体" w:hAnsi="宋体" w:eastAsia="宋体" w:cs="宋体"/>
                <w:snapToGrid w:val="0"/>
                <w:color w:val="auto"/>
                <w:kern w:val="0"/>
                <w:sz w:val="24"/>
                <w:szCs w:val="32"/>
              </w:rPr>
              <w:t>办公地址：</w:t>
            </w:r>
            <w:r>
              <w:rPr>
                <w:rFonts w:hint="eastAsia" w:ascii="宋体" w:hAnsi="宋体" w:eastAsia="宋体" w:cs="宋体"/>
                <w:snapToGrid w:val="0"/>
                <w:color w:val="auto"/>
                <w:kern w:val="0"/>
                <w:sz w:val="24"/>
                <w:szCs w:val="32"/>
                <w:lang w:eastAsia="zh-CN"/>
              </w:rPr>
              <w:t>韶关市武江区龙归镇兴龙路57号B栋209房</w:t>
            </w:r>
          </w:p>
          <w:p w14:paraId="64391C21">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32"/>
              </w:rPr>
            </w:pPr>
            <w:r>
              <w:rPr>
                <w:rFonts w:hint="eastAsia" w:ascii="宋体" w:hAnsi="宋体" w:eastAsia="宋体" w:cs="宋体"/>
                <w:snapToGrid w:val="0"/>
                <w:color w:val="auto"/>
                <w:kern w:val="0"/>
                <w:sz w:val="24"/>
                <w:szCs w:val="32"/>
              </w:rPr>
              <w:t>联系人（部门）：</w:t>
            </w:r>
            <w:r>
              <w:rPr>
                <w:rFonts w:hint="eastAsia" w:ascii="宋体" w:hAnsi="宋体" w:eastAsia="宋体" w:cs="宋体"/>
                <w:snapToGrid w:val="0"/>
                <w:color w:val="auto"/>
                <w:kern w:val="0"/>
                <w:sz w:val="24"/>
                <w:szCs w:val="32"/>
                <w:lang w:val="en-US" w:eastAsia="zh-CN"/>
              </w:rPr>
              <w:t>陈</w:t>
            </w:r>
            <w:r>
              <w:rPr>
                <w:rFonts w:hint="eastAsia" w:ascii="宋体" w:hAnsi="宋体" w:eastAsia="宋体" w:cs="宋体"/>
                <w:snapToGrid w:val="0"/>
                <w:color w:val="auto"/>
                <w:kern w:val="0"/>
                <w:sz w:val="24"/>
                <w:szCs w:val="32"/>
              </w:rPr>
              <w:t>工</w:t>
            </w:r>
          </w:p>
          <w:p w14:paraId="7F43618F">
            <w:pPr>
              <w:wordWrap w:val="0"/>
              <w:adjustRightInd w:val="0"/>
              <w:snapToGrid w:val="0"/>
              <w:spacing w:line="400" w:lineRule="exact"/>
              <w:ind w:firstLine="240" w:firstLineChars="100"/>
              <w:jc w:val="left"/>
              <w:outlineLvl w:val="9"/>
              <w:rPr>
                <w:rFonts w:hint="eastAsia" w:ascii="宋体" w:hAnsi="宋体" w:eastAsia="宋体" w:cs="宋体"/>
                <w:color w:val="auto"/>
                <w:szCs w:val="22"/>
                <w:highlight w:val="none"/>
                <w:lang w:val="en-US" w:eastAsia="zh-CN"/>
              </w:rPr>
            </w:pPr>
            <w:r>
              <w:rPr>
                <w:rFonts w:hint="eastAsia" w:ascii="宋体" w:hAnsi="宋体" w:eastAsia="宋体" w:cs="宋体"/>
                <w:snapToGrid w:val="0"/>
                <w:color w:val="auto"/>
                <w:kern w:val="0"/>
                <w:sz w:val="24"/>
                <w:szCs w:val="32"/>
              </w:rPr>
              <w:t>联系电话：</w:t>
            </w:r>
            <w:r>
              <w:rPr>
                <w:rFonts w:hint="eastAsia" w:ascii="宋体" w:hAnsi="宋体" w:eastAsia="宋体" w:cs="宋体"/>
                <w:snapToGrid w:val="0"/>
                <w:color w:val="auto"/>
                <w:kern w:val="0"/>
                <w:sz w:val="24"/>
                <w:szCs w:val="32"/>
                <w:lang w:eastAsia="zh-CN"/>
              </w:rPr>
              <w:t>15914872737</w:t>
            </w:r>
          </w:p>
        </w:tc>
      </w:tr>
      <w:tr w14:paraId="28524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61A00066">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53812C21">
            <w:pPr>
              <w:widowControl/>
              <w:spacing w:line="400" w:lineRule="exact"/>
              <w:jc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交易场所</w:t>
            </w:r>
          </w:p>
          <w:p w14:paraId="2D4258BD">
            <w:pPr>
              <w:widowControl/>
              <w:spacing w:line="400" w:lineRule="exact"/>
              <w:jc w:val="center"/>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lang w:bidi="ar"/>
              </w:rPr>
              <w:t>联系方法</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7D4CB3EC">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单位名称：韶关市公共资源交易中心</w:t>
            </w:r>
          </w:p>
          <w:p w14:paraId="590DDF92">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办公地址：</w:t>
            </w:r>
            <w:r>
              <w:rPr>
                <w:rFonts w:hint="eastAsia" w:ascii="宋体" w:hAnsi="宋体" w:eastAsia="宋体" w:cs="宋体"/>
                <w:snapToGrid w:val="0"/>
                <w:color w:val="auto"/>
                <w:kern w:val="0"/>
                <w:sz w:val="24"/>
                <w:szCs w:val="24"/>
                <w:highlight w:val="none"/>
                <w:lang w:eastAsia="zh-CN"/>
              </w:rPr>
              <w:t>广东省韶关市武江区西联镇</w:t>
            </w:r>
            <w:r>
              <w:rPr>
                <w:rFonts w:hint="eastAsia" w:ascii="宋体" w:hAnsi="宋体" w:eastAsia="宋体" w:cs="宋体"/>
                <w:snapToGrid w:val="0"/>
                <w:color w:val="auto"/>
                <w:kern w:val="0"/>
                <w:sz w:val="24"/>
                <w:szCs w:val="24"/>
                <w:highlight w:val="none"/>
              </w:rPr>
              <w:t xml:space="preserve"> </w:t>
            </w:r>
          </w:p>
          <w:p w14:paraId="0069873E">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联系人（部门）：工程交易部</w:t>
            </w:r>
          </w:p>
          <w:p w14:paraId="6A892ED0">
            <w:pPr>
              <w:wordWrap w:val="0"/>
              <w:adjustRightInd w:val="0"/>
              <w:snapToGrid w:val="0"/>
              <w:spacing w:line="400" w:lineRule="exact"/>
              <w:jc w:val="left"/>
              <w:rPr>
                <w:rFonts w:hint="eastAsia" w:ascii="宋体" w:hAnsi="宋体" w:eastAsia="宋体" w:cs="宋体"/>
                <w:color w:val="auto"/>
                <w:sz w:val="24"/>
                <w:szCs w:val="24"/>
                <w:highlight w:val="none"/>
                <w:lang w:val="en-US"/>
              </w:rPr>
            </w:pPr>
            <w:r>
              <w:rPr>
                <w:rFonts w:hint="eastAsia" w:ascii="宋体" w:hAnsi="宋体" w:eastAsia="宋体" w:cs="宋体"/>
                <w:snapToGrid w:val="0"/>
                <w:color w:val="auto"/>
                <w:kern w:val="0"/>
                <w:sz w:val="24"/>
                <w:szCs w:val="24"/>
                <w:highlight w:val="none"/>
              </w:rPr>
              <w:t xml:space="preserve">  联系电话：0751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8633071、0751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8633211</w:t>
            </w:r>
          </w:p>
        </w:tc>
      </w:tr>
      <w:tr w14:paraId="283D3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8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14:paraId="3AAE4660">
            <w:pPr>
              <w:pStyle w:val="60"/>
              <w:numPr>
                <w:ilvl w:val="0"/>
                <w:numId w:val="0"/>
              </w:num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442E7EBA">
            <w:pPr>
              <w:widowControl/>
              <w:spacing w:line="400" w:lineRule="exact"/>
              <w:jc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行政监督部门</w:t>
            </w:r>
          </w:p>
          <w:p w14:paraId="6CF4844A">
            <w:pPr>
              <w:widowControl/>
              <w:spacing w:line="400" w:lineRule="exact"/>
              <w:jc w:val="center"/>
              <w:rPr>
                <w:rFonts w:hint="eastAsia" w:ascii="宋体" w:hAnsi="宋体" w:eastAsia="宋体" w:cs="宋体"/>
                <w:color w:val="auto"/>
                <w:highlight w:val="none"/>
              </w:rPr>
            </w:pPr>
            <w:r>
              <w:rPr>
                <w:rFonts w:hint="eastAsia" w:ascii="宋体" w:hAnsi="宋体" w:eastAsia="宋体" w:cs="宋体"/>
                <w:bCs/>
                <w:color w:val="auto"/>
                <w:kern w:val="0"/>
                <w:sz w:val="24"/>
                <w:szCs w:val="24"/>
                <w:highlight w:val="none"/>
                <w:lang w:bidi="ar"/>
              </w:rPr>
              <w:t>联系方式</w:t>
            </w:r>
          </w:p>
        </w:tc>
        <w:tc>
          <w:tcPr>
            <w:tcW w:w="7603" w:type="dxa"/>
            <w:tcBorders>
              <w:top w:val="single" w:color="auto" w:sz="4" w:space="0"/>
              <w:left w:val="single" w:color="auto" w:sz="4" w:space="0"/>
              <w:bottom w:val="single" w:color="auto" w:sz="4" w:space="0"/>
              <w:right w:val="single" w:color="auto" w:sz="4" w:space="0"/>
            </w:tcBorders>
            <w:noWrap w:val="0"/>
            <w:vAlign w:val="center"/>
          </w:tcPr>
          <w:p w14:paraId="6E463B09">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r>
              <w:rPr>
                <w:rFonts w:hint="eastAsia" w:ascii="宋体" w:hAnsi="宋体" w:eastAsia="宋体" w:cs="宋体"/>
                <w:snapToGrid w:val="0"/>
                <w:color w:val="auto"/>
                <w:kern w:val="0"/>
                <w:sz w:val="24"/>
                <w:szCs w:val="24"/>
                <w:highlight w:val="none"/>
                <w:lang w:eastAsia="zh-CN"/>
              </w:rPr>
              <w:t>韶关市住房和城乡建设管理局</w:t>
            </w:r>
          </w:p>
          <w:p w14:paraId="10A694F0">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办公地址：</w:t>
            </w:r>
            <w:r>
              <w:rPr>
                <w:rFonts w:hint="eastAsia" w:ascii="宋体" w:hAnsi="宋体" w:eastAsia="宋体" w:cs="宋体"/>
                <w:snapToGrid w:val="0"/>
                <w:color w:val="auto"/>
                <w:kern w:val="0"/>
                <w:sz w:val="24"/>
                <w:szCs w:val="24"/>
                <w:highlight w:val="none"/>
                <w:lang w:eastAsia="zh-CN"/>
              </w:rPr>
              <w:t>广东省韶关市武江区芙蓉东路5号</w:t>
            </w:r>
          </w:p>
          <w:p w14:paraId="2C02BA86">
            <w:pPr>
              <w:wordWrap w:val="0"/>
              <w:adjustRightInd w:val="0"/>
              <w:snapToGrid w:val="0"/>
              <w:spacing w:line="400" w:lineRule="exact"/>
              <w:ind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联系人（部门）：</w:t>
            </w:r>
            <w:r>
              <w:rPr>
                <w:rFonts w:hint="eastAsia" w:ascii="宋体" w:hAnsi="宋体" w:eastAsia="宋体" w:cs="宋体"/>
                <w:color w:val="auto"/>
                <w:sz w:val="24"/>
                <w:szCs w:val="24"/>
                <w:highlight w:val="none"/>
                <w:lang w:val="zh-CN"/>
              </w:rPr>
              <w:t>建筑业市场管理科</w:t>
            </w:r>
            <w:r>
              <w:rPr>
                <w:rFonts w:hint="eastAsia" w:ascii="宋体" w:hAnsi="宋体" w:eastAsia="宋体" w:cs="宋体"/>
                <w:snapToGrid w:val="0"/>
                <w:color w:val="auto"/>
                <w:kern w:val="0"/>
                <w:sz w:val="24"/>
                <w:szCs w:val="24"/>
                <w:highlight w:val="none"/>
              </w:rPr>
              <w:t xml:space="preserve">   </w:t>
            </w:r>
          </w:p>
          <w:p w14:paraId="21ECB2F8">
            <w:pPr>
              <w:wordWrap w:val="0"/>
              <w:adjustRightInd w:val="0"/>
              <w:snapToGrid w:val="0"/>
              <w:spacing w:line="400" w:lineRule="exact"/>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rPr>
              <w:t>联系电话：</w:t>
            </w:r>
            <w:r>
              <w:rPr>
                <w:rFonts w:hint="eastAsia" w:ascii="宋体" w:hAnsi="宋体" w:eastAsia="宋体" w:cs="宋体"/>
                <w:color w:val="auto"/>
                <w:sz w:val="24"/>
                <w:szCs w:val="24"/>
                <w:highlight w:val="none"/>
                <w:lang w:val="zh-CN"/>
              </w:rPr>
              <w:t>0751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8892601</w:t>
            </w:r>
          </w:p>
        </w:tc>
      </w:tr>
      <w:bookmarkEnd w:id="8"/>
    </w:tbl>
    <w:p w14:paraId="501098C4">
      <w:pPr>
        <w:pStyle w:val="4"/>
        <w:numPr>
          <w:ilvl w:val="0"/>
          <w:numId w:val="2"/>
        </w:numPr>
        <w:bidi w:val="0"/>
        <w:snapToGrid/>
        <w:spacing w:before="200" w:beforeLines="0" w:beforeAutospacing="0" w:after="200" w:afterAutospacing="0" w:line="240" w:lineRule="auto"/>
        <w:ind w:left="0" w:leftChars="0" w:right="0" w:rightChars="0" w:firstLine="0" w:firstLineChars="0"/>
        <w:jc w:val="left"/>
        <w:outlineLvl w:val="1"/>
        <w:rPr>
          <w:rFonts w:hint="eastAsia" w:ascii="宋体" w:hAnsi="宋体" w:eastAsia="宋体" w:cs="宋体"/>
          <w:b/>
          <w:bCs/>
          <w:color w:val="auto"/>
          <w:sz w:val="24"/>
          <w:highlight w:val="none"/>
        </w:rPr>
      </w:pPr>
      <w:bookmarkStart w:id="16" w:name="_Toc122859103"/>
      <w:bookmarkStart w:id="17" w:name="_Toc122671103"/>
      <w:bookmarkStart w:id="18" w:name="_Toc122769943"/>
      <w:r>
        <w:rPr>
          <w:rFonts w:hint="eastAsia" w:ascii="宋体" w:hAnsi="宋体" w:eastAsia="宋体" w:cs="宋体"/>
          <w:b/>
          <w:color w:val="auto"/>
          <w:kern w:val="2"/>
          <w:sz w:val="24"/>
          <w:highlight w:val="none"/>
        </w:rPr>
        <w:br w:type="page"/>
      </w:r>
      <w:bookmarkEnd w:id="16"/>
      <w:bookmarkEnd w:id="17"/>
      <w:bookmarkEnd w:id="18"/>
      <w:bookmarkStart w:id="19" w:name="_Toc15635"/>
      <w:r>
        <w:rPr>
          <w:rFonts w:hint="eastAsia" w:ascii="宋体" w:hAnsi="宋体" w:eastAsia="宋体" w:cs="宋体"/>
          <w:b/>
          <w:color w:val="auto"/>
          <w:kern w:val="2"/>
          <w:sz w:val="24"/>
          <w:highlight w:val="none"/>
          <w:lang w:val="en-US" w:eastAsia="zh-CN"/>
        </w:rPr>
        <w:t xml:space="preserve"> </w:t>
      </w:r>
      <w:bookmarkStart w:id="20" w:name="_Toc18141"/>
      <w:r>
        <w:rPr>
          <w:rFonts w:hint="eastAsia" w:ascii="宋体" w:hAnsi="宋体" w:eastAsia="宋体" w:cs="宋体"/>
          <w:b/>
          <w:bCs/>
          <w:color w:val="auto"/>
          <w:sz w:val="24"/>
          <w:highlight w:val="none"/>
        </w:rPr>
        <w:t>重要事项时间地点一览表</w:t>
      </w:r>
      <w:bookmarkEnd w:id="19"/>
      <w:bookmarkEnd w:id="20"/>
    </w:p>
    <w:p w14:paraId="167E8041">
      <w:pPr>
        <w:snapToGrid/>
        <w:spacing w:beforeAutospacing="0" w:afterAutospacing="0" w:line="360" w:lineRule="auto"/>
        <w:ind w:left="0" w:leftChars="0" w:right="0" w:rightChars="0" w:firstLine="482" w:firstLineChars="200"/>
        <w:jc w:val="left"/>
        <w:rPr>
          <w:rFonts w:hint="eastAsia" w:ascii="宋体" w:hAnsi="宋体" w:eastAsia="宋体" w:cs="宋体"/>
          <w:b/>
          <w:bCs/>
          <w:color w:val="auto"/>
          <w:sz w:val="24"/>
          <w:highlight w:val="none"/>
        </w:rPr>
      </w:pPr>
    </w:p>
    <w:tbl>
      <w:tblPr>
        <w:tblStyle w:val="34"/>
        <w:tblW w:w="9705" w:type="dxa"/>
        <w:tblInd w:w="-13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6"/>
        <w:gridCol w:w="1566"/>
        <w:gridCol w:w="7633"/>
      </w:tblGrid>
      <w:tr w14:paraId="51E632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0"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4D4A9162">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3478B265">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招标公告</w:t>
            </w:r>
          </w:p>
          <w:p w14:paraId="7B8D4836">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rPr>
              <w:t>发布时间</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3EBB0545">
            <w:pPr>
              <w:pStyle w:val="130"/>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lang w:eastAsia="zh-CN"/>
              </w:rPr>
              <w:t>年</w:t>
            </w:r>
            <w:r>
              <w:rPr>
                <w:rFonts w:hint="eastAsia" w:ascii="宋体" w:hAnsi="宋体" w:cs="宋体"/>
                <w:snapToGrid w:val="0"/>
                <w:color w:val="auto"/>
                <w:kern w:val="0"/>
                <w:sz w:val="24"/>
                <w:highlight w:val="none"/>
                <w:u w:val="single"/>
                <w:lang w:val="en-US" w:eastAsia="zh-CN"/>
              </w:rPr>
              <w:t>04</w:t>
            </w:r>
            <w:r>
              <w:rPr>
                <w:rFonts w:hint="eastAsia" w:ascii="宋体" w:hAnsi="宋体" w:eastAsia="宋体" w:cs="宋体"/>
                <w:snapToGrid w:val="0"/>
                <w:color w:val="auto"/>
                <w:kern w:val="0"/>
                <w:sz w:val="24"/>
                <w:highlight w:val="none"/>
                <w:u w:val="none"/>
                <w:lang w:eastAsia="zh-CN"/>
              </w:rPr>
              <w:t>月</w:t>
            </w:r>
            <w:r>
              <w:rPr>
                <w:rFonts w:hint="eastAsia" w:ascii="宋体" w:hAnsi="宋体" w:cs="宋体"/>
                <w:snapToGrid w:val="0"/>
                <w:color w:val="auto"/>
                <w:kern w:val="0"/>
                <w:sz w:val="24"/>
                <w:highlight w:val="none"/>
                <w:u w:val="single"/>
                <w:lang w:val="en-US" w:eastAsia="zh-CN"/>
              </w:rPr>
              <w:t>11</w:t>
            </w:r>
            <w:r>
              <w:rPr>
                <w:rFonts w:hint="eastAsia" w:ascii="宋体" w:hAnsi="宋体" w:eastAsia="宋体" w:cs="宋体"/>
                <w:snapToGrid w:val="0"/>
                <w:color w:val="auto"/>
                <w:kern w:val="0"/>
                <w:sz w:val="24"/>
                <w:highlight w:val="none"/>
              </w:rPr>
              <w:t>日</w:t>
            </w:r>
            <w:r>
              <w:rPr>
                <w:rFonts w:hint="eastAsia" w:ascii="宋体" w:hAnsi="宋体" w:cs="宋体"/>
                <w:snapToGrid w:val="0"/>
                <w:color w:val="auto"/>
                <w:kern w:val="0"/>
                <w:sz w:val="24"/>
                <w:highlight w:val="none"/>
                <w:u w:val="single"/>
                <w:lang w:val="en-US" w:eastAsia="zh-CN"/>
              </w:rPr>
              <w:t>17</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00</w:t>
            </w:r>
            <w:r>
              <w:rPr>
                <w:rFonts w:hint="eastAsia" w:ascii="宋体" w:hAnsi="宋体" w:eastAsia="宋体" w:cs="宋体"/>
                <w:color w:val="auto"/>
                <w:sz w:val="24"/>
                <w:highlight w:val="none"/>
              </w:rPr>
              <w:t>分</w:t>
            </w:r>
          </w:p>
        </w:tc>
      </w:tr>
      <w:tr w14:paraId="239D55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0"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5F188845">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1E9D6BCD">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lang w:val="en-US" w:eastAsia="zh-CN"/>
              </w:rPr>
              <w:t>获取招标文件截止时间</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590515E9">
            <w:pPr>
              <w:pStyle w:val="130"/>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u w:val="single"/>
                <w:lang w:val="en-US" w:eastAsia="zh-CN"/>
              </w:rPr>
              <w:t>05</w:t>
            </w:r>
            <w:r>
              <w:rPr>
                <w:rFonts w:hint="eastAsia" w:ascii="宋体" w:hAnsi="宋体" w:eastAsia="宋体" w:cs="宋体"/>
                <w:snapToGrid w:val="0"/>
                <w:color w:val="auto"/>
                <w:kern w:val="0"/>
                <w:sz w:val="24"/>
                <w:highlight w:val="none"/>
                <w:u w:val="none"/>
                <w:lang w:eastAsia="zh-CN"/>
              </w:rPr>
              <w:t>月</w:t>
            </w:r>
            <w:r>
              <w:rPr>
                <w:rFonts w:hint="eastAsia" w:ascii="宋体" w:hAnsi="宋体" w:cs="宋体"/>
                <w:snapToGrid w:val="0"/>
                <w:color w:val="auto"/>
                <w:kern w:val="0"/>
                <w:sz w:val="24"/>
                <w:highlight w:val="none"/>
                <w:u w:val="single"/>
                <w:lang w:val="en-US" w:eastAsia="zh-CN"/>
              </w:rPr>
              <w:t>07</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09</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30</w:t>
            </w:r>
            <w:r>
              <w:rPr>
                <w:rFonts w:hint="eastAsia" w:ascii="宋体" w:hAnsi="宋体" w:eastAsia="宋体" w:cs="宋体"/>
                <w:color w:val="auto"/>
                <w:sz w:val="24"/>
                <w:highlight w:val="none"/>
              </w:rPr>
              <w:t>分</w:t>
            </w:r>
          </w:p>
        </w:tc>
      </w:tr>
      <w:tr w14:paraId="58589C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0"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1262EF2F">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00510821">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14:paraId="6CFC03D0">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45A61BE5">
            <w:pPr>
              <w:pStyle w:val="130"/>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u w:val="single"/>
                <w:lang w:val="en-US" w:eastAsia="zh-CN"/>
              </w:rPr>
              <w:t>04</w:t>
            </w:r>
            <w:r>
              <w:rPr>
                <w:rFonts w:hint="eastAsia" w:ascii="宋体" w:hAnsi="宋体" w:eastAsia="宋体" w:cs="宋体"/>
                <w:snapToGrid w:val="0"/>
                <w:color w:val="auto"/>
                <w:kern w:val="0"/>
                <w:sz w:val="24"/>
                <w:highlight w:val="none"/>
                <w:u w:val="none"/>
                <w:lang w:eastAsia="zh-CN"/>
              </w:rPr>
              <w:t>月</w:t>
            </w:r>
            <w:r>
              <w:rPr>
                <w:rFonts w:hint="eastAsia" w:ascii="宋体" w:hAnsi="宋体" w:cs="宋体"/>
                <w:snapToGrid w:val="0"/>
                <w:color w:val="auto"/>
                <w:kern w:val="0"/>
                <w:sz w:val="24"/>
                <w:highlight w:val="none"/>
                <w:u w:val="single"/>
                <w:lang w:val="en-US" w:eastAsia="zh-CN"/>
              </w:rPr>
              <w:t>27</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16</w:t>
            </w:r>
            <w:r>
              <w:rPr>
                <w:rFonts w:hint="eastAsia" w:ascii="宋体" w:hAnsi="宋体" w:eastAsia="宋体" w:cs="宋体"/>
                <w:snapToGrid w:val="0"/>
                <w:color w:val="auto"/>
                <w:kern w:val="0"/>
                <w:sz w:val="24"/>
                <w:highlight w:val="none"/>
              </w:rPr>
              <w:t>时</w:t>
            </w:r>
            <w:r>
              <w:rPr>
                <w:rFonts w:hint="eastAsia" w:ascii="宋体" w:hAnsi="宋体" w:eastAsia="宋体" w:cs="宋体"/>
                <w:snapToGrid w:val="0"/>
                <w:color w:val="auto"/>
                <w:kern w:val="0"/>
                <w:sz w:val="24"/>
                <w:highlight w:val="none"/>
                <w:u w:val="single"/>
                <w:lang w:val="en-US" w:eastAsia="zh-CN"/>
              </w:rPr>
              <w:t>00</w:t>
            </w:r>
            <w:r>
              <w:rPr>
                <w:rFonts w:hint="eastAsia" w:ascii="宋体" w:hAnsi="宋体" w:eastAsia="宋体" w:cs="宋体"/>
                <w:snapToGrid w:val="0"/>
                <w:color w:val="auto"/>
                <w:kern w:val="0"/>
                <w:sz w:val="24"/>
                <w:highlight w:val="none"/>
              </w:rPr>
              <w:t>分</w:t>
            </w:r>
          </w:p>
        </w:tc>
      </w:tr>
      <w:tr w14:paraId="58595F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0"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27B2E128">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61DA9D90">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14:paraId="7AC129CA">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58E5352D">
            <w:pPr>
              <w:pStyle w:val="130"/>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lang w:eastAsia="zh-CN"/>
              </w:rPr>
              <w:t>年</w:t>
            </w:r>
            <w:r>
              <w:rPr>
                <w:rFonts w:hint="eastAsia" w:ascii="宋体" w:hAnsi="宋体" w:cs="宋体"/>
                <w:snapToGrid w:val="0"/>
                <w:color w:val="auto"/>
                <w:kern w:val="0"/>
                <w:sz w:val="24"/>
                <w:highlight w:val="none"/>
                <w:u w:val="single"/>
                <w:lang w:val="en-US" w:eastAsia="zh-CN"/>
              </w:rPr>
              <w:t>04</w:t>
            </w:r>
            <w:r>
              <w:rPr>
                <w:rFonts w:hint="eastAsia" w:ascii="宋体" w:hAnsi="宋体" w:eastAsia="宋体" w:cs="宋体"/>
                <w:snapToGrid w:val="0"/>
                <w:color w:val="auto"/>
                <w:kern w:val="0"/>
                <w:sz w:val="24"/>
                <w:highlight w:val="none"/>
                <w:u w:val="none"/>
                <w:lang w:eastAsia="zh-CN"/>
              </w:rPr>
              <w:t>月</w:t>
            </w:r>
            <w:r>
              <w:rPr>
                <w:rFonts w:hint="eastAsia" w:ascii="宋体" w:hAnsi="宋体" w:cs="宋体"/>
                <w:snapToGrid w:val="0"/>
                <w:color w:val="auto"/>
                <w:kern w:val="0"/>
                <w:sz w:val="24"/>
                <w:highlight w:val="none"/>
                <w:u w:val="single"/>
                <w:lang w:val="en-US" w:eastAsia="zh-CN"/>
              </w:rPr>
              <w:t>27</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lang w:eastAsia="zh-CN"/>
              </w:rPr>
              <w:t>年</w:t>
            </w:r>
            <w:r>
              <w:rPr>
                <w:rFonts w:hint="eastAsia" w:ascii="宋体" w:hAnsi="宋体" w:cs="宋体"/>
                <w:snapToGrid w:val="0"/>
                <w:color w:val="auto"/>
                <w:kern w:val="0"/>
                <w:sz w:val="24"/>
                <w:highlight w:val="none"/>
                <w:u w:val="single"/>
                <w:lang w:val="en-US" w:eastAsia="zh-CN"/>
              </w:rPr>
              <w:t>04</w:t>
            </w:r>
            <w:r>
              <w:rPr>
                <w:rFonts w:hint="eastAsia" w:ascii="宋体" w:hAnsi="宋体" w:eastAsia="宋体" w:cs="宋体"/>
                <w:snapToGrid w:val="0"/>
                <w:color w:val="auto"/>
                <w:kern w:val="0"/>
                <w:sz w:val="24"/>
                <w:highlight w:val="none"/>
                <w:u w:val="none"/>
                <w:lang w:eastAsia="zh-CN"/>
              </w:rPr>
              <w:t>月</w:t>
            </w:r>
            <w:r>
              <w:rPr>
                <w:rFonts w:hint="eastAsia" w:ascii="宋体" w:hAnsi="宋体" w:cs="宋体"/>
                <w:snapToGrid w:val="0"/>
                <w:color w:val="auto"/>
                <w:kern w:val="0"/>
                <w:sz w:val="24"/>
                <w:highlight w:val="none"/>
                <w:u w:val="single"/>
                <w:lang w:val="en-US" w:eastAsia="zh-CN"/>
              </w:rPr>
              <w:t>30</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46F2FF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6"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3F28338F">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2892E31B">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14:paraId="3F99657F">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06E64039">
            <w:pPr>
              <w:pStyle w:val="130"/>
              <w:keepNext w:val="0"/>
              <w:keepLines w:val="0"/>
              <w:pageBreakBefore w:val="0"/>
              <w:widowControl w:val="0"/>
              <w:kinsoku/>
              <w:wordWrap w:val="0"/>
              <w:overflowPunct/>
              <w:topLinePunct w:val="0"/>
              <w:autoSpaceDE/>
              <w:autoSpaceDN/>
              <w:bidi w:val="0"/>
              <w:adjustRightInd w:val="0"/>
              <w:snapToGrid w:val="0"/>
              <w:spacing w:line="400" w:lineRule="exact"/>
              <w:ind w:left="105" w:leftChars="50"/>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u w:val="single"/>
                <w:lang w:val="en-US" w:eastAsia="zh-CN"/>
              </w:rPr>
              <w:t>05</w:t>
            </w:r>
            <w:r>
              <w:rPr>
                <w:rFonts w:hint="eastAsia" w:ascii="宋体" w:hAnsi="宋体" w:eastAsia="宋体" w:cs="宋体"/>
                <w:snapToGrid w:val="0"/>
                <w:color w:val="auto"/>
                <w:kern w:val="0"/>
                <w:sz w:val="24"/>
                <w:highlight w:val="none"/>
                <w:u w:val="none"/>
                <w:lang w:eastAsia="zh-CN"/>
              </w:rPr>
              <w:t>月</w:t>
            </w:r>
            <w:r>
              <w:rPr>
                <w:rFonts w:hint="eastAsia" w:ascii="宋体" w:hAnsi="宋体" w:cs="宋体"/>
                <w:snapToGrid w:val="0"/>
                <w:color w:val="auto"/>
                <w:kern w:val="0"/>
                <w:sz w:val="24"/>
                <w:highlight w:val="none"/>
                <w:u w:val="single"/>
                <w:lang w:val="en-US" w:eastAsia="zh-CN"/>
              </w:rPr>
              <w:t>06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09</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30</w:t>
            </w:r>
            <w:r>
              <w:rPr>
                <w:rFonts w:hint="eastAsia" w:ascii="宋体" w:hAnsi="宋体" w:eastAsia="宋体" w:cs="宋体"/>
                <w:color w:val="auto"/>
                <w:sz w:val="24"/>
                <w:highlight w:val="none"/>
              </w:rPr>
              <w:t>分</w:t>
            </w:r>
            <w:r>
              <w:rPr>
                <w:rFonts w:hint="eastAsia" w:ascii="宋体" w:hAnsi="宋体" w:eastAsia="宋体" w:cs="宋体"/>
                <w:snapToGrid w:val="0"/>
                <w:color w:val="auto"/>
                <w:kern w:val="0"/>
                <w:sz w:val="24"/>
                <w:szCs w:val="24"/>
                <w:highlight w:val="none"/>
              </w:rPr>
              <w:t>；</w:t>
            </w:r>
          </w:p>
          <w:p w14:paraId="29B7CF08">
            <w:pPr>
              <w:pStyle w:val="130"/>
              <w:keepNext w:val="0"/>
              <w:keepLines w:val="0"/>
              <w:pageBreakBefore w:val="0"/>
              <w:widowControl w:val="0"/>
              <w:kinsoku/>
              <w:wordWrap w:val="0"/>
              <w:overflowPunct/>
              <w:topLinePunct w:val="0"/>
              <w:autoSpaceDE/>
              <w:autoSpaceDN/>
              <w:bidi w:val="0"/>
              <w:adjustRightInd w:val="0"/>
              <w:snapToGrid w:val="0"/>
              <w:spacing w:line="400" w:lineRule="exact"/>
              <w:ind w:left="105" w:leftChars="50"/>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ascii="宋体" w:hAnsi="宋体" w:cs="宋体"/>
                <w:snapToGrid w:val="0"/>
                <w:color w:val="auto"/>
                <w:kern w:val="0"/>
                <w:sz w:val="24"/>
                <w:highlight w:val="none"/>
                <w:u w:val="single"/>
                <w:lang w:val="en-US" w:eastAsia="zh-CN"/>
              </w:rPr>
              <w:t>05</w:t>
            </w:r>
            <w:r>
              <w:rPr>
                <w:rFonts w:hint="eastAsia" w:ascii="宋体" w:hAnsi="宋体" w:eastAsia="宋体" w:cs="宋体"/>
                <w:snapToGrid w:val="0"/>
                <w:color w:val="auto"/>
                <w:kern w:val="0"/>
                <w:sz w:val="24"/>
                <w:highlight w:val="none"/>
                <w:u w:val="none"/>
                <w:lang w:eastAsia="zh-CN"/>
              </w:rPr>
              <w:t>月</w:t>
            </w:r>
            <w:r>
              <w:rPr>
                <w:rFonts w:hint="eastAsia" w:ascii="宋体" w:hAnsi="宋体" w:cs="宋体"/>
                <w:snapToGrid w:val="0"/>
                <w:color w:val="auto"/>
                <w:kern w:val="0"/>
                <w:sz w:val="24"/>
                <w:highlight w:val="none"/>
                <w:u w:val="single"/>
                <w:lang w:val="en-US" w:eastAsia="zh-CN"/>
              </w:rPr>
              <w:t>06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09</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30</w:t>
            </w:r>
            <w:r>
              <w:rPr>
                <w:rFonts w:hint="eastAsia" w:ascii="宋体" w:hAnsi="宋体" w:eastAsia="宋体" w:cs="宋体"/>
                <w:color w:val="auto"/>
                <w:sz w:val="24"/>
                <w:highlight w:val="none"/>
              </w:rPr>
              <w:t>分</w:t>
            </w:r>
            <w:r>
              <w:rPr>
                <w:rFonts w:hint="eastAsia" w:ascii="宋体" w:hAnsi="宋体" w:eastAsia="宋体" w:cs="宋体"/>
                <w:snapToGrid w:val="0"/>
                <w:color w:val="auto"/>
                <w:kern w:val="0"/>
                <w:sz w:val="24"/>
                <w:szCs w:val="24"/>
                <w:highlight w:val="none"/>
              </w:rPr>
              <w:t>；</w:t>
            </w:r>
          </w:p>
          <w:p w14:paraId="272F30B8">
            <w:pPr>
              <w:pStyle w:val="26"/>
              <w:keepNext w:val="0"/>
              <w:keepLines w:val="0"/>
              <w:pageBreakBefore w:val="0"/>
              <w:widowControl w:val="0"/>
              <w:kinsoku/>
              <w:wordWrap w:val="0"/>
              <w:overflowPunct/>
              <w:topLinePunct w:val="0"/>
              <w:autoSpaceDE/>
              <w:autoSpaceDN/>
              <w:bidi w:val="0"/>
              <w:adjustRightInd w:val="0"/>
              <w:snapToGrid w:val="0"/>
              <w:spacing w:line="400" w:lineRule="exact"/>
              <w:ind w:left="105" w:leftChars="50"/>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hAnsi="宋体" w:cs="宋体"/>
                <w:snapToGrid w:val="0"/>
                <w:color w:val="auto"/>
                <w:kern w:val="0"/>
                <w:sz w:val="24"/>
                <w:highlight w:val="none"/>
                <w:u w:val="single"/>
                <w:lang w:val="en-US" w:eastAsia="zh-CN"/>
              </w:rPr>
              <w:t>05</w:t>
            </w:r>
            <w:r>
              <w:rPr>
                <w:rFonts w:hint="eastAsia" w:ascii="宋体" w:hAnsi="宋体" w:eastAsia="宋体" w:cs="宋体"/>
                <w:snapToGrid w:val="0"/>
                <w:color w:val="auto"/>
                <w:kern w:val="0"/>
                <w:sz w:val="24"/>
                <w:highlight w:val="none"/>
                <w:u w:val="none"/>
                <w:lang w:eastAsia="zh-CN"/>
              </w:rPr>
              <w:t>月</w:t>
            </w:r>
            <w:r>
              <w:rPr>
                <w:rFonts w:hint="eastAsia" w:hAnsi="宋体" w:cs="宋体"/>
                <w:snapToGrid w:val="0"/>
                <w:color w:val="auto"/>
                <w:kern w:val="0"/>
                <w:sz w:val="24"/>
                <w:highlight w:val="none"/>
                <w:u w:val="single"/>
                <w:lang w:val="en-US" w:eastAsia="zh-CN"/>
              </w:rPr>
              <w:t>06</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09</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30</w:t>
            </w:r>
            <w:r>
              <w:rPr>
                <w:rFonts w:hint="eastAsia" w:ascii="宋体" w:hAnsi="宋体" w:eastAsia="宋体" w:cs="宋体"/>
                <w:color w:val="auto"/>
                <w:sz w:val="24"/>
                <w:highlight w:val="none"/>
              </w:rPr>
              <w:t>分</w:t>
            </w:r>
            <w:r>
              <w:rPr>
                <w:rFonts w:hint="eastAsia" w:ascii="宋体" w:hAnsi="宋体" w:eastAsia="宋体" w:cs="宋体"/>
                <w:snapToGrid w:val="0"/>
                <w:color w:val="auto"/>
                <w:kern w:val="0"/>
                <w:sz w:val="24"/>
                <w:szCs w:val="24"/>
                <w:highlight w:val="none"/>
              </w:rPr>
              <w:t>。</w:t>
            </w:r>
          </w:p>
        </w:tc>
      </w:tr>
      <w:tr w14:paraId="004E87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0"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6853845B">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0DE43BF6">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14:paraId="52FD7C4C">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61C25FE6">
            <w:pPr>
              <w:pStyle w:val="26"/>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hAnsi="宋体" w:cs="宋体"/>
                <w:snapToGrid w:val="0"/>
                <w:color w:val="auto"/>
                <w:kern w:val="0"/>
                <w:sz w:val="24"/>
                <w:highlight w:val="none"/>
                <w:u w:val="single"/>
                <w:lang w:val="en-US" w:eastAsia="zh-CN"/>
              </w:rPr>
              <w:t>05</w:t>
            </w:r>
            <w:r>
              <w:rPr>
                <w:rFonts w:hint="eastAsia" w:ascii="宋体" w:hAnsi="宋体" w:eastAsia="宋体" w:cs="宋体"/>
                <w:snapToGrid w:val="0"/>
                <w:color w:val="auto"/>
                <w:kern w:val="0"/>
                <w:sz w:val="24"/>
                <w:highlight w:val="none"/>
                <w:u w:val="none"/>
                <w:lang w:eastAsia="zh-CN"/>
              </w:rPr>
              <w:t>月</w:t>
            </w:r>
            <w:r>
              <w:rPr>
                <w:rFonts w:hint="eastAsia" w:hAnsi="宋体" w:cs="宋体"/>
                <w:snapToGrid w:val="0"/>
                <w:color w:val="auto"/>
                <w:kern w:val="0"/>
                <w:sz w:val="24"/>
                <w:highlight w:val="none"/>
                <w:u w:val="single"/>
                <w:lang w:val="en-US" w:eastAsia="zh-CN"/>
              </w:rPr>
              <w:t>07</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09</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30</w:t>
            </w:r>
            <w:r>
              <w:rPr>
                <w:rFonts w:hint="eastAsia" w:ascii="宋体" w:hAnsi="宋体" w:eastAsia="宋体" w:cs="宋体"/>
                <w:color w:val="auto"/>
                <w:sz w:val="24"/>
                <w:highlight w:val="none"/>
              </w:rPr>
              <w:t>分</w:t>
            </w:r>
          </w:p>
        </w:tc>
      </w:tr>
      <w:tr w14:paraId="3B5FDD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4"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2D753239">
            <w:pPr>
              <w:pStyle w:val="130"/>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caps w:val="0"/>
                <w:smallCaps w:val="0"/>
                <w:snapToGrid w:val="0"/>
                <w:color w:val="auto"/>
                <w:spacing w:val="0"/>
                <w:kern w:val="0"/>
                <w:sz w:val="24"/>
                <w:szCs w:val="24"/>
                <w:highlight w:val="none"/>
                <w:u w:val="none" w:color="auto"/>
                <w:lang w:val="en-US" w:eastAsia="zh-CN"/>
              </w:rPr>
              <w:t>7</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2A0B7E42">
            <w:pPr>
              <w:pStyle w:val="130"/>
              <w:wordWrap w:val="0"/>
              <w:adjustRightInd w:val="0"/>
              <w:snapToGrid w:val="0"/>
              <w:spacing w:line="360" w:lineRule="exact"/>
              <w:jc w:val="center"/>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lang w:val="en-US" w:eastAsia="zh-CN"/>
              </w:rPr>
              <w:t>投标评审原件（如有）递交时间</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0AF868DA">
            <w:pPr>
              <w:pStyle w:val="26"/>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hAnsi="宋体" w:cs="宋体"/>
                <w:snapToGrid w:val="0"/>
                <w:color w:val="auto"/>
                <w:kern w:val="0"/>
                <w:sz w:val="24"/>
                <w:highlight w:val="none"/>
                <w:u w:val="single"/>
                <w:lang w:val="en-US" w:eastAsia="zh-CN"/>
              </w:rPr>
              <w:t>05</w:t>
            </w:r>
            <w:r>
              <w:rPr>
                <w:rFonts w:hint="eastAsia" w:ascii="宋体" w:hAnsi="宋体" w:eastAsia="宋体" w:cs="宋体"/>
                <w:snapToGrid w:val="0"/>
                <w:color w:val="auto"/>
                <w:kern w:val="0"/>
                <w:sz w:val="24"/>
                <w:highlight w:val="none"/>
                <w:u w:val="none"/>
                <w:lang w:eastAsia="zh-CN"/>
              </w:rPr>
              <w:t>月</w:t>
            </w:r>
            <w:r>
              <w:rPr>
                <w:rFonts w:hint="eastAsia" w:hAnsi="宋体" w:cs="宋体"/>
                <w:snapToGrid w:val="0"/>
                <w:color w:val="auto"/>
                <w:kern w:val="0"/>
                <w:sz w:val="24"/>
                <w:highlight w:val="none"/>
                <w:u w:val="single"/>
                <w:lang w:val="en-US" w:eastAsia="zh-CN"/>
              </w:rPr>
              <w:t>07</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09</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00</w:t>
            </w:r>
            <w:r>
              <w:rPr>
                <w:rFonts w:hint="eastAsia" w:ascii="宋体" w:hAnsi="宋体" w:eastAsia="宋体" w:cs="宋体"/>
                <w:color w:val="auto"/>
                <w:sz w:val="24"/>
                <w:highlight w:val="none"/>
              </w:rPr>
              <w:t>分</w:t>
            </w:r>
            <w:r>
              <w:rPr>
                <w:rFonts w:hint="eastAsia" w:ascii="宋体" w:hAnsi="宋体" w:eastAsia="宋体" w:cs="宋体"/>
                <w:snapToGrid w:val="0"/>
                <w:color w:val="auto"/>
                <w:kern w:val="0"/>
                <w:sz w:val="24"/>
                <w:szCs w:val="24"/>
                <w:highlight w:val="none"/>
              </w:rPr>
              <w:t>至</w:t>
            </w: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hAnsi="宋体" w:cs="宋体"/>
                <w:snapToGrid w:val="0"/>
                <w:color w:val="auto"/>
                <w:kern w:val="0"/>
                <w:sz w:val="24"/>
                <w:highlight w:val="none"/>
                <w:u w:val="single"/>
                <w:lang w:val="en-US" w:eastAsia="zh-CN"/>
              </w:rPr>
              <w:t>05</w:t>
            </w:r>
            <w:r>
              <w:rPr>
                <w:rFonts w:hint="eastAsia" w:ascii="宋体" w:hAnsi="宋体" w:eastAsia="宋体" w:cs="宋体"/>
                <w:snapToGrid w:val="0"/>
                <w:color w:val="auto"/>
                <w:kern w:val="0"/>
                <w:sz w:val="24"/>
                <w:highlight w:val="none"/>
                <w:u w:val="none"/>
                <w:lang w:eastAsia="zh-CN"/>
              </w:rPr>
              <w:t>月</w:t>
            </w:r>
            <w:r>
              <w:rPr>
                <w:rFonts w:hint="eastAsia" w:hAnsi="宋体" w:cs="宋体"/>
                <w:snapToGrid w:val="0"/>
                <w:color w:val="auto"/>
                <w:kern w:val="0"/>
                <w:sz w:val="24"/>
                <w:highlight w:val="none"/>
                <w:u w:val="single"/>
                <w:lang w:val="en-US" w:eastAsia="zh-CN"/>
              </w:rPr>
              <w:t>07</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09</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30</w:t>
            </w:r>
            <w:r>
              <w:rPr>
                <w:rFonts w:hint="eastAsia" w:ascii="宋体" w:hAnsi="宋体" w:eastAsia="宋体" w:cs="宋体"/>
                <w:color w:val="auto"/>
                <w:sz w:val="24"/>
                <w:highlight w:val="none"/>
              </w:rPr>
              <w:t>分</w:t>
            </w:r>
          </w:p>
        </w:tc>
      </w:tr>
      <w:tr w14:paraId="2CC2CB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04"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6A53ACA5">
            <w:pPr>
              <w:pStyle w:val="130"/>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caps w:val="0"/>
                <w:smallCaps w:val="0"/>
                <w:snapToGrid w:val="0"/>
                <w:color w:val="auto"/>
                <w:spacing w:val="0"/>
                <w:kern w:val="0"/>
                <w:sz w:val="24"/>
                <w:szCs w:val="24"/>
                <w:highlight w:val="none"/>
                <w:u w:val="none" w:color="auto"/>
                <w:lang w:val="en-US" w:eastAsia="zh-CN"/>
              </w:rPr>
              <w:t>8</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23368B0A">
            <w:pPr>
              <w:pStyle w:val="130"/>
              <w:wordWrap w:val="0"/>
              <w:adjustRightInd w:val="0"/>
              <w:snapToGrid w:val="0"/>
              <w:spacing w:line="360" w:lineRule="exact"/>
              <w:jc w:val="center"/>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lang w:val="en-US" w:eastAsia="zh-CN"/>
              </w:rPr>
              <w:t>投标评审原件（如有）递交地点</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387D8AC7">
            <w:pPr>
              <w:pStyle w:val="130"/>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递交场所：韶关市公共资源交易中心</w:t>
            </w:r>
            <w:r>
              <w:rPr>
                <w:rFonts w:hint="eastAsia" w:ascii="宋体" w:hAnsi="宋体" w:eastAsia="宋体" w:cs="宋体"/>
                <w:color w:val="auto"/>
                <w:kern w:val="2"/>
                <w:sz w:val="24"/>
                <w:szCs w:val="24"/>
                <w:highlight w:val="none"/>
                <w:lang w:val="en-US" w:eastAsia="zh-CN" w:bidi="ar-SA"/>
              </w:rPr>
              <w:t>，</w:t>
            </w:r>
          </w:p>
          <w:p w14:paraId="01C6A2B3">
            <w:pPr>
              <w:pStyle w:val="130"/>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rPr>
                <w:rFonts w:hint="eastAsia" w:ascii="宋体" w:hAnsi="宋体" w:eastAsia="宋体" w:cs="宋体"/>
                <w:caps w:val="0"/>
                <w:smallCaps w:val="0"/>
                <w:snapToGrid w:val="0"/>
                <w:color w:val="auto"/>
                <w:spacing w:val="0"/>
                <w:kern w:val="0"/>
                <w:sz w:val="24"/>
                <w:szCs w:val="24"/>
                <w:highlight w:val="none"/>
                <w:u w:val="none" w:color="auto"/>
                <w:lang w:val="en-US" w:eastAsia="zh-CN" w:bidi="ar-SA"/>
              </w:rPr>
            </w:pPr>
            <w:r>
              <w:rPr>
                <w:rFonts w:hint="eastAsia" w:ascii="宋体" w:hAnsi="宋体" w:eastAsia="宋体" w:cs="宋体"/>
                <w:color w:val="auto"/>
                <w:kern w:val="2"/>
                <w:sz w:val="24"/>
                <w:szCs w:val="24"/>
                <w:highlight w:val="none"/>
                <w:lang w:val="en-US" w:eastAsia="zh-CN" w:bidi="ar-SA"/>
              </w:rPr>
              <w:t>地址：</w:t>
            </w:r>
            <w:r>
              <w:rPr>
                <w:rFonts w:hint="eastAsia" w:ascii="宋体" w:hAnsi="宋体" w:eastAsia="宋体" w:cs="宋体"/>
                <w:b w:val="0"/>
                <w:bCs/>
                <w:color w:val="auto"/>
                <w:sz w:val="24"/>
                <w:szCs w:val="24"/>
                <w:highlight w:val="none"/>
                <w:lang w:val="en-US" w:eastAsia="zh-CN"/>
              </w:rPr>
              <w:t>广东省韶关市武江区西联镇</w:t>
            </w:r>
            <w:r>
              <w:rPr>
                <w:rFonts w:hint="eastAsia" w:ascii="宋体" w:hAnsi="宋体" w:eastAsia="宋体" w:cs="宋体"/>
                <w:color w:val="auto"/>
                <w:sz w:val="24"/>
                <w:szCs w:val="24"/>
                <w:highlight w:val="none"/>
              </w:rPr>
              <w:t>，具体递交场所以当日现场通知为准</w:t>
            </w:r>
            <w:r>
              <w:rPr>
                <w:rFonts w:hint="eastAsia" w:ascii="宋体" w:hAnsi="宋体" w:eastAsia="宋体" w:cs="宋体"/>
                <w:color w:val="auto"/>
                <w:kern w:val="2"/>
                <w:sz w:val="24"/>
                <w:szCs w:val="24"/>
                <w:highlight w:val="none"/>
                <w:lang w:val="en-US" w:eastAsia="zh-CN" w:bidi="ar-SA"/>
              </w:rPr>
              <w:t>。</w:t>
            </w:r>
          </w:p>
        </w:tc>
      </w:tr>
      <w:tr w14:paraId="7398CC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7"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508C9792">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9</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170FD466">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633A694C">
            <w:pPr>
              <w:pStyle w:val="26"/>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u w:val="single"/>
                <w:lang w:eastAsia="zh-CN"/>
              </w:rPr>
              <w:t>2025</w:t>
            </w:r>
            <w:r>
              <w:rPr>
                <w:rFonts w:hint="eastAsia" w:ascii="宋体" w:hAnsi="宋体" w:eastAsia="宋体" w:cs="宋体"/>
                <w:snapToGrid w:val="0"/>
                <w:color w:val="auto"/>
                <w:kern w:val="0"/>
                <w:sz w:val="24"/>
                <w:highlight w:val="none"/>
                <w:u w:val="none"/>
              </w:rPr>
              <w:t>年</w:t>
            </w:r>
            <w:r>
              <w:rPr>
                <w:rFonts w:hint="eastAsia" w:hAnsi="宋体" w:cs="宋体"/>
                <w:snapToGrid w:val="0"/>
                <w:color w:val="auto"/>
                <w:kern w:val="0"/>
                <w:sz w:val="24"/>
                <w:highlight w:val="none"/>
                <w:u w:val="single"/>
                <w:lang w:val="en-US" w:eastAsia="zh-CN"/>
              </w:rPr>
              <w:t>05</w:t>
            </w:r>
            <w:r>
              <w:rPr>
                <w:rFonts w:hint="eastAsia" w:ascii="宋体" w:hAnsi="宋体" w:eastAsia="宋体" w:cs="宋体"/>
                <w:snapToGrid w:val="0"/>
                <w:color w:val="auto"/>
                <w:kern w:val="0"/>
                <w:sz w:val="24"/>
                <w:highlight w:val="none"/>
                <w:u w:val="none"/>
                <w:lang w:eastAsia="zh-CN"/>
              </w:rPr>
              <w:t>月</w:t>
            </w:r>
            <w:r>
              <w:rPr>
                <w:rFonts w:hint="eastAsia" w:hAnsi="宋体" w:cs="宋体"/>
                <w:snapToGrid w:val="0"/>
                <w:color w:val="auto"/>
                <w:kern w:val="0"/>
                <w:sz w:val="24"/>
                <w:highlight w:val="none"/>
                <w:u w:val="single"/>
                <w:lang w:val="en-US" w:eastAsia="zh-CN"/>
              </w:rPr>
              <w:t>07</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lang w:val="en-US" w:eastAsia="zh-CN"/>
              </w:rPr>
              <w:t>09</w:t>
            </w:r>
            <w:r>
              <w:rPr>
                <w:rFonts w:hint="eastAsia" w:ascii="宋体" w:hAnsi="宋体" w:eastAsia="宋体" w:cs="宋体"/>
                <w:color w:val="auto"/>
                <w:sz w:val="24"/>
                <w:highlight w:val="none"/>
              </w:rPr>
              <w:t>时</w:t>
            </w:r>
            <w:r>
              <w:rPr>
                <w:rFonts w:hint="eastAsia" w:ascii="宋体" w:hAnsi="宋体" w:eastAsia="宋体" w:cs="宋体"/>
                <w:snapToGrid w:val="0"/>
                <w:color w:val="auto"/>
                <w:kern w:val="0"/>
                <w:sz w:val="24"/>
                <w:highlight w:val="none"/>
                <w:u w:val="single"/>
                <w:lang w:val="en-US" w:eastAsia="zh-CN"/>
              </w:rPr>
              <w:t>30</w:t>
            </w:r>
            <w:r>
              <w:rPr>
                <w:rFonts w:hint="eastAsia" w:ascii="宋体" w:hAnsi="宋体" w:eastAsia="宋体" w:cs="宋体"/>
                <w:color w:val="auto"/>
                <w:sz w:val="24"/>
                <w:highlight w:val="none"/>
              </w:rPr>
              <w:t>分</w:t>
            </w:r>
          </w:p>
        </w:tc>
      </w:tr>
      <w:tr w14:paraId="253621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0" w:hRule="atLeast"/>
        </w:trPr>
        <w:tc>
          <w:tcPr>
            <w:tcW w:w="506" w:type="dxa"/>
            <w:tcBorders>
              <w:top w:val="single" w:color="080000" w:sz="4" w:space="0"/>
              <w:left w:val="single" w:color="080000" w:sz="4" w:space="0"/>
              <w:bottom w:val="single" w:color="080000" w:sz="4" w:space="0"/>
              <w:right w:val="single" w:color="080000" w:sz="4" w:space="0"/>
            </w:tcBorders>
            <w:noWrap w:val="0"/>
            <w:vAlign w:val="center"/>
          </w:tcPr>
          <w:p w14:paraId="45D67929">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w:t>
            </w:r>
          </w:p>
        </w:tc>
        <w:tc>
          <w:tcPr>
            <w:tcW w:w="1566" w:type="dxa"/>
            <w:tcBorders>
              <w:top w:val="single" w:color="080000" w:sz="4" w:space="0"/>
              <w:left w:val="single" w:color="080000" w:sz="4" w:space="0"/>
              <w:bottom w:val="single" w:color="080000" w:sz="4" w:space="0"/>
              <w:right w:val="single" w:color="080000" w:sz="4" w:space="0"/>
            </w:tcBorders>
            <w:noWrap w:val="0"/>
            <w:vAlign w:val="center"/>
          </w:tcPr>
          <w:p w14:paraId="09A37178">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2BB846C0">
            <w:pPr>
              <w:pStyle w:val="26"/>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u w:val="none"/>
                <w:lang w:val="en-US" w:eastAsia="zh-CN" w:bidi="ar-SA"/>
              </w:rPr>
              <w:t>开标场所：韶关市公共资源交易中心</w:t>
            </w:r>
          </w:p>
          <w:p w14:paraId="7C6D5D6C">
            <w:pPr>
              <w:pStyle w:val="26"/>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地址：</w:t>
            </w:r>
            <w:r>
              <w:rPr>
                <w:rFonts w:hint="eastAsia" w:ascii="宋体" w:hAnsi="宋体" w:eastAsia="宋体" w:cs="宋体"/>
                <w:snapToGrid w:val="0"/>
                <w:color w:val="auto"/>
                <w:kern w:val="0"/>
                <w:sz w:val="24"/>
                <w:szCs w:val="24"/>
                <w:highlight w:val="none"/>
                <w:lang w:val="en-US" w:eastAsia="zh-CN" w:bidi="ar"/>
              </w:rPr>
              <w:t>广东省韶关市武江区西联镇</w:t>
            </w:r>
            <w:r>
              <w:rPr>
                <w:rFonts w:hint="eastAsia" w:ascii="宋体" w:hAnsi="宋体" w:eastAsia="宋体" w:cs="宋体"/>
                <w:color w:val="auto"/>
                <w:szCs w:val="24"/>
                <w:highlight w:val="none"/>
              </w:rPr>
              <w:t>，具体开标室以当日现场通知为准</w:t>
            </w:r>
            <w:r>
              <w:rPr>
                <w:rFonts w:hint="eastAsia" w:ascii="宋体" w:hAnsi="宋体" w:eastAsia="宋体" w:cs="宋体"/>
                <w:color w:val="auto"/>
                <w:kern w:val="2"/>
                <w:sz w:val="24"/>
                <w:szCs w:val="24"/>
                <w:highlight w:val="none"/>
                <w:lang w:val="en-US" w:eastAsia="zh-CN" w:bidi="ar-SA"/>
              </w:rPr>
              <w:t>。</w:t>
            </w:r>
          </w:p>
        </w:tc>
      </w:tr>
      <w:tr w14:paraId="29F68B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8" w:hRule="atLeast"/>
        </w:trPr>
        <w:tc>
          <w:tcPr>
            <w:tcW w:w="2072" w:type="dxa"/>
            <w:gridSpan w:val="2"/>
            <w:tcBorders>
              <w:top w:val="single" w:color="080000" w:sz="4" w:space="0"/>
              <w:left w:val="single" w:color="080000" w:sz="4" w:space="0"/>
              <w:bottom w:val="single" w:color="080000" w:sz="4" w:space="0"/>
              <w:right w:val="single" w:color="080000" w:sz="4" w:space="0"/>
            </w:tcBorders>
            <w:noWrap w:val="0"/>
            <w:vAlign w:val="center"/>
          </w:tcPr>
          <w:p w14:paraId="42F39FB7">
            <w:pPr>
              <w:pStyle w:val="130"/>
              <w:wordWrap w:val="0"/>
              <w:adjustRightInd w:val="0"/>
              <w:snapToGrid w:val="0"/>
              <w:spacing w:line="360" w:lineRule="exact"/>
              <w:jc w:val="center"/>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val="en-US" w:eastAsia="zh-CN" w:bidi="ar-SA"/>
              </w:rPr>
              <w:t>备注</w:t>
            </w:r>
          </w:p>
        </w:tc>
        <w:tc>
          <w:tcPr>
            <w:tcW w:w="7633" w:type="dxa"/>
            <w:tcBorders>
              <w:top w:val="single" w:color="080000" w:sz="4" w:space="0"/>
              <w:left w:val="single" w:color="080000" w:sz="4" w:space="0"/>
              <w:bottom w:val="single" w:color="080000" w:sz="4" w:space="0"/>
              <w:right w:val="single" w:color="080000" w:sz="4" w:space="0"/>
            </w:tcBorders>
            <w:noWrap w:val="0"/>
            <w:vAlign w:val="center"/>
          </w:tcPr>
          <w:p w14:paraId="4708228E">
            <w:pPr>
              <w:pStyle w:val="26"/>
              <w:keepNext w:val="0"/>
              <w:keepLines w:val="0"/>
              <w:pageBreakBefore w:val="0"/>
              <w:widowControl w:val="0"/>
              <w:kinsoku/>
              <w:wordWrap w:val="0"/>
              <w:overflowPunct/>
              <w:topLinePunct w:val="0"/>
              <w:autoSpaceDE/>
              <w:autoSpaceDN/>
              <w:bidi w:val="0"/>
              <w:adjustRightInd w:val="0"/>
              <w:snapToGrid w:val="0"/>
              <w:spacing w:line="400" w:lineRule="exact"/>
              <w:ind w:left="105" w:leftChars="50"/>
              <w:jc w:val="left"/>
              <w:textAlignment w:val="auto"/>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436822C9">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2A9DA1D6">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bookmarkStart w:id="21" w:name="_Hlt69669159"/>
      <w:bookmarkEnd w:id="21"/>
      <w:bookmarkStart w:id="22" w:name="_Hlt69698705"/>
      <w:bookmarkStart w:id="23" w:name="_Hlt69698754"/>
    </w:p>
    <w:p w14:paraId="5B1928C8">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288382B2">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p>
    <w:p w14:paraId="60DBA33D">
      <w:pPr>
        <w:pStyle w:val="4"/>
        <w:bidi w:val="0"/>
        <w:snapToGrid/>
        <w:spacing w:before="200" w:beforeLines="0" w:beforeAutospacing="0" w:after="200" w:afterAutospacing="0" w:line="240" w:lineRule="auto"/>
        <w:ind w:left="0" w:leftChars="0" w:right="0" w:rightChars="0" w:firstLine="0" w:firstLineChars="0"/>
        <w:jc w:val="left"/>
        <w:outlineLvl w:val="1"/>
        <w:rPr>
          <w:rFonts w:hint="eastAsia" w:ascii="宋体" w:hAnsi="宋体" w:eastAsia="宋体" w:cs="宋体"/>
          <w:b/>
          <w:color w:val="auto"/>
          <w:sz w:val="24"/>
          <w:lang w:val="en-US" w:eastAsia="zh-CN"/>
        </w:rPr>
      </w:pPr>
      <w:bookmarkStart w:id="24" w:name="_Toc760"/>
      <w:r>
        <w:rPr>
          <w:rFonts w:hint="eastAsia" w:ascii="宋体" w:hAnsi="宋体" w:eastAsia="宋体" w:cs="宋体"/>
          <w:b/>
          <w:color w:val="auto"/>
          <w:sz w:val="24"/>
          <w:lang w:val="en-US" w:eastAsia="zh-CN"/>
        </w:rPr>
        <w:t>第三节 投标人须知正文</w:t>
      </w:r>
      <w:bookmarkEnd w:id="24"/>
    </w:p>
    <w:bookmarkEnd w:id="22"/>
    <w:bookmarkEnd w:id="23"/>
    <w:p w14:paraId="6D60E331">
      <w:pPr>
        <w:pStyle w:val="10"/>
        <w:pageBreakBefore w:val="0"/>
        <w:kinsoku w:val="0"/>
        <w:wordWrap w:val="0"/>
        <w:overflowPunct w:val="0"/>
        <w:topLinePunct w:val="0"/>
        <w:autoSpaceDE w:val="0"/>
        <w:autoSpaceDN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2"/>
          <w:highlight w:val="none"/>
          <w:u w:val="single"/>
          <w:lang w:val="en-US" w:eastAsia="zh-CN"/>
        </w:rPr>
      </w:pPr>
    </w:p>
    <w:p w14:paraId="0D659D11">
      <w:pPr>
        <w:pStyle w:val="10"/>
        <w:pageBreakBefore w:val="0"/>
        <w:widowControl w:val="0"/>
        <w:kinsoku w:val="0"/>
        <w:wordWrap w:val="0"/>
        <w:overflowPunct w:val="0"/>
        <w:topLinePunct w:val="0"/>
        <w:autoSpaceDE w:val="0"/>
        <w:autoSpaceDN w:val="0"/>
        <w:bidi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2"/>
          <w:highlight w:val="none"/>
          <w:u w:val="single"/>
          <w:lang w:val="en-US" w:eastAsia="zh-CN"/>
        </w:rPr>
        <w:t>韶关市武江区城市地下综合管廊建设工程（一期）</w:t>
      </w:r>
      <w:r>
        <w:rPr>
          <w:rFonts w:hint="eastAsia" w:ascii="宋体" w:hAnsi="宋体" w:cs="宋体"/>
          <w:color w:val="auto"/>
          <w:kern w:val="0"/>
          <w:sz w:val="24"/>
          <w:szCs w:val="22"/>
          <w:highlight w:val="none"/>
          <w:u w:val="single"/>
          <w:lang w:val="en-US" w:eastAsia="zh-CN"/>
        </w:rPr>
        <w:t>项目</w:t>
      </w:r>
      <w:r>
        <w:rPr>
          <w:rFonts w:hint="eastAsia" w:ascii="宋体" w:hAnsi="宋体" w:eastAsia="宋体" w:cs="宋体"/>
          <w:color w:val="auto"/>
          <w:kern w:val="0"/>
          <w:sz w:val="24"/>
          <w:szCs w:val="22"/>
          <w:highlight w:val="none"/>
          <w:u w:val="single"/>
          <w:lang w:val="en-US" w:eastAsia="zh-CN"/>
        </w:rPr>
        <w:t>经韶关市武江区发展和改革局以《韶关市武江区发展和改革局关于韶关市武江区城市地下综合管廊建设工程（一期）</w:t>
      </w:r>
      <w:r>
        <w:rPr>
          <w:rFonts w:hint="eastAsia" w:ascii="宋体" w:hAnsi="宋体" w:cs="宋体"/>
          <w:color w:val="auto"/>
          <w:kern w:val="0"/>
          <w:sz w:val="24"/>
          <w:szCs w:val="22"/>
          <w:highlight w:val="none"/>
          <w:u w:val="single"/>
          <w:lang w:val="en-US" w:eastAsia="zh-CN"/>
        </w:rPr>
        <w:t>项目</w:t>
      </w:r>
      <w:r>
        <w:rPr>
          <w:rFonts w:hint="eastAsia" w:ascii="宋体" w:hAnsi="宋体" w:eastAsia="宋体" w:cs="宋体"/>
          <w:color w:val="auto"/>
          <w:kern w:val="0"/>
          <w:sz w:val="24"/>
          <w:szCs w:val="22"/>
          <w:highlight w:val="none"/>
          <w:u w:val="single"/>
          <w:lang w:val="en-US" w:eastAsia="zh-CN"/>
        </w:rPr>
        <w:t>的批复</w:t>
      </w:r>
      <w:r>
        <w:rPr>
          <w:rFonts w:hint="eastAsia" w:ascii="宋体" w:hAnsi="宋体" w:eastAsia="宋体" w:cs="宋体"/>
          <w:color w:val="auto"/>
          <w:kern w:val="0"/>
          <w:sz w:val="24"/>
          <w:szCs w:val="22"/>
          <w:highlight w:val="none"/>
          <w:u w:val="single"/>
        </w:rPr>
        <w:t>》</w:t>
      </w:r>
      <w:r>
        <w:rPr>
          <w:rFonts w:hint="eastAsia" w:ascii="宋体" w:hAnsi="宋体" w:eastAsia="宋体" w:cs="宋体"/>
          <w:color w:val="auto"/>
          <w:kern w:val="0"/>
          <w:sz w:val="24"/>
          <w:szCs w:val="22"/>
          <w:highlight w:val="none"/>
          <w:u w:val="single"/>
          <w:lang w:eastAsia="zh-CN"/>
        </w:rPr>
        <w:t>（</w:t>
      </w:r>
      <w:r>
        <w:rPr>
          <w:rFonts w:hint="eastAsia" w:ascii="宋体" w:hAnsi="宋体" w:eastAsia="宋体" w:cs="宋体"/>
          <w:color w:val="auto"/>
          <w:kern w:val="0"/>
          <w:sz w:val="24"/>
          <w:szCs w:val="22"/>
          <w:highlight w:val="none"/>
          <w:u w:val="single"/>
          <w:lang w:val="en-US" w:eastAsia="zh-CN"/>
        </w:rPr>
        <w:t>韶武发改投审〔2024〕138号</w:t>
      </w:r>
      <w:r>
        <w:rPr>
          <w:rFonts w:hint="eastAsia" w:ascii="宋体" w:hAnsi="宋体" w:eastAsia="宋体" w:cs="宋体"/>
          <w:color w:val="auto"/>
          <w:kern w:val="0"/>
          <w:sz w:val="24"/>
          <w:szCs w:val="22"/>
          <w:highlight w:val="none"/>
          <w:u w:val="single"/>
          <w:lang w:eastAsia="zh-CN"/>
        </w:rPr>
        <w:t>）</w:t>
      </w:r>
      <w:r>
        <w:rPr>
          <w:rFonts w:hint="eastAsia" w:ascii="宋体" w:hAnsi="宋体" w:eastAsia="宋体" w:cs="宋体"/>
          <w:color w:val="auto"/>
          <w:kern w:val="0"/>
          <w:sz w:val="24"/>
          <w:szCs w:val="22"/>
          <w:highlight w:val="none"/>
        </w:rPr>
        <w:t>批准建设，项目代码为</w:t>
      </w:r>
      <w:r>
        <w:rPr>
          <w:rFonts w:hint="eastAsia" w:ascii="宋体" w:hAnsi="宋体" w:eastAsia="宋体" w:cs="宋体"/>
          <w:color w:val="auto"/>
          <w:kern w:val="0"/>
          <w:sz w:val="24"/>
          <w:szCs w:val="22"/>
          <w:highlight w:val="none"/>
          <w:u w:val="single"/>
          <w:lang w:val="en-US" w:eastAsia="zh-CN"/>
        </w:rPr>
        <w:t>2412-440203-04-01-302525</w:t>
      </w:r>
      <w:r>
        <w:rPr>
          <w:rFonts w:hint="eastAsia" w:ascii="宋体" w:hAnsi="宋体" w:eastAsia="宋体" w:cs="宋体"/>
          <w:color w:val="auto"/>
          <w:kern w:val="0"/>
          <w:sz w:val="24"/>
          <w:szCs w:val="22"/>
          <w:highlight w:val="none"/>
        </w:rPr>
        <w:t>。本项目业主为</w:t>
      </w:r>
      <w:r>
        <w:rPr>
          <w:rFonts w:hint="eastAsia" w:ascii="宋体" w:hAnsi="宋体" w:eastAsia="宋体" w:cs="宋体"/>
          <w:color w:val="auto"/>
          <w:kern w:val="0"/>
          <w:sz w:val="24"/>
          <w:szCs w:val="22"/>
          <w:highlight w:val="none"/>
          <w:u w:val="single"/>
          <w:lang w:val="en-US" w:eastAsia="zh-CN"/>
        </w:rPr>
        <w:t>韶关市武江区城市管理和综合执法局</w:t>
      </w:r>
      <w:r>
        <w:rPr>
          <w:rFonts w:hint="eastAsia" w:ascii="宋体" w:hAnsi="宋体" w:eastAsia="宋体" w:cs="宋体"/>
          <w:color w:val="auto"/>
          <w:kern w:val="0"/>
          <w:sz w:val="24"/>
          <w:szCs w:val="22"/>
          <w:highlight w:val="none"/>
        </w:rPr>
        <w:t>，建设资金来自</w:t>
      </w:r>
      <w:r>
        <w:rPr>
          <w:rFonts w:hint="eastAsia" w:ascii="宋体" w:hAnsi="宋体" w:eastAsia="宋体" w:cs="宋体"/>
          <w:color w:val="auto"/>
          <w:kern w:val="0"/>
          <w:sz w:val="24"/>
          <w:szCs w:val="22"/>
          <w:highlight w:val="none"/>
          <w:u w:val="single"/>
          <w:lang w:val="en-US" w:eastAsia="zh-CN"/>
        </w:rPr>
        <w:t>区财政统筹</w:t>
      </w:r>
      <w:r>
        <w:rPr>
          <w:rFonts w:hint="eastAsia" w:ascii="宋体" w:hAnsi="宋体" w:eastAsia="宋体" w:cs="宋体"/>
          <w:color w:val="auto"/>
          <w:kern w:val="0"/>
          <w:sz w:val="24"/>
          <w:szCs w:val="22"/>
          <w:highlight w:val="none"/>
          <w:u w:val="none"/>
          <w:lang w:val="en-US" w:eastAsia="zh-CN"/>
        </w:rPr>
        <w:t>，</w:t>
      </w:r>
      <w:r>
        <w:rPr>
          <w:rStyle w:val="49"/>
          <w:rFonts w:hint="eastAsia" w:ascii="宋体" w:hAnsi="宋体" w:eastAsia="宋体" w:cs="宋体"/>
          <w:color w:val="auto"/>
          <w:kern w:val="0"/>
          <w:sz w:val="24"/>
          <w:szCs w:val="24"/>
          <w:highlight w:val="none"/>
        </w:rPr>
        <w:t>出资比例为</w:t>
      </w:r>
      <w:r>
        <w:rPr>
          <w:rStyle w:val="49"/>
          <w:rFonts w:hint="eastAsia" w:ascii="宋体" w:hAnsi="宋体" w:eastAsia="宋体" w:cs="宋体"/>
          <w:color w:val="auto"/>
          <w:kern w:val="0"/>
          <w:sz w:val="24"/>
          <w:szCs w:val="24"/>
          <w:highlight w:val="none"/>
          <w:u w:val="single"/>
        </w:rPr>
        <w:t>100%</w:t>
      </w:r>
      <w:r>
        <w:rPr>
          <w:rFonts w:hint="eastAsia" w:ascii="宋体" w:hAnsi="宋体" w:eastAsia="宋体" w:cs="宋体"/>
          <w:color w:val="auto"/>
          <w:kern w:val="0"/>
          <w:sz w:val="24"/>
          <w:szCs w:val="22"/>
          <w:highlight w:val="none"/>
        </w:rPr>
        <w:t>，招标人为</w:t>
      </w:r>
      <w:r>
        <w:rPr>
          <w:rFonts w:hint="eastAsia" w:ascii="宋体" w:hAnsi="宋体" w:eastAsia="宋体" w:cs="宋体"/>
          <w:b w:val="0"/>
          <w:bCs w:val="0"/>
          <w:caps w:val="0"/>
          <w:smallCaps w:val="0"/>
          <w:snapToGrid w:val="0"/>
          <w:color w:val="auto"/>
          <w:spacing w:val="0"/>
          <w:kern w:val="0"/>
          <w:sz w:val="24"/>
          <w:szCs w:val="24"/>
          <w:highlight w:val="none"/>
          <w:u w:val="single"/>
          <w:lang w:val="en-US" w:eastAsia="zh-CN"/>
        </w:rPr>
        <w:t>韶关市武江区城市管理和综合执法局</w:t>
      </w:r>
      <w:r>
        <w:rPr>
          <w:rFonts w:hint="eastAsia" w:ascii="宋体" w:hAnsi="宋体" w:eastAsia="宋体" w:cs="宋体"/>
          <w:color w:val="auto"/>
          <w:kern w:val="0"/>
          <w:sz w:val="24"/>
          <w:szCs w:val="22"/>
          <w:highlight w:val="none"/>
        </w:rPr>
        <w:t>，招标代理机构为</w:t>
      </w:r>
      <w:r>
        <w:rPr>
          <w:rFonts w:hint="eastAsia" w:ascii="宋体" w:hAnsi="宋体" w:eastAsia="宋体" w:cs="宋体"/>
          <w:b w:val="0"/>
          <w:bCs w:val="0"/>
          <w:color w:val="auto"/>
          <w:kern w:val="0"/>
          <w:sz w:val="24"/>
          <w:szCs w:val="22"/>
          <w:highlight w:val="none"/>
          <w:u w:val="single"/>
          <w:lang w:eastAsia="zh-CN"/>
        </w:rPr>
        <w:t>深圳市腾达工程顾问有限公司</w:t>
      </w:r>
      <w:r>
        <w:rPr>
          <w:rFonts w:hint="eastAsia" w:ascii="宋体" w:hAnsi="宋体" w:eastAsia="宋体" w:cs="宋体"/>
          <w:color w:val="auto"/>
          <w:kern w:val="0"/>
          <w:sz w:val="24"/>
          <w:szCs w:val="22"/>
          <w:highlight w:val="none"/>
        </w:rPr>
        <w:t>。项目已具备招标条件，现对该项目的设计进行公开招标。</w:t>
      </w:r>
    </w:p>
    <w:p w14:paraId="5FE98EBD">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25" w:name="_Hlt78795222"/>
      <w:bookmarkEnd w:id="25"/>
      <w:bookmarkStart w:id="26" w:name="_Hlt74474735"/>
      <w:bookmarkEnd w:id="26"/>
      <w:bookmarkStart w:id="27" w:name="_Hlt109358474"/>
      <w:bookmarkEnd w:id="27"/>
      <w:bookmarkStart w:id="28" w:name="_Hlt119991399"/>
      <w:bookmarkEnd w:id="28"/>
      <w:bookmarkStart w:id="29" w:name="_Hlt87948285"/>
      <w:bookmarkEnd w:id="29"/>
      <w:bookmarkStart w:id="30" w:name="_Toc10343"/>
      <w:bookmarkStart w:id="31" w:name="_Toc27599"/>
      <w:bookmarkStart w:id="32" w:name="_Toc31541"/>
      <w:r>
        <w:rPr>
          <w:rFonts w:hint="eastAsia" w:ascii="宋体" w:hAnsi="宋体" w:eastAsia="宋体" w:cs="宋体"/>
          <w:b/>
          <w:color w:val="auto"/>
          <w:sz w:val="24"/>
        </w:rPr>
        <w:t>1</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工程概况综合说明</w:t>
      </w:r>
      <w:bookmarkEnd w:id="30"/>
      <w:bookmarkEnd w:id="31"/>
      <w:bookmarkEnd w:id="32"/>
    </w:p>
    <w:p w14:paraId="49D6EDA6">
      <w:pPr>
        <w:pStyle w:val="60"/>
        <w:keepNext w:val="0"/>
        <w:keepLines w:val="0"/>
        <w:pageBreakBefore w:val="0"/>
        <w:widowControl w:val="0"/>
        <w:tabs>
          <w:tab w:val="left" w:pos="7020"/>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18"/>
          <w:highlight w:val="none"/>
          <w:u w:val="none"/>
        </w:rPr>
      </w:pPr>
      <w:r>
        <w:rPr>
          <w:rFonts w:hint="eastAsia" w:ascii="宋体" w:hAnsi="宋体" w:eastAsia="宋体" w:cs="宋体"/>
          <w:b/>
          <w:bCs/>
          <w:color w:val="auto"/>
          <w:sz w:val="24"/>
          <w:szCs w:val="24"/>
          <w:highlight w:val="none"/>
        </w:rPr>
        <w:t>1.1</w:t>
      </w:r>
      <w:r>
        <w:rPr>
          <w:rFonts w:hint="eastAsia" w:ascii="宋体" w:hAnsi="宋体" w:eastAsia="宋体" w:cs="宋体"/>
          <w:color w:val="auto"/>
          <w:sz w:val="24"/>
          <w:szCs w:val="24"/>
          <w:highlight w:val="none"/>
        </w:rPr>
        <w:t xml:space="preserve"> 招标人：</w:t>
      </w:r>
      <w:r>
        <w:rPr>
          <w:rFonts w:hint="eastAsia" w:ascii="宋体" w:hAnsi="宋体" w:eastAsia="宋体" w:cs="宋体"/>
          <w:color w:val="auto"/>
          <w:sz w:val="24"/>
          <w:szCs w:val="24"/>
          <w:highlight w:val="none"/>
          <w:u w:val="single"/>
          <w:lang w:val="en-US" w:eastAsia="zh-CN"/>
        </w:rPr>
        <w:t>韶关市武江区城市管理和综合执法局</w:t>
      </w:r>
    </w:p>
    <w:p w14:paraId="13B4CCB0">
      <w:pPr>
        <w:pStyle w:val="60"/>
        <w:keepNext w:val="0"/>
        <w:keepLines w:val="0"/>
        <w:pageBreakBefore w:val="0"/>
        <w:widowControl w:val="0"/>
        <w:tabs>
          <w:tab w:val="left" w:pos="7020"/>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u w:val="none"/>
        </w:rPr>
        <w:t>1.2</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kern w:val="0"/>
          <w:sz w:val="24"/>
          <w:szCs w:val="24"/>
          <w:highlight w:val="none"/>
          <w:u w:val="none"/>
        </w:rPr>
        <w:t>工程地点：</w:t>
      </w:r>
      <w:r>
        <w:rPr>
          <w:rFonts w:hint="eastAsia"/>
          <w:color w:val="auto"/>
          <w:u w:val="single"/>
          <w:lang w:val="en-US" w:eastAsia="zh-CN"/>
        </w:rPr>
        <w:t>韶关市武江区，韶州公园周边片区、芙蓉北片区等区域</w:t>
      </w:r>
    </w:p>
    <w:p w14:paraId="1002196C">
      <w:pPr>
        <w:pStyle w:val="60"/>
        <w:keepNext w:val="0"/>
        <w:keepLines w:val="0"/>
        <w:pageBreakBefore w:val="0"/>
        <w:widowControl w:val="0"/>
        <w:tabs>
          <w:tab w:val="left" w:pos="7020"/>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1.3</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工程主要建设规模</w:t>
      </w:r>
      <w:r>
        <w:rPr>
          <w:rFonts w:hint="eastAsia" w:ascii="宋体" w:hAnsi="宋体" w:eastAsia="宋体" w:cs="宋体"/>
          <w:color w:val="auto"/>
          <w:sz w:val="24"/>
          <w:szCs w:val="22"/>
          <w:highlight w:val="none"/>
        </w:rPr>
        <w:t>及建设内容</w:t>
      </w:r>
      <w:r>
        <w:rPr>
          <w:rFonts w:hint="eastAsia" w:ascii="宋体" w:hAnsi="宋体" w:eastAsia="宋体" w:cs="宋体"/>
          <w:color w:val="auto"/>
          <w:sz w:val="24"/>
          <w:szCs w:val="22"/>
          <w:highlight w:val="none"/>
          <w:u w:val="none"/>
        </w:rPr>
        <w:t>：</w:t>
      </w:r>
      <w:r>
        <w:rPr>
          <w:rFonts w:hint="eastAsia" w:ascii="宋体" w:hAnsi="宋体" w:eastAsia="宋体" w:cs="宋体"/>
          <w:color w:val="auto"/>
          <w:sz w:val="24"/>
          <w:szCs w:val="24"/>
          <w:highlight w:val="none"/>
          <w:u w:val="single"/>
          <w:lang w:val="en-US" w:eastAsia="zh-CN"/>
        </w:rPr>
        <w:t>在韶关市武江区的韶州公园周边片区、芙蓉北片区等主要交通主、次</w:t>
      </w:r>
      <w:r>
        <w:rPr>
          <w:rFonts w:hint="eastAsia" w:hAnsi="宋体" w:cs="宋体"/>
          <w:color w:val="auto"/>
          <w:sz w:val="24"/>
          <w:szCs w:val="24"/>
          <w:highlight w:val="none"/>
          <w:u w:val="single"/>
          <w:lang w:val="en-US" w:eastAsia="zh-CN"/>
        </w:rPr>
        <w:t>干</w:t>
      </w:r>
      <w:r>
        <w:rPr>
          <w:rFonts w:hint="eastAsia" w:ascii="宋体" w:hAnsi="宋体" w:eastAsia="宋体" w:cs="宋体"/>
          <w:color w:val="auto"/>
          <w:sz w:val="24"/>
          <w:szCs w:val="24"/>
          <w:highlight w:val="none"/>
          <w:u w:val="single"/>
          <w:lang w:val="en-US" w:eastAsia="zh-CN"/>
        </w:rPr>
        <w:t>道以及支路新建缆线管廊总长约8131m，断面尺寸2.1-2.4mx1.6-2.4m，改造排水管道约8362m。</w:t>
      </w:r>
    </w:p>
    <w:p w14:paraId="349C5179">
      <w:pPr>
        <w:pStyle w:val="60"/>
        <w:keepNext w:val="0"/>
        <w:keepLines w:val="0"/>
        <w:pageBreakBefore w:val="0"/>
        <w:widowControl w:val="0"/>
        <w:tabs>
          <w:tab w:val="left" w:pos="7020"/>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rPr>
        <w:t>1.4</w:t>
      </w:r>
      <w:r>
        <w:rPr>
          <w:rFonts w:hint="eastAsia" w:ascii="宋体" w:hAnsi="宋体" w:eastAsia="宋体" w:cs="宋体"/>
          <w:color w:val="auto"/>
          <w:sz w:val="24"/>
          <w:szCs w:val="24"/>
          <w:highlight w:val="none"/>
        </w:rPr>
        <w:t xml:space="preserve"> 项目总投资</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项目估算总投资9800.00万元，其中：工程费用7782.73万元、工程建设其他费用1288.53万元、预备费453.56万元。</w:t>
      </w:r>
    </w:p>
    <w:p w14:paraId="0DA153A6">
      <w:pPr>
        <w:pStyle w:val="60"/>
        <w:keepNext w:val="0"/>
        <w:keepLines w:val="0"/>
        <w:pageBreakBefore w:val="0"/>
        <w:widowControl w:val="0"/>
        <w:tabs>
          <w:tab w:val="left" w:pos="7020"/>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highlight w:val="none"/>
          <w:u w:val="none"/>
        </w:rPr>
      </w:pPr>
      <w:r>
        <w:rPr>
          <w:rFonts w:hint="eastAsia" w:ascii="宋体" w:hAnsi="宋体" w:eastAsia="宋体" w:cs="宋体"/>
          <w:b/>
          <w:bCs/>
          <w:color w:val="auto"/>
          <w:sz w:val="24"/>
          <w:szCs w:val="24"/>
          <w:highlight w:val="none"/>
          <w:u w:val="none"/>
        </w:rPr>
        <w:t>1.5</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highlight w:val="none"/>
          <w:u w:val="none"/>
        </w:rPr>
        <w:t>标段划分：本招标项目不划分标段。</w:t>
      </w:r>
      <w:bookmarkStart w:id="33" w:name="_Toc496132995"/>
      <w:bookmarkStart w:id="34" w:name="_Toc22197"/>
      <w:bookmarkStart w:id="35" w:name="_Toc8182"/>
      <w:bookmarkStart w:id="36" w:name="_Toc71813180"/>
      <w:bookmarkStart w:id="37" w:name="_Toc71811066"/>
      <w:bookmarkStart w:id="38" w:name="_Toc71813686"/>
      <w:bookmarkStart w:id="39" w:name="_Toc3580"/>
      <w:bookmarkStart w:id="40" w:name="_Toc71811299"/>
    </w:p>
    <w:p w14:paraId="6992FEC5">
      <w:pPr>
        <w:pStyle w:val="60"/>
        <w:keepNext w:val="0"/>
        <w:keepLines w:val="0"/>
        <w:pageBreakBefore w:val="0"/>
        <w:widowControl w:val="0"/>
        <w:tabs>
          <w:tab w:val="left" w:pos="7020"/>
        </w:tabs>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kern w:val="2"/>
          <w:sz w:val="24"/>
          <w:szCs w:val="24"/>
          <w:highlight w:val="none"/>
          <w:u w:val="none"/>
        </w:rPr>
      </w:pPr>
      <w:r>
        <w:rPr>
          <w:rFonts w:hint="eastAsia" w:ascii="宋体" w:hAnsi="宋体" w:eastAsia="宋体" w:cs="宋体"/>
          <w:b/>
          <w:bCs/>
          <w:color w:val="auto"/>
          <w:kern w:val="2"/>
          <w:sz w:val="24"/>
          <w:highlight w:val="none"/>
          <w:u w:val="none"/>
        </w:rPr>
        <w:t>1.</w:t>
      </w:r>
      <w:bookmarkEnd w:id="33"/>
      <w:r>
        <w:rPr>
          <w:rFonts w:hint="eastAsia" w:ascii="宋体" w:hAnsi="宋体" w:eastAsia="宋体" w:cs="宋体"/>
          <w:b/>
          <w:bCs/>
          <w:color w:val="auto"/>
          <w:kern w:val="2"/>
          <w:sz w:val="24"/>
          <w:highlight w:val="none"/>
          <w:u w:val="none"/>
        </w:rPr>
        <w:t>6</w:t>
      </w:r>
      <w:r>
        <w:rPr>
          <w:rFonts w:hint="eastAsia" w:ascii="宋体" w:hAnsi="宋体" w:eastAsia="宋体" w:cs="宋体"/>
          <w:color w:val="auto"/>
          <w:kern w:val="2"/>
          <w:sz w:val="24"/>
          <w:highlight w:val="none"/>
          <w:u w:val="none"/>
        </w:rPr>
        <w:t xml:space="preserve"> 投标费用：投标人应承担所有准备和参加投标的相关费用，不论投标结果如何，招标人均无义务和责任承担这些费用</w:t>
      </w:r>
      <w:r>
        <w:rPr>
          <w:rFonts w:hint="eastAsia" w:ascii="宋体" w:hAnsi="宋体" w:eastAsia="宋体" w:cs="宋体"/>
          <w:color w:val="auto"/>
          <w:sz w:val="24"/>
          <w:szCs w:val="24"/>
          <w:highlight w:val="none"/>
          <w:u w:val="none"/>
        </w:rPr>
        <w:t>。</w:t>
      </w:r>
      <w:bookmarkEnd w:id="34"/>
      <w:bookmarkEnd w:id="35"/>
      <w:bookmarkEnd w:id="36"/>
      <w:bookmarkEnd w:id="37"/>
      <w:bookmarkEnd w:id="38"/>
      <w:bookmarkEnd w:id="39"/>
      <w:bookmarkEnd w:id="40"/>
    </w:p>
    <w:p w14:paraId="516976D5">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lang w:eastAsia="zh-CN"/>
        </w:rPr>
      </w:pPr>
      <w:bookmarkStart w:id="41" w:name="_Toc106184808"/>
      <w:bookmarkStart w:id="42" w:name="_Toc9668"/>
      <w:bookmarkStart w:id="43" w:name="_Toc16219"/>
      <w:bookmarkStart w:id="44" w:name="_Toc21126"/>
      <w:r>
        <w:rPr>
          <w:rFonts w:hint="eastAsia" w:ascii="宋体" w:hAnsi="宋体" w:eastAsia="宋体" w:cs="宋体"/>
          <w:b/>
          <w:color w:val="auto"/>
          <w:sz w:val="24"/>
        </w:rPr>
        <w:t>2</w:t>
      </w:r>
      <w:r>
        <w:rPr>
          <w:rFonts w:hint="eastAsia" w:ascii="宋体" w:hAnsi="宋体" w:eastAsia="宋体" w:cs="宋体"/>
          <w:b/>
          <w:color w:val="auto"/>
          <w:sz w:val="24"/>
          <w:lang w:val="en-US" w:eastAsia="zh-CN"/>
        </w:rPr>
        <w:t>.</w:t>
      </w:r>
      <w:r>
        <w:rPr>
          <w:rFonts w:hint="eastAsia" w:ascii="宋体" w:hAnsi="宋体" w:eastAsia="宋体" w:cs="宋体"/>
          <w:b/>
          <w:color w:val="auto"/>
          <w:sz w:val="24"/>
        </w:rPr>
        <w:t>招标范围</w:t>
      </w:r>
      <w:bookmarkEnd w:id="41"/>
      <w:bookmarkEnd w:id="42"/>
      <w:bookmarkEnd w:id="43"/>
      <w:bookmarkEnd w:id="44"/>
      <w:bookmarkStart w:id="45" w:name="_Hlt91408212"/>
      <w:bookmarkEnd w:id="45"/>
    </w:p>
    <w:p w14:paraId="38E6A85F">
      <w:pPr>
        <w:pStyle w:val="130"/>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rPr>
      </w:pPr>
      <w:bookmarkStart w:id="46" w:name="_Toc28822"/>
      <w:r>
        <w:rPr>
          <w:rFonts w:hint="eastAsia" w:ascii="宋体" w:hAnsi="宋体" w:eastAsia="宋体" w:cs="宋体"/>
          <w:snapToGrid w:val="0"/>
          <w:color w:val="auto"/>
          <w:kern w:val="0"/>
          <w:sz w:val="24"/>
        </w:rPr>
        <w:t>本项目所涉及的内容包括但不限于以下：</w:t>
      </w:r>
    </w:p>
    <w:p w14:paraId="1140CD77">
      <w:pPr>
        <w:pStyle w:val="130"/>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设计部分：</w:t>
      </w:r>
    </w:p>
    <w:p w14:paraId="3F00A7F5">
      <w:pPr>
        <w:pStyle w:val="130"/>
        <w:keepNext w:val="0"/>
        <w:keepLines w:val="0"/>
        <w:pageBreakBefore w:val="0"/>
        <w:widowControl w:val="0"/>
        <w:kinsoku/>
        <w:wordWrap w:val="0"/>
        <w:overflowPunct/>
        <w:topLinePunct w:val="0"/>
        <w:autoSpaceDE/>
        <w:autoSpaceDN/>
        <w:bidi w:val="0"/>
        <w:adjustRightInd w:val="0"/>
        <w:snapToGrid w:val="0"/>
        <w:spacing w:line="336" w:lineRule="auto"/>
        <w:ind w:left="0" w:leftChars="0" w:firstLine="480" w:firstLineChars="200"/>
        <w:jc w:val="left"/>
        <w:textAlignment w:val="auto"/>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① 确保项目顺利实施的报建、报批、施工等所需的设计文件（含初步设计文件及概算、施工图设计文件）及施工图审查（若需要）并确保审查合格。</w:t>
      </w:r>
    </w:p>
    <w:p w14:paraId="754DFED3">
      <w:pPr>
        <w:pStyle w:val="130"/>
        <w:keepNext w:val="0"/>
        <w:keepLines w:val="0"/>
        <w:pageBreakBefore w:val="0"/>
        <w:widowControl w:val="0"/>
        <w:kinsoku/>
        <w:wordWrap w:val="0"/>
        <w:overflowPunct/>
        <w:topLinePunct w:val="0"/>
        <w:autoSpaceDE/>
        <w:autoSpaceDN/>
        <w:bidi w:val="0"/>
        <w:adjustRightInd w:val="0"/>
        <w:snapToGrid w:val="0"/>
        <w:spacing w:line="336" w:lineRule="auto"/>
        <w:ind w:left="0" w:leftChars="0" w:firstLine="480" w:firstLineChars="200"/>
        <w:jc w:val="left"/>
        <w:textAlignment w:val="auto"/>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② 此部分所需相关检测项的明细表。</w:t>
      </w:r>
    </w:p>
    <w:p w14:paraId="247848C0">
      <w:pPr>
        <w:pStyle w:val="130"/>
        <w:keepNext w:val="0"/>
        <w:keepLines w:val="0"/>
        <w:pageBreakBefore w:val="0"/>
        <w:widowControl w:val="0"/>
        <w:kinsoku/>
        <w:wordWrap w:val="0"/>
        <w:overflowPunct/>
        <w:topLinePunct w:val="0"/>
        <w:autoSpaceDE/>
        <w:autoSpaceDN/>
        <w:bidi w:val="0"/>
        <w:adjustRightInd w:val="0"/>
        <w:snapToGrid w:val="0"/>
        <w:spacing w:line="336" w:lineRule="auto"/>
        <w:ind w:left="0" w:leftChars="0" w:firstLine="480" w:firstLineChars="200"/>
        <w:jc w:val="left"/>
        <w:textAlignment w:val="auto"/>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③ 调整并优化设计和在工程施工期间指导和解决施工难题。</w:t>
      </w:r>
    </w:p>
    <w:p w14:paraId="55686B52">
      <w:pPr>
        <w:pStyle w:val="130"/>
        <w:keepNext w:val="0"/>
        <w:keepLines w:val="0"/>
        <w:pageBreakBefore w:val="0"/>
        <w:widowControl w:val="0"/>
        <w:kinsoku/>
        <w:wordWrap w:val="0"/>
        <w:overflowPunct/>
        <w:topLinePunct w:val="0"/>
        <w:autoSpaceDE/>
        <w:autoSpaceDN/>
        <w:bidi w:val="0"/>
        <w:adjustRightInd w:val="0"/>
        <w:snapToGrid w:val="0"/>
        <w:spacing w:line="336" w:lineRule="auto"/>
        <w:ind w:left="0" w:leftChars="0" w:firstLine="480" w:firstLineChars="200"/>
        <w:jc w:val="left"/>
        <w:textAlignment w:val="auto"/>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④ 配合阶段验收及档案整理、协助施工单位编制竣工图及后续设计服务工作。</w:t>
      </w:r>
    </w:p>
    <w:p w14:paraId="7BD49D92">
      <w:pPr>
        <w:pStyle w:val="130"/>
        <w:keepNext w:val="0"/>
        <w:keepLines w:val="0"/>
        <w:pageBreakBefore w:val="0"/>
        <w:widowControl w:val="0"/>
        <w:kinsoku/>
        <w:wordWrap w:val="0"/>
        <w:overflowPunct/>
        <w:topLinePunct w:val="0"/>
        <w:autoSpaceDE/>
        <w:autoSpaceDN/>
        <w:bidi w:val="0"/>
        <w:adjustRightInd w:val="0"/>
        <w:snapToGrid w:val="0"/>
        <w:spacing w:line="336" w:lineRule="auto"/>
        <w:ind w:left="0" w:leftChars="0" w:firstLine="480" w:firstLineChars="200"/>
        <w:jc w:val="left"/>
        <w:textAlignment w:val="auto"/>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⑤ 完成招标人提出的与项目相关并确保项目顺利实施的其他要求。</w:t>
      </w:r>
    </w:p>
    <w:p w14:paraId="27AC020A">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47" w:name="_Toc17080"/>
      <w:bookmarkStart w:id="48" w:name="_Toc4251"/>
      <w:r>
        <w:rPr>
          <w:rFonts w:hint="eastAsia" w:ascii="宋体" w:hAnsi="宋体" w:eastAsia="宋体" w:cs="宋体"/>
          <w:b/>
          <w:color w:val="auto"/>
          <w:sz w:val="24"/>
        </w:rPr>
        <w:t>3</w:t>
      </w:r>
      <w:bookmarkEnd w:id="46"/>
      <w:bookmarkStart w:id="49" w:name="_Hlt66187826"/>
      <w:bookmarkEnd w:id="49"/>
      <w:r>
        <w:rPr>
          <w:rFonts w:hint="eastAsia" w:ascii="宋体" w:hAnsi="宋体" w:eastAsia="宋体" w:cs="宋体"/>
          <w:b/>
          <w:color w:val="auto"/>
          <w:sz w:val="24"/>
          <w:lang w:val="en-US" w:eastAsia="zh-CN"/>
        </w:rPr>
        <w:t>.</w:t>
      </w:r>
      <w:r>
        <w:rPr>
          <w:rFonts w:hint="eastAsia" w:ascii="宋体" w:hAnsi="宋体" w:eastAsia="宋体" w:cs="宋体"/>
          <w:b/>
          <w:color w:val="auto"/>
          <w:sz w:val="24"/>
        </w:rPr>
        <w:t>工期要求</w:t>
      </w:r>
      <w:bookmarkEnd w:id="47"/>
      <w:bookmarkEnd w:id="48"/>
      <w:bookmarkStart w:id="50" w:name="_Toc22115"/>
    </w:p>
    <w:p w14:paraId="5F21C898">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3.1</w:t>
      </w:r>
      <w:r>
        <w:rPr>
          <w:rFonts w:hint="eastAsia" w:ascii="宋体" w:hAnsi="宋体" w:eastAsia="宋体" w:cs="宋体"/>
          <w:snapToGrid w:val="0"/>
          <w:color w:val="auto"/>
          <w:kern w:val="0"/>
          <w:sz w:val="24"/>
        </w:rPr>
        <w:t>工期：</w:t>
      </w:r>
      <w:r>
        <w:rPr>
          <w:rFonts w:hint="eastAsia" w:ascii="宋体" w:hAnsi="宋体" w:cs="宋体"/>
          <w:snapToGrid w:val="0"/>
          <w:color w:val="auto"/>
          <w:kern w:val="0"/>
          <w:sz w:val="24"/>
          <w:lang w:val="en-US" w:eastAsia="zh-CN"/>
        </w:rPr>
        <w:t>设</w:t>
      </w:r>
      <w:r>
        <w:rPr>
          <w:rFonts w:hint="eastAsia" w:ascii="宋体" w:hAnsi="宋体" w:eastAsia="宋体" w:cs="宋体"/>
          <w:snapToGrid w:val="0"/>
          <w:color w:val="auto"/>
          <w:kern w:val="0"/>
          <w:sz w:val="24"/>
          <w:lang w:eastAsia="zh-CN"/>
        </w:rPr>
        <w:t>计总工期共</w:t>
      </w:r>
      <w:r>
        <w:rPr>
          <w:rFonts w:hint="eastAsia" w:ascii="宋体" w:hAnsi="宋体" w:cs="宋体"/>
          <w:snapToGrid w:val="0"/>
          <w:color w:val="auto"/>
          <w:kern w:val="0"/>
          <w:sz w:val="24"/>
          <w:lang w:val="en-US" w:eastAsia="zh-CN"/>
        </w:rPr>
        <w:t>50</w:t>
      </w:r>
      <w:r>
        <w:rPr>
          <w:rFonts w:hint="eastAsia" w:ascii="宋体" w:hAnsi="宋体" w:eastAsia="宋体" w:cs="宋体"/>
          <w:snapToGrid w:val="0"/>
          <w:color w:val="auto"/>
          <w:kern w:val="0"/>
          <w:sz w:val="24"/>
          <w:lang w:eastAsia="zh-CN"/>
        </w:rPr>
        <w:t>日历天</w:t>
      </w:r>
      <w:r>
        <w:rPr>
          <w:rFonts w:hint="eastAsia" w:ascii="宋体" w:hAnsi="宋体" w:eastAsia="宋体" w:cs="宋体"/>
          <w:snapToGrid w:val="0"/>
          <w:color w:val="auto"/>
          <w:kern w:val="0"/>
          <w:sz w:val="24"/>
        </w:rPr>
        <w:t>。工期从中标通知书发出之日起计算，至提交符合招标人及审图机构要求的施工图设计文件之日止（每一步设计工作，必须经招标人及有关部门审核批准后方可实施）。</w:t>
      </w:r>
    </w:p>
    <w:p w14:paraId="6905E984">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 xml:space="preserve">（1）初步设计阶段：自领取中标通知书之日起 </w:t>
      </w:r>
      <w:r>
        <w:rPr>
          <w:rFonts w:hint="eastAsia" w:ascii="宋体" w:hAnsi="宋体" w:eastAsia="宋体" w:cs="宋体"/>
          <w:snapToGrid w:val="0"/>
          <w:color w:val="auto"/>
          <w:kern w:val="0"/>
          <w:sz w:val="24"/>
          <w:lang w:val="en-US" w:eastAsia="zh-CN"/>
        </w:rPr>
        <w:t>25</w:t>
      </w:r>
      <w:r>
        <w:rPr>
          <w:rFonts w:hint="eastAsia" w:ascii="宋体" w:hAnsi="宋体" w:eastAsia="宋体" w:cs="宋体"/>
          <w:snapToGrid w:val="0"/>
          <w:color w:val="auto"/>
          <w:kern w:val="0"/>
          <w:sz w:val="24"/>
        </w:rPr>
        <w:t>个日历天内必须完成并提交初步设计（含概算）文件。</w:t>
      </w:r>
    </w:p>
    <w:p w14:paraId="0BFB10FF">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rPr>
        <w:t>（2）施工图设计阶段：自初步设计文件批复之日起</w:t>
      </w:r>
      <w:r>
        <w:rPr>
          <w:rFonts w:hint="eastAsia" w:ascii="宋体" w:hAnsi="宋体" w:eastAsia="宋体" w:cs="宋体"/>
          <w:snapToGrid w:val="0"/>
          <w:color w:val="auto"/>
          <w:kern w:val="0"/>
          <w:sz w:val="24"/>
          <w:lang w:val="en-US" w:eastAsia="zh-CN"/>
        </w:rPr>
        <w:t>20</w:t>
      </w:r>
      <w:r>
        <w:rPr>
          <w:rFonts w:hint="eastAsia" w:ascii="宋体" w:hAnsi="宋体" w:eastAsia="宋体" w:cs="宋体"/>
          <w:snapToGrid w:val="0"/>
          <w:color w:val="auto"/>
          <w:kern w:val="0"/>
          <w:sz w:val="24"/>
        </w:rPr>
        <w:t>个日历天内完成施工图送审文件。</w:t>
      </w:r>
    </w:p>
    <w:p w14:paraId="0DEFAC67">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hint="eastAsia" w:ascii="宋体" w:hAnsi="宋体" w:cs="宋体"/>
          <w:snapToGrid w:val="0"/>
          <w:color w:val="auto"/>
          <w:kern w:val="0"/>
          <w:sz w:val="24"/>
          <w:lang w:val="en-US" w:eastAsia="zh-CN"/>
        </w:rPr>
        <w:t>3</w:t>
      </w:r>
      <w:r>
        <w:rPr>
          <w:rFonts w:hint="eastAsia" w:ascii="宋体" w:hAnsi="宋体" w:eastAsia="宋体" w:cs="宋体"/>
          <w:snapToGrid w:val="0"/>
          <w:color w:val="auto"/>
          <w:kern w:val="0"/>
          <w:sz w:val="24"/>
        </w:rPr>
        <w:t>）施工图成果文件：施工图审查完成后</w:t>
      </w:r>
      <w:r>
        <w:rPr>
          <w:rFonts w:hint="eastAsia" w:ascii="宋体" w:hAnsi="宋体" w:cs="宋体"/>
          <w:snapToGrid w:val="0"/>
          <w:color w:val="auto"/>
          <w:kern w:val="0"/>
          <w:sz w:val="24"/>
          <w:u w:val="single"/>
          <w:lang w:val="en-US" w:eastAsia="zh-CN"/>
        </w:rPr>
        <w:t>5</w:t>
      </w:r>
      <w:r>
        <w:rPr>
          <w:rFonts w:hint="eastAsia" w:ascii="宋体" w:hAnsi="宋体" w:eastAsia="宋体" w:cs="宋体"/>
          <w:snapToGrid w:val="0"/>
          <w:color w:val="auto"/>
          <w:kern w:val="0"/>
          <w:sz w:val="24"/>
        </w:rPr>
        <w:t>个日历天内必须提交施工图正式成果文件。</w:t>
      </w:r>
    </w:p>
    <w:p w14:paraId="13F3F962">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hint="eastAsia" w:ascii="宋体" w:hAnsi="宋体" w:cs="宋体"/>
          <w:snapToGrid w:val="0"/>
          <w:color w:val="auto"/>
          <w:kern w:val="0"/>
          <w:sz w:val="24"/>
          <w:lang w:val="en-US" w:eastAsia="zh-CN"/>
        </w:rPr>
        <w:t>4</w:t>
      </w:r>
      <w:r>
        <w:rPr>
          <w:rFonts w:hint="eastAsia" w:ascii="宋体" w:hAnsi="宋体" w:eastAsia="宋体" w:cs="宋体"/>
          <w:snapToGrid w:val="0"/>
          <w:color w:val="auto"/>
          <w:kern w:val="0"/>
          <w:sz w:val="24"/>
        </w:rPr>
        <w:t>）施工现场配合服务：项目施工及缺陷责任期内。</w:t>
      </w:r>
    </w:p>
    <w:p w14:paraId="29306088">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备注：设计总工期不包含相关部门审批时间和初步设计审查及施工图审查时间。</w:t>
      </w:r>
    </w:p>
    <w:p w14:paraId="07F77472">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51" w:name="_Toc15838"/>
      <w:bookmarkStart w:id="52" w:name="_Toc8356"/>
      <w:r>
        <w:rPr>
          <w:rFonts w:hint="eastAsia" w:ascii="宋体" w:hAnsi="宋体" w:eastAsia="宋体" w:cs="宋体"/>
          <w:b/>
          <w:color w:val="auto"/>
          <w:sz w:val="24"/>
        </w:rPr>
        <w:t>4</w:t>
      </w:r>
      <w:bookmarkEnd w:id="50"/>
      <w:bookmarkStart w:id="53" w:name="_Hlt74496495"/>
      <w:bookmarkEnd w:id="53"/>
      <w:r>
        <w:rPr>
          <w:rFonts w:hint="eastAsia" w:ascii="宋体" w:hAnsi="宋体" w:eastAsia="宋体" w:cs="宋体"/>
          <w:b/>
          <w:color w:val="auto"/>
          <w:sz w:val="24"/>
          <w:lang w:val="en-US" w:eastAsia="zh-CN"/>
        </w:rPr>
        <w:t>.</w:t>
      </w:r>
      <w:r>
        <w:rPr>
          <w:rFonts w:hint="eastAsia" w:ascii="宋体" w:hAnsi="宋体" w:eastAsia="宋体" w:cs="宋体"/>
          <w:b/>
          <w:color w:val="auto"/>
          <w:sz w:val="24"/>
        </w:rPr>
        <w:t>投标人资</w:t>
      </w:r>
      <w:r>
        <w:rPr>
          <w:rFonts w:hint="eastAsia" w:ascii="宋体" w:hAnsi="宋体" w:eastAsia="宋体" w:cs="宋体"/>
          <w:b/>
          <w:color w:val="auto"/>
          <w:sz w:val="24"/>
          <w:lang w:eastAsia="zh-CN"/>
        </w:rPr>
        <w:t>格</w:t>
      </w:r>
      <w:r>
        <w:rPr>
          <w:rFonts w:hint="eastAsia" w:ascii="宋体" w:hAnsi="宋体" w:eastAsia="宋体" w:cs="宋体"/>
          <w:b/>
          <w:color w:val="auto"/>
          <w:sz w:val="24"/>
        </w:rPr>
        <w:t>员要求</w:t>
      </w:r>
      <w:bookmarkEnd w:id="51"/>
      <w:bookmarkEnd w:id="52"/>
      <w:bookmarkStart w:id="54" w:name="_Toc11378"/>
    </w:p>
    <w:bookmarkEnd w:id="54"/>
    <w:p w14:paraId="0BC65699">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lang w:val="en-US" w:eastAsia="zh-CN"/>
        </w:rPr>
      </w:pPr>
      <w:bookmarkStart w:id="55" w:name="_Toc4341"/>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snapToGrid w:val="0"/>
          <w:color w:val="auto"/>
          <w:kern w:val="0"/>
          <w:sz w:val="24"/>
          <w:lang w:val="en-US" w:eastAsia="zh-CN"/>
        </w:rPr>
        <w:t>.1</w:t>
      </w:r>
      <w:r>
        <w:rPr>
          <w:rFonts w:hint="eastAsia" w:ascii="宋体" w:hAnsi="宋体" w:eastAsia="宋体" w:cs="宋体"/>
          <w:b w:val="0"/>
          <w:bCs w:val="0"/>
          <w:snapToGrid w:val="0"/>
          <w:color w:val="auto"/>
          <w:kern w:val="0"/>
          <w:sz w:val="24"/>
          <w:lang w:val="en-US" w:eastAsia="zh-CN"/>
        </w:rPr>
        <w:t>本次招标</w:t>
      </w:r>
      <w:r>
        <w:rPr>
          <w:rFonts w:hint="eastAsia" w:ascii="宋体" w:hAnsi="宋体" w:eastAsia="宋体" w:cs="宋体"/>
          <w:b w:val="0"/>
          <w:bCs w:val="0"/>
          <w:snapToGrid w:val="0"/>
          <w:color w:val="auto"/>
          <w:kern w:val="0"/>
          <w:sz w:val="24"/>
          <w:u w:val="single"/>
          <w:lang w:val="en-US" w:eastAsia="zh-CN"/>
        </w:rPr>
        <w:t>不接受</w:t>
      </w:r>
      <w:r>
        <w:rPr>
          <w:rFonts w:hint="eastAsia" w:ascii="宋体" w:hAnsi="宋体" w:eastAsia="宋体" w:cs="宋体"/>
          <w:b w:val="0"/>
          <w:bCs w:val="0"/>
          <w:snapToGrid w:val="0"/>
          <w:color w:val="auto"/>
          <w:kern w:val="0"/>
          <w:sz w:val="24"/>
          <w:lang w:val="en-US" w:eastAsia="zh-CN"/>
        </w:rPr>
        <w:t>联合体投标。</w:t>
      </w:r>
    </w:p>
    <w:p w14:paraId="7EDE7CFD">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lang w:val="en-US" w:eastAsia="zh-CN"/>
        </w:rPr>
      </w:pPr>
      <w:r>
        <w:rPr>
          <w:rFonts w:hint="eastAsia" w:ascii="宋体" w:hAnsi="宋体" w:eastAsia="宋体" w:cs="宋体"/>
          <w:b/>
          <w:bCs/>
          <w:snapToGrid w:val="0"/>
          <w:color w:val="auto"/>
          <w:kern w:val="0"/>
          <w:sz w:val="24"/>
          <w:lang w:val="en-US" w:eastAsia="zh-CN"/>
        </w:rPr>
        <w:t>4.2</w:t>
      </w:r>
      <w:r>
        <w:rPr>
          <w:rFonts w:hint="eastAsia" w:ascii="宋体" w:hAnsi="宋体" w:eastAsia="宋体" w:cs="宋体"/>
          <w:snapToGrid w:val="0"/>
          <w:color w:val="auto"/>
          <w:kern w:val="0"/>
          <w:sz w:val="24"/>
          <w:lang w:val="en-US" w:eastAsia="zh-CN"/>
        </w:rPr>
        <w:t>资质要求</w:t>
      </w:r>
    </w:p>
    <w:p w14:paraId="1DB961BC">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4.2.1</w:t>
      </w:r>
      <w:r>
        <w:rPr>
          <w:rFonts w:hint="eastAsia" w:ascii="宋体" w:hAnsi="宋体" w:eastAsia="宋体" w:cs="宋体"/>
          <w:snapToGrid w:val="0"/>
          <w:color w:val="auto"/>
          <w:kern w:val="0"/>
          <w:sz w:val="24"/>
        </w:rPr>
        <w:t>投标人须具备独立法人资格，按国家法律经营。</w:t>
      </w:r>
    </w:p>
    <w:p w14:paraId="66262FEF">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lang w:val="en-US" w:eastAsia="zh-CN"/>
        </w:rPr>
      </w:pPr>
      <w:r>
        <w:rPr>
          <w:rFonts w:hint="eastAsia" w:ascii="宋体" w:hAnsi="宋体" w:eastAsia="宋体" w:cs="宋体"/>
          <w:b/>
          <w:bCs/>
          <w:snapToGrid w:val="0"/>
          <w:color w:val="auto"/>
          <w:kern w:val="0"/>
          <w:sz w:val="24"/>
          <w:lang w:val="en-US" w:eastAsia="zh-CN"/>
        </w:rPr>
        <w:t>4.2.2</w:t>
      </w:r>
      <w:r>
        <w:rPr>
          <w:rFonts w:hint="eastAsia" w:ascii="宋体" w:hAnsi="宋体" w:eastAsia="宋体" w:cs="宋体"/>
          <w:snapToGrid w:val="0"/>
          <w:color w:val="auto"/>
          <w:kern w:val="0"/>
          <w:sz w:val="24"/>
          <w:lang w:val="en-US" w:eastAsia="zh-CN"/>
        </w:rPr>
        <w:t xml:space="preserve"> </w:t>
      </w:r>
      <w:r>
        <w:rPr>
          <w:rFonts w:hint="eastAsia" w:ascii="宋体" w:hAnsi="宋体" w:eastAsia="宋体" w:cs="宋体"/>
          <w:snapToGrid w:val="0"/>
          <w:color w:val="auto"/>
          <w:kern w:val="0"/>
          <w:sz w:val="24"/>
        </w:rPr>
        <w:t>设计资质必须具备建设行政主管部门颁发的以下资质之一：</w:t>
      </w:r>
    </w:p>
    <w:p w14:paraId="38219B37">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lang w:val="en-US" w:eastAsia="zh-CN"/>
        </w:rPr>
        <w:t>a、</w:t>
      </w:r>
      <w:r>
        <w:rPr>
          <w:rFonts w:hint="eastAsia" w:ascii="宋体" w:hAnsi="宋体" w:eastAsia="宋体" w:cs="宋体"/>
          <w:snapToGrid w:val="0"/>
          <w:color w:val="auto"/>
          <w:kern w:val="0"/>
          <w:sz w:val="24"/>
        </w:rPr>
        <w:t>工程设计综合甲级资质</w:t>
      </w:r>
      <w:r>
        <w:rPr>
          <w:rFonts w:hint="eastAsia" w:ascii="宋体" w:hAnsi="宋体" w:eastAsia="宋体" w:cs="宋体"/>
          <w:snapToGrid w:val="0"/>
          <w:color w:val="auto"/>
          <w:kern w:val="0"/>
          <w:sz w:val="24"/>
          <w:lang w:eastAsia="zh-CN"/>
        </w:rPr>
        <w:t>；</w:t>
      </w:r>
    </w:p>
    <w:p w14:paraId="2F50F9BE">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b、工程设计市政行业乙级以上（含乙级）资质</w:t>
      </w:r>
      <w:r>
        <w:rPr>
          <w:rFonts w:hint="eastAsia" w:ascii="宋体" w:hAnsi="宋体" w:eastAsia="宋体" w:cs="宋体"/>
          <w:snapToGrid w:val="0"/>
          <w:color w:val="auto"/>
          <w:kern w:val="0"/>
          <w:sz w:val="24"/>
          <w:lang w:eastAsia="zh-CN"/>
        </w:rPr>
        <w:t>；</w:t>
      </w:r>
    </w:p>
    <w:p w14:paraId="39814CB0">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c、工程设计市政行业乙级（燃气工程、轨道交通工程除外）以上（含乙级）资质；</w:t>
      </w:r>
    </w:p>
    <w:p w14:paraId="2ECA19C2">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d、工程设计市政行业（道路工程）专业乙级以上（含乙级）资质。</w:t>
      </w:r>
    </w:p>
    <w:p w14:paraId="5779BB0B">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val="en-US" w:eastAsia="zh-CN"/>
        </w:rPr>
      </w:pPr>
      <w:r>
        <w:rPr>
          <w:rFonts w:hint="eastAsia" w:ascii="宋体" w:hAnsi="宋体" w:cs="宋体"/>
          <w:snapToGrid w:val="0"/>
          <w:color w:val="auto"/>
          <w:kern w:val="0"/>
          <w:sz w:val="24"/>
          <w:lang w:val="en-US" w:eastAsia="zh-CN"/>
        </w:rPr>
        <w:t>e</w:t>
      </w:r>
      <w:r>
        <w:rPr>
          <w:rFonts w:hint="eastAsia" w:ascii="宋体" w:hAnsi="宋体" w:eastAsia="宋体" w:cs="宋体"/>
          <w:snapToGrid w:val="0"/>
          <w:color w:val="auto"/>
          <w:kern w:val="0"/>
          <w:sz w:val="24"/>
          <w:lang w:val="en-US" w:eastAsia="zh-CN"/>
        </w:rPr>
        <w:t>、工程设计市政行业（排水工程）专业乙级以上（含乙级）资质。</w:t>
      </w:r>
    </w:p>
    <w:p w14:paraId="5978796F">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b w:val="0"/>
          <w:bCs w:val="0"/>
          <w:snapToGrid w:val="0"/>
          <w:color w:val="auto"/>
          <w:kern w:val="0"/>
          <w:sz w:val="24"/>
          <w:lang w:val="en-US" w:eastAsia="zh-CN"/>
        </w:rPr>
      </w:pPr>
      <w:r>
        <w:rPr>
          <w:rFonts w:hint="eastAsia" w:ascii="宋体" w:hAnsi="宋体" w:eastAsia="宋体" w:cs="宋体"/>
          <w:b/>
          <w:bCs/>
          <w:snapToGrid w:val="0"/>
          <w:color w:val="auto"/>
          <w:kern w:val="0"/>
          <w:sz w:val="24"/>
          <w:lang w:val="en-US" w:eastAsia="zh-CN"/>
        </w:rPr>
        <w:t>4.3</w:t>
      </w:r>
      <w:r>
        <w:rPr>
          <w:rFonts w:hint="eastAsia" w:ascii="宋体" w:hAnsi="宋体" w:eastAsia="宋体" w:cs="宋体"/>
          <w:b w:val="0"/>
          <w:bCs w:val="0"/>
          <w:snapToGrid w:val="0"/>
          <w:color w:val="auto"/>
          <w:kern w:val="0"/>
          <w:sz w:val="24"/>
          <w:lang w:val="en-US" w:eastAsia="zh-CN"/>
        </w:rPr>
        <w:t>相关人员要求</w:t>
      </w:r>
    </w:p>
    <w:p w14:paraId="195A7D5F">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highlight w:val="none"/>
          <w:u w:val="none" w:color="FFFFFF"/>
          <w:lang w:eastAsia="zh-CN"/>
        </w:rPr>
      </w:pPr>
      <w:r>
        <w:rPr>
          <w:rFonts w:hint="eastAsia" w:ascii="宋体" w:hAnsi="宋体" w:eastAsia="宋体" w:cs="宋体"/>
          <w:b/>
          <w:bCs/>
          <w:snapToGrid w:val="0"/>
          <w:color w:val="auto"/>
          <w:kern w:val="0"/>
          <w:sz w:val="24"/>
          <w:lang w:val="en-US" w:eastAsia="zh-CN"/>
        </w:rPr>
        <w:t>4.3.1</w:t>
      </w:r>
      <w:r>
        <w:rPr>
          <w:rFonts w:hint="eastAsia" w:ascii="宋体" w:hAnsi="宋体" w:eastAsia="宋体" w:cs="宋体"/>
          <w:b w:val="0"/>
          <w:bCs w:val="0"/>
          <w:snapToGrid w:val="0"/>
          <w:color w:val="auto"/>
          <w:kern w:val="0"/>
          <w:sz w:val="24"/>
          <w:lang w:val="en-US" w:eastAsia="zh-CN"/>
        </w:rPr>
        <w:t>拟委派担任本工程的项目负责人（即设计负责人）须</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u w:val="none"/>
        </w:rPr>
        <w:t>给水排水设计专业高级工程师</w:t>
      </w:r>
      <w:r>
        <w:rPr>
          <w:rFonts w:hint="eastAsia" w:ascii="宋体" w:hAnsi="宋体" w:eastAsia="宋体" w:cs="宋体"/>
          <w:color w:val="auto"/>
          <w:sz w:val="24"/>
          <w:szCs w:val="24"/>
          <w:highlight w:val="none"/>
          <w:u w:val="none"/>
          <w:lang w:val="en-US" w:eastAsia="zh-CN"/>
        </w:rPr>
        <w:t>或以上</w:t>
      </w:r>
      <w:r>
        <w:rPr>
          <w:rFonts w:hint="eastAsia" w:ascii="宋体" w:hAnsi="宋体" w:eastAsia="宋体" w:cs="宋体"/>
          <w:color w:val="auto"/>
          <w:sz w:val="24"/>
          <w:szCs w:val="24"/>
          <w:highlight w:val="none"/>
          <w:u w:val="none"/>
        </w:rPr>
        <w:t>技术职称或</w:t>
      </w:r>
      <w:r>
        <w:rPr>
          <w:rFonts w:hint="eastAsia" w:ascii="宋体" w:hAnsi="宋体" w:eastAsia="宋体" w:cs="宋体"/>
          <w:color w:val="auto"/>
          <w:sz w:val="24"/>
          <w:szCs w:val="24"/>
          <w:highlight w:val="none"/>
          <w:u w:val="none"/>
          <w:lang w:eastAsia="zh-CN"/>
        </w:rPr>
        <w:t>市政</w:t>
      </w:r>
      <w:r>
        <w:rPr>
          <w:rFonts w:hint="eastAsia" w:ascii="宋体" w:hAnsi="宋体" w:eastAsia="宋体" w:cs="宋体"/>
          <w:color w:val="auto"/>
          <w:sz w:val="24"/>
          <w:szCs w:val="24"/>
          <w:highlight w:val="none"/>
          <w:u w:val="none"/>
          <w:lang w:val="en-US" w:eastAsia="zh-CN"/>
        </w:rPr>
        <w:t>路桥设计</w:t>
      </w:r>
      <w:r>
        <w:rPr>
          <w:rFonts w:hint="eastAsia" w:ascii="宋体" w:hAnsi="宋体" w:eastAsia="宋体" w:cs="宋体"/>
          <w:color w:val="auto"/>
          <w:sz w:val="24"/>
          <w:szCs w:val="24"/>
          <w:highlight w:val="none"/>
          <w:u w:val="none"/>
        </w:rPr>
        <w:t>专业高级工程师</w:t>
      </w:r>
      <w:r>
        <w:rPr>
          <w:rFonts w:hint="eastAsia" w:ascii="宋体" w:hAnsi="宋体" w:eastAsia="宋体" w:cs="宋体"/>
          <w:color w:val="auto"/>
          <w:sz w:val="24"/>
          <w:szCs w:val="24"/>
          <w:highlight w:val="none"/>
          <w:u w:val="none"/>
          <w:lang w:val="en-US" w:eastAsia="zh-CN"/>
        </w:rPr>
        <w:t>或以上</w:t>
      </w:r>
      <w:r>
        <w:rPr>
          <w:rFonts w:hint="eastAsia" w:ascii="宋体" w:hAnsi="宋体" w:eastAsia="宋体" w:cs="宋体"/>
          <w:color w:val="auto"/>
          <w:sz w:val="24"/>
          <w:szCs w:val="24"/>
          <w:highlight w:val="none"/>
          <w:u w:val="none"/>
        </w:rPr>
        <w:t>技</w:t>
      </w:r>
      <w:r>
        <w:rPr>
          <w:rFonts w:hint="eastAsia" w:ascii="宋体" w:hAnsi="宋体" w:eastAsia="宋体" w:cs="宋体"/>
          <w:color w:val="auto"/>
          <w:sz w:val="24"/>
          <w:szCs w:val="24"/>
          <w:highlight w:val="none"/>
          <w:u w:val="none" w:color="FFFFFF"/>
        </w:rPr>
        <w:t>术职称</w:t>
      </w:r>
      <w:r>
        <w:rPr>
          <w:rFonts w:hint="eastAsia" w:ascii="宋体" w:hAnsi="宋体" w:cs="宋体"/>
          <w:color w:val="auto"/>
          <w:sz w:val="24"/>
          <w:szCs w:val="24"/>
          <w:highlight w:val="none"/>
          <w:u w:val="none" w:color="FFFFFF"/>
          <w:lang w:eastAsia="zh-CN"/>
        </w:rPr>
        <w:t>。</w:t>
      </w:r>
    </w:p>
    <w:p w14:paraId="7636A69A">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b w:val="0"/>
          <w:bCs w:val="0"/>
          <w:snapToGrid w:val="0"/>
          <w:color w:val="auto"/>
          <w:kern w:val="0"/>
          <w:sz w:val="24"/>
          <w:lang w:val="en-US" w:eastAsia="zh-CN"/>
        </w:rPr>
      </w:pPr>
      <w:r>
        <w:rPr>
          <w:rFonts w:hint="eastAsia" w:ascii="宋体" w:hAnsi="宋体" w:eastAsia="宋体" w:cs="宋体"/>
          <w:b/>
          <w:bCs/>
          <w:snapToGrid w:val="0"/>
          <w:color w:val="auto"/>
          <w:kern w:val="0"/>
          <w:sz w:val="24"/>
          <w:lang w:val="en-US" w:eastAsia="zh-CN"/>
        </w:rPr>
        <w:t>4.3.</w:t>
      </w:r>
      <w:r>
        <w:rPr>
          <w:rFonts w:hint="eastAsia" w:ascii="宋体" w:hAnsi="宋体" w:cs="宋体"/>
          <w:b/>
          <w:bCs/>
          <w:snapToGrid w:val="0"/>
          <w:color w:val="auto"/>
          <w:kern w:val="0"/>
          <w:sz w:val="24"/>
          <w:lang w:val="en-US" w:eastAsia="zh-CN"/>
        </w:rPr>
        <w:t>2</w:t>
      </w:r>
      <w:r>
        <w:rPr>
          <w:rFonts w:hint="eastAsia" w:ascii="宋体" w:hAnsi="宋体" w:eastAsia="宋体" w:cs="宋体"/>
          <w:b w:val="0"/>
          <w:bCs w:val="0"/>
          <w:snapToGrid w:val="0"/>
          <w:color w:val="auto"/>
          <w:kern w:val="0"/>
          <w:sz w:val="24"/>
          <w:lang w:val="en-US" w:eastAsia="zh-CN"/>
        </w:rPr>
        <w:t>投标人与其拟派往本项目所有人员之间必须具备合法、唯一的劳动聘用关系。拟派人员中具备注册执业资格的，其注册单位须与投标人保持一致。</w:t>
      </w:r>
    </w:p>
    <w:p w14:paraId="73C9C345">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snapToGrid w:val="0"/>
          <w:color w:val="auto"/>
          <w:kern w:val="0"/>
          <w:sz w:val="24"/>
          <w:lang w:val="en-US" w:eastAsia="zh-CN"/>
        </w:rPr>
      </w:pPr>
      <w:r>
        <w:rPr>
          <w:rFonts w:hint="eastAsia" w:ascii="宋体" w:hAnsi="宋体" w:eastAsia="宋体" w:cs="宋体"/>
          <w:b w:val="0"/>
          <w:bCs w:val="0"/>
          <w:snapToGrid w:val="0"/>
          <w:color w:val="auto"/>
          <w:kern w:val="0"/>
          <w:sz w:val="24"/>
          <w:lang w:val="en-US" w:eastAsia="zh-CN"/>
        </w:rPr>
        <w:t>注：若投标人拟投入本工程团队人员的社保由上级事业单位统一缴纳的，必须提供上级事业单位出具的投标人在编人员社保在上级事业单位缴纳的证明文件及该人员在上级事业单位缴纳的社保证明。</w:t>
      </w:r>
    </w:p>
    <w:p w14:paraId="17745839">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b/>
          <w:bCs/>
          <w:snapToGrid w:val="0"/>
          <w:color w:val="auto"/>
          <w:kern w:val="0"/>
          <w:sz w:val="24"/>
          <w:lang w:eastAsia="zh-CN"/>
        </w:rPr>
        <w:t>4.</w:t>
      </w:r>
      <w:r>
        <w:rPr>
          <w:rFonts w:hint="eastAsia" w:ascii="宋体" w:hAnsi="宋体" w:eastAsia="宋体" w:cs="宋体"/>
          <w:b/>
          <w:bCs/>
          <w:snapToGrid w:val="0"/>
          <w:color w:val="auto"/>
          <w:kern w:val="0"/>
          <w:sz w:val="24"/>
          <w:lang w:val="en-US" w:eastAsia="zh-CN"/>
        </w:rPr>
        <w:t>4</w:t>
      </w:r>
      <w:r>
        <w:rPr>
          <w:rFonts w:hint="eastAsia" w:ascii="宋体" w:hAnsi="宋体" w:eastAsia="宋体" w:cs="宋体"/>
          <w:snapToGrid w:val="0"/>
          <w:color w:val="auto"/>
          <w:kern w:val="0"/>
          <w:sz w:val="24"/>
          <w:lang w:eastAsia="zh-CN"/>
        </w:rPr>
        <w:t>禁止投标条款</w:t>
      </w:r>
    </w:p>
    <w:p w14:paraId="5D176BAB">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b/>
          <w:bCs/>
          <w:snapToGrid w:val="0"/>
          <w:color w:val="auto"/>
          <w:kern w:val="0"/>
          <w:sz w:val="24"/>
          <w:lang w:val="en-US" w:eastAsia="zh-CN"/>
        </w:rPr>
        <w:t>4.</w:t>
      </w:r>
      <w:r>
        <w:rPr>
          <w:rFonts w:hint="eastAsia" w:ascii="宋体" w:hAnsi="宋体" w:eastAsia="宋体" w:cs="宋体"/>
          <w:b/>
          <w:bCs/>
          <w:snapToGrid w:val="0"/>
          <w:color w:val="auto"/>
          <w:kern w:val="0"/>
          <w:sz w:val="24"/>
          <w:lang w:eastAsia="zh-CN"/>
        </w:rPr>
        <w:t>4.1</w:t>
      </w:r>
      <w:r>
        <w:rPr>
          <w:rFonts w:hint="eastAsia" w:ascii="宋体" w:hAnsi="宋体" w:eastAsia="宋体" w:cs="宋体"/>
          <w:snapToGrid w:val="0"/>
          <w:color w:val="auto"/>
          <w:kern w:val="0"/>
          <w:sz w:val="24"/>
          <w:lang w:eastAsia="zh-CN"/>
        </w:rPr>
        <w:t xml:space="preserve"> 投标人不得存在下列情形之一：</w:t>
      </w:r>
    </w:p>
    <w:p w14:paraId="02030DC1">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（1）为招标人不具有独立法人资格的附属机构（单位）；</w:t>
      </w:r>
    </w:p>
    <w:p w14:paraId="1977CB2E">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（2）与招标人存在利害关系且可能影响招标公正性；</w:t>
      </w:r>
    </w:p>
    <w:p w14:paraId="630CF98E">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（3）与本招标项目的其他投标人为同一个单位负责人；</w:t>
      </w:r>
    </w:p>
    <w:p w14:paraId="47AA8028">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（4）与本招标项目的其他投标人存在控股、管理关系；</w:t>
      </w:r>
    </w:p>
    <w:p w14:paraId="3DD7BA56">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（5）为本招标项目的代建人；</w:t>
      </w:r>
    </w:p>
    <w:p w14:paraId="3C154E26">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（6）为本招标项目的招标代理机构；</w:t>
      </w:r>
    </w:p>
    <w:p w14:paraId="4853023F">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（7）与本招标项目的代建人或招标代理机构同为一个法定代表人；</w:t>
      </w:r>
    </w:p>
    <w:p w14:paraId="68D04781">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（8）与本招标项目的代建人或招标代理机构存在控股或参股关系；</w:t>
      </w:r>
    </w:p>
    <w:p w14:paraId="1DC6E57F">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（9）被依法暂停或者取消投标资格；</w:t>
      </w:r>
    </w:p>
    <w:p w14:paraId="04C3E2DA">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（10）被责令停产停业、暂扣或者吊销许可证、暂扣或者吊销执照；</w:t>
      </w:r>
    </w:p>
    <w:p w14:paraId="57E4030D">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（11）进入清算程序，或被宣告破产，或其他丧失履约能力的情形；</w:t>
      </w:r>
    </w:p>
    <w:p w14:paraId="27549BBC">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（12）在最近三年内发生重大质量问题（以相关行业主管部门的行政处罚决定或司法机关出具的有关法律文书为准）；</w:t>
      </w:r>
    </w:p>
    <w:p w14:paraId="55473CFF">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lang w:eastAsia="zh-CN"/>
        </w:rPr>
        <w:t>（13）被“信用中国”网站（https://www.creditchina.gov.cn）发布的《法人和非法人组织公共信用信息报告》列为</w:t>
      </w:r>
      <w:r>
        <w:rPr>
          <w:rFonts w:hint="eastAsia" w:ascii="宋体" w:hAnsi="宋体" w:eastAsia="宋体" w:cs="宋体"/>
          <w:snapToGrid w:val="0"/>
          <w:color w:val="auto"/>
          <w:kern w:val="0"/>
          <w:sz w:val="24"/>
          <w:lang w:val="en-US" w:eastAsia="zh-CN"/>
        </w:rPr>
        <w:t>严重</w:t>
      </w:r>
      <w:r>
        <w:rPr>
          <w:rFonts w:hint="eastAsia" w:ascii="宋体" w:hAnsi="宋体" w:eastAsia="宋体" w:cs="宋体"/>
          <w:snapToGrid w:val="0"/>
          <w:color w:val="auto"/>
          <w:kern w:val="0"/>
          <w:sz w:val="24"/>
          <w:lang w:eastAsia="zh-CN"/>
        </w:rPr>
        <w:t>失信</w:t>
      </w:r>
      <w:r>
        <w:rPr>
          <w:rFonts w:hint="eastAsia" w:ascii="宋体" w:hAnsi="宋体" w:eastAsia="宋体" w:cs="宋体"/>
          <w:snapToGrid w:val="0"/>
          <w:color w:val="auto"/>
          <w:kern w:val="0"/>
          <w:sz w:val="24"/>
          <w:lang w:val="en-US" w:eastAsia="zh-CN"/>
        </w:rPr>
        <w:t>主体名单的</w:t>
      </w:r>
      <w:r>
        <w:rPr>
          <w:rFonts w:hint="eastAsia" w:ascii="宋体" w:hAnsi="宋体" w:eastAsia="宋体" w:cs="宋体"/>
          <w:snapToGrid w:val="0"/>
          <w:color w:val="auto"/>
          <w:kern w:val="0"/>
          <w:sz w:val="24"/>
          <w:lang w:eastAsia="zh-CN"/>
        </w:rPr>
        <w:t>。</w:t>
      </w:r>
    </w:p>
    <w:p w14:paraId="34DB2381">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snapToGrid w:val="0"/>
          <w:color w:val="auto"/>
          <w:kern w:val="0"/>
          <w:sz w:val="24"/>
          <w:lang w:val="en-US" w:eastAsia="zh-CN"/>
        </w:rPr>
        <w:t>4.</w:t>
      </w:r>
      <w:r>
        <w:rPr>
          <w:rFonts w:hint="eastAsia" w:ascii="宋体" w:hAnsi="宋体" w:eastAsia="宋体" w:cs="宋体"/>
          <w:b/>
          <w:bCs/>
          <w:snapToGrid w:val="0"/>
          <w:color w:val="auto"/>
          <w:kern w:val="0"/>
          <w:sz w:val="24"/>
          <w:lang w:eastAsia="zh-CN"/>
        </w:rPr>
        <w:t>4.2</w:t>
      </w:r>
      <w:r>
        <w:rPr>
          <w:rFonts w:hint="eastAsia" w:ascii="宋体" w:hAnsi="宋体" w:eastAsia="宋体" w:cs="宋体"/>
          <w:snapToGrid w:val="0"/>
          <w:color w:val="auto"/>
          <w:kern w:val="0"/>
          <w:sz w:val="24"/>
          <w:lang w:eastAsia="zh-CN"/>
        </w:rPr>
        <w:t>招标人拒绝以下名单中的单位参加本次投标：</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878"/>
        <w:gridCol w:w="4017"/>
      </w:tblGrid>
      <w:tr w14:paraId="0EFE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83" w:type="dxa"/>
            <w:noWrap w:val="0"/>
            <w:vAlign w:val="center"/>
          </w:tcPr>
          <w:p w14:paraId="4FA45EB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878" w:type="dxa"/>
            <w:noWrap w:val="0"/>
            <w:vAlign w:val="center"/>
          </w:tcPr>
          <w:p w14:paraId="77E7443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4017" w:type="dxa"/>
            <w:noWrap w:val="0"/>
            <w:vAlign w:val="center"/>
          </w:tcPr>
          <w:p w14:paraId="586F57D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7E5E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83" w:type="dxa"/>
            <w:noWrap w:val="0"/>
            <w:vAlign w:val="center"/>
          </w:tcPr>
          <w:p w14:paraId="7AC3AB2A">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1</w:t>
            </w:r>
          </w:p>
        </w:tc>
        <w:tc>
          <w:tcPr>
            <w:tcW w:w="3878" w:type="dxa"/>
            <w:noWrap w:val="0"/>
            <w:vAlign w:val="center"/>
          </w:tcPr>
          <w:p w14:paraId="3D021222">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b w:val="0"/>
                <w:bCs w:val="0"/>
                <w:caps w:val="0"/>
                <w:smallCaps w:val="0"/>
                <w:snapToGrid w:val="0"/>
                <w:color w:val="auto"/>
                <w:spacing w:val="0"/>
                <w:kern w:val="0"/>
                <w:sz w:val="24"/>
                <w:szCs w:val="24"/>
                <w:highlight w:val="none"/>
                <w:lang w:val="en-US" w:eastAsia="zh-CN"/>
              </w:rPr>
              <w:t>韶关市武江区城市管理和综合执法局</w:t>
            </w:r>
          </w:p>
        </w:tc>
        <w:tc>
          <w:tcPr>
            <w:tcW w:w="4017" w:type="dxa"/>
            <w:noWrap w:val="0"/>
            <w:vAlign w:val="center"/>
          </w:tcPr>
          <w:p w14:paraId="69F4B340">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为本招标项目的</w:t>
            </w:r>
            <w:r>
              <w:rPr>
                <w:rFonts w:hint="eastAsia" w:ascii="宋体" w:hAnsi="宋体" w:eastAsia="宋体" w:cs="宋体"/>
                <w:color w:val="auto"/>
                <w:sz w:val="24"/>
                <w:szCs w:val="24"/>
                <w:highlight w:val="none"/>
              </w:rPr>
              <w:t>业主单位</w:t>
            </w:r>
          </w:p>
        </w:tc>
      </w:tr>
      <w:tr w14:paraId="5E6E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3" w:type="dxa"/>
            <w:noWrap w:val="0"/>
            <w:vAlign w:val="center"/>
          </w:tcPr>
          <w:p w14:paraId="3EED4070">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val="en-US" w:eastAsia="zh-CN"/>
              </w:rPr>
              <w:t>2</w:t>
            </w:r>
          </w:p>
        </w:tc>
        <w:tc>
          <w:tcPr>
            <w:tcW w:w="3878" w:type="dxa"/>
            <w:noWrap w:val="0"/>
            <w:vAlign w:val="center"/>
          </w:tcPr>
          <w:p w14:paraId="26CF5AF3">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lang w:eastAsia="zh-CN"/>
              </w:rPr>
              <w:t>深圳市腾达工程顾问有限公司</w:t>
            </w:r>
          </w:p>
        </w:tc>
        <w:tc>
          <w:tcPr>
            <w:tcW w:w="4017" w:type="dxa"/>
            <w:noWrap w:val="0"/>
            <w:vAlign w:val="center"/>
          </w:tcPr>
          <w:p w14:paraId="16E01252">
            <w:pPr>
              <w:pStyle w:val="13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为本招标项目的招标代理机构</w:t>
            </w:r>
          </w:p>
        </w:tc>
      </w:tr>
    </w:tbl>
    <w:p w14:paraId="1F64C49C">
      <w:pPr>
        <w:pStyle w:val="13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lang w:val="en-US" w:eastAsia="zh-CN"/>
        </w:rPr>
      </w:pPr>
      <w:r>
        <w:rPr>
          <w:rFonts w:hint="eastAsia" w:ascii="宋体" w:hAnsi="宋体" w:eastAsia="宋体" w:cs="宋体"/>
          <w:b/>
          <w:bCs/>
          <w:snapToGrid w:val="0"/>
          <w:color w:val="auto"/>
          <w:kern w:val="0"/>
          <w:sz w:val="24"/>
          <w:lang w:val="en-US" w:eastAsia="zh-CN"/>
        </w:rPr>
        <w:t>4.5</w:t>
      </w:r>
      <w:r>
        <w:rPr>
          <w:rFonts w:hint="eastAsia" w:ascii="宋体" w:hAnsi="宋体" w:eastAsia="宋体" w:cs="宋体"/>
          <w:snapToGrid w:val="0"/>
          <w:color w:val="auto"/>
          <w:kern w:val="0"/>
          <w:sz w:val="24"/>
          <w:lang w:eastAsia="zh-CN"/>
        </w:rPr>
        <w:t>其他要求</w:t>
      </w:r>
    </w:p>
    <w:p w14:paraId="487E4B1E">
      <w:pPr>
        <w:pStyle w:val="13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val="en-US" w:eastAsia="zh-CN"/>
        </w:rPr>
      </w:pPr>
      <w:r>
        <w:rPr>
          <w:rFonts w:hint="eastAsia" w:ascii="宋体" w:hAnsi="宋体" w:eastAsia="宋体" w:cs="宋体"/>
          <w:snapToGrid w:val="0"/>
          <w:color w:val="auto"/>
          <w:kern w:val="0"/>
          <w:sz w:val="24"/>
          <w:lang w:val="en-US" w:eastAsia="zh-CN"/>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14:paraId="65045D75">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56" w:name="_Toc1279"/>
      <w:bookmarkStart w:id="57" w:name="_Toc2184"/>
      <w:r>
        <w:rPr>
          <w:rFonts w:hint="eastAsia" w:ascii="宋体" w:hAnsi="宋体" w:eastAsia="宋体" w:cs="宋体"/>
          <w:b/>
          <w:color w:val="auto"/>
          <w:sz w:val="24"/>
        </w:rPr>
        <w:t>5</w:t>
      </w:r>
      <w:bookmarkEnd w:id="55"/>
      <w:r>
        <w:rPr>
          <w:rFonts w:hint="eastAsia" w:ascii="宋体" w:hAnsi="宋体" w:eastAsia="宋体" w:cs="宋体"/>
          <w:b/>
          <w:color w:val="auto"/>
          <w:sz w:val="24"/>
          <w:lang w:val="en-US" w:eastAsia="zh-CN"/>
        </w:rPr>
        <w:t>.招标文件获取</w:t>
      </w:r>
      <w:bookmarkEnd w:id="56"/>
      <w:bookmarkEnd w:id="57"/>
    </w:p>
    <w:p w14:paraId="2C3ECCA9">
      <w:pPr>
        <w:pStyle w:val="28"/>
        <w:keepNext w:val="0"/>
        <w:keepLines w:val="0"/>
        <w:pageBreakBefore w:val="0"/>
        <w:widowControl/>
        <w:suppressLineNumbers w:val="0"/>
        <w:kinsoku/>
        <w:wordWrap w:val="0"/>
        <w:overflowPunct/>
        <w:topLinePunct/>
        <w:autoSpaceDE/>
        <w:autoSpaceDN/>
        <w:bidi w:val="0"/>
        <w:adjustRightInd/>
        <w:snapToGrid/>
        <w:spacing w:before="0" w:beforeLines="0" w:beforeAutospacing="0" w:after="0" w:afterLines="0" w:afterAutospacing="0" w:line="360" w:lineRule="auto"/>
        <w:ind w:left="0" w:leftChars="0" w:right="0" w:rightChars="0" w:firstLine="482" w:firstLineChars="200"/>
        <w:jc w:val="left"/>
        <w:textAlignment w:val="auto"/>
        <w:rPr>
          <w:rStyle w:val="36"/>
          <w:rFonts w:hint="eastAsia" w:ascii="宋体" w:hAnsi="宋体" w:eastAsia="宋体" w:cs="宋体"/>
          <w:b w:val="0"/>
          <w:bCs/>
          <w:i w:val="0"/>
          <w:iCs w:val="0"/>
          <w:caps w:val="0"/>
          <w:color w:val="auto"/>
          <w:spacing w:val="0"/>
          <w:sz w:val="24"/>
          <w:szCs w:val="24"/>
          <w:shd w:val="clear" w:color="auto" w:fill="FFFFFF"/>
          <w:lang w:eastAsia="zh-CN"/>
        </w:rPr>
      </w:pPr>
      <w:bookmarkStart w:id="58" w:name="_Toc358"/>
      <w:r>
        <w:rPr>
          <w:rStyle w:val="36"/>
          <w:rFonts w:hint="eastAsia" w:ascii="宋体" w:hAnsi="宋体" w:eastAsia="宋体" w:cs="宋体"/>
          <w:b/>
          <w:bCs w:val="0"/>
          <w:i w:val="0"/>
          <w:iCs w:val="0"/>
          <w:caps w:val="0"/>
          <w:color w:val="auto"/>
          <w:spacing w:val="0"/>
          <w:sz w:val="24"/>
          <w:szCs w:val="24"/>
          <w:shd w:val="clear" w:color="auto" w:fill="FFFFFF"/>
          <w:lang w:val="en-US" w:eastAsia="zh-CN"/>
        </w:rPr>
        <w:t>5</w:t>
      </w:r>
      <w:r>
        <w:rPr>
          <w:rStyle w:val="36"/>
          <w:rFonts w:hint="eastAsia" w:ascii="宋体" w:hAnsi="宋体" w:eastAsia="宋体" w:cs="宋体"/>
          <w:b/>
          <w:bCs w:val="0"/>
          <w:i w:val="0"/>
          <w:iCs w:val="0"/>
          <w:caps w:val="0"/>
          <w:color w:val="auto"/>
          <w:spacing w:val="0"/>
          <w:sz w:val="24"/>
          <w:szCs w:val="24"/>
          <w:shd w:val="clear" w:color="auto" w:fill="FFFFFF"/>
        </w:rPr>
        <w:t>.1</w:t>
      </w:r>
      <w:r>
        <w:rPr>
          <w:rStyle w:val="36"/>
          <w:rFonts w:hint="eastAsia" w:ascii="宋体" w:hAnsi="宋体" w:eastAsia="宋体" w:cs="宋体"/>
          <w:b w:val="0"/>
          <w:bCs/>
          <w:i w:val="0"/>
          <w:iCs w:val="0"/>
          <w:caps w:val="0"/>
          <w:color w:val="auto"/>
          <w:spacing w:val="0"/>
          <w:sz w:val="24"/>
          <w:szCs w:val="24"/>
          <w:shd w:val="clear" w:color="auto" w:fill="FFFFFF"/>
        </w:rPr>
        <w:t>本次招标实行电子投标。本项目招标文件随招标公告一并在</w:t>
      </w:r>
      <w:r>
        <w:rPr>
          <w:rFonts w:hint="eastAsia" w:ascii="宋体" w:hAnsi="宋体" w:eastAsia="宋体" w:cs="宋体"/>
          <w:color w:val="auto"/>
          <w:sz w:val="24"/>
          <w:szCs w:val="24"/>
          <w:shd w:val="clear" w:color="auto" w:fill="FFFFFF"/>
        </w:rPr>
        <w:t>全国公共资源交易平台（广东省·韶关市）（https://ygp.gdzwfw.gov.cn/ggzy-portal/#/440200/index）</w:t>
      </w:r>
      <w:r>
        <w:rPr>
          <w:rStyle w:val="36"/>
          <w:rFonts w:hint="eastAsia" w:ascii="宋体" w:hAnsi="宋体" w:eastAsia="宋体" w:cs="宋体"/>
          <w:b w:val="0"/>
          <w:bCs/>
          <w:i w:val="0"/>
          <w:iCs w:val="0"/>
          <w:caps w:val="0"/>
          <w:color w:val="auto"/>
          <w:spacing w:val="0"/>
          <w:sz w:val="24"/>
          <w:szCs w:val="24"/>
          <w:shd w:val="clear" w:color="auto" w:fill="FFFFFF"/>
        </w:rPr>
        <w:t>发布。招标文件一经在</w:t>
      </w:r>
      <w:r>
        <w:rPr>
          <w:rFonts w:hint="eastAsia" w:ascii="宋体" w:hAnsi="宋体" w:eastAsia="宋体" w:cs="宋体"/>
          <w:color w:val="auto"/>
          <w:sz w:val="24"/>
          <w:szCs w:val="24"/>
          <w:shd w:val="clear" w:color="auto" w:fill="FFFFFF"/>
        </w:rPr>
        <w:t>全国公共资源交易平台（广东省·韶关市）</w:t>
      </w:r>
      <w:r>
        <w:rPr>
          <w:rStyle w:val="36"/>
          <w:rFonts w:hint="eastAsia" w:ascii="宋体" w:hAnsi="宋体" w:eastAsia="宋体" w:cs="宋体"/>
          <w:b w:val="0"/>
          <w:bCs/>
          <w:i w:val="0"/>
          <w:iCs w:val="0"/>
          <w:caps w:val="0"/>
          <w:color w:val="auto"/>
          <w:spacing w:val="0"/>
          <w:sz w:val="24"/>
          <w:szCs w:val="24"/>
          <w:shd w:val="clear" w:color="auto" w:fill="FFFFFF"/>
        </w:rPr>
        <w:t>发布，视为发售投标人，招标文件及相关附件由投标人自行在</w:t>
      </w:r>
      <w:r>
        <w:rPr>
          <w:rFonts w:hint="eastAsia" w:ascii="宋体" w:hAnsi="宋体" w:eastAsia="宋体" w:cs="宋体"/>
          <w:color w:val="auto"/>
          <w:sz w:val="24"/>
          <w:szCs w:val="24"/>
          <w:shd w:val="clear" w:color="auto" w:fill="FFFFFF"/>
        </w:rPr>
        <w:t>全国公共资源交易平台（广东省·韶关市）</w:t>
      </w:r>
      <w:r>
        <w:rPr>
          <w:rStyle w:val="36"/>
          <w:rFonts w:hint="eastAsia" w:ascii="宋体" w:hAnsi="宋体" w:eastAsia="宋体" w:cs="宋体"/>
          <w:b w:val="0"/>
          <w:bCs/>
          <w:i w:val="0"/>
          <w:iCs w:val="0"/>
          <w:caps w:val="0"/>
          <w:color w:val="auto"/>
          <w:spacing w:val="0"/>
          <w:sz w:val="24"/>
          <w:szCs w:val="24"/>
          <w:shd w:val="clear" w:color="auto" w:fill="FFFFFF"/>
        </w:rPr>
        <w:t>网站下载。招标文件获取时间与招标公告发布时间一致（见“重要事项时间地点一览表”），投标人须登录</w:t>
      </w:r>
      <w:r>
        <w:rPr>
          <w:rFonts w:hint="eastAsia" w:ascii="宋体" w:hAnsi="宋体" w:eastAsia="宋体" w:cs="宋体"/>
          <w:color w:val="auto"/>
          <w:sz w:val="24"/>
          <w:szCs w:val="24"/>
          <w:shd w:val="clear" w:color="auto" w:fill="FFFFFF"/>
        </w:rPr>
        <w:t>全国公共资源交易平台（广东省·韶关市）（https://ygp.gdzwfw.gov.cn/ggzy-portal/#/440200/index）</w:t>
      </w:r>
      <w:r>
        <w:rPr>
          <w:rStyle w:val="36"/>
          <w:rFonts w:hint="eastAsia" w:ascii="宋体" w:hAnsi="宋体" w:eastAsia="宋体" w:cs="宋体"/>
          <w:b w:val="0"/>
          <w:bCs/>
          <w:i w:val="0"/>
          <w:iCs w:val="0"/>
          <w:caps w:val="0"/>
          <w:color w:val="auto"/>
          <w:spacing w:val="0"/>
          <w:sz w:val="24"/>
          <w:szCs w:val="24"/>
          <w:shd w:val="clear" w:color="auto" w:fill="FFFFFF"/>
        </w:rPr>
        <w:t>，</w:t>
      </w:r>
      <w:r>
        <w:rPr>
          <w:rStyle w:val="36"/>
          <w:rFonts w:hint="eastAsia" w:ascii="宋体" w:hAnsi="宋体" w:eastAsia="宋体" w:cs="宋体"/>
          <w:b w:val="0"/>
          <w:bCs/>
          <w:i w:val="0"/>
          <w:iCs w:val="0"/>
          <w:caps w:val="0"/>
          <w:color w:val="auto"/>
          <w:spacing w:val="0"/>
          <w:sz w:val="24"/>
          <w:szCs w:val="24"/>
          <w:shd w:val="clear" w:color="auto" w:fill="FFFFFF"/>
          <w:lang w:eastAsia="zh-CN"/>
        </w:rPr>
        <w:t>在</w:t>
      </w:r>
      <w:r>
        <w:rPr>
          <w:rFonts w:hint="eastAsia" w:ascii="宋体" w:hAnsi="宋体" w:eastAsia="宋体" w:cs="宋体"/>
          <w:i w:val="0"/>
          <w:iCs w:val="0"/>
          <w:caps w:val="0"/>
          <w:color w:val="auto"/>
          <w:spacing w:val="0"/>
          <w:sz w:val="24"/>
          <w:szCs w:val="24"/>
          <w:shd w:val="clear" w:color="auto" w:fill="FFFFFF"/>
        </w:rPr>
        <w:t>交易平台</w:t>
      </w:r>
      <w:r>
        <w:rPr>
          <w:rStyle w:val="36"/>
          <w:rFonts w:hint="eastAsia" w:ascii="宋体" w:hAnsi="宋体" w:eastAsia="宋体" w:cs="宋体"/>
          <w:b w:val="0"/>
          <w:bCs/>
          <w:i w:val="0"/>
          <w:iCs w:val="0"/>
          <w:caps w:val="0"/>
          <w:color w:val="auto"/>
          <w:spacing w:val="0"/>
          <w:sz w:val="24"/>
          <w:szCs w:val="24"/>
          <w:shd w:val="clear" w:color="auto" w:fill="FFFFFF"/>
        </w:rPr>
        <w:t>下载招标文件及相关附件，并于电子投标截止时间（见“重要事项时间地点一览表”）前完成电子投标。投标人可登录</w:t>
      </w:r>
      <w:r>
        <w:rPr>
          <w:rFonts w:hint="eastAsia" w:ascii="宋体" w:hAnsi="宋体" w:eastAsia="宋体" w:cs="宋体"/>
          <w:color w:val="auto"/>
          <w:sz w:val="24"/>
          <w:szCs w:val="24"/>
          <w:shd w:val="clear" w:color="auto" w:fill="FFFFFF"/>
        </w:rPr>
        <w:t>全国公共资源交易平台（广东省·韶关市）（https://ygp.gdzwfw.gov.cn/ggzy-portal/#/440200/index）</w:t>
      </w:r>
      <w:r>
        <w:rPr>
          <w:rStyle w:val="36"/>
          <w:rFonts w:hint="eastAsia" w:ascii="宋体" w:hAnsi="宋体" w:eastAsia="宋体" w:cs="宋体"/>
          <w:b w:val="0"/>
          <w:bCs/>
          <w:i w:val="0"/>
          <w:iCs w:val="0"/>
          <w:caps w:val="0"/>
          <w:color w:val="auto"/>
          <w:spacing w:val="0"/>
          <w:sz w:val="24"/>
          <w:szCs w:val="24"/>
          <w:shd w:val="clear" w:color="auto" w:fill="FFFFFF"/>
        </w:rPr>
        <w:t>，在【服务指南】栏目中下载《</w:t>
      </w:r>
      <w:r>
        <w:rPr>
          <w:rStyle w:val="36"/>
          <w:rFonts w:hint="eastAsia" w:ascii="宋体" w:hAnsi="宋体" w:eastAsia="宋体" w:cs="宋体"/>
          <w:b w:val="0"/>
          <w:bCs/>
          <w:i w:val="0"/>
          <w:iCs w:val="0"/>
          <w:caps w:val="0"/>
          <w:color w:val="auto"/>
          <w:spacing w:val="0"/>
          <w:sz w:val="24"/>
          <w:szCs w:val="24"/>
          <w:shd w:val="clear" w:color="auto" w:fill="FFFFFF"/>
          <w:lang w:eastAsia="zh-CN"/>
        </w:rPr>
        <w:t>韶关市公共资源一体化平台—建设工程交易投标人操作指南（电子评标）</w:t>
      </w:r>
      <w:r>
        <w:rPr>
          <w:rStyle w:val="36"/>
          <w:rFonts w:hint="eastAsia" w:ascii="宋体" w:hAnsi="宋体" w:eastAsia="宋体" w:cs="宋体"/>
          <w:b w:val="0"/>
          <w:bCs/>
          <w:i w:val="0"/>
          <w:iCs w:val="0"/>
          <w:caps w:val="0"/>
          <w:color w:val="auto"/>
          <w:spacing w:val="0"/>
          <w:sz w:val="24"/>
          <w:szCs w:val="24"/>
          <w:shd w:val="clear" w:color="auto" w:fill="FFFFFF"/>
        </w:rPr>
        <w:t>》，了解网上获取招标文件操作流程。</w:t>
      </w:r>
    </w:p>
    <w:p w14:paraId="45E006A3">
      <w:pPr>
        <w:pStyle w:val="28"/>
        <w:keepNext w:val="0"/>
        <w:keepLines w:val="0"/>
        <w:pageBreakBefore w:val="0"/>
        <w:widowControl/>
        <w:suppressLineNumbers w:val="0"/>
        <w:kinsoku/>
        <w:wordWrap w:val="0"/>
        <w:overflowPunct/>
        <w:topLinePunct/>
        <w:autoSpaceDE/>
        <w:autoSpaceDN/>
        <w:bidi w:val="0"/>
        <w:adjustRightInd/>
        <w:snapToGrid/>
        <w:spacing w:before="0" w:beforeLines="0" w:beforeAutospacing="0" w:after="0" w:afterLines="0" w:afterAutospacing="0" w:line="360" w:lineRule="auto"/>
        <w:ind w:left="0" w:leftChars="0" w:right="0" w:rightChars="0" w:firstLine="482" w:firstLineChars="200"/>
        <w:jc w:val="left"/>
        <w:textAlignment w:val="auto"/>
        <w:rPr>
          <w:rStyle w:val="36"/>
          <w:rFonts w:hint="eastAsia" w:ascii="宋体" w:hAnsi="宋体" w:eastAsia="宋体" w:cs="宋体"/>
          <w:b w:val="0"/>
          <w:bCs/>
          <w:i w:val="0"/>
          <w:iCs w:val="0"/>
          <w:caps w:val="0"/>
          <w:color w:val="auto"/>
          <w:spacing w:val="0"/>
          <w:sz w:val="24"/>
          <w:szCs w:val="24"/>
          <w:shd w:val="clear" w:color="auto" w:fill="FFFFFF"/>
        </w:rPr>
      </w:pPr>
      <w:r>
        <w:rPr>
          <w:rStyle w:val="36"/>
          <w:rFonts w:hint="eastAsia" w:ascii="宋体" w:hAnsi="宋体" w:eastAsia="宋体" w:cs="宋体"/>
          <w:b/>
          <w:bCs w:val="0"/>
          <w:i w:val="0"/>
          <w:iCs w:val="0"/>
          <w:caps w:val="0"/>
          <w:color w:val="auto"/>
          <w:spacing w:val="0"/>
          <w:sz w:val="24"/>
          <w:szCs w:val="24"/>
          <w:shd w:val="clear" w:color="auto" w:fill="FFFFFF"/>
          <w:lang w:val="en-US" w:eastAsia="zh-CN"/>
        </w:rPr>
        <w:t>5</w:t>
      </w:r>
      <w:r>
        <w:rPr>
          <w:rStyle w:val="36"/>
          <w:rFonts w:hint="eastAsia" w:ascii="宋体" w:hAnsi="宋体" w:eastAsia="宋体" w:cs="宋体"/>
          <w:b/>
          <w:bCs w:val="0"/>
          <w:i w:val="0"/>
          <w:iCs w:val="0"/>
          <w:caps w:val="0"/>
          <w:color w:val="auto"/>
          <w:spacing w:val="0"/>
          <w:sz w:val="24"/>
          <w:szCs w:val="24"/>
          <w:shd w:val="clear" w:color="auto" w:fill="FFFFFF"/>
        </w:rPr>
        <w:t>.2</w:t>
      </w:r>
      <w:r>
        <w:rPr>
          <w:rStyle w:val="36"/>
          <w:rFonts w:hint="eastAsia" w:ascii="宋体" w:hAnsi="宋体" w:eastAsia="宋体" w:cs="宋体"/>
          <w:b w:val="0"/>
          <w:bCs/>
          <w:i w:val="0"/>
          <w:iCs w:val="0"/>
          <w:caps w:val="0"/>
          <w:color w:val="auto"/>
          <w:spacing w:val="0"/>
          <w:sz w:val="24"/>
          <w:szCs w:val="24"/>
          <w:shd w:val="clear" w:color="auto" w:fill="FFFFFF"/>
        </w:rPr>
        <w:t>只有申领了数字证书（CA）、“粤企签”或GDCA/SZCA/NETCA等符合法律法规规定的电子印章，并在交易</w:t>
      </w:r>
      <w:r>
        <w:rPr>
          <w:rStyle w:val="36"/>
          <w:rFonts w:hint="eastAsia" w:ascii="宋体" w:hAnsi="宋体" w:eastAsia="宋体" w:cs="宋体"/>
          <w:b w:val="0"/>
          <w:bCs/>
          <w:i w:val="0"/>
          <w:iCs w:val="0"/>
          <w:caps w:val="0"/>
          <w:color w:val="auto"/>
          <w:spacing w:val="0"/>
          <w:sz w:val="24"/>
          <w:szCs w:val="24"/>
          <w:shd w:val="clear" w:color="auto" w:fill="FFFFFF"/>
          <w:lang w:eastAsia="zh-CN"/>
        </w:rPr>
        <w:t>平台</w:t>
      </w:r>
      <w:r>
        <w:rPr>
          <w:rStyle w:val="36"/>
          <w:rFonts w:hint="eastAsia" w:ascii="宋体" w:hAnsi="宋体" w:eastAsia="宋体" w:cs="宋体"/>
          <w:b w:val="0"/>
          <w:bCs/>
          <w:i w:val="0"/>
          <w:iCs w:val="0"/>
          <w:caps w:val="0"/>
          <w:color w:val="auto"/>
          <w:spacing w:val="0"/>
          <w:sz w:val="24"/>
          <w:szCs w:val="24"/>
          <w:shd w:val="clear" w:color="auto" w:fill="FFFFFF"/>
        </w:rPr>
        <w:t>中完成企业信息数据入库的投标人，方可使用交易平台进行招标文件及附件获取和电子投标。</w:t>
      </w:r>
    </w:p>
    <w:p w14:paraId="303F4853">
      <w:pPr>
        <w:pStyle w:val="28"/>
        <w:keepNext w:val="0"/>
        <w:keepLines w:val="0"/>
        <w:pageBreakBefore w:val="0"/>
        <w:widowControl/>
        <w:suppressLineNumbers w:val="0"/>
        <w:kinsoku/>
        <w:wordWrap w:val="0"/>
        <w:overflowPunct/>
        <w:topLinePunct/>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rPr>
          <w:rStyle w:val="36"/>
          <w:rFonts w:hint="eastAsia" w:ascii="宋体" w:hAnsi="宋体" w:eastAsia="宋体" w:cs="宋体"/>
          <w:b w:val="0"/>
          <w:bCs/>
          <w:i w:val="0"/>
          <w:iCs w:val="0"/>
          <w:caps w:val="0"/>
          <w:color w:val="auto"/>
          <w:spacing w:val="0"/>
          <w:sz w:val="24"/>
          <w:szCs w:val="24"/>
          <w:shd w:val="clear" w:color="auto" w:fill="FFFFFF"/>
        </w:rPr>
      </w:pPr>
      <w:r>
        <w:rPr>
          <w:rStyle w:val="36"/>
          <w:rFonts w:hint="eastAsia" w:ascii="宋体" w:hAnsi="宋体" w:eastAsia="宋体" w:cs="宋体"/>
          <w:b w:val="0"/>
          <w:bCs/>
          <w:i w:val="0"/>
          <w:iCs w:val="0"/>
          <w:caps w:val="0"/>
          <w:color w:val="auto"/>
          <w:spacing w:val="0"/>
          <w:sz w:val="24"/>
          <w:szCs w:val="24"/>
          <w:shd w:val="clear" w:color="auto" w:fill="FFFFFF"/>
        </w:rPr>
        <w:t>首次在韶关市参与建设工程招标投标活动的投标人，必须在平台系统上传企业相关资料办理企业入库事宜。投标人可登录全国公共资源交易平台（广东省·韶关市）（https://ygp.gdzwfw.gov.cn/ggzy-portal/#/440200/index）办理企业入库、数字证书及电子印章事宜，具体请在平台查阅相应的服务指南。</w:t>
      </w:r>
    </w:p>
    <w:p w14:paraId="7F4089AD">
      <w:pPr>
        <w:pStyle w:val="28"/>
        <w:keepNext w:val="0"/>
        <w:keepLines w:val="0"/>
        <w:pageBreakBefore w:val="0"/>
        <w:widowControl/>
        <w:suppressLineNumbers w:val="0"/>
        <w:kinsoku/>
        <w:wordWrap w:val="0"/>
        <w:overflowPunct/>
        <w:topLinePunct/>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rPr>
          <w:rStyle w:val="36"/>
          <w:rFonts w:hint="eastAsia" w:ascii="宋体" w:hAnsi="宋体" w:eastAsia="宋体" w:cs="宋体"/>
          <w:b w:val="0"/>
          <w:bCs/>
          <w:i w:val="0"/>
          <w:iCs w:val="0"/>
          <w:caps w:val="0"/>
          <w:color w:val="auto"/>
          <w:spacing w:val="0"/>
          <w:sz w:val="24"/>
          <w:szCs w:val="24"/>
          <w:shd w:val="clear" w:color="auto" w:fill="FFFFFF"/>
        </w:rPr>
      </w:pPr>
      <w:r>
        <w:rPr>
          <w:rStyle w:val="36"/>
          <w:rFonts w:hint="eastAsia" w:ascii="宋体" w:hAnsi="宋体" w:eastAsia="宋体" w:cs="宋体"/>
          <w:b w:val="0"/>
          <w:bCs/>
          <w:i w:val="0"/>
          <w:iCs w:val="0"/>
          <w:caps w:val="0"/>
          <w:color w:val="auto"/>
          <w:spacing w:val="0"/>
          <w:sz w:val="24"/>
          <w:szCs w:val="24"/>
          <w:shd w:val="clear" w:color="auto" w:fill="FFFFFF"/>
        </w:rPr>
        <w:t>已入库企业的有关信息（如单位名称、基本账号、资质、人员等）发生变化的，应及时在交易平台进行相应变更。投标人未及时变更而造成的损失和后果，由投标人自行承担。</w:t>
      </w:r>
    </w:p>
    <w:p w14:paraId="5935E3B2">
      <w:pPr>
        <w:pStyle w:val="28"/>
        <w:keepNext w:val="0"/>
        <w:keepLines w:val="0"/>
        <w:pageBreakBefore w:val="0"/>
        <w:widowControl/>
        <w:suppressLineNumbers w:val="0"/>
        <w:kinsoku/>
        <w:wordWrap w:val="0"/>
        <w:overflowPunct/>
        <w:topLinePunct/>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rPr>
          <w:rStyle w:val="36"/>
          <w:rFonts w:hint="eastAsia" w:ascii="宋体" w:hAnsi="宋体" w:eastAsia="宋体" w:cs="宋体"/>
          <w:b w:val="0"/>
          <w:bCs/>
          <w:i w:val="0"/>
          <w:iCs w:val="0"/>
          <w:caps w:val="0"/>
          <w:color w:val="auto"/>
          <w:spacing w:val="0"/>
          <w:sz w:val="24"/>
          <w:szCs w:val="24"/>
          <w:shd w:val="clear" w:color="auto" w:fill="FFFFFF"/>
        </w:rPr>
      </w:pPr>
      <w:r>
        <w:rPr>
          <w:rStyle w:val="36"/>
          <w:rFonts w:hint="eastAsia" w:ascii="宋体" w:hAnsi="宋体" w:eastAsia="宋体" w:cs="宋体"/>
          <w:b w:val="0"/>
          <w:bCs/>
          <w:i w:val="0"/>
          <w:iCs w:val="0"/>
          <w:caps w:val="0"/>
          <w:color w:val="auto"/>
          <w:spacing w:val="0"/>
          <w:sz w:val="24"/>
          <w:szCs w:val="24"/>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 </w:t>
      </w:r>
    </w:p>
    <w:p w14:paraId="7CF0DED0">
      <w:pPr>
        <w:pStyle w:val="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color w:val="auto"/>
          <w:kern w:val="0"/>
          <w:sz w:val="24"/>
          <w:szCs w:val="24"/>
          <w:highlight w:val="none"/>
          <w:lang w:val="en-US" w:eastAsia="zh-CN" w:bidi="ar-SA"/>
        </w:rPr>
        <w:t>5.3</w:t>
      </w:r>
      <w:r>
        <w:rPr>
          <w:rFonts w:hint="eastAsia" w:ascii="宋体" w:hAnsi="宋体" w:eastAsia="宋体" w:cs="宋体"/>
          <w:b w:val="0"/>
          <w:bCs w:val="0"/>
          <w:color w:val="auto"/>
          <w:sz w:val="24"/>
          <w:szCs w:val="24"/>
          <w:highlight w:val="none"/>
        </w:rPr>
        <w:t>投标保证</w:t>
      </w:r>
    </w:p>
    <w:p w14:paraId="504BC915">
      <w:pPr>
        <w:tabs>
          <w:tab w:val="left" w:pos="7020"/>
        </w:tabs>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SA"/>
        </w:rPr>
        <w:t>5.3.1</w:t>
      </w:r>
      <w:r>
        <w:rPr>
          <w:rFonts w:hint="eastAsia" w:ascii="宋体" w:hAnsi="宋体" w:eastAsia="宋体" w:cs="宋体"/>
          <w:snapToGrid w:val="0"/>
          <w:color w:val="auto"/>
          <w:kern w:val="0"/>
          <w:sz w:val="24"/>
          <w:szCs w:val="24"/>
          <w:highlight w:val="none"/>
        </w:rPr>
        <w:t>投标人须缴纳金额为人民</w:t>
      </w:r>
      <w:r>
        <w:rPr>
          <w:rFonts w:hint="eastAsia" w:ascii="宋体" w:hAnsi="宋体" w:eastAsia="宋体" w:cs="宋体"/>
          <w:snapToGrid w:val="0"/>
          <w:color w:val="auto"/>
          <w:kern w:val="0"/>
          <w:sz w:val="24"/>
          <w:szCs w:val="24"/>
          <w:highlight w:val="none"/>
          <w:u w:val="none"/>
        </w:rPr>
        <w:t>币</w:t>
      </w:r>
      <w:r>
        <w:rPr>
          <w:rFonts w:hint="eastAsia" w:ascii="宋体" w:hAnsi="宋体" w:cs="宋体"/>
          <w:color w:val="auto"/>
          <w:kern w:val="0"/>
          <w:sz w:val="24"/>
          <w:szCs w:val="24"/>
          <w:highlight w:val="none"/>
          <w:u w:val="single"/>
          <w:lang w:val="en-US" w:eastAsia="zh-CN"/>
        </w:rPr>
        <w:t>贰万元整</w:t>
      </w:r>
      <w:r>
        <w:rPr>
          <w:rFonts w:hint="eastAsia" w:ascii="宋体" w:hAnsi="宋体" w:eastAsia="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lang w:val="en-US" w:eastAsia="zh-CN"/>
        </w:rPr>
        <w:t>20000.00</w:t>
      </w:r>
      <w:r>
        <w:rPr>
          <w:rFonts w:hint="eastAsia" w:ascii="宋体" w:hAnsi="宋体" w:eastAsia="宋体" w:cs="宋体"/>
          <w:color w:val="auto"/>
          <w:kern w:val="0"/>
          <w:sz w:val="24"/>
          <w:szCs w:val="24"/>
          <w:highlight w:val="none"/>
          <w:u w:val="single"/>
          <w:lang w:val="en-US" w:eastAsia="zh-CN"/>
        </w:rPr>
        <w:t>元）</w:t>
      </w:r>
      <w:r>
        <w:rPr>
          <w:rFonts w:hint="eastAsia" w:ascii="宋体" w:hAnsi="宋体" w:eastAsia="宋体" w:cs="宋体"/>
          <w:snapToGrid w:val="0"/>
          <w:color w:val="auto"/>
          <w:kern w:val="0"/>
          <w:sz w:val="24"/>
          <w:szCs w:val="24"/>
          <w:highlight w:val="none"/>
        </w:rPr>
        <w:t>的投标保证。</w:t>
      </w:r>
    </w:p>
    <w:p w14:paraId="60BF85B5">
      <w:pPr>
        <w:keepNext w:val="0"/>
        <w:keepLines w:val="0"/>
        <w:pageBreakBefore w:val="0"/>
        <w:tabs>
          <w:tab w:val="left" w:pos="7020"/>
        </w:tabs>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SA"/>
        </w:rPr>
        <w:t>5.3.2</w:t>
      </w:r>
      <w:r>
        <w:rPr>
          <w:rFonts w:hint="eastAsia" w:ascii="宋体" w:hAnsi="宋体" w:eastAsia="宋体" w:cs="宋体"/>
          <w:snapToGrid w:val="0"/>
          <w:color w:val="auto"/>
          <w:kern w:val="0"/>
          <w:sz w:val="24"/>
          <w:szCs w:val="24"/>
          <w:highlight w:val="none"/>
        </w:rPr>
        <w:t>投标保证的形式包括投标保证金、投标保证担保、投标保证保险三种，由投标人自主选择。</w:t>
      </w:r>
    </w:p>
    <w:p w14:paraId="138A1F46">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 xml:space="preserve">(1)采用投标保证金的，投标人在建设工程交易系统获取招标文件完毕后，即可在系统申请缴纳投标保证金，获取本次招标投标保证金缴纳账号。投标人须于投标保证金到账截止时间(详见本章第二节“重要事项时间地点一览表”)前，从其基本账户将投标保证金转账到指定的缴纳账号。逾期到账的、从非投标人基本账户转出的，其投标无效。 </w:t>
      </w:r>
    </w:p>
    <w:p w14:paraId="3F6D7048">
      <w:pPr>
        <w:pStyle w:val="1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 xml:space="preserve">(2)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 </w:t>
      </w:r>
    </w:p>
    <w:p w14:paraId="4554F42B">
      <w:pPr>
        <w:pStyle w:val="1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(3)</w:t>
      </w:r>
      <w:r>
        <w:rPr>
          <w:rFonts w:hint="eastAsia" w:ascii="宋体" w:hAnsi="宋体" w:eastAsia="宋体" w:cs="宋体"/>
          <w:color w:val="auto"/>
          <w:kern w:val="0"/>
          <w:sz w:val="24"/>
          <w:szCs w:val="24"/>
          <w:highlight w:val="none"/>
          <w:lang w:val="en-US" w:eastAsia="zh-CN" w:bidi="ar-SA"/>
        </w:rPr>
        <w:t>采用投标保证保险的，投标人须在投标保证保险投保截止时间（详见本章第二节“重要事项时间地点一览表”）前，使用建设工程交易系统完成网上投保。投标人可在系统选择保险机构、录入投保信息、支付保费、打印电子保单，电子保单的有效期不得短于投标有效期。</w:t>
      </w:r>
      <w:r>
        <w:rPr>
          <w:rFonts w:hint="eastAsia" w:ascii="宋体" w:hAnsi="宋体" w:eastAsia="宋体" w:cs="宋体"/>
          <w:b w:val="0"/>
          <w:bCs w:val="0"/>
          <w:color w:val="auto"/>
          <w:kern w:val="0"/>
          <w:sz w:val="24"/>
          <w:szCs w:val="24"/>
          <w:highlight w:val="none"/>
          <w:lang w:val="en-US" w:eastAsia="zh-CN"/>
        </w:rPr>
        <w:t>投标人可登录全国公共资源交易平台（广东省·韶关市）(https://ygp.gdzwfw.gov.cn/ggzy-portal/#/440200/index)在【服务指南】栏目中下载《韶关市公共资源一体化平台—建设工程交易投标人操作指南（电子评标）》，了解网上投保具体操作流程。</w:t>
      </w:r>
      <w:r>
        <w:rPr>
          <w:rFonts w:hint="eastAsia" w:ascii="宋体" w:hAnsi="宋体" w:eastAsia="宋体" w:cs="宋体"/>
          <w:color w:val="auto"/>
          <w:kern w:val="0"/>
          <w:sz w:val="24"/>
          <w:szCs w:val="24"/>
          <w:highlight w:val="none"/>
          <w:lang w:val="en-US" w:eastAsia="zh-CN" w:bidi="ar-SA"/>
        </w:rPr>
        <w:t>逾期投保的，其投标无效。</w:t>
      </w:r>
    </w:p>
    <w:p w14:paraId="46556AAB">
      <w:pPr>
        <w:keepNext w:val="0"/>
        <w:keepLines w:val="0"/>
        <w:pageBreakBefore w:val="0"/>
        <w:tabs>
          <w:tab w:val="left" w:pos="7020"/>
        </w:tabs>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07AFE8F9">
      <w:pPr>
        <w:keepNext w:val="0"/>
        <w:keepLines w:val="0"/>
        <w:pageBreakBefore w:val="0"/>
        <w:tabs>
          <w:tab w:val="left" w:pos="7020"/>
        </w:tabs>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sz w:val="24"/>
          <w:szCs w:val="24"/>
          <w:highlight w:val="none"/>
        </w:rPr>
      </w:pPr>
      <w:r>
        <w:rPr>
          <w:rFonts w:hint="eastAsia" w:ascii="宋体" w:hAnsi="宋体" w:eastAsia="宋体" w:cs="宋体"/>
          <w:b/>
          <w:bCs/>
          <w:color w:val="auto"/>
          <w:kern w:val="0"/>
          <w:sz w:val="24"/>
          <w:szCs w:val="24"/>
          <w:highlight w:val="none"/>
          <w:lang w:val="en-US" w:eastAsia="zh-CN" w:bidi="ar-SA"/>
        </w:rPr>
        <w:t>5.4</w:t>
      </w:r>
      <w:r>
        <w:rPr>
          <w:rFonts w:hint="eastAsia" w:ascii="宋体" w:hAnsi="宋体" w:eastAsia="宋体" w:cs="宋体"/>
          <w:snapToGrid w:val="0"/>
          <w:color w:val="auto"/>
          <w:sz w:val="24"/>
          <w:szCs w:val="24"/>
          <w:highlight w:val="none"/>
        </w:rPr>
        <w:t>若投标人因自身原因未能正确完成</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获取招标文件</w:t>
      </w:r>
      <w:r>
        <w:rPr>
          <w:rFonts w:hint="eastAsia" w:ascii="宋体" w:hAnsi="宋体" w:eastAsia="宋体" w:cs="宋体"/>
          <w:snapToGrid w:val="0"/>
          <w:color w:val="auto"/>
          <w:sz w:val="24"/>
          <w:szCs w:val="24"/>
          <w:highlight w:val="none"/>
        </w:rPr>
        <w:t>、电子投标、缴纳投标保证的，其投标无效。</w:t>
      </w:r>
    </w:p>
    <w:p w14:paraId="2C92538D">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59" w:name="_Toc24276"/>
      <w:bookmarkStart w:id="60" w:name="_Toc29331"/>
      <w:r>
        <w:rPr>
          <w:rFonts w:hint="eastAsia" w:ascii="宋体" w:hAnsi="宋体" w:eastAsia="宋体" w:cs="宋体"/>
          <w:b/>
          <w:color w:val="auto"/>
          <w:sz w:val="24"/>
        </w:rPr>
        <w:t>6</w:t>
      </w:r>
      <w:bookmarkEnd w:id="58"/>
      <w:r>
        <w:rPr>
          <w:rFonts w:hint="eastAsia" w:ascii="宋体" w:hAnsi="宋体" w:eastAsia="宋体" w:cs="宋体"/>
          <w:b/>
          <w:color w:val="auto"/>
          <w:sz w:val="24"/>
          <w:lang w:val="en-US" w:eastAsia="zh-CN"/>
        </w:rPr>
        <w:t>.</w:t>
      </w:r>
      <w:r>
        <w:rPr>
          <w:rFonts w:hint="eastAsia" w:ascii="宋体" w:hAnsi="宋体" w:eastAsia="宋体" w:cs="宋体"/>
          <w:b/>
          <w:color w:val="auto"/>
          <w:sz w:val="24"/>
        </w:rPr>
        <w:t>设计工程内容和质量标准</w:t>
      </w:r>
      <w:bookmarkEnd w:id="59"/>
      <w:bookmarkEnd w:id="60"/>
    </w:p>
    <w:p w14:paraId="60528511">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color w:val="auto"/>
          <w:kern w:val="0"/>
          <w:sz w:val="24"/>
          <w:szCs w:val="24"/>
          <w:highlight w:val="none"/>
          <w:lang w:val="en-US" w:eastAsia="zh-CN" w:bidi="ar-SA"/>
        </w:rPr>
        <w:t>6.1</w:t>
      </w:r>
      <w:bookmarkStart w:id="61" w:name="_Toc7567"/>
      <w:r>
        <w:rPr>
          <w:rFonts w:hint="eastAsia" w:ascii="宋体" w:hAnsi="宋体" w:eastAsia="宋体" w:cs="宋体"/>
          <w:snapToGrid w:val="0"/>
          <w:color w:val="auto"/>
          <w:kern w:val="0"/>
          <w:sz w:val="24"/>
        </w:rPr>
        <w:t>设计承包内容：</w:t>
      </w:r>
    </w:p>
    <w:p w14:paraId="49AC881D">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hint="eastAsia" w:ascii="宋体" w:hAnsi="宋体" w:cs="宋体"/>
          <w:snapToGrid w:val="0"/>
          <w:color w:val="auto"/>
          <w:kern w:val="0"/>
          <w:sz w:val="24"/>
          <w:lang w:val="en-US" w:eastAsia="zh-CN"/>
        </w:rPr>
        <w:t>1</w:t>
      </w:r>
      <w:r>
        <w:rPr>
          <w:rFonts w:hint="eastAsia" w:ascii="宋体" w:hAnsi="宋体" w:eastAsia="宋体" w:cs="宋体"/>
          <w:snapToGrid w:val="0"/>
          <w:color w:val="auto"/>
          <w:kern w:val="0"/>
          <w:sz w:val="24"/>
        </w:rPr>
        <w:t>）设计承包内容：本项目设计为确保本项目顺利报建、报批、施工所需的设计文件及施工图审查（若需要）并确保审查合格，包含此项目初步设计及概算、施工图设计、建设期间的服务等内容。设计费已包含初步设计概算编制费，不再额外支付费用。</w:t>
      </w:r>
    </w:p>
    <w:p w14:paraId="3C1F0E86">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w:t>
      </w:r>
      <w:r>
        <w:rPr>
          <w:rFonts w:hint="eastAsia" w:ascii="宋体" w:hAnsi="宋体" w:cs="宋体"/>
          <w:snapToGrid w:val="0"/>
          <w:color w:val="auto"/>
          <w:kern w:val="0"/>
          <w:sz w:val="24"/>
          <w:lang w:val="en-US" w:eastAsia="zh-CN"/>
        </w:rPr>
        <w:t>2</w:t>
      </w:r>
      <w:r>
        <w:rPr>
          <w:rFonts w:hint="eastAsia" w:ascii="宋体" w:hAnsi="宋体" w:eastAsia="宋体" w:cs="宋体"/>
          <w:snapToGrid w:val="0"/>
          <w:color w:val="auto"/>
          <w:kern w:val="0"/>
          <w:sz w:val="24"/>
        </w:rPr>
        <w:t>）出具设计成果文件，提交初步设计文件及概算12套、施工图12套，提供的所有资料均含电子光盘3张（含CAD及PDF文件格式）。</w:t>
      </w:r>
    </w:p>
    <w:p w14:paraId="7BA75352">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2</w:t>
      </w:r>
      <w:r>
        <w:rPr>
          <w:rFonts w:hint="eastAsia" w:ascii="宋体" w:hAnsi="宋体" w:eastAsia="宋体" w:cs="宋体"/>
          <w:color w:val="auto"/>
          <w:sz w:val="24"/>
          <w:szCs w:val="24"/>
        </w:rPr>
        <w:t>本招标项目不纳入绿色建设实施范围</w:t>
      </w:r>
      <w:r>
        <w:rPr>
          <w:rFonts w:hint="eastAsia" w:ascii="宋体" w:hAnsi="宋体" w:eastAsia="宋体" w:cs="宋体"/>
          <w:snapToGrid w:val="0"/>
          <w:color w:val="auto"/>
          <w:kern w:val="0"/>
          <w:sz w:val="24"/>
        </w:rPr>
        <w:t>。</w:t>
      </w:r>
    </w:p>
    <w:p w14:paraId="5A774ADE">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3</w:t>
      </w:r>
      <w:r>
        <w:rPr>
          <w:rFonts w:hint="eastAsia" w:ascii="宋体" w:hAnsi="宋体" w:eastAsia="宋体" w:cs="宋体"/>
          <w:color w:val="auto"/>
          <w:sz w:val="24"/>
          <w:szCs w:val="24"/>
        </w:rPr>
        <w:t>施工期间若遇到工程变更、突发事件或不可遇见的事件等情况，设计人员接到建设单位或监理单位通知后应当立即（24小时内）到达施工现场，研究并及时处理问题</w:t>
      </w:r>
      <w:r>
        <w:rPr>
          <w:rFonts w:hint="eastAsia" w:ascii="宋体" w:hAnsi="宋体" w:eastAsia="宋体" w:cs="宋体"/>
          <w:snapToGrid w:val="0"/>
          <w:color w:val="auto"/>
          <w:kern w:val="0"/>
          <w:sz w:val="24"/>
        </w:rPr>
        <w:t>。</w:t>
      </w:r>
    </w:p>
    <w:p w14:paraId="41E1D3AF">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4</w:t>
      </w:r>
      <w:r>
        <w:rPr>
          <w:rFonts w:hint="eastAsia" w:ascii="宋体" w:hAnsi="宋体" w:eastAsia="宋体" w:cs="宋体"/>
          <w:color w:val="auto"/>
          <w:sz w:val="24"/>
          <w:szCs w:val="24"/>
        </w:rPr>
        <w:t xml:space="preserve">关于设计深度的要求 </w:t>
      </w:r>
    </w:p>
    <w:p w14:paraId="21837CE7">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4</w:t>
      </w:r>
      <w:r>
        <w:rPr>
          <w:rFonts w:hint="eastAsia" w:ascii="宋体" w:hAnsi="宋体" w:eastAsia="宋体" w:cs="宋体"/>
          <w:b/>
          <w:bCs/>
          <w:snapToGrid w:val="0"/>
          <w:color w:val="auto"/>
          <w:kern w:val="0"/>
          <w:sz w:val="24"/>
        </w:rPr>
        <w:t>.1</w:t>
      </w:r>
      <w:r>
        <w:rPr>
          <w:rFonts w:hint="eastAsia" w:ascii="宋体" w:hAnsi="宋体" w:eastAsia="宋体" w:cs="宋体"/>
          <w:color w:val="auto"/>
          <w:sz w:val="24"/>
          <w:szCs w:val="24"/>
        </w:rPr>
        <w:t>按国家及地方现行的设计文件深度规定等有关技术标准、设计规范（标准）要求。按绿色建筑设计标准进行绿色建筑设计（如需要）。</w:t>
      </w:r>
    </w:p>
    <w:p w14:paraId="4890AB81">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4</w:t>
      </w:r>
      <w:r>
        <w:rPr>
          <w:rFonts w:hint="eastAsia" w:ascii="宋体" w:hAnsi="宋体" w:eastAsia="宋体" w:cs="宋体"/>
          <w:b/>
          <w:bCs/>
          <w:snapToGrid w:val="0"/>
          <w:color w:val="auto"/>
          <w:kern w:val="0"/>
          <w:sz w:val="24"/>
        </w:rPr>
        <w:t>.2</w:t>
      </w:r>
      <w:r>
        <w:rPr>
          <w:rFonts w:hint="eastAsia" w:ascii="宋体" w:hAnsi="宋体" w:eastAsia="宋体" w:cs="宋体"/>
          <w:color w:val="auto"/>
          <w:sz w:val="24"/>
          <w:szCs w:val="24"/>
        </w:rPr>
        <w:t>各专业设计应同步进行，涉及单位应指定总体设计人统筹布局，做好各项设施的协调和衔接、位置预留，不得留待施工中临时变更。</w:t>
      </w:r>
    </w:p>
    <w:p w14:paraId="62E5B261">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4</w:t>
      </w:r>
      <w:r>
        <w:rPr>
          <w:rFonts w:hint="eastAsia" w:ascii="宋体" w:hAnsi="宋体" w:eastAsia="宋体" w:cs="宋体"/>
          <w:b/>
          <w:bCs/>
          <w:snapToGrid w:val="0"/>
          <w:color w:val="auto"/>
          <w:kern w:val="0"/>
          <w:sz w:val="24"/>
        </w:rPr>
        <w:t>.3</w:t>
      </w:r>
      <w:r>
        <w:rPr>
          <w:rFonts w:hint="eastAsia" w:ascii="宋体" w:hAnsi="宋体" w:eastAsia="宋体" w:cs="宋体"/>
          <w:color w:val="auto"/>
          <w:sz w:val="24"/>
          <w:szCs w:val="24"/>
        </w:rPr>
        <w:t xml:space="preserve">对技术复杂或造价、规模较大的主要分项工程应作方案比较。 </w:t>
      </w:r>
    </w:p>
    <w:p w14:paraId="2C97518B">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4</w:t>
      </w:r>
      <w:r>
        <w:rPr>
          <w:rFonts w:hint="eastAsia" w:ascii="宋体" w:hAnsi="宋体" w:eastAsia="宋体" w:cs="宋体"/>
          <w:b/>
          <w:bCs/>
          <w:snapToGrid w:val="0"/>
          <w:color w:val="auto"/>
          <w:kern w:val="0"/>
          <w:sz w:val="24"/>
        </w:rPr>
        <w:t>.4</w:t>
      </w:r>
      <w:r>
        <w:rPr>
          <w:rFonts w:hint="eastAsia" w:ascii="宋体" w:hAnsi="宋体" w:eastAsia="宋体" w:cs="宋体"/>
          <w:color w:val="auto"/>
          <w:sz w:val="24"/>
          <w:szCs w:val="24"/>
        </w:rPr>
        <w:t>初步设计文件的深度，应当满足主要设备材料订货、征地拆迁及编制施工图设计文件的需要。</w:t>
      </w:r>
    </w:p>
    <w:p w14:paraId="25B61D77">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4</w:t>
      </w:r>
      <w:r>
        <w:rPr>
          <w:rFonts w:hint="eastAsia" w:ascii="宋体" w:hAnsi="宋体" w:eastAsia="宋体" w:cs="宋体"/>
          <w:b/>
          <w:bCs/>
          <w:snapToGrid w:val="0"/>
          <w:color w:val="auto"/>
          <w:kern w:val="0"/>
          <w:sz w:val="24"/>
        </w:rPr>
        <w:t>.5</w:t>
      </w:r>
      <w:r>
        <w:rPr>
          <w:rFonts w:hint="eastAsia" w:ascii="宋体" w:hAnsi="宋体" w:eastAsia="宋体" w:cs="宋体"/>
          <w:color w:val="auto"/>
          <w:sz w:val="24"/>
          <w:szCs w:val="24"/>
        </w:rPr>
        <w:t>施工图设计文件的深度，应当满足编制施工招标文件及设备材料采购，非标准设备制作和施工的需要，并注明建设工程合理使用年限。</w:t>
      </w:r>
    </w:p>
    <w:p w14:paraId="374EB11F">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4</w:t>
      </w:r>
      <w:r>
        <w:rPr>
          <w:rFonts w:hint="eastAsia" w:ascii="宋体" w:hAnsi="宋体" w:eastAsia="宋体" w:cs="宋体"/>
          <w:b/>
          <w:bCs/>
          <w:snapToGrid w:val="0"/>
          <w:color w:val="auto"/>
          <w:kern w:val="0"/>
          <w:sz w:val="24"/>
        </w:rPr>
        <w:t>.6</w:t>
      </w:r>
      <w:r>
        <w:rPr>
          <w:rFonts w:hint="eastAsia" w:ascii="宋体" w:hAnsi="宋体" w:eastAsia="宋体" w:cs="宋体"/>
          <w:color w:val="auto"/>
          <w:sz w:val="24"/>
          <w:szCs w:val="24"/>
        </w:rPr>
        <w:t>相关的配套外部接口方案均需取得政府主管部门或规划部门认可。</w:t>
      </w:r>
    </w:p>
    <w:p w14:paraId="2FA8FAA2">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4</w:t>
      </w:r>
      <w:r>
        <w:rPr>
          <w:rFonts w:hint="eastAsia" w:ascii="宋体" w:hAnsi="宋体" w:eastAsia="宋体" w:cs="宋体"/>
          <w:b/>
          <w:bCs/>
          <w:snapToGrid w:val="0"/>
          <w:color w:val="auto"/>
          <w:kern w:val="0"/>
          <w:sz w:val="24"/>
        </w:rPr>
        <w:t>.7</w:t>
      </w:r>
      <w:r>
        <w:rPr>
          <w:rFonts w:hint="eastAsia" w:ascii="宋体" w:hAnsi="宋体" w:eastAsia="宋体" w:cs="宋体"/>
          <w:color w:val="auto"/>
          <w:sz w:val="24"/>
          <w:szCs w:val="24"/>
        </w:rPr>
        <w:t>施工图设计文件应考虑交通维护、临时施工便道、基坑支护、对周边建筑物的影响等因素，以指导现场施工及过程评审。</w:t>
      </w:r>
      <w:r>
        <w:rPr>
          <w:rFonts w:hint="eastAsia" w:ascii="宋体" w:hAnsi="宋体" w:eastAsia="宋体" w:cs="宋体"/>
          <w:snapToGrid w:val="0"/>
          <w:color w:val="auto"/>
          <w:kern w:val="0"/>
          <w:sz w:val="24"/>
        </w:rPr>
        <w:t xml:space="preserve"> </w:t>
      </w:r>
      <w:r>
        <w:rPr>
          <w:rFonts w:hint="eastAsia" w:ascii="宋体" w:hAnsi="宋体" w:eastAsia="宋体" w:cs="宋体"/>
          <w:color w:val="auto"/>
          <w:sz w:val="24"/>
          <w:szCs w:val="24"/>
        </w:rPr>
        <w:t xml:space="preserve"> </w:t>
      </w:r>
    </w:p>
    <w:p w14:paraId="4CBF0BA6">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5</w:t>
      </w:r>
      <w:r>
        <w:rPr>
          <w:rFonts w:hint="eastAsia" w:ascii="宋体" w:hAnsi="宋体" w:eastAsia="宋体" w:cs="宋体"/>
          <w:color w:val="auto"/>
          <w:sz w:val="24"/>
          <w:szCs w:val="24"/>
        </w:rPr>
        <w:t>设计后期配合施工工作</w:t>
      </w:r>
    </w:p>
    <w:p w14:paraId="05F5A0C9">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5</w:t>
      </w:r>
      <w:r>
        <w:rPr>
          <w:rFonts w:hint="eastAsia" w:ascii="宋体" w:hAnsi="宋体" w:eastAsia="宋体" w:cs="宋体"/>
          <w:b/>
          <w:bCs/>
          <w:snapToGrid w:val="0"/>
          <w:color w:val="auto"/>
          <w:kern w:val="0"/>
          <w:sz w:val="24"/>
        </w:rPr>
        <w:t>.1</w:t>
      </w:r>
      <w:r>
        <w:rPr>
          <w:rFonts w:hint="eastAsia" w:ascii="宋体" w:hAnsi="宋体" w:eastAsia="宋体" w:cs="宋体"/>
          <w:snapToGrid w:val="0"/>
          <w:color w:val="auto"/>
          <w:kern w:val="0"/>
          <w:sz w:val="24"/>
        </w:rPr>
        <w:t>施工图设计完成并经有关单位审查后，进入施工、监理招标及施工阶段，设计单位必须按投标文件的承诺至少派1名参与并熟悉本项目设计、有现场处理经验的设计代表配合施工、监理招标及施工，建设管理单位不另外支付配合施工费用。</w:t>
      </w:r>
    </w:p>
    <w:p w14:paraId="1B6AD8A4">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5</w:t>
      </w:r>
      <w:r>
        <w:rPr>
          <w:rFonts w:hint="eastAsia" w:ascii="宋体" w:hAnsi="宋体" w:eastAsia="宋体" w:cs="宋体"/>
          <w:b/>
          <w:bCs/>
          <w:snapToGrid w:val="0"/>
          <w:color w:val="auto"/>
          <w:kern w:val="0"/>
          <w:sz w:val="24"/>
        </w:rPr>
        <w:t>.2</w:t>
      </w:r>
      <w:r>
        <w:rPr>
          <w:rFonts w:hint="eastAsia" w:ascii="宋体" w:hAnsi="宋体" w:eastAsia="宋体" w:cs="宋体"/>
          <w:snapToGrid w:val="0"/>
          <w:color w:val="auto"/>
          <w:kern w:val="0"/>
          <w:sz w:val="24"/>
        </w:rPr>
        <w:t>设计单位配合施工、监理招标及施工的工作内容如下：</w:t>
      </w:r>
    </w:p>
    <w:p w14:paraId="788CA04C">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（1）施工图设计（技术）交底；</w:t>
      </w:r>
    </w:p>
    <w:p w14:paraId="3DA25286">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（2）配合勘察单位现场交桩；</w:t>
      </w:r>
    </w:p>
    <w:p w14:paraId="2812D2C0">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（3）变更设计和所有补充设计；</w:t>
      </w:r>
    </w:p>
    <w:p w14:paraId="0E07CD89">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（4）会签设计变更审批表；</w:t>
      </w:r>
    </w:p>
    <w:p w14:paraId="68ADB6C4">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（5）参加处理施工中发生的工程质量和安全事故；</w:t>
      </w:r>
    </w:p>
    <w:p w14:paraId="3BBDABAC">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（6）参加隐蔽工程及工程竣工验收；</w:t>
      </w:r>
    </w:p>
    <w:p w14:paraId="30200DA3">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（7）解决与设计有关的施工问题；</w:t>
      </w:r>
    </w:p>
    <w:p w14:paraId="5C1F1FC2">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（8）配合质量检测；</w:t>
      </w:r>
    </w:p>
    <w:p w14:paraId="4991B5B2">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（9）参加审查施工单位的施工组织设计和专项施工方案；</w:t>
      </w:r>
    </w:p>
    <w:p w14:paraId="6E883B12">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（10）参加本项目建设有关会议；</w:t>
      </w:r>
    </w:p>
    <w:p w14:paraId="1A858D27">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（11）在施工、监理招标期间配合建设及相关单位解释及完善施工图相关内容；</w:t>
      </w:r>
    </w:p>
    <w:p w14:paraId="6DDB5CBE">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lang w:eastAsia="zh-CN"/>
        </w:rPr>
      </w:pPr>
      <w:r>
        <w:rPr>
          <w:rFonts w:hint="eastAsia" w:ascii="宋体" w:hAnsi="宋体" w:eastAsia="宋体" w:cs="宋体"/>
          <w:snapToGrid w:val="0"/>
          <w:color w:val="auto"/>
          <w:kern w:val="0"/>
          <w:sz w:val="24"/>
        </w:rPr>
        <w:t>（12）配合施工单位完成竣工图绘制，并按档案馆要求，完成必要的签字盖章。</w:t>
      </w:r>
    </w:p>
    <w:p w14:paraId="5DCD94AE">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5</w:t>
      </w:r>
      <w:r>
        <w:rPr>
          <w:rFonts w:hint="eastAsia" w:ascii="宋体" w:hAnsi="宋体" w:eastAsia="宋体" w:cs="宋体"/>
          <w:b/>
          <w:bCs/>
          <w:snapToGrid w:val="0"/>
          <w:color w:val="auto"/>
          <w:kern w:val="0"/>
          <w:sz w:val="24"/>
        </w:rPr>
        <w:t>.3</w:t>
      </w:r>
      <w:r>
        <w:rPr>
          <w:rFonts w:hint="eastAsia" w:ascii="宋体" w:hAnsi="宋体" w:eastAsia="宋体" w:cs="宋体"/>
          <w:color w:val="auto"/>
          <w:sz w:val="24"/>
          <w:szCs w:val="24"/>
        </w:rPr>
        <w:t>设计工作技术总结</w:t>
      </w:r>
    </w:p>
    <w:p w14:paraId="1786739B">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设计人对设计文件及施工过程中发生的补充设计进行检查，并提出设计文件质量检查报告，在竣工验收前交发包人。工程完工后，设计人应组织设计技术工作人员将全部资料进行整理并撰写工程技术总结，并于竣工后十五个日历天内完成，交发包人。</w:t>
      </w:r>
    </w:p>
    <w:p w14:paraId="6B758D04">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6</w:t>
      </w:r>
      <w:r>
        <w:rPr>
          <w:rFonts w:hint="eastAsia" w:ascii="宋体" w:hAnsi="宋体" w:eastAsia="宋体" w:cs="宋体"/>
          <w:color w:val="auto"/>
          <w:sz w:val="24"/>
          <w:szCs w:val="24"/>
        </w:rPr>
        <w:t>限额设计要求</w:t>
      </w:r>
    </w:p>
    <w:p w14:paraId="54BCB2C4">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6</w:t>
      </w:r>
      <w:r>
        <w:rPr>
          <w:rFonts w:hint="eastAsia" w:ascii="宋体" w:hAnsi="宋体" w:eastAsia="宋体" w:cs="宋体"/>
          <w:b/>
          <w:bCs/>
          <w:snapToGrid w:val="0"/>
          <w:color w:val="auto"/>
          <w:kern w:val="0"/>
          <w:sz w:val="24"/>
        </w:rPr>
        <w:t>.1</w:t>
      </w:r>
      <w:r>
        <w:rPr>
          <w:rFonts w:hint="eastAsia" w:ascii="宋体" w:hAnsi="宋体" w:eastAsia="宋体" w:cs="宋体"/>
          <w:bCs/>
          <w:color w:val="auto"/>
          <w:sz w:val="24"/>
          <w:szCs w:val="24"/>
        </w:rPr>
        <w:t>初步设计概算中的建安工程费不得超过投资估算中的建安工程费，施工图预算中的建安工程费不得超过初步设计概算中的建安工程费，在保证设计质量的前提下，设计人应按投资限额进行设计，严格控制设计变更，确保工程概算和预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r>
        <w:rPr>
          <w:rFonts w:hint="eastAsia" w:ascii="宋体" w:hAnsi="宋体" w:eastAsia="宋体" w:cs="宋体"/>
          <w:color w:val="auto"/>
          <w:sz w:val="24"/>
          <w:szCs w:val="24"/>
        </w:rPr>
        <w:t>。</w:t>
      </w:r>
    </w:p>
    <w:p w14:paraId="10DD3647">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6</w:t>
      </w:r>
      <w:r>
        <w:rPr>
          <w:rFonts w:hint="eastAsia" w:ascii="宋体" w:hAnsi="宋体" w:eastAsia="宋体" w:cs="宋体"/>
          <w:b/>
          <w:bCs/>
          <w:snapToGrid w:val="0"/>
          <w:color w:val="auto"/>
          <w:kern w:val="0"/>
          <w:sz w:val="24"/>
        </w:rPr>
        <w:t>.2</w:t>
      </w:r>
      <w:r>
        <w:rPr>
          <w:rFonts w:hint="eastAsia" w:ascii="宋体" w:hAnsi="宋体" w:eastAsia="宋体" w:cs="宋体"/>
          <w:color w:val="auto"/>
          <w:sz w:val="24"/>
          <w:szCs w:val="24"/>
        </w:rPr>
        <w:t>若第三方造价咨询单位按施工图编制的建安工程费预算价高于</w:t>
      </w: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.11.1</w:t>
      </w:r>
      <w:r>
        <w:rPr>
          <w:rFonts w:hint="eastAsia" w:ascii="宋体" w:hAnsi="宋体" w:eastAsia="宋体" w:cs="宋体"/>
          <w:color w:val="auto"/>
          <w:sz w:val="24"/>
          <w:szCs w:val="24"/>
        </w:rPr>
        <w:t>条规定时，承包人必须无条件对施工图进行修改，直至满足限额设计要求。由此造成造价咨询单位重复编制施工图预算的费用、施工图设计重复审查的费用和其他费用由承包人承担，结算时在设计费中扣除。</w:t>
      </w:r>
    </w:p>
    <w:p w14:paraId="74C61FE5">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7</w:t>
      </w:r>
      <w:r>
        <w:rPr>
          <w:rFonts w:hint="eastAsia" w:ascii="宋体" w:hAnsi="宋体" w:eastAsia="宋体" w:cs="宋体"/>
          <w:color w:val="auto"/>
          <w:sz w:val="24"/>
          <w:szCs w:val="24"/>
        </w:rPr>
        <w:t>设计时需要考虑与周边地块的开发相结合。</w:t>
      </w:r>
    </w:p>
    <w:p w14:paraId="4D5BDCAB">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snapToGrid w:val="0"/>
          <w:color w:val="auto"/>
          <w:kern w:val="0"/>
          <w:sz w:val="24"/>
          <w:lang w:val="en-US" w:eastAsia="zh-CN"/>
        </w:rPr>
        <w:t>6</w:t>
      </w:r>
      <w:r>
        <w:rPr>
          <w:rFonts w:hint="eastAsia" w:ascii="宋体" w:hAnsi="宋体" w:eastAsia="宋体" w:cs="宋体"/>
          <w:b/>
          <w:bCs/>
          <w:snapToGrid w:val="0"/>
          <w:color w:val="auto"/>
          <w:kern w:val="0"/>
          <w:sz w:val="24"/>
        </w:rPr>
        <w:t>.</w:t>
      </w:r>
      <w:r>
        <w:rPr>
          <w:rFonts w:hint="eastAsia" w:ascii="宋体" w:hAnsi="宋体" w:cs="宋体"/>
          <w:b/>
          <w:bCs/>
          <w:snapToGrid w:val="0"/>
          <w:color w:val="auto"/>
          <w:kern w:val="0"/>
          <w:sz w:val="24"/>
          <w:lang w:val="en-US" w:eastAsia="zh-CN"/>
        </w:rPr>
        <w:t>8</w:t>
      </w:r>
      <w:r>
        <w:rPr>
          <w:rFonts w:hint="eastAsia" w:ascii="宋体" w:hAnsi="宋体" w:eastAsia="宋体" w:cs="宋体"/>
          <w:color w:val="auto"/>
          <w:sz w:val="24"/>
          <w:szCs w:val="24"/>
        </w:rPr>
        <w:t>凡参加本次招标的投标人被视为已充分认识和理解了任何与本项目有关的影响事项和困难等情况。</w:t>
      </w:r>
    </w:p>
    <w:p w14:paraId="1E94358C">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rPr>
      </w:pPr>
      <w:r>
        <w:rPr>
          <w:rFonts w:hint="eastAsia" w:ascii="宋体" w:hAnsi="宋体" w:eastAsia="宋体" w:cs="宋体"/>
          <w:b/>
          <w:bCs/>
          <w:snapToGrid w:val="0"/>
          <w:color w:val="auto"/>
          <w:kern w:val="0"/>
          <w:sz w:val="24"/>
        </w:rPr>
        <w:t>（注：上述招标内容</w:t>
      </w:r>
      <w:r>
        <w:rPr>
          <w:rFonts w:hint="eastAsia" w:ascii="宋体" w:hAnsi="宋体" w:eastAsia="宋体" w:cs="宋体"/>
          <w:b/>
          <w:bCs/>
          <w:snapToGrid w:val="0"/>
          <w:color w:val="auto"/>
          <w:kern w:val="0"/>
          <w:sz w:val="24"/>
          <w:lang w:eastAsia="zh-CN"/>
        </w:rPr>
        <w:t>其他要求详</w:t>
      </w:r>
      <w:r>
        <w:rPr>
          <w:rFonts w:hint="eastAsia" w:ascii="宋体" w:hAnsi="宋体" w:eastAsia="宋体" w:cs="宋体"/>
          <w:b/>
          <w:bCs/>
          <w:snapToGrid w:val="0"/>
          <w:color w:val="auto"/>
          <w:kern w:val="0"/>
          <w:sz w:val="24"/>
        </w:rPr>
        <w:t>见设计任务书，同时招标人在实施过程中可根据实际情况对工程规模、任务内容等进行合理、适当调整。）</w:t>
      </w:r>
    </w:p>
    <w:p w14:paraId="69556BF0">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62" w:name="_Toc14649"/>
      <w:bookmarkStart w:id="63" w:name="_Toc4575"/>
      <w:r>
        <w:rPr>
          <w:rFonts w:hint="eastAsia" w:ascii="宋体" w:hAnsi="宋体" w:eastAsia="宋体" w:cs="宋体"/>
          <w:b/>
          <w:bCs/>
          <w:snapToGrid w:val="0"/>
          <w:color w:val="auto"/>
          <w:kern w:val="0"/>
          <w:sz w:val="24"/>
          <w:lang w:val="en-US" w:eastAsia="zh-CN" w:bidi="ar-SA"/>
        </w:rPr>
        <w:t>7</w:t>
      </w:r>
      <w:bookmarkEnd w:id="61"/>
      <w:r>
        <w:rPr>
          <w:rFonts w:hint="eastAsia" w:ascii="宋体" w:hAnsi="宋体" w:eastAsia="宋体" w:cs="宋体"/>
          <w:b/>
          <w:bCs/>
          <w:snapToGrid w:val="0"/>
          <w:color w:val="auto"/>
          <w:kern w:val="0"/>
          <w:sz w:val="24"/>
          <w:lang w:val="en-US" w:eastAsia="zh-CN" w:bidi="ar-SA"/>
        </w:rPr>
        <w:t>.</w:t>
      </w:r>
      <w:r>
        <w:rPr>
          <w:rFonts w:hint="eastAsia" w:ascii="宋体" w:hAnsi="宋体" w:eastAsia="宋体" w:cs="宋体"/>
          <w:b/>
          <w:color w:val="auto"/>
          <w:sz w:val="24"/>
        </w:rPr>
        <w:t>现场踏勘</w:t>
      </w:r>
      <w:bookmarkEnd w:id="62"/>
      <w:bookmarkEnd w:id="63"/>
    </w:p>
    <w:p w14:paraId="1131F9C2">
      <w:pPr>
        <w:pStyle w:val="60"/>
        <w:pageBreakBefore w:val="0"/>
        <w:widowControl w:val="0"/>
        <w:kinsoku/>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7.1</w:t>
      </w:r>
      <w:r>
        <w:rPr>
          <w:rFonts w:hint="eastAsia" w:ascii="宋体" w:hAnsi="宋体" w:eastAsia="宋体" w:cs="宋体"/>
          <w:color w:val="auto"/>
          <w:kern w:val="2"/>
          <w:sz w:val="24"/>
          <w:szCs w:val="24"/>
          <w:lang w:val="en-US" w:eastAsia="zh-CN" w:bidi="ar-SA"/>
        </w:rPr>
        <w:t>招标人不集中现场踏勘。投标人需要了解现场情况的，可自行进行现场踏勘。</w:t>
      </w:r>
    </w:p>
    <w:p w14:paraId="0EBFF9C2">
      <w:pPr>
        <w:pStyle w:val="60"/>
        <w:pageBreakBefore w:val="0"/>
        <w:widowControl w:val="0"/>
        <w:kinsoku/>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7.2</w:t>
      </w:r>
      <w:r>
        <w:rPr>
          <w:rFonts w:hint="eastAsia" w:ascii="宋体" w:hAnsi="宋体" w:eastAsia="宋体" w:cs="宋体"/>
          <w:color w:val="auto"/>
          <w:kern w:val="2"/>
          <w:sz w:val="24"/>
          <w:szCs w:val="24"/>
          <w:lang w:val="en-US" w:eastAsia="zh-CN" w:bidi="ar-SA"/>
        </w:rPr>
        <w:t>在现场踏勘过程中，投标人应确保自身安全，投标人如果发生人身伤亡、财物或其他损失，法律法规有规定的按有关规定处理，没有规定的由投标人自行负责。</w:t>
      </w:r>
    </w:p>
    <w:p w14:paraId="3724AB19">
      <w:pPr>
        <w:pStyle w:val="60"/>
        <w:pageBreakBefore w:val="0"/>
        <w:widowControl w:val="0"/>
        <w:kinsoku/>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7.3</w:t>
      </w:r>
      <w:r>
        <w:rPr>
          <w:rFonts w:hint="eastAsia" w:ascii="宋体" w:hAnsi="宋体" w:eastAsia="宋体" w:cs="宋体"/>
          <w:color w:val="auto"/>
          <w:kern w:val="2"/>
          <w:sz w:val="24"/>
          <w:szCs w:val="24"/>
          <w:lang w:val="en-US" w:eastAsia="zh-CN" w:bidi="ar-SA"/>
        </w:rPr>
        <w:t>现场踏勘期间的交通、食宿由投标人自行安排，费用自理。</w:t>
      </w:r>
    </w:p>
    <w:p w14:paraId="791CA0DB">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64" w:name="_Toc10510"/>
      <w:bookmarkStart w:id="65" w:name="_Toc6699"/>
      <w:bookmarkStart w:id="66" w:name="_Toc15522"/>
      <w:r>
        <w:rPr>
          <w:rFonts w:hint="eastAsia" w:ascii="宋体" w:hAnsi="宋体" w:eastAsia="宋体" w:cs="宋体"/>
          <w:b/>
          <w:color w:val="auto"/>
          <w:sz w:val="24"/>
        </w:rPr>
        <w:t>8</w:t>
      </w:r>
      <w:r>
        <w:rPr>
          <w:rFonts w:hint="eastAsia" w:ascii="宋体" w:hAnsi="宋体" w:eastAsia="宋体" w:cs="宋体"/>
          <w:b/>
          <w:color w:val="auto"/>
          <w:sz w:val="24"/>
          <w:lang w:val="en-US" w:eastAsia="zh-CN"/>
        </w:rPr>
        <w:t>.</w:t>
      </w:r>
      <w:r>
        <w:rPr>
          <w:rFonts w:hint="eastAsia" w:ascii="宋体" w:hAnsi="宋体" w:eastAsia="宋体" w:cs="宋体"/>
          <w:b/>
          <w:color w:val="auto"/>
          <w:sz w:val="24"/>
        </w:rPr>
        <w:t>招标答疑</w:t>
      </w:r>
      <w:bookmarkEnd w:id="64"/>
      <w:bookmarkEnd w:id="65"/>
      <w:bookmarkEnd w:id="66"/>
      <w:bookmarkStart w:id="67" w:name="_Hlt74496410"/>
      <w:bookmarkEnd w:id="67"/>
    </w:p>
    <w:p w14:paraId="615AB568">
      <w:pPr>
        <w:pStyle w:val="60"/>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rPr>
      </w:pPr>
      <w:bookmarkStart w:id="68" w:name="_Hlt92513715"/>
      <w:bookmarkEnd w:id="68"/>
      <w:bookmarkStart w:id="69" w:name="_Hlt69699188"/>
      <w:bookmarkEnd w:id="69"/>
      <w:bookmarkStart w:id="70" w:name="_Hlt92513711"/>
      <w:bookmarkEnd w:id="70"/>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招标人及招标代理机构不集中组织答疑，实行网上答疑。投标人对招标事宜的质疑以不署名的形式登录</w:t>
      </w:r>
      <w:r>
        <w:rPr>
          <w:rFonts w:hint="eastAsia" w:ascii="宋体" w:hAnsi="宋体" w:eastAsia="宋体" w:cs="宋体"/>
          <w:b w:val="0"/>
          <w:bCs w:val="0"/>
          <w:color w:val="auto"/>
          <w:kern w:val="0"/>
          <w:sz w:val="24"/>
          <w:szCs w:val="24"/>
          <w:highlight w:val="none"/>
          <w:lang w:val="en-US" w:eastAsia="zh-CN"/>
        </w:rPr>
        <w:t>全国公共资源交易平台（广东省·韶关市）(https://ygp.gdzwfw.gov.cn/ggzy-portal/#/440200/index)</w:t>
      </w:r>
      <w:r>
        <w:rPr>
          <w:rFonts w:hint="eastAsia" w:ascii="宋体" w:hAnsi="宋体" w:eastAsia="宋体" w:cs="宋体"/>
          <w:color w:val="auto"/>
          <w:sz w:val="24"/>
          <w:szCs w:val="24"/>
          <w:highlight w:val="none"/>
        </w:rPr>
        <w:t>，进入建设工程交易系统提出招标质疑，截标前10日停止质疑。招标人应当自收到异议之日起3日内做出答复，并形成答疑书（或补充通知）</w:t>
      </w:r>
      <w:r>
        <w:rPr>
          <w:rFonts w:hint="eastAsia" w:ascii="宋体" w:hAnsi="宋体" w:eastAsia="宋体" w:cs="宋体"/>
          <w:color w:val="auto"/>
          <w:sz w:val="24"/>
          <w:szCs w:val="24"/>
          <w:highlight w:val="none"/>
          <w:lang w:val="en-US" w:eastAsia="zh-CN"/>
        </w:rPr>
        <w:t>在相关</w:t>
      </w:r>
      <w:r>
        <w:rPr>
          <w:rFonts w:hint="eastAsia" w:ascii="宋体" w:hAnsi="宋体" w:eastAsia="宋体" w:cs="宋体"/>
          <w:color w:val="auto"/>
          <w:sz w:val="24"/>
          <w:szCs w:val="24"/>
          <w:highlight w:val="none"/>
        </w:rPr>
        <w:t>网站上发布。答疑书（或补充通知）作为招标文件的补充，是招标文件的组成部分，在网上向所有投标人公开。</w:t>
      </w:r>
    </w:p>
    <w:p w14:paraId="688CA570">
      <w:pPr>
        <w:pStyle w:val="60"/>
        <w:pageBreakBefore w:val="0"/>
        <w:widowControl w:val="0"/>
        <w:kinsoku/>
        <w:wordWrap/>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若由于投标人自身原因未及时获得答疑书（或补充通知），由此发生的任何责任由投标人自行承担。</w:t>
      </w:r>
    </w:p>
    <w:p w14:paraId="6E5FECC9">
      <w:pPr>
        <w:pStyle w:val="60"/>
        <w:pageBreakBefore w:val="0"/>
        <w:widowControl w:val="0"/>
        <w:kinsoku/>
        <w:wordWrap/>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0E2E8664">
      <w:pPr>
        <w:pStyle w:val="60"/>
        <w:pageBreakBefore w:val="0"/>
        <w:widowControl w:val="0"/>
        <w:kinsoku/>
        <w:wordWrap/>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w:t>
      </w:r>
      <w:r>
        <w:rPr>
          <w:rFonts w:hint="eastAsia" w:ascii="宋体" w:hAnsi="宋体" w:eastAsia="宋体" w:cs="宋体"/>
          <w:color w:val="auto"/>
          <w:sz w:val="24"/>
          <w:szCs w:val="24"/>
          <w:highlight w:val="none"/>
        </w:rPr>
        <w:t>投标人在规定的时间内未对招标文件提出澄清或疑问的，招标人将视其为无异议。对招标文件中描述有歧意或前后不一致的地方，评标委员会有权进行评判，但对同一条款的评判应适用于每个投标人。</w:t>
      </w:r>
    </w:p>
    <w:p w14:paraId="53D2AEF1">
      <w:pPr>
        <w:pStyle w:val="60"/>
        <w:pageBreakBefore w:val="0"/>
        <w:widowControl w:val="0"/>
        <w:kinsoku/>
        <w:wordWrap/>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.5</w:t>
      </w:r>
      <w:r>
        <w:rPr>
          <w:rFonts w:hint="eastAsia" w:ascii="宋体" w:hAnsi="宋体" w:eastAsia="宋体" w:cs="宋体"/>
          <w:color w:val="auto"/>
          <w:sz w:val="24"/>
          <w:szCs w:val="24"/>
          <w:highlight w:val="none"/>
        </w:rPr>
        <w:t>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3A5910C9">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71" w:name="_Toc15543"/>
      <w:bookmarkStart w:id="72" w:name="_Toc15181"/>
      <w:r>
        <w:rPr>
          <w:rFonts w:hint="eastAsia" w:ascii="宋体" w:hAnsi="宋体" w:eastAsia="宋体" w:cs="宋体"/>
          <w:b/>
          <w:color w:val="auto"/>
          <w:sz w:val="24"/>
        </w:rPr>
        <w:t>9</w:t>
      </w:r>
      <w:r>
        <w:rPr>
          <w:rFonts w:hint="eastAsia" w:ascii="宋体" w:hAnsi="宋体" w:eastAsia="宋体" w:cs="宋体"/>
          <w:b/>
          <w:color w:val="auto"/>
          <w:sz w:val="24"/>
          <w:lang w:val="en-US" w:eastAsia="zh-CN"/>
        </w:rPr>
        <w:t>.</w:t>
      </w:r>
      <w:r>
        <w:rPr>
          <w:rFonts w:hint="eastAsia" w:ascii="宋体" w:hAnsi="宋体" w:eastAsia="宋体" w:cs="宋体"/>
          <w:b/>
          <w:color w:val="auto"/>
          <w:sz w:val="24"/>
        </w:rPr>
        <w:t>最高投标限价的确定及投标报价的约定</w:t>
      </w:r>
      <w:bookmarkEnd w:id="71"/>
      <w:bookmarkEnd w:id="72"/>
    </w:p>
    <w:p w14:paraId="497CF73C">
      <w:pPr>
        <w:pStyle w:val="2"/>
        <w:bidi w:val="0"/>
        <w:snapToGrid/>
        <w:spacing w:before="0" w:beforeLines="0" w:beforeAutospacing="0" w:afterLines="0" w:afterAutospacing="0" w:line="360" w:lineRule="auto"/>
        <w:ind w:left="0" w:leftChars="0" w:right="0" w:rightChars="0" w:firstLine="482" w:firstLineChars="200"/>
        <w:jc w:val="left"/>
        <w:rPr>
          <w:rFonts w:hint="eastAsia" w:ascii="宋体" w:hAnsi="宋体" w:eastAsia="宋体" w:cs="宋体"/>
          <w:color w:val="auto"/>
          <w:sz w:val="24"/>
        </w:rPr>
      </w:pPr>
      <w:bookmarkStart w:id="73" w:name="_Toc3275"/>
      <w:bookmarkStart w:id="74" w:name="_Toc15385"/>
      <w:bookmarkStart w:id="75" w:name="_Toc5187"/>
      <w:bookmarkStart w:id="76" w:name="_Toc17907"/>
      <w:bookmarkStart w:id="77" w:name="_Toc71813188"/>
      <w:bookmarkStart w:id="78" w:name="_Toc13887"/>
      <w:bookmarkStart w:id="79" w:name="_Toc71813695"/>
      <w:bookmarkStart w:id="80" w:name="_Toc8839"/>
      <w:bookmarkStart w:id="81" w:name="_Toc20886"/>
      <w:bookmarkStart w:id="82" w:name="_Toc20723"/>
      <w:bookmarkStart w:id="83" w:name="_Toc21136"/>
      <w:bookmarkStart w:id="84" w:name="_Toc27082"/>
      <w:r>
        <w:rPr>
          <w:rFonts w:hint="eastAsia" w:ascii="宋体" w:hAnsi="宋体" w:eastAsia="宋体" w:cs="宋体"/>
          <w:color w:val="auto"/>
          <w:sz w:val="24"/>
          <w:lang w:val="en-US" w:eastAsia="zh-CN"/>
        </w:rPr>
        <w:t xml:space="preserve">9.1 </w:t>
      </w:r>
      <w:r>
        <w:rPr>
          <w:rFonts w:hint="eastAsia" w:ascii="宋体" w:hAnsi="宋体" w:eastAsia="宋体" w:cs="宋体"/>
          <w:color w:val="auto"/>
          <w:sz w:val="24"/>
        </w:rPr>
        <w:t>最高投标限价的确定</w:t>
      </w:r>
      <w:bookmarkEnd w:id="73"/>
      <w:bookmarkEnd w:id="74"/>
      <w:bookmarkEnd w:id="75"/>
      <w:bookmarkEnd w:id="76"/>
      <w:bookmarkEnd w:id="77"/>
      <w:bookmarkEnd w:id="78"/>
      <w:bookmarkEnd w:id="79"/>
      <w:bookmarkEnd w:id="80"/>
      <w:bookmarkEnd w:id="81"/>
      <w:bookmarkEnd w:id="82"/>
      <w:bookmarkEnd w:id="83"/>
      <w:bookmarkEnd w:id="84"/>
    </w:p>
    <w:p w14:paraId="5DA3080F">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bookmarkStart w:id="85" w:name="_Hlt75685913"/>
      <w:bookmarkEnd w:id="85"/>
      <w:bookmarkStart w:id="86" w:name="_Hlt126039060"/>
      <w:bookmarkEnd w:id="86"/>
      <w:bookmarkStart w:id="87" w:name="_Hlt75685561"/>
      <w:bookmarkEnd w:id="87"/>
      <w:bookmarkStart w:id="88" w:name="_Hlt121630579"/>
      <w:bookmarkEnd w:id="88"/>
      <w:bookmarkStart w:id="89" w:name="_Toc18975"/>
      <w:bookmarkStart w:id="90" w:name="_Hlt121629839"/>
      <w:bookmarkStart w:id="91" w:name="_Hlt69335617"/>
      <w:r>
        <w:rPr>
          <w:rFonts w:hint="eastAsia" w:ascii="宋体" w:hAnsi="宋体" w:eastAsia="宋体" w:cs="宋体"/>
          <w:color w:val="auto"/>
          <w:sz w:val="24"/>
          <w:szCs w:val="24"/>
        </w:rPr>
        <w:t>本项目招标最高投标限价为：</w:t>
      </w:r>
      <w:r>
        <w:rPr>
          <w:rFonts w:hint="eastAsia" w:ascii="宋体" w:hAnsi="宋体" w:eastAsia="宋体" w:cs="宋体"/>
          <w:color w:val="auto"/>
          <w:sz w:val="24"/>
          <w:szCs w:val="24"/>
          <w:lang w:eastAsia="zh-CN"/>
        </w:rPr>
        <w:t>人民币</w:t>
      </w:r>
      <w:r>
        <w:rPr>
          <w:rFonts w:hint="eastAsia" w:ascii="宋体" w:hAnsi="宋体" w:cs="宋体"/>
          <w:color w:val="auto"/>
          <w:sz w:val="24"/>
          <w:szCs w:val="24"/>
          <w:lang w:val="en-US" w:eastAsia="zh-CN"/>
        </w:rPr>
        <w:t>壹佰肆拾陆万零叁佰伍拾玖元捌角整</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1460359.80</w:t>
      </w:r>
      <w:r>
        <w:rPr>
          <w:rFonts w:hint="eastAsia" w:ascii="宋体" w:hAnsi="宋体" w:eastAsia="宋体" w:cs="宋体"/>
          <w:color w:val="auto"/>
          <w:sz w:val="24"/>
          <w:szCs w:val="24"/>
          <w:lang w:eastAsia="zh-CN"/>
        </w:rPr>
        <w:t>元）</w:t>
      </w:r>
      <w:r>
        <w:rPr>
          <w:rFonts w:hint="eastAsia" w:ascii="宋体" w:hAnsi="宋体" w:eastAsia="宋体" w:cs="宋体"/>
          <w:color w:val="auto"/>
          <w:sz w:val="24"/>
          <w:szCs w:val="24"/>
        </w:rPr>
        <w:t>。具体详见下表：</w:t>
      </w:r>
    </w:p>
    <w:tbl>
      <w:tblPr>
        <w:tblStyle w:val="34"/>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57"/>
        <w:gridCol w:w="1613"/>
        <w:gridCol w:w="2219"/>
        <w:gridCol w:w="1906"/>
        <w:gridCol w:w="1604"/>
      </w:tblGrid>
      <w:tr w14:paraId="0204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noWrap w:val="0"/>
            <w:vAlign w:val="center"/>
          </w:tcPr>
          <w:p w14:paraId="1E5C2A4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57" w:type="dxa"/>
            <w:noWrap w:val="0"/>
            <w:vAlign w:val="center"/>
          </w:tcPr>
          <w:p w14:paraId="288A295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p w14:paraId="792F0B2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613" w:type="dxa"/>
            <w:noWrap w:val="0"/>
            <w:vAlign w:val="center"/>
          </w:tcPr>
          <w:p w14:paraId="6A86146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暂定建安工程费（元）</w:t>
            </w:r>
          </w:p>
        </w:tc>
        <w:tc>
          <w:tcPr>
            <w:tcW w:w="2219" w:type="dxa"/>
            <w:noWrap w:val="0"/>
            <w:vAlign w:val="center"/>
          </w:tcPr>
          <w:p w14:paraId="782D855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报价费率上限</w:t>
            </w:r>
          </w:p>
        </w:tc>
        <w:tc>
          <w:tcPr>
            <w:tcW w:w="1906" w:type="dxa"/>
            <w:noWrap w:val="0"/>
            <w:vAlign w:val="center"/>
          </w:tcPr>
          <w:p w14:paraId="26EF9E9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最高投标限价（元）</w:t>
            </w:r>
          </w:p>
        </w:tc>
        <w:tc>
          <w:tcPr>
            <w:tcW w:w="1604" w:type="dxa"/>
            <w:noWrap w:val="0"/>
            <w:vAlign w:val="center"/>
          </w:tcPr>
          <w:p w14:paraId="1E8E684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4508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85" w:type="dxa"/>
            <w:noWrap w:val="0"/>
            <w:vAlign w:val="center"/>
          </w:tcPr>
          <w:p w14:paraId="59308C01">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1157" w:type="dxa"/>
            <w:noWrap w:val="0"/>
            <w:vAlign w:val="center"/>
          </w:tcPr>
          <w:p w14:paraId="5B273F6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设计费</w:t>
            </w:r>
          </w:p>
        </w:tc>
        <w:tc>
          <w:tcPr>
            <w:tcW w:w="1613" w:type="dxa"/>
            <w:noWrap w:val="0"/>
            <w:vAlign w:val="center"/>
          </w:tcPr>
          <w:p w14:paraId="4EB4316F">
            <w:pPr>
              <w:spacing w:line="360" w:lineRule="auto"/>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77827300.00</w:t>
            </w:r>
          </w:p>
        </w:tc>
        <w:tc>
          <w:tcPr>
            <w:tcW w:w="2219" w:type="dxa"/>
            <w:noWrap w:val="0"/>
            <w:vAlign w:val="center"/>
          </w:tcPr>
          <w:p w14:paraId="347DCAE1">
            <w:pPr>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cs="宋体"/>
                <w:b w:val="0"/>
                <w:bCs w:val="0"/>
                <w:color w:val="auto"/>
                <w:sz w:val="24"/>
                <w:szCs w:val="24"/>
                <w:u w:val="single"/>
                <w:lang w:val="en-US" w:eastAsia="zh-CN"/>
              </w:rPr>
              <w:t>1.876</w:t>
            </w:r>
            <w:r>
              <w:rPr>
                <w:rFonts w:hint="eastAsia" w:ascii="宋体" w:hAnsi="宋体" w:eastAsia="宋体" w:cs="宋体"/>
                <w:color w:val="auto"/>
                <w:kern w:val="0"/>
                <w:sz w:val="24"/>
              </w:rPr>
              <w:t>%</w:t>
            </w:r>
          </w:p>
        </w:tc>
        <w:tc>
          <w:tcPr>
            <w:tcW w:w="1906" w:type="dxa"/>
            <w:noWrap w:val="0"/>
            <w:vAlign w:val="center"/>
          </w:tcPr>
          <w:p w14:paraId="100A25EA">
            <w:pPr>
              <w:spacing w:line="360" w:lineRule="auto"/>
              <w:jc w:val="center"/>
              <w:rPr>
                <w:rFonts w:hint="eastAsia" w:ascii="宋体" w:hAnsi="宋体" w:eastAsia="宋体" w:cs="宋体"/>
                <w:color w:val="auto"/>
                <w:kern w:val="0"/>
                <w:sz w:val="24"/>
                <w:lang w:val="en-US" w:eastAsia="zh-CN"/>
              </w:rPr>
            </w:pPr>
            <w:r>
              <w:rPr>
                <w:rFonts w:hint="eastAsia" w:ascii="宋体" w:hAnsi="宋体" w:cs="宋体"/>
                <w:color w:val="auto"/>
                <w:sz w:val="24"/>
                <w:szCs w:val="24"/>
                <w:lang w:val="en-US" w:eastAsia="zh-CN"/>
              </w:rPr>
              <w:t>1460359.80</w:t>
            </w:r>
          </w:p>
        </w:tc>
        <w:tc>
          <w:tcPr>
            <w:tcW w:w="1604" w:type="dxa"/>
            <w:noWrap w:val="0"/>
            <w:vAlign w:val="center"/>
          </w:tcPr>
          <w:p w14:paraId="76A1BCC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14:paraId="0EAC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574" w:type="dxa"/>
            <w:gridSpan w:val="4"/>
            <w:noWrap w:val="0"/>
            <w:vAlign w:val="center"/>
          </w:tcPr>
          <w:p w14:paraId="459809A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906" w:type="dxa"/>
            <w:noWrap w:val="0"/>
            <w:vAlign w:val="center"/>
          </w:tcPr>
          <w:p w14:paraId="53035E85">
            <w:pPr>
              <w:spacing w:line="360" w:lineRule="auto"/>
              <w:ind w:right="120"/>
              <w:jc w:val="righ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1460359.80</w:t>
            </w:r>
          </w:p>
        </w:tc>
        <w:tc>
          <w:tcPr>
            <w:tcW w:w="1604" w:type="dxa"/>
            <w:noWrap w:val="0"/>
            <w:vAlign w:val="center"/>
          </w:tcPr>
          <w:p w14:paraId="7437401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bl>
    <w:p w14:paraId="5BEA9F6A">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p>
    <w:p w14:paraId="653BBCCB">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004BA7C">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.设计</w:t>
      </w:r>
      <w:r>
        <w:rPr>
          <w:rFonts w:hint="eastAsia" w:ascii="宋体" w:hAnsi="宋体" w:eastAsia="宋体" w:cs="宋体"/>
          <w:color w:val="auto"/>
          <w:sz w:val="24"/>
          <w:lang w:val="zh-CN"/>
        </w:rPr>
        <w:t>费</w:t>
      </w:r>
      <w:r>
        <w:rPr>
          <w:rFonts w:hint="eastAsia" w:ascii="宋体" w:hAnsi="宋体" w:eastAsia="宋体" w:cs="宋体"/>
          <w:color w:val="auto"/>
          <w:sz w:val="24"/>
          <w:szCs w:val="24"/>
        </w:rPr>
        <w:t>报价费率=设计费投标报价</w:t>
      </w:r>
      <w:r>
        <w:rPr>
          <w:rFonts w:hint="eastAsia" w:ascii="宋体" w:hAnsi="宋体" w:eastAsia="宋体" w:cs="宋体"/>
          <w:color w:val="auto"/>
          <w:kern w:val="0"/>
          <w:sz w:val="24"/>
        </w:rPr>
        <w:t>÷</w:t>
      </w:r>
      <w:r>
        <w:rPr>
          <w:rFonts w:hint="eastAsia" w:ascii="宋体" w:hAnsi="宋体" w:eastAsia="宋体" w:cs="宋体"/>
          <w:color w:val="auto"/>
          <w:sz w:val="24"/>
          <w:szCs w:val="24"/>
        </w:rPr>
        <w:t>暂定建安工程费×100%。</w:t>
      </w:r>
    </w:p>
    <w:p w14:paraId="19E37189">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.投标报价超过最高投标限价为无效报价。</w:t>
      </w:r>
    </w:p>
    <w:p w14:paraId="04211FE8">
      <w:pPr>
        <w:pStyle w:val="60"/>
        <w:pageBreakBefore w:val="0"/>
        <w:widowControl w:val="0"/>
        <w:kinsoku/>
        <w:wordWrap/>
        <w:overflowPunct/>
        <w:topLinePunct w:val="0"/>
        <w:bidi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sz w:val="24"/>
          <w:szCs w:val="24"/>
          <w:highlight w:val="none"/>
        </w:rPr>
      </w:pPr>
      <w:r>
        <w:rPr>
          <w:rFonts w:hint="eastAsia" w:hAnsi="宋体" w:cs="宋体"/>
          <w:color w:val="auto"/>
          <w:sz w:val="24"/>
          <w:szCs w:val="24"/>
          <w:lang w:val="en-US" w:eastAsia="zh-CN"/>
        </w:rPr>
        <w:t>3</w:t>
      </w:r>
      <w:r>
        <w:rPr>
          <w:rFonts w:hint="eastAsia" w:ascii="宋体" w:hAnsi="宋体" w:eastAsia="宋体" w:cs="宋体"/>
          <w:color w:val="auto"/>
          <w:sz w:val="24"/>
          <w:szCs w:val="24"/>
        </w:rPr>
        <w:t>.投标报价均按四舍五入保留两位小数；报价费率按四舍五入保留至小数点后三位。</w:t>
      </w:r>
    </w:p>
    <w:p w14:paraId="409F095D">
      <w:pPr>
        <w:pStyle w:val="2"/>
        <w:bidi w:val="0"/>
        <w:snapToGrid/>
        <w:spacing w:before="0" w:beforeLines="0" w:beforeAutospacing="0" w:afterLines="0" w:afterAutospacing="0" w:line="360" w:lineRule="auto"/>
        <w:ind w:left="0" w:leftChars="0" w:right="0" w:rightChars="0" w:firstLine="482" w:firstLineChars="200"/>
        <w:jc w:val="left"/>
        <w:rPr>
          <w:rFonts w:hint="eastAsia" w:ascii="宋体" w:hAnsi="宋体" w:eastAsia="宋体" w:cs="宋体"/>
          <w:color w:val="auto"/>
          <w:sz w:val="24"/>
          <w:lang w:val="en-US" w:eastAsia="zh-CN"/>
        </w:rPr>
      </w:pPr>
      <w:bookmarkStart w:id="92" w:name="_Toc4335"/>
      <w:bookmarkStart w:id="93" w:name="_Toc30547"/>
      <w:bookmarkStart w:id="94" w:name="_Toc2389"/>
      <w:r>
        <w:rPr>
          <w:rFonts w:hint="eastAsia" w:ascii="宋体" w:hAnsi="宋体" w:eastAsia="宋体" w:cs="宋体"/>
          <w:color w:val="auto"/>
          <w:sz w:val="24"/>
          <w:lang w:val="en-US" w:eastAsia="zh-CN"/>
        </w:rPr>
        <w:t xml:space="preserve">9.2 </w:t>
      </w:r>
      <w:bookmarkStart w:id="95" w:name="_Hlt74498519"/>
      <w:bookmarkEnd w:id="95"/>
      <w:r>
        <w:rPr>
          <w:rFonts w:hint="eastAsia" w:ascii="宋体" w:hAnsi="宋体" w:eastAsia="宋体" w:cs="宋体"/>
          <w:color w:val="auto"/>
          <w:sz w:val="24"/>
          <w:lang w:val="en-US" w:eastAsia="zh-CN"/>
        </w:rPr>
        <w:t>投标报价的约定</w:t>
      </w:r>
      <w:bookmarkEnd w:id="92"/>
      <w:bookmarkEnd w:id="93"/>
      <w:bookmarkEnd w:id="94"/>
    </w:p>
    <w:p w14:paraId="6988B482">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rPr>
        <w:t>9.</w:t>
      </w:r>
      <w:r>
        <w:rPr>
          <w:rFonts w:hint="eastAsia" w:ascii="宋体" w:hAnsi="宋体" w:eastAsia="宋体" w:cs="宋体"/>
          <w:b/>
          <w:bCs/>
          <w:snapToGrid w:val="0"/>
          <w:color w:val="auto"/>
          <w:kern w:val="0"/>
          <w:sz w:val="24"/>
          <w:lang w:val="en-US" w:eastAsia="zh-CN"/>
        </w:rPr>
        <w:t>2.</w:t>
      </w:r>
      <w:r>
        <w:rPr>
          <w:rFonts w:hint="eastAsia" w:ascii="宋体" w:hAnsi="宋体" w:eastAsia="宋体" w:cs="宋体"/>
          <w:b/>
          <w:bCs/>
          <w:snapToGrid w:val="0"/>
          <w:color w:val="auto"/>
          <w:kern w:val="0"/>
          <w:sz w:val="24"/>
        </w:rPr>
        <w:t xml:space="preserve">1 </w:t>
      </w:r>
      <w:r>
        <w:rPr>
          <w:rFonts w:hint="eastAsia" w:ascii="宋体" w:hAnsi="宋体" w:eastAsia="宋体" w:cs="宋体"/>
          <w:snapToGrid w:val="0"/>
          <w:color w:val="auto"/>
          <w:kern w:val="0"/>
          <w:sz w:val="24"/>
        </w:rPr>
        <w:t>投标人以设计费进行投标报价。设计费可参照《工程勘察设计收费标准》（2002年版）的标准和结合企业自身情况分别进行报价。设计费报价不得超出最高投标限价规定的相应限价。</w:t>
      </w:r>
    </w:p>
    <w:p w14:paraId="1C3F2E6A">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bookmarkStart w:id="96" w:name="_Hlt69335755"/>
      <w:bookmarkEnd w:id="96"/>
      <w:r>
        <w:rPr>
          <w:rFonts w:hint="eastAsia" w:ascii="宋体" w:hAnsi="宋体" w:eastAsia="宋体" w:cs="宋体"/>
          <w:b/>
          <w:bCs/>
          <w:snapToGrid w:val="0"/>
          <w:color w:val="auto"/>
          <w:kern w:val="0"/>
          <w:sz w:val="24"/>
        </w:rPr>
        <w:t>9.</w:t>
      </w:r>
      <w:r>
        <w:rPr>
          <w:rFonts w:hint="eastAsia" w:ascii="宋体" w:hAnsi="宋体" w:eastAsia="宋体" w:cs="宋体"/>
          <w:b/>
          <w:bCs/>
          <w:snapToGrid w:val="0"/>
          <w:color w:val="auto"/>
          <w:kern w:val="0"/>
          <w:sz w:val="24"/>
          <w:lang w:val="en-US" w:eastAsia="zh-CN"/>
        </w:rPr>
        <w:t>2.</w:t>
      </w:r>
      <w:r>
        <w:rPr>
          <w:rFonts w:hint="eastAsia" w:ascii="宋体" w:hAnsi="宋体" w:cs="宋体"/>
          <w:b/>
          <w:bCs/>
          <w:snapToGrid w:val="0"/>
          <w:color w:val="auto"/>
          <w:kern w:val="0"/>
          <w:sz w:val="24"/>
          <w:lang w:val="en-US" w:eastAsia="zh-CN"/>
        </w:rPr>
        <w:t>2</w:t>
      </w:r>
      <w:r>
        <w:rPr>
          <w:rFonts w:hint="eastAsia" w:ascii="宋体" w:hAnsi="宋体" w:eastAsia="宋体" w:cs="宋体"/>
          <w:snapToGrid w:val="0"/>
          <w:color w:val="auto"/>
          <w:kern w:val="0"/>
          <w:sz w:val="24"/>
        </w:rPr>
        <w:t xml:space="preserve"> 设计费投标报价：</w:t>
      </w:r>
      <w:bookmarkStart w:id="97" w:name="_（十）投标文件的编制、包装、密封"/>
      <w:bookmarkEnd w:id="97"/>
      <w:r>
        <w:rPr>
          <w:rFonts w:hint="eastAsia" w:ascii="宋体" w:hAnsi="宋体" w:eastAsia="宋体" w:cs="宋体"/>
          <w:snapToGrid w:val="0"/>
          <w:color w:val="auto"/>
          <w:kern w:val="0"/>
          <w:sz w:val="24"/>
        </w:rPr>
        <w:t>采用设计取费费率方式进行报价。设计费的报价应包括招标文件中招标内容（范围）及设计任务书所规定的所有设计工作的所有费用，应包含各个不同专业的设计费用、进行优化设计或修改设计所增加的设计费用。</w:t>
      </w:r>
    </w:p>
    <w:p w14:paraId="7D2695BA">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设计费报价费率=设计费投标报价</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暂定建安工程费×100%</w:t>
      </w:r>
    </w:p>
    <w:p w14:paraId="29D8AC3D">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rPr>
        <w:t>9.</w:t>
      </w:r>
      <w:r>
        <w:rPr>
          <w:rFonts w:hint="eastAsia" w:ascii="宋体" w:hAnsi="宋体" w:eastAsia="宋体" w:cs="宋体"/>
          <w:b/>
          <w:bCs/>
          <w:snapToGrid w:val="0"/>
          <w:color w:val="auto"/>
          <w:kern w:val="0"/>
          <w:sz w:val="24"/>
          <w:lang w:val="en-US" w:eastAsia="zh-CN"/>
        </w:rPr>
        <w:t>2.</w:t>
      </w:r>
      <w:r>
        <w:rPr>
          <w:rFonts w:hint="eastAsia" w:ascii="宋体" w:hAnsi="宋体" w:cs="宋体"/>
          <w:b/>
          <w:bCs/>
          <w:snapToGrid w:val="0"/>
          <w:color w:val="auto"/>
          <w:kern w:val="0"/>
          <w:sz w:val="24"/>
          <w:lang w:val="en-US" w:eastAsia="zh-CN"/>
        </w:rPr>
        <w:t>3</w:t>
      </w:r>
      <w:r>
        <w:rPr>
          <w:rFonts w:hint="eastAsia" w:ascii="宋体" w:hAnsi="宋体" w:eastAsia="宋体" w:cs="宋体"/>
          <w:b/>
          <w:bCs/>
          <w:snapToGrid w:val="0"/>
          <w:color w:val="auto"/>
          <w:kern w:val="0"/>
          <w:sz w:val="24"/>
        </w:rPr>
        <w:t xml:space="preserve"> </w:t>
      </w:r>
      <w:r>
        <w:rPr>
          <w:rFonts w:hint="eastAsia" w:ascii="宋体" w:hAnsi="宋体" w:eastAsia="宋体" w:cs="宋体"/>
          <w:snapToGrid w:val="0"/>
          <w:color w:val="auto"/>
          <w:kern w:val="0"/>
          <w:sz w:val="24"/>
        </w:rPr>
        <w:t>投标人投标报价必须按照本次招标公布的最高投标限价的相关规定进行编制。</w:t>
      </w:r>
    </w:p>
    <w:p w14:paraId="6B776FDC">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rPr>
      </w:pPr>
      <w:r>
        <w:rPr>
          <w:rFonts w:hint="eastAsia" w:ascii="宋体" w:hAnsi="宋体" w:eastAsia="宋体" w:cs="宋体"/>
          <w:b/>
          <w:bCs/>
          <w:snapToGrid w:val="0"/>
          <w:color w:val="auto"/>
          <w:kern w:val="0"/>
          <w:sz w:val="24"/>
        </w:rPr>
        <w:t>9.</w:t>
      </w:r>
      <w:r>
        <w:rPr>
          <w:rFonts w:hint="eastAsia" w:ascii="宋体" w:hAnsi="宋体" w:eastAsia="宋体" w:cs="宋体"/>
          <w:b/>
          <w:bCs/>
          <w:snapToGrid w:val="0"/>
          <w:color w:val="auto"/>
          <w:kern w:val="0"/>
          <w:sz w:val="24"/>
          <w:lang w:val="en-US" w:eastAsia="zh-CN"/>
        </w:rPr>
        <w:t>2.</w:t>
      </w:r>
      <w:r>
        <w:rPr>
          <w:rFonts w:hint="eastAsia" w:ascii="宋体" w:hAnsi="宋体" w:cs="宋体"/>
          <w:b/>
          <w:bCs/>
          <w:snapToGrid w:val="0"/>
          <w:color w:val="auto"/>
          <w:kern w:val="0"/>
          <w:sz w:val="24"/>
          <w:lang w:val="en-US" w:eastAsia="zh-CN"/>
        </w:rPr>
        <w:t>4</w:t>
      </w:r>
      <w:r>
        <w:rPr>
          <w:rFonts w:hint="eastAsia" w:ascii="宋体" w:hAnsi="宋体" w:eastAsia="宋体" w:cs="宋体"/>
          <w:snapToGrid w:val="0"/>
          <w:color w:val="auto"/>
          <w:kern w:val="0"/>
          <w:sz w:val="24"/>
        </w:rPr>
        <w:t xml:space="preserve"> 本项目投标报价应综合考虑设计总包服务费、各阶段成果文件的审查费、专家评审费以及所有专业及工程复杂程度相关的调整系数以及报建工作所需的内容等所包含的一切费用，还应考虑任何阶段性设计修改不增加任何费用的风险。</w:t>
      </w:r>
      <w:r>
        <w:rPr>
          <w:rFonts w:hint="eastAsia" w:ascii="宋体" w:hAnsi="宋体" w:eastAsia="宋体" w:cs="宋体"/>
          <w:bCs/>
          <w:color w:val="auto"/>
          <w:sz w:val="24"/>
          <w:szCs w:val="24"/>
          <w:lang w:val="zh-CN"/>
        </w:rPr>
        <w:t>设计费的报价应包含进行优化设计或修改设计所增加的设计费用。</w:t>
      </w:r>
      <w:r>
        <w:rPr>
          <w:rFonts w:hint="eastAsia" w:ascii="宋体" w:hAnsi="宋体" w:eastAsia="宋体" w:cs="宋体"/>
          <w:bCs/>
          <w:color w:val="auto"/>
          <w:sz w:val="24"/>
          <w:szCs w:val="24"/>
        </w:rPr>
        <w:t>本次招标</w:t>
      </w:r>
      <w:r>
        <w:rPr>
          <w:rFonts w:hint="eastAsia" w:ascii="宋体" w:hAnsi="宋体" w:eastAsia="宋体" w:cs="宋体"/>
          <w:snapToGrid w:val="0"/>
          <w:color w:val="auto"/>
          <w:kern w:val="0"/>
          <w:sz w:val="24"/>
        </w:rPr>
        <w:t>不含施工图审查费用。</w:t>
      </w:r>
    </w:p>
    <w:p w14:paraId="34A5F0AF">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rPr>
      </w:pPr>
      <w:r>
        <w:rPr>
          <w:rFonts w:hint="eastAsia" w:ascii="宋体" w:hAnsi="宋体" w:eastAsia="宋体" w:cs="宋体"/>
          <w:b/>
          <w:bCs/>
          <w:snapToGrid w:val="0"/>
          <w:color w:val="auto"/>
          <w:kern w:val="0"/>
          <w:sz w:val="24"/>
        </w:rPr>
        <w:t>9.</w:t>
      </w:r>
      <w:r>
        <w:rPr>
          <w:rFonts w:hint="eastAsia" w:ascii="宋体" w:hAnsi="宋体" w:eastAsia="宋体" w:cs="宋体"/>
          <w:b/>
          <w:bCs/>
          <w:snapToGrid w:val="0"/>
          <w:color w:val="auto"/>
          <w:kern w:val="0"/>
          <w:sz w:val="24"/>
          <w:lang w:val="en-US" w:eastAsia="zh-CN"/>
        </w:rPr>
        <w:t>2.</w:t>
      </w:r>
      <w:r>
        <w:rPr>
          <w:rFonts w:hint="eastAsia" w:ascii="宋体" w:hAnsi="宋体" w:cs="宋体"/>
          <w:b/>
          <w:bCs/>
          <w:snapToGrid w:val="0"/>
          <w:color w:val="auto"/>
          <w:kern w:val="0"/>
          <w:sz w:val="24"/>
          <w:lang w:val="en-US" w:eastAsia="zh-CN"/>
        </w:rPr>
        <w:t>5</w:t>
      </w:r>
      <w:r>
        <w:rPr>
          <w:rFonts w:hint="eastAsia" w:ascii="宋体" w:hAnsi="宋体" w:eastAsia="宋体" w:cs="宋体"/>
          <w:snapToGrid w:val="0"/>
          <w:color w:val="auto"/>
          <w:kern w:val="0"/>
          <w:sz w:val="24"/>
        </w:rPr>
        <w:t>投标报价时应充分考虑</w:t>
      </w:r>
      <w:r>
        <w:rPr>
          <w:rFonts w:hint="eastAsia" w:ascii="宋体" w:hAnsi="宋体" w:eastAsia="宋体" w:cs="宋体"/>
          <w:snapToGrid w:val="0"/>
          <w:color w:val="auto"/>
          <w:kern w:val="0"/>
          <w:sz w:val="24"/>
          <w:lang w:val="zh-CN"/>
        </w:rPr>
        <w:t>“拟签订合同的主要条款”</w:t>
      </w:r>
      <w:r>
        <w:rPr>
          <w:rFonts w:hint="eastAsia" w:ascii="宋体" w:hAnsi="宋体" w:eastAsia="宋体" w:cs="宋体"/>
          <w:snapToGrid w:val="0"/>
          <w:color w:val="auto"/>
          <w:kern w:val="0"/>
          <w:sz w:val="24"/>
        </w:rPr>
        <w:t>及“中标人须知”中所列条款的要求及风险。</w:t>
      </w:r>
    </w:p>
    <w:p w14:paraId="092F7388">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98" w:name="_Toc29596"/>
      <w:bookmarkStart w:id="99" w:name="_Toc27879"/>
      <w:r>
        <w:rPr>
          <w:rFonts w:hint="eastAsia" w:ascii="宋体" w:hAnsi="宋体" w:eastAsia="宋体" w:cs="宋体"/>
          <w:b/>
          <w:color w:val="auto"/>
          <w:sz w:val="24"/>
        </w:rPr>
        <w:t>10</w:t>
      </w:r>
      <w:r>
        <w:rPr>
          <w:rFonts w:hint="eastAsia" w:ascii="宋体" w:hAnsi="宋体" w:eastAsia="宋体" w:cs="宋体"/>
          <w:b/>
          <w:color w:val="auto"/>
          <w:sz w:val="24"/>
          <w:lang w:val="en-US" w:eastAsia="zh-CN"/>
        </w:rPr>
        <w:t>.</w:t>
      </w:r>
      <w:r>
        <w:rPr>
          <w:rFonts w:hint="eastAsia" w:ascii="宋体" w:hAnsi="宋体" w:eastAsia="宋体" w:cs="宋体"/>
          <w:b/>
          <w:color w:val="auto"/>
          <w:sz w:val="24"/>
        </w:rPr>
        <w:t>投标文件的编制</w:t>
      </w:r>
      <w:bookmarkStart w:id="100" w:name="_Hlt69332370"/>
      <w:bookmarkEnd w:id="100"/>
      <w:bookmarkStart w:id="101" w:name="_Hlt69208262"/>
      <w:bookmarkEnd w:id="101"/>
      <w:r>
        <w:rPr>
          <w:rFonts w:hint="eastAsia" w:ascii="宋体" w:hAnsi="宋体" w:eastAsia="宋体" w:cs="宋体"/>
          <w:b/>
          <w:color w:val="auto"/>
          <w:sz w:val="24"/>
        </w:rPr>
        <w:t>要求</w:t>
      </w:r>
      <w:bookmarkEnd w:id="89"/>
      <w:bookmarkEnd w:id="98"/>
      <w:bookmarkEnd w:id="99"/>
    </w:p>
    <w:p w14:paraId="08FF4ED2">
      <w:pPr>
        <w:pStyle w:val="2"/>
        <w:bidi w:val="0"/>
        <w:snapToGrid/>
        <w:spacing w:before="0" w:beforeLines="0" w:beforeAutospacing="0" w:afterLines="0" w:afterAutospacing="0" w:line="360" w:lineRule="auto"/>
        <w:ind w:left="0" w:leftChars="0" w:right="0" w:rightChars="0" w:firstLine="482" w:firstLineChars="200"/>
        <w:jc w:val="left"/>
        <w:rPr>
          <w:rFonts w:hint="eastAsia" w:ascii="宋体" w:hAnsi="宋体" w:eastAsia="宋体" w:cs="宋体"/>
          <w:color w:val="auto"/>
          <w:sz w:val="24"/>
        </w:rPr>
      </w:pPr>
      <w:bookmarkStart w:id="102" w:name="_Hlt78768224"/>
      <w:bookmarkEnd w:id="102"/>
      <w:bookmarkStart w:id="103" w:name="_Hlt74497202"/>
      <w:bookmarkEnd w:id="103"/>
      <w:bookmarkStart w:id="104" w:name="_Hlt74495594"/>
      <w:bookmarkEnd w:id="104"/>
      <w:bookmarkStart w:id="105" w:name="_Toc25703"/>
      <w:bookmarkStart w:id="106" w:name="_Toc26263"/>
      <w:bookmarkStart w:id="107" w:name="_Toc71811308"/>
      <w:bookmarkStart w:id="108" w:name="_Toc26006"/>
      <w:bookmarkStart w:id="109" w:name="_Toc496133008"/>
      <w:bookmarkStart w:id="110" w:name="_Toc13736"/>
      <w:bookmarkStart w:id="111" w:name="_Toc6667"/>
      <w:bookmarkStart w:id="112" w:name="_Toc31009"/>
      <w:bookmarkStart w:id="113" w:name="_Toc71811077"/>
      <w:bookmarkStart w:id="114" w:name="_Toc9874"/>
      <w:bookmarkStart w:id="115" w:name="_Toc71813698"/>
      <w:bookmarkStart w:id="116" w:name="_Toc29171"/>
      <w:bookmarkStart w:id="117" w:name="_Toc6443"/>
      <w:bookmarkStart w:id="118" w:name="_Toc31396"/>
      <w:bookmarkStart w:id="119" w:name="_Toc71811175"/>
      <w:bookmarkStart w:id="120" w:name="_Toc6054"/>
      <w:r>
        <w:rPr>
          <w:rFonts w:hint="eastAsia" w:ascii="宋体" w:hAnsi="宋体" w:eastAsia="宋体" w:cs="宋体"/>
          <w:color w:val="auto"/>
          <w:sz w:val="24"/>
        </w:rPr>
        <w:t>10.1一般要求</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B281443">
      <w:pPr>
        <w:pStyle w:val="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投标文件应按第</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章 投标文件格式规定的内容，投标人提交的投标文件应当使用招标文件所提供的投标文件全部格式。</w:t>
      </w:r>
    </w:p>
    <w:p w14:paraId="03AEC2B8">
      <w:pPr>
        <w:pStyle w:val="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10.1.1</w:t>
      </w:r>
      <w:r>
        <w:rPr>
          <w:rFonts w:hint="eastAsia" w:ascii="宋体" w:hAnsi="宋体" w:eastAsia="宋体" w:cs="宋体"/>
          <w:color w:val="auto"/>
          <w:sz w:val="24"/>
          <w:highlight w:val="none"/>
        </w:rPr>
        <w:t>投标人必须响应招标文件，并在充分理解招标文件的基础</w:t>
      </w:r>
      <w:bookmarkStart w:id="121" w:name="_Hlt78709790"/>
      <w:bookmarkEnd w:id="121"/>
      <w:r>
        <w:rPr>
          <w:rFonts w:hint="eastAsia" w:ascii="宋体" w:hAnsi="宋体" w:eastAsia="宋体" w:cs="宋体"/>
          <w:color w:val="auto"/>
          <w:sz w:val="24"/>
          <w:highlight w:val="none"/>
        </w:rPr>
        <w:t>上编制投标文件。因投标文件不符合招标文件的要求而造成的损失和后果，由投标人自行承担。</w:t>
      </w:r>
      <w:bookmarkStart w:id="122" w:name="_Hlt74496890"/>
      <w:bookmarkEnd w:id="122"/>
    </w:p>
    <w:p w14:paraId="093604F0">
      <w:pPr>
        <w:pStyle w:val="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10.1.2</w:t>
      </w:r>
      <w:r>
        <w:rPr>
          <w:rFonts w:hint="eastAsia" w:ascii="宋体" w:hAnsi="宋体" w:eastAsia="宋体" w:cs="宋体"/>
          <w:color w:val="auto"/>
          <w:sz w:val="24"/>
          <w:highlight w:val="none"/>
        </w:rPr>
        <w:t>投标文件包括</w:t>
      </w:r>
      <w:r>
        <w:rPr>
          <w:rFonts w:hint="eastAsia" w:ascii="宋体" w:hAnsi="宋体" w:eastAsia="宋体" w:cs="宋体"/>
          <w:b/>
          <w:bCs/>
          <w:color w:val="auto"/>
          <w:sz w:val="24"/>
          <w:highlight w:val="none"/>
        </w:rPr>
        <w:t>商务经济标书、技术标书</w:t>
      </w:r>
      <w:r>
        <w:rPr>
          <w:rFonts w:hint="eastAsia" w:ascii="宋体" w:hAnsi="宋体" w:eastAsia="宋体" w:cs="宋体"/>
          <w:color w:val="auto"/>
          <w:sz w:val="24"/>
          <w:highlight w:val="none"/>
        </w:rPr>
        <w:t>两个分册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投标文件全部采用电子文档，投标文件所附证书证件均为</w:t>
      </w:r>
      <w:r>
        <w:rPr>
          <w:rFonts w:hint="eastAsia" w:ascii="宋体" w:hAnsi="宋体" w:eastAsia="宋体" w:cs="宋体"/>
          <w:b/>
          <w:bCs/>
          <w:color w:val="auto"/>
          <w:sz w:val="24"/>
          <w:highlight w:val="none"/>
        </w:rPr>
        <w:t>原件扫描件</w:t>
      </w:r>
      <w:r>
        <w:rPr>
          <w:rFonts w:hint="eastAsia" w:ascii="宋体" w:hAnsi="宋体" w:eastAsia="宋体" w:cs="宋体"/>
          <w:color w:val="auto"/>
          <w:sz w:val="24"/>
          <w:highlight w:val="none"/>
        </w:rPr>
        <w:t>，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在【服务指南】栏目中下载《韶关市公共资源</w:t>
      </w:r>
      <w:r>
        <w:rPr>
          <w:rFonts w:hint="eastAsia" w:ascii="宋体" w:hAnsi="宋体" w:eastAsia="宋体" w:cs="宋体"/>
          <w:color w:val="auto"/>
          <w:sz w:val="24"/>
          <w:highlight w:val="none"/>
          <w:lang w:eastAsia="zh-CN"/>
        </w:rPr>
        <w:t>一体化平台—</w:t>
      </w:r>
      <w:r>
        <w:rPr>
          <w:rFonts w:hint="eastAsia" w:ascii="宋体" w:hAnsi="宋体" w:eastAsia="宋体" w:cs="宋体"/>
          <w:color w:val="auto"/>
          <w:sz w:val="24"/>
          <w:highlight w:val="none"/>
        </w:rPr>
        <w:t>建设工程交易投标人操作指南</w:t>
      </w:r>
      <w:r>
        <w:rPr>
          <w:rFonts w:hint="eastAsia" w:ascii="宋体" w:hAnsi="宋体" w:eastAsia="宋体" w:cs="宋体"/>
          <w:color w:val="auto"/>
          <w:sz w:val="24"/>
          <w:highlight w:val="none"/>
          <w:lang w:eastAsia="zh-CN"/>
        </w:rPr>
        <w:t>（电子评标）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0DDBB773">
      <w:pPr>
        <w:pStyle w:val="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10.1.3</w:t>
      </w:r>
      <w:r>
        <w:rPr>
          <w:rFonts w:hint="eastAsia" w:ascii="宋体" w:hAnsi="宋体" w:eastAsia="宋体" w:cs="宋体"/>
          <w:color w:val="auto"/>
          <w:sz w:val="24"/>
          <w:highlight w:val="none"/>
        </w:rPr>
        <w:t>投标文件需按以下要求签字、盖章：</w:t>
      </w:r>
    </w:p>
    <w:p w14:paraId="2E8606A8">
      <w:pPr>
        <w:pStyle w:val="1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电子投标文件：</w:t>
      </w:r>
    </w:p>
    <w:p w14:paraId="2CD8D0F5">
      <w:pPr>
        <w:pStyle w:val="1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10.1.3.1</w:t>
      </w:r>
      <w:r>
        <w:rPr>
          <w:rFonts w:hint="eastAsia" w:ascii="宋体" w:hAnsi="宋体" w:eastAsia="宋体" w:cs="宋体"/>
          <w:color w:val="auto"/>
          <w:sz w:val="24"/>
          <w:szCs w:val="22"/>
          <w:highlight w:val="none"/>
        </w:rPr>
        <w:t>投标文件封面、组成内容中凡注明“签字”处由要求的人员签字或电子签章；凡注明“签字或盖章”处由要求的人员签字或盖其私章（电子印章）；凡注明“签字并盖执业印章”处由要求的人员签字并盖其执业印章。</w:t>
      </w:r>
    </w:p>
    <w:p w14:paraId="432D11A6">
      <w:pPr>
        <w:pStyle w:val="1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10.1.3.2</w:t>
      </w:r>
      <w:r>
        <w:rPr>
          <w:rFonts w:hint="eastAsia" w:ascii="宋体" w:hAnsi="宋体" w:eastAsia="宋体" w:cs="宋体"/>
          <w:color w:val="auto"/>
          <w:sz w:val="24"/>
          <w:szCs w:val="22"/>
          <w:highlight w:val="none"/>
        </w:rPr>
        <w:t>投标文件封面、组成内容中凡要求录入投标人名称且注明“盖单位章”处盖单位法人公章（电子印章）。</w:t>
      </w:r>
    </w:p>
    <w:p w14:paraId="72CE6E14">
      <w:pPr>
        <w:pStyle w:val="16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b/>
          <w:bCs/>
          <w:color w:val="auto"/>
          <w:sz w:val="24"/>
          <w:szCs w:val="22"/>
          <w:highlight w:val="none"/>
        </w:rPr>
        <w:t>10.1.3.3</w:t>
      </w:r>
      <w:r>
        <w:rPr>
          <w:rFonts w:hint="eastAsia" w:ascii="宋体" w:hAnsi="宋体" w:eastAsia="宋体" w:cs="宋体"/>
          <w:color w:val="auto"/>
          <w:sz w:val="24"/>
          <w:szCs w:val="22"/>
          <w:highlight w:val="none"/>
        </w:rPr>
        <w:t>投标文件的签字均为签字人本人亲笔署名或签章（电子印章），其余部分的复印件无须另行签字、盖章。</w:t>
      </w:r>
    </w:p>
    <w:p w14:paraId="608EFBEA">
      <w:pPr>
        <w:pStyle w:val="2"/>
        <w:bidi w:val="0"/>
        <w:snapToGrid/>
        <w:spacing w:before="0" w:beforeLines="0" w:beforeAutospacing="0" w:afterLines="0" w:afterAutospacing="0" w:line="360" w:lineRule="auto"/>
        <w:ind w:left="0" w:leftChars="0" w:right="0" w:rightChars="0" w:firstLine="482" w:firstLineChars="200"/>
        <w:jc w:val="left"/>
        <w:rPr>
          <w:rFonts w:hint="eastAsia" w:ascii="宋体" w:hAnsi="宋体" w:eastAsia="宋体" w:cs="宋体"/>
          <w:color w:val="auto"/>
          <w:sz w:val="24"/>
        </w:rPr>
      </w:pPr>
      <w:bookmarkStart w:id="123" w:name="_Toc4518"/>
      <w:bookmarkStart w:id="124" w:name="_Toc11385"/>
      <w:bookmarkStart w:id="125" w:name="_Toc71811309"/>
      <w:bookmarkStart w:id="126" w:name="_Toc22855"/>
      <w:bookmarkStart w:id="127" w:name="_Toc71811078"/>
      <w:bookmarkStart w:id="128" w:name="_Toc15920"/>
      <w:bookmarkStart w:id="129" w:name="_Toc274313880"/>
      <w:bookmarkStart w:id="130" w:name="_Toc71811176"/>
      <w:bookmarkStart w:id="131" w:name="_Toc257031159"/>
      <w:bookmarkStart w:id="132" w:name="_Toc6742"/>
      <w:bookmarkStart w:id="133" w:name="_Toc496133009"/>
      <w:bookmarkStart w:id="134" w:name="_Toc17392"/>
      <w:bookmarkStart w:id="135" w:name="_Toc8420"/>
      <w:bookmarkStart w:id="136" w:name="_Toc7377"/>
      <w:bookmarkStart w:id="137" w:name="_Toc7941"/>
      <w:bookmarkStart w:id="138" w:name="_Toc20996"/>
      <w:bookmarkStart w:id="139" w:name="_Toc31553"/>
      <w:bookmarkStart w:id="140" w:name="_Toc71813699"/>
      <w:r>
        <w:rPr>
          <w:rFonts w:hint="eastAsia" w:ascii="宋体" w:hAnsi="宋体" w:eastAsia="宋体" w:cs="宋体"/>
          <w:color w:val="auto"/>
          <w:sz w:val="24"/>
        </w:rPr>
        <w:t>10.2 商务经济标书的编制要求</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9C1072D">
      <w:pPr>
        <w:pStyle w:val="60"/>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10.2.1</w:t>
      </w:r>
      <w:r>
        <w:rPr>
          <w:rFonts w:hint="eastAsia" w:ascii="宋体" w:hAnsi="宋体" w:eastAsia="宋体" w:cs="宋体"/>
          <w:color w:val="auto"/>
          <w:sz w:val="24"/>
          <w:highlight w:val="none"/>
        </w:rPr>
        <w:t>商务经济标书包括但不限于以下内容：</w:t>
      </w:r>
    </w:p>
    <w:p w14:paraId="477C984B">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（1）封面（格式一）；</w:t>
      </w:r>
    </w:p>
    <w:p w14:paraId="4B2A346C">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（2）目录；</w:t>
      </w:r>
    </w:p>
    <w:p w14:paraId="3D089E53">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（3）《投标函》（格式二）；</w:t>
      </w:r>
    </w:p>
    <w:p w14:paraId="7B23F8F1">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val="en-US" w:eastAsia="zh-CN"/>
        </w:rPr>
        <w:t>4</w:t>
      </w:r>
      <w:r>
        <w:rPr>
          <w:rFonts w:hint="eastAsia" w:ascii="宋体" w:hAnsi="宋体" w:eastAsia="宋体" w:cs="宋体"/>
          <w:color w:val="auto"/>
          <w:sz w:val="24"/>
          <w:szCs w:val="18"/>
          <w:highlight w:val="none"/>
        </w:rPr>
        <w:t>）《工程项目报价表》（格式</w:t>
      </w:r>
      <w:r>
        <w:rPr>
          <w:rFonts w:hint="eastAsia" w:ascii="宋体" w:hAnsi="宋体" w:eastAsia="宋体" w:cs="宋体"/>
          <w:color w:val="auto"/>
          <w:sz w:val="24"/>
          <w:szCs w:val="18"/>
          <w:highlight w:val="none"/>
          <w:lang w:val="en-US" w:eastAsia="zh-CN"/>
        </w:rPr>
        <w:t>三</w:t>
      </w:r>
      <w:r>
        <w:rPr>
          <w:rFonts w:hint="eastAsia" w:ascii="宋体" w:hAnsi="宋体" w:eastAsia="宋体" w:cs="宋体"/>
          <w:color w:val="auto"/>
          <w:sz w:val="24"/>
          <w:szCs w:val="18"/>
          <w:highlight w:val="none"/>
        </w:rPr>
        <w:t>）；</w:t>
      </w:r>
    </w:p>
    <w:p w14:paraId="1A5C6176">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（5）《各项承诺一览表》（格式</w:t>
      </w:r>
      <w:r>
        <w:rPr>
          <w:rFonts w:hint="eastAsia" w:ascii="宋体" w:hAnsi="宋体" w:eastAsia="宋体" w:cs="宋体"/>
          <w:color w:val="auto"/>
          <w:sz w:val="24"/>
          <w:szCs w:val="18"/>
          <w:highlight w:val="none"/>
          <w:lang w:val="en-US" w:eastAsia="zh-CN"/>
        </w:rPr>
        <w:t>四</w:t>
      </w:r>
      <w:r>
        <w:rPr>
          <w:rFonts w:hint="eastAsia" w:ascii="宋体" w:hAnsi="宋体" w:eastAsia="宋体" w:cs="宋体"/>
          <w:color w:val="auto"/>
          <w:sz w:val="24"/>
          <w:szCs w:val="18"/>
          <w:highlight w:val="none"/>
        </w:rPr>
        <w:t>）；</w:t>
      </w:r>
    </w:p>
    <w:p w14:paraId="3106B4B5">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（6）《法定代表人身份证明》（格式</w:t>
      </w:r>
      <w:r>
        <w:rPr>
          <w:rFonts w:hint="eastAsia" w:ascii="宋体" w:hAnsi="宋体" w:eastAsia="宋体" w:cs="宋体"/>
          <w:color w:val="auto"/>
          <w:sz w:val="24"/>
          <w:szCs w:val="18"/>
          <w:highlight w:val="none"/>
          <w:lang w:val="en-US" w:eastAsia="zh-CN"/>
        </w:rPr>
        <w:t>五</w:t>
      </w:r>
      <w:r>
        <w:rPr>
          <w:rFonts w:hint="eastAsia" w:ascii="宋体" w:hAnsi="宋体" w:eastAsia="宋体" w:cs="宋体"/>
          <w:color w:val="auto"/>
          <w:sz w:val="24"/>
          <w:szCs w:val="18"/>
          <w:highlight w:val="none"/>
        </w:rPr>
        <w:t>）；</w:t>
      </w:r>
    </w:p>
    <w:p w14:paraId="02D8E277">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（7）《授权委托书》（格式</w:t>
      </w:r>
      <w:r>
        <w:rPr>
          <w:rFonts w:hint="eastAsia" w:ascii="宋体" w:hAnsi="宋体" w:eastAsia="宋体" w:cs="宋体"/>
          <w:color w:val="auto"/>
          <w:sz w:val="24"/>
          <w:szCs w:val="18"/>
          <w:highlight w:val="none"/>
          <w:lang w:val="en-US" w:eastAsia="zh-CN"/>
        </w:rPr>
        <w:t>六</w:t>
      </w:r>
      <w:r>
        <w:rPr>
          <w:rFonts w:hint="eastAsia" w:ascii="宋体" w:hAnsi="宋体" w:eastAsia="宋体" w:cs="宋体"/>
          <w:color w:val="auto"/>
          <w:sz w:val="24"/>
          <w:szCs w:val="18"/>
          <w:highlight w:val="none"/>
        </w:rPr>
        <w:t>）；</w:t>
      </w:r>
    </w:p>
    <w:p w14:paraId="5FE00663">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（8）投标保证缴纳证明（投标人采用投标保证金的，附建设工程交易系统《缴纳投标保证金通知书》页面截图打印件</w:t>
      </w:r>
      <w:r>
        <w:rPr>
          <w:rFonts w:hint="eastAsia" w:ascii="宋体" w:hAnsi="宋体" w:eastAsia="宋体" w:cs="宋体"/>
          <w:color w:val="auto"/>
          <w:sz w:val="24"/>
          <w:szCs w:val="18"/>
          <w:highlight w:val="none"/>
          <w:lang w:eastAsia="zh-CN"/>
        </w:rPr>
        <w:t>和</w:t>
      </w:r>
      <w:r>
        <w:rPr>
          <w:rFonts w:hint="eastAsia" w:ascii="宋体" w:hAnsi="宋体" w:eastAsia="宋体" w:cs="宋体"/>
          <w:color w:val="auto"/>
          <w:sz w:val="24"/>
          <w:szCs w:val="18"/>
          <w:highlight w:val="none"/>
        </w:rPr>
        <w:t>银行转账单</w:t>
      </w:r>
      <w:r>
        <w:rPr>
          <w:rFonts w:hint="eastAsia" w:ascii="宋体" w:hAnsi="宋体" w:eastAsia="宋体" w:cs="宋体"/>
          <w:color w:val="auto"/>
          <w:sz w:val="24"/>
          <w:szCs w:val="18"/>
          <w:highlight w:val="none"/>
          <w:lang w:eastAsia="zh-CN"/>
        </w:rPr>
        <w:t>扫描</w:t>
      </w:r>
      <w:r>
        <w:rPr>
          <w:rFonts w:hint="eastAsia" w:ascii="宋体" w:hAnsi="宋体" w:eastAsia="宋体" w:cs="宋体"/>
          <w:color w:val="auto"/>
          <w:sz w:val="24"/>
          <w:szCs w:val="18"/>
          <w:highlight w:val="none"/>
        </w:rPr>
        <w:t>件；采用投标保证担保的，附银行保函</w:t>
      </w:r>
      <w:r>
        <w:rPr>
          <w:rFonts w:hint="eastAsia" w:ascii="宋体" w:hAnsi="宋体" w:eastAsia="宋体" w:cs="宋体"/>
          <w:color w:val="auto"/>
          <w:sz w:val="24"/>
          <w:szCs w:val="18"/>
          <w:highlight w:val="none"/>
          <w:lang w:eastAsia="zh-CN"/>
        </w:rPr>
        <w:t>扫描</w:t>
      </w:r>
      <w:r>
        <w:rPr>
          <w:rFonts w:hint="eastAsia" w:ascii="宋体" w:hAnsi="宋体" w:eastAsia="宋体" w:cs="宋体"/>
          <w:color w:val="auto"/>
          <w:sz w:val="24"/>
          <w:szCs w:val="18"/>
          <w:highlight w:val="none"/>
        </w:rPr>
        <w:t>件；采用投标保证保险的，附</w:t>
      </w:r>
      <w:r>
        <w:rPr>
          <w:rFonts w:hint="eastAsia" w:ascii="宋体" w:hAnsi="宋体" w:eastAsia="宋体" w:cs="宋体"/>
          <w:snapToGrid w:val="0"/>
          <w:color w:val="auto"/>
          <w:kern w:val="0"/>
          <w:sz w:val="24"/>
        </w:rPr>
        <w:t>《韶关市公共资源交易一体化平台保证金缴纳信息》</w:t>
      </w:r>
      <w:r>
        <w:rPr>
          <w:rFonts w:hint="eastAsia" w:ascii="宋体" w:hAnsi="宋体" w:eastAsia="宋体" w:cs="宋体"/>
          <w:snapToGrid w:val="0"/>
          <w:color w:val="auto"/>
          <w:kern w:val="0"/>
          <w:sz w:val="24"/>
          <w:lang w:eastAsia="zh-CN"/>
        </w:rPr>
        <w:t>和</w:t>
      </w:r>
      <w:r>
        <w:rPr>
          <w:rFonts w:hint="eastAsia" w:ascii="宋体" w:hAnsi="宋体" w:eastAsia="宋体" w:cs="宋体"/>
          <w:color w:val="auto"/>
          <w:sz w:val="24"/>
          <w:szCs w:val="18"/>
          <w:highlight w:val="none"/>
        </w:rPr>
        <w:t>电子保单</w:t>
      </w:r>
      <w:r>
        <w:rPr>
          <w:rFonts w:hint="eastAsia" w:ascii="宋体" w:hAnsi="宋体" w:eastAsia="宋体" w:cs="宋体"/>
          <w:color w:val="auto"/>
          <w:sz w:val="24"/>
          <w:szCs w:val="18"/>
          <w:highlight w:val="none"/>
          <w:lang w:eastAsia="zh-CN"/>
        </w:rPr>
        <w:t>扫描</w:t>
      </w:r>
      <w:r>
        <w:rPr>
          <w:rFonts w:hint="eastAsia" w:ascii="宋体" w:hAnsi="宋体" w:eastAsia="宋体" w:cs="宋体"/>
          <w:color w:val="auto"/>
          <w:sz w:val="24"/>
          <w:szCs w:val="18"/>
          <w:highlight w:val="none"/>
        </w:rPr>
        <w:t>件）。</w:t>
      </w:r>
    </w:p>
    <w:p w14:paraId="226441A6">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（9）《投标人基本情况表》（格式</w:t>
      </w:r>
      <w:r>
        <w:rPr>
          <w:rFonts w:hint="eastAsia" w:ascii="宋体" w:hAnsi="宋体" w:eastAsia="宋体" w:cs="宋体"/>
          <w:color w:val="auto"/>
          <w:sz w:val="24"/>
          <w:szCs w:val="18"/>
          <w:highlight w:val="none"/>
          <w:lang w:val="en-US" w:eastAsia="zh-CN"/>
        </w:rPr>
        <w:t>七</w:t>
      </w:r>
      <w:r>
        <w:rPr>
          <w:rFonts w:hint="eastAsia" w:ascii="宋体" w:hAnsi="宋体" w:eastAsia="宋体" w:cs="宋体"/>
          <w:color w:val="auto"/>
          <w:sz w:val="24"/>
          <w:szCs w:val="18"/>
          <w:highlight w:val="none"/>
        </w:rPr>
        <w:t>）及所附资料；</w:t>
      </w:r>
    </w:p>
    <w:p w14:paraId="4E8B22EE">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（10）《设计负责人简历表》（格式</w:t>
      </w:r>
      <w:r>
        <w:rPr>
          <w:rFonts w:hint="eastAsia" w:ascii="宋体" w:hAnsi="宋体" w:eastAsia="宋体" w:cs="宋体"/>
          <w:color w:val="auto"/>
          <w:sz w:val="24"/>
          <w:szCs w:val="18"/>
          <w:highlight w:val="none"/>
          <w:lang w:val="en-US" w:eastAsia="zh-CN"/>
        </w:rPr>
        <w:t>八</w:t>
      </w:r>
      <w:r>
        <w:rPr>
          <w:rFonts w:hint="eastAsia" w:ascii="宋体" w:hAnsi="宋体" w:eastAsia="宋体" w:cs="宋体"/>
          <w:color w:val="auto"/>
          <w:sz w:val="24"/>
          <w:szCs w:val="18"/>
          <w:highlight w:val="none"/>
        </w:rPr>
        <w:t>）及所附资料；</w:t>
      </w:r>
    </w:p>
    <w:p w14:paraId="4467FE7D">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w:t>
      </w:r>
      <w:r>
        <w:rPr>
          <w:rFonts w:hint="eastAsia" w:hAnsi="宋体" w:cs="宋体"/>
          <w:color w:val="auto"/>
          <w:sz w:val="24"/>
          <w:szCs w:val="18"/>
          <w:highlight w:val="none"/>
          <w:lang w:val="en-US" w:eastAsia="zh-CN"/>
        </w:rPr>
        <w:t>1</w:t>
      </w:r>
      <w:r>
        <w:rPr>
          <w:rFonts w:hint="eastAsia" w:ascii="宋体" w:hAnsi="宋体" w:eastAsia="宋体" w:cs="宋体"/>
          <w:color w:val="auto"/>
          <w:sz w:val="24"/>
          <w:szCs w:val="18"/>
          <w:highlight w:val="none"/>
        </w:rPr>
        <w:t>）《本项目拟投入的人员基本情况表》（格式</w:t>
      </w:r>
      <w:r>
        <w:rPr>
          <w:rFonts w:hint="eastAsia" w:hAnsi="宋体" w:cs="宋体"/>
          <w:color w:val="auto"/>
          <w:sz w:val="24"/>
          <w:szCs w:val="18"/>
          <w:highlight w:val="none"/>
          <w:lang w:val="en-US" w:eastAsia="zh-CN"/>
        </w:rPr>
        <w:t>九</w:t>
      </w:r>
      <w:r>
        <w:rPr>
          <w:rFonts w:hint="eastAsia" w:ascii="宋体" w:hAnsi="宋体" w:eastAsia="宋体" w:cs="宋体"/>
          <w:color w:val="auto"/>
          <w:sz w:val="24"/>
          <w:szCs w:val="18"/>
          <w:highlight w:val="none"/>
        </w:rPr>
        <w:t>）及所附资料；</w:t>
      </w:r>
    </w:p>
    <w:p w14:paraId="051144FE">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w:t>
      </w:r>
      <w:r>
        <w:rPr>
          <w:rFonts w:hint="eastAsia" w:hAnsi="宋体" w:cs="宋体"/>
          <w:color w:val="auto"/>
          <w:sz w:val="24"/>
          <w:szCs w:val="18"/>
          <w:highlight w:val="none"/>
          <w:lang w:val="en-US" w:eastAsia="zh-CN"/>
        </w:rPr>
        <w:t>2</w:t>
      </w:r>
      <w:r>
        <w:rPr>
          <w:rFonts w:hint="eastAsia" w:ascii="宋体" w:hAnsi="宋体" w:eastAsia="宋体" w:cs="宋体"/>
          <w:color w:val="auto"/>
          <w:sz w:val="24"/>
          <w:szCs w:val="18"/>
          <w:highlight w:val="none"/>
        </w:rPr>
        <w:t>）本节第</w:t>
      </w:r>
      <w:r>
        <w:rPr>
          <w:rFonts w:hint="eastAsia" w:ascii="宋体" w:hAnsi="宋体" w:eastAsia="宋体" w:cs="宋体"/>
          <w:b/>
          <w:bCs/>
          <w:color w:val="auto"/>
          <w:sz w:val="24"/>
          <w:szCs w:val="18"/>
          <w:highlight w:val="none"/>
        </w:rPr>
        <w:t>1</w:t>
      </w:r>
      <w:r>
        <w:rPr>
          <w:rFonts w:hint="eastAsia" w:ascii="宋体" w:hAnsi="宋体" w:eastAsia="宋体" w:cs="宋体"/>
          <w:b/>
          <w:bCs/>
          <w:color w:val="auto"/>
          <w:sz w:val="24"/>
          <w:szCs w:val="18"/>
          <w:highlight w:val="none"/>
          <w:lang w:val="en-US" w:eastAsia="zh-CN"/>
        </w:rPr>
        <w:t>6</w:t>
      </w:r>
      <w:r>
        <w:rPr>
          <w:rFonts w:hint="eastAsia" w:ascii="宋体" w:hAnsi="宋体" w:eastAsia="宋体" w:cs="宋体"/>
          <w:b/>
          <w:bCs/>
          <w:color w:val="auto"/>
          <w:sz w:val="24"/>
          <w:szCs w:val="18"/>
          <w:highlight w:val="none"/>
        </w:rPr>
        <w:t>.5目</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val="en-US" w:eastAsia="zh-CN"/>
        </w:rPr>
        <w:t>详细评审阶段</w:t>
      </w:r>
      <w:r>
        <w:rPr>
          <w:rFonts w:hint="eastAsia" w:ascii="宋体" w:hAnsi="宋体" w:eastAsia="宋体" w:cs="宋体"/>
          <w:color w:val="auto"/>
          <w:sz w:val="24"/>
          <w:szCs w:val="18"/>
          <w:highlight w:val="none"/>
        </w:rPr>
        <w:t>”要求提供的</w:t>
      </w:r>
      <w:r>
        <w:rPr>
          <w:rFonts w:hint="eastAsia" w:ascii="宋体" w:hAnsi="宋体" w:eastAsia="宋体" w:cs="宋体"/>
          <w:color w:val="auto"/>
          <w:sz w:val="24"/>
          <w:szCs w:val="18"/>
          <w:highlight w:val="none"/>
          <w:lang w:val="en-US" w:eastAsia="zh-CN"/>
        </w:rPr>
        <w:t>商务部分</w:t>
      </w:r>
      <w:r>
        <w:rPr>
          <w:rFonts w:hint="eastAsia" w:ascii="宋体" w:hAnsi="宋体" w:eastAsia="宋体" w:cs="宋体"/>
          <w:color w:val="auto"/>
          <w:sz w:val="24"/>
          <w:szCs w:val="18"/>
          <w:highlight w:val="none"/>
        </w:rPr>
        <w:t>评审资料；</w:t>
      </w:r>
    </w:p>
    <w:p w14:paraId="7087B704">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w:t>
      </w:r>
      <w:r>
        <w:rPr>
          <w:rFonts w:hint="eastAsia" w:hAnsi="宋体" w:cs="宋体"/>
          <w:color w:val="auto"/>
          <w:sz w:val="24"/>
          <w:szCs w:val="18"/>
          <w:highlight w:val="none"/>
          <w:lang w:val="en-US" w:eastAsia="zh-CN"/>
        </w:rPr>
        <w:t>3</w:t>
      </w:r>
      <w:r>
        <w:rPr>
          <w:rFonts w:hint="eastAsia" w:ascii="宋体" w:hAnsi="宋体" w:eastAsia="宋体" w:cs="宋体"/>
          <w:color w:val="auto"/>
          <w:sz w:val="24"/>
          <w:szCs w:val="18"/>
          <w:highlight w:val="none"/>
        </w:rPr>
        <w:t>）投标人认为有必要补充的其他资料。（例如投标人已经工商变更，但其企业资质证书或其员工执业资格注册证书上的企业名称未能在投标期间完成变更的书面说明和佐证材料；外省企业所在省、地级市住建部门或其授权的组织（机构）关于企业资质、人员资格有效期自动顺延或延期办理的相关文件等）。</w:t>
      </w:r>
    </w:p>
    <w:p w14:paraId="0690EF3B">
      <w:pPr>
        <w:pStyle w:val="6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10.2.2</w:t>
      </w:r>
      <w:r>
        <w:rPr>
          <w:rFonts w:hint="eastAsia" w:ascii="宋体" w:hAnsi="宋体" w:eastAsia="宋体" w:cs="宋体"/>
          <w:color w:val="auto"/>
          <w:sz w:val="24"/>
          <w:szCs w:val="18"/>
          <w:highlight w:val="none"/>
        </w:rPr>
        <w:t xml:space="preserve"> 本节第10.2.1目中所列出的商务经济标书组成内容中，第（1）至第（1</w:t>
      </w:r>
      <w:r>
        <w:rPr>
          <w:rFonts w:hint="eastAsia" w:hAnsi="宋体" w:cs="宋体"/>
          <w:color w:val="auto"/>
          <w:sz w:val="24"/>
          <w:szCs w:val="18"/>
          <w:highlight w:val="none"/>
          <w:lang w:val="en-US" w:eastAsia="zh-CN"/>
        </w:rPr>
        <w:t>1</w:t>
      </w:r>
      <w:r>
        <w:rPr>
          <w:rFonts w:hint="eastAsia" w:ascii="宋体" w:hAnsi="宋体" w:eastAsia="宋体" w:cs="宋体"/>
          <w:color w:val="auto"/>
          <w:sz w:val="24"/>
          <w:szCs w:val="18"/>
          <w:highlight w:val="none"/>
        </w:rPr>
        <w:t>）项所有投标人均应提供。</w:t>
      </w:r>
    </w:p>
    <w:p w14:paraId="0CC80B39">
      <w:pPr>
        <w:pStyle w:val="60"/>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10.2.3</w:t>
      </w:r>
      <w:r>
        <w:rPr>
          <w:rFonts w:hint="eastAsia" w:ascii="宋体" w:hAnsi="宋体" w:eastAsia="宋体" w:cs="宋体"/>
          <w:color w:val="auto"/>
          <w:sz w:val="24"/>
          <w:szCs w:val="18"/>
          <w:highlight w:val="none"/>
        </w:rPr>
        <w:t xml:space="preserve"> 商务经济标书应尽量避免手工涂改、行间插字或删除。如果出现上述情况，改动之处应加盖单位章或由投标人的法定代表人或其委托代理人签字确认。</w:t>
      </w:r>
    </w:p>
    <w:p w14:paraId="2521FD0B">
      <w:pPr>
        <w:pStyle w:val="2"/>
        <w:bidi w:val="0"/>
        <w:snapToGrid/>
        <w:spacing w:before="0" w:beforeLines="0" w:beforeAutospacing="0" w:afterLines="0" w:afterAutospacing="0" w:line="360" w:lineRule="auto"/>
        <w:ind w:left="0" w:leftChars="0" w:right="0" w:rightChars="0" w:firstLine="482" w:firstLineChars="200"/>
        <w:jc w:val="left"/>
        <w:rPr>
          <w:rFonts w:hint="eastAsia" w:ascii="宋体" w:hAnsi="宋体" w:eastAsia="宋体" w:cs="宋体"/>
          <w:color w:val="auto"/>
          <w:sz w:val="24"/>
        </w:rPr>
      </w:pPr>
      <w:bookmarkStart w:id="141" w:name="_Toc29064"/>
      <w:bookmarkStart w:id="142" w:name="_Toc3758"/>
      <w:bookmarkStart w:id="143" w:name="_Toc30837"/>
      <w:bookmarkStart w:id="144" w:name="_Toc10833"/>
      <w:bookmarkStart w:id="145" w:name="_Toc21780"/>
      <w:bookmarkStart w:id="146" w:name="_Toc310"/>
      <w:bookmarkStart w:id="147" w:name="_Toc466640590"/>
      <w:bookmarkStart w:id="148" w:name="_Toc496133010"/>
      <w:bookmarkStart w:id="149" w:name="_Toc8028"/>
      <w:bookmarkStart w:id="150" w:name="_Toc477"/>
      <w:bookmarkStart w:id="151" w:name="_Toc71813700"/>
      <w:bookmarkStart w:id="152" w:name="_Toc71811177"/>
      <w:bookmarkStart w:id="153" w:name="_Toc29429"/>
      <w:bookmarkStart w:id="154" w:name="_Toc14011"/>
      <w:bookmarkStart w:id="155" w:name="_Toc3"/>
      <w:bookmarkStart w:id="156" w:name="_Toc71811079"/>
      <w:bookmarkStart w:id="157" w:name="_Toc71811310"/>
      <w:r>
        <w:rPr>
          <w:rFonts w:hint="eastAsia" w:ascii="宋体" w:hAnsi="宋体" w:eastAsia="宋体" w:cs="宋体"/>
          <w:color w:val="auto"/>
          <w:sz w:val="24"/>
        </w:rPr>
        <w:t>10.3 技术标书的编制要求</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B24AEE0">
      <w:pPr>
        <w:pStyle w:val="122"/>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10.3.1</w:t>
      </w:r>
      <w:r>
        <w:rPr>
          <w:rFonts w:hint="eastAsia" w:ascii="宋体" w:hAnsi="宋体" w:eastAsia="宋体" w:cs="宋体"/>
          <w:color w:val="auto"/>
          <w:sz w:val="24"/>
          <w:highlight w:val="none"/>
        </w:rPr>
        <w:t>技术标书包括但不限于以下内容：</w:t>
      </w:r>
    </w:p>
    <w:p w14:paraId="201AE639">
      <w:pPr>
        <w:pStyle w:val="122"/>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（1）封面（格式一）；</w:t>
      </w:r>
    </w:p>
    <w:p w14:paraId="7F848283">
      <w:pPr>
        <w:pStyle w:val="122"/>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（2）目录；</w:t>
      </w:r>
    </w:p>
    <w:p w14:paraId="691510EF">
      <w:pPr>
        <w:pStyle w:val="122"/>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2"/>
          <w:highlight w:val="none"/>
        </w:rPr>
      </w:pPr>
      <w:bookmarkStart w:id="158" w:name="_Hlt69699579"/>
      <w:bookmarkEnd w:id="158"/>
      <w:r>
        <w:rPr>
          <w:rFonts w:hint="eastAsia" w:ascii="宋体" w:hAnsi="宋体" w:eastAsia="宋体" w:cs="宋体"/>
          <w:color w:val="auto"/>
          <w:sz w:val="24"/>
          <w:szCs w:val="22"/>
          <w:highlight w:val="none"/>
        </w:rPr>
        <w:t>（3）项目设计重点、难点分析；</w:t>
      </w:r>
    </w:p>
    <w:p w14:paraId="4C960A88">
      <w:pPr>
        <w:pStyle w:val="122"/>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（4）质量和进度保证措施；</w:t>
      </w:r>
    </w:p>
    <w:p w14:paraId="034A7511">
      <w:pPr>
        <w:pStyle w:val="122"/>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（5）设计方案；</w:t>
      </w:r>
    </w:p>
    <w:p w14:paraId="24FF2A2A">
      <w:pPr>
        <w:pStyle w:val="122"/>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snapToGrid w:val="0"/>
          <w:color w:val="auto"/>
          <w:kern w:val="0"/>
          <w:sz w:val="24"/>
        </w:rPr>
        <w:t>（6）</w:t>
      </w:r>
      <w:r>
        <w:rPr>
          <w:rFonts w:hint="eastAsia" w:ascii="宋体" w:hAnsi="宋体" w:eastAsia="宋体" w:cs="宋体"/>
          <w:color w:val="auto"/>
          <w:sz w:val="24"/>
          <w:szCs w:val="18"/>
          <w:highlight w:val="none"/>
        </w:rPr>
        <w:t>本节第</w:t>
      </w:r>
      <w:r>
        <w:rPr>
          <w:rFonts w:hint="eastAsia" w:ascii="宋体" w:hAnsi="宋体" w:eastAsia="宋体" w:cs="宋体"/>
          <w:b/>
          <w:bCs/>
          <w:color w:val="auto"/>
          <w:sz w:val="24"/>
          <w:szCs w:val="18"/>
          <w:highlight w:val="none"/>
        </w:rPr>
        <w:t>1</w:t>
      </w:r>
      <w:r>
        <w:rPr>
          <w:rFonts w:hint="eastAsia" w:ascii="宋体" w:hAnsi="宋体" w:eastAsia="宋体" w:cs="宋体"/>
          <w:b/>
          <w:bCs/>
          <w:color w:val="auto"/>
          <w:sz w:val="24"/>
          <w:szCs w:val="18"/>
          <w:highlight w:val="none"/>
          <w:lang w:val="en-US" w:eastAsia="zh-CN"/>
        </w:rPr>
        <w:t>6</w:t>
      </w:r>
      <w:r>
        <w:rPr>
          <w:rFonts w:hint="eastAsia" w:ascii="宋体" w:hAnsi="宋体" w:eastAsia="宋体" w:cs="宋体"/>
          <w:b/>
          <w:bCs/>
          <w:color w:val="auto"/>
          <w:sz w:val="24"/>
          <w:szCs w:val="18"/>
          <w:highlight w:val="none"/>
        </w:rPr>
        <w:t>.5目</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val="en-US" w:eastAsia="zh-CN"/>
        </w:rPr>
        <w:t>详细评审阶段</w:t>
      </w:r>
      <w:r>
        <w:rPr>
          <w:rFonts w:hint="eastAsia" w:ascii="宋体" w:hAnsi="宋体" w:eastAsia="宋体" w:cs="宋体"/>
          <w:color w:val="auto"/>
          <w:sz w:val="24"/>
          <w:szCs w:val="18"/>
          <w:highlight w:val="none"/>
        </w:rPr>
        <w:t>”要求提供的</w:t>
      </w:r>
      <w:r>
        <w:rPr>
          <w:rFonts w:hint="eastAsia" w:ascii="宋体" w:hAnsi="宋体" w:eastAsia="宋体" w:cs="宋体"/>
          <w:color w:val="auto"/>
          <w:sz w:val="24"/>
          <w:szCs w:val="18"/>
          <w:highlight w:val="none"/>
          <w:lang w:val="en-US" w:eastAsia="zh-CN"/>
        </w:rPr>
        <w:t>技术部分</w:t>
      </w:r>
      <w:r>
        <w:rPr>
          <w:rFonts w:hint="eastAsia" w:ascii="宋体" w:hAnsi="宋体" w:eastAsia="宋体" w:cs="宋体"/>
          <w:color w:val="auto"/>
          <w:sz w:val="24"/>
          <w:szCs w:val="18"/>
          <w:highlight w:val="none"/>
        </w:rPr>
        <w:t>评审资料；</w:t>
      </w:r>
    </w:p>
    <w:p w14:paraId="5EE58CB5">
      <w:pPr>
        <w:pStyle w:val="122"/>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18"/>
        </w:rPr>
      </w:pPr>
      <w:r>
        <w:rPr>
          <w:rFonts w:hint="eastAsia" w:ascii="宋体" w:hAnsi="宋体" w:eastAsia="宋体" w:cs="宋体"/>
          <w:snapToGrid w:val="0"/>
          <w:color w:val="auto"/>
          <w:kern w:val="0"/>
          <w:sz w:val="24"/>
          <w:szCs w:val="18"/>
        </w:rPr>
        <w:t>（7）投标人认为有必要补充的其他资料。</w:t>
      </w:r>
    </w:p>
    <w:p w14:paraId="2ADBAE08">
      <w:pPr>
        <w:pStyle w:val="122"/>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10.3.2</w:t>
      </w:r>
      <w:r>
        <w:rPr>
          <w:rFonts w:hint="eastAsia" w:ascii="宋体" w:hAnsi="宋体" w:eastAsia="宋体" w:cs="宋体"/>
          <w:color w:val="auto"/>
          <w:sz w:val="24"/>
          <w:highlight w:val="none"/>
        </w:rPr>
        <w:t xml:space="preserve"> 本节第10.3.1目中所列出的技术标书组成内容中，第（1）至第（</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）项所有投标人均应提供。</w:t>
      </w:r>
      <w:bookmarkStart w:id="159" w:name="_Toc32082"/>
      <w:bookmarkStart w:id="160" w:name="_Toc14893"/>
      <w:bookmarkStart w:id="161" w:name="_Toc485111106"/>
    </w:p>
    <w:p w14:paraId="6D14D018">
      <w:pPr>
        <w:pStyle w:val="122"/>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10.3.3</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技术标书应尽量避免手工涂改、行间插字或删除。如果出现上述情况，改动之处应加盖单位章或由投标人的法定代表人或其委托代理人签字确认。</w:t>
      </w:r>
      <w:bookmarkEnd w:id="159"/>
    </w:p>
    <w:bookmarkEnd w:id="90"/>
    <w:bookmarkEnd w:id="91"/>
    <w:bookmarkEnd w:id="160"/>
    <w:bookmarkEnd w:id="161"/>
    <w:p w14:paraId="64EA3F1E">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162" w:name="_Toc12971"/>
      <w:bookmarkStart w:id="163" w:name="_Toc10868"/>
      <w:bookmarkStart w:id="164" w:name="_Toc29483"/>
      <w:r>
        <w:rPr>
          <w:rFonts w:hint="eastAsia" w:ascii="宋体" w:hAnsi="宋体" w:eastAsia="宋体" w:cs="宋体"/>
          <w:b/>
          <w:color w:val="auto"/>
          <w:sz w:val="24"/>
        </w:rPr>
        <w:t>1</w:t>
      </w:r>
      <w:bookmarkEnd w:id="162"/>
      <w:bookmarkStart w:id="165" w:name="_Hlt88627590"/>
      <w:bookmarkEnd w:id="165"/>
      <w:r>
        <w:rPr>
          <w:rFonts w:hint="eastAsia" w:ascii="宋体" w:hAnsi="宋体" w:eastAsia="宋体" w:cs="宋体"/>
          <w:b/>
          <w:color w:val="auto"/>
          <w:sz w:val="24"/>
          <w:lang w:val="en-US" w:eastAsia="zh-CN"/>
        </w:rPr>
        <w:t>1.</w:t>
      </w:r>
      <w:r>
        <w:rPr>
          <w:rFonts w:hint="eastAsia" w:ascii="宋体" w:hAnsi="宋体" w:eastAsia="宋体" w:cs="宋体"/>
          <w:b/>
          <w:color w:val="auto"/>
          <w:sz w:val="24"/>
        </w:rPr>
        <w:t>电子投标</w:t>
      </w:r>
      <w:bookmarkEnd w:id="163"/>
      <w:bookmarkEnd w:id="164"/>
    </w:p>
    <w:p w14:paraId="313BE6C5">
      <w:pPr>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b w:val="0"/>
          <w:bCs/>
          <w:snapToGrid w:val="0"/>
          <w:color w:val="auto"/>
          <w:kern w:val="0"/>
          <w:sz w:val="24"/>
          <w:szCs w:val="20"/>
          <w:highlight w:val="none"/>
          <w:lang w:val="en-US" w:eastAsia="zh-CN" w:bidi="ar-SA"/>
        </w:rPr>
      </w:pPr>
      <w:r>
        <w:rPr>
          <w:rFonts w:hint="eastAsia" w:ascii="宋体" w:hAnsi="宋体" w:eastAsia="宋体" w:cs="宋体"/>
          <w:b/>
          <w:bCs w:val="0"/>
          <w:snapToGrid w:val="0"/>
          <w:color w:val="auto"/>
          <w:kern w:val="0"/>
          <w:sz w:val="24"/>
          <w:szCs w:val="20"/>
          <w:highlight w:val="none"/>
          <w:lang w:val="en-US" w:eastAsia="zh-CN" w:bidi="ar-SA"/>
        </w:rPr>
        <w:t>11.1</w:t>
      </w:r>
      <w:r>
        <w:rPr>
          <w:rFonts w:hint="eastAsia" w:ascii="宋体" w:hAnsi="宋体" w:eastAsia="宋体" w:cs="宋体"/>
          <w:b w:val="0"/>
          <w:bCs/>
          <w:snapToGrid w:val="0"/>
          <w:color w:val="auto"/>
          <w:kern w:val="0"/>
          <w:sz w:val="24"/>
          <w:szCs w:val="20"/>
          <w:highlight w:val="none"/>
          <w:lang w:val="en-US" w:eastAsia="zh-CN" w:bidi="ar-SA"/>
        </w:rPr>
        <w:t>在建设工程交易系统上传加盖了电子印章的投标文件、录入相关信息及标书页码信息（页码起始从封面开始），并提交投标标书。提交标书为已加密投标文件。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具体操作投标人可登录全国公共资源交易平台（广东省·韶关市）（https://ygp.gdzwfw.gov.cn/ggzy-portal/#/440200/index），在【服务指南】栏目中下载《韶关市公共资源一体化平台—建设工程交易投标人操作指南（电子评标）》。</w:t>
      </w:r>
    </w:p>
    <w:p w14:paraId="13395FDD">
      <w:pPr>
        <w:pStyle w:val="206"/>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482" w:firstLineChars="200"/>
        <w:jc w:val="left"/>
        <w:textAlignment w:val="baseline"/>
        <w:rPr>
          <w:rFonts w:hint="eastAsia" w:ascii="宋体" w:hAnsi="宋体" w:eastAsia="宋体" w:cs="宋体"/>
          <w:b w:val="0"/>
          <w:bCs/>
          <w:snapToGrid w:val="0"/>
          <w:color w:val="auto"/>
          <w:kern w:val="0"/>
          <w:sz w:val="24"/>
          <w:szCs w:val="20"/>
          <w:highlight w:val="none"/>
        </w:rPr>
      </w:pPr>
      <w:bookmarkStart w:id="166" w:name="_Hlt127590288"/>
      <w:bookmarkEnd w:id="166"/>
      <w:r>
        <w:rPr>
          <w:rFonts w:hint="eastAsia" w:ascii="宋体" w:hAnsi="宋体" w:eastAsia="宋体" w:cs="宋体"/>
          <w:b/>
          <w:bCs w:val="0"/>
          <w:snapToGrid w:val="0"/>
          <w:color w:val="auto"/>
          <w:kern w:val="0"/>
          <w:sz w:val="24"/>
          <w:szCs w:val="20"/>
          <w:highlight w:val="none"/>
        </w:rPr>
        <w:t>1</w:t>
      </w:r>
      <w:r>
        <w:rPr>
          <w:rFonts w:hint="eastAsia" w:ascii="宋体" w:hAnsi="宋体" w:eastAsia="宋体" w:cs="宋体"/>
          <w:b/>
          <w:bCs w:val="0"/>
          <w:snapToGrid w:val="0"/>
          <w:color w:val="auto"/>
          <w:kern w:val="0"/>
          <w:sz w:val="24"/>
          <w:szCs w:val="20"/>
          <w:highlight w:val="none"/>
          <w:lang w:val="en-US" w:eastAsia="zh-CN"/>
        </w:rPr>
        <w:t>1</w:t>
      </w:r>
      <w:r>
        <w:rPr>
          <w:rFonts w:hint="eastAsia" w:ascii="宋体" w:hAnsi="宋体" w:eastAsia="宋体" w:cs="宋体"/>
          <w:b/>
          <w:bCs w:val="0"/>
          <w:snapToGrid w:val="0"/>
          <w:color w:val="auto"/>
          <w:kern w:val="0"/>
          <w:sz w:val="24"/>
          <w:szCs w:val="20"/>
          <w:highlight w:val="none"/>
        </w:rPr>
        <w:t>.2</w:t>
      </w:r>
      <w:r>
        <w:rPr>
          <w:rFonts w:hint="eastAsia" w:ascii="宋体" w:hAnsi="宋体" w:eastAsia="宋体" w:cs="宋体"/>
          <w:b w:val="0"/>
          <w:bCs/>
          <w:snapToGrid w:val="0"/>
          <w:color w:val="auto"/>
          <w:kern w:val="0"/>
          <w:sz w:val="24"/>
          <w:szCs w:val="20"/>
          <w:highlight w:val="none"/>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302E0335">
      <w:pPr>
        <w:pStyle w:val="60"/>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b/>
          <w:bCs w:val="0"/>
          <w:snapToGrid w:val="0"/>
          <w:color w:val="auto"/>
          <w:kern w:val="0"/>
          <w:sz w:val="24"/>
          <w:szCs w:val="20"/>
          <w:highlight w:val="none"/>
          <w:lang w:val="en-US" w:eastAsia="zh-CN"/>
        </w:rPr>
        <w:t>11.3</w:t>
      </w:r>
      <w:r>
        <w:rPr>
          <w:rFonts w:hint="eastAsia" w:ascii="宋体" w:hAnsi="宋体" w:eastAsia="宋体" w:cs="宋体"/>
          <w:color w:val="auto"/>
          <w:sz w:val="24"/>
          <w:highlight w:val="none"/>
          <w:lang w:val="en-US" w:eastAsia="zh-CN"/>
        </w:rPr>
        <w:t>投标人必须在规定的截止时间前使用交易系统完成缴纳投标保证和全流程电子投标，只有满足以上所有条件，方为有效投标。</w:t>
      </w:r>
    </w:p>
    <w:p w14:paraId="6220E76E">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lang w:val="en-US" w:eastAsia="zh-CN"/>
        </w:rPr>
      </w:pPr>
      <w:bookmarkStart w:id="167" w:name="_Toc32149"/>
      <w:bookmarkStart w:id="168" w:name="_Toc12255"/>
      <w:r>
        <w:rPr>
          <w:rFonts w:hint="eastAsia" w:ascii="宋体" w:hAnsi="宋体" w:eastAsia="宋体" w:cs="宋体"/>
          <w:b/>
          <w:color w:val="auto"/>
          <w:sz w:val="24"/>
          <w:lang w:val="en-US" w:eastAsia="zh-CN"/>
        </w:rPr>
        <w:t>12.电子投标及评标时突发补救方案</w:t>
      </w:r>
      <w:bookmarkEnd w:id="167"/>
      <w:bookmarkEnd w:id="168"/>
      <w:bookmarkStart w:id="169" w:name="_Toc2213"/>
      <w:bookmarkStart w:id="170" w:name="_Toc11485"/>
    </w:p>
    <w:bookmarkEnd w:id="169"/>
    <w:bookmarkEnd w:id="170"/>
    <w:p w14:paraId="419B5E31">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bCs/>
          <w:snapToGrid w:val="0"/>
          <w:color w:val="auto"/>
          <w:sz w:val="24"/>
        </w:rPr>
      </w:pPr>
      <w:bookmarkStart w:id="171" w:name="_Toc29164"/>
      <w:bookmarkStart w:id="172" w:name="_Toc11527"/>
      <w:bookmarkStart w:id="173" w:name="_Toc1501"/>
      <w:bookmarkStart w:id="174" w:name="_Toc2533"/>
      <w:r>
        <w:rPr>
          <w:rFonts w:hint="eastAsia" w:ascii="宋体" w:hAnsi="宋体" w:eastAsia="宋体" w:cs="宋体"/>
          <w:b/>
          <w:snapToGrid w:val="0"/>
          <w:color w:val="auto"/>
          <w:sz w:val="24"/>
        </w:rPr>
        <w:t>1</w:t>
      </w:r>
      <w:r>
        <w:rPr>
          <w:rFonts w:hint="eastAsia" w:ascii="宋体" w:hAnsi="宋体" w:eastAsia="宋体" w:cs="宋体"/>
          <w:b/>
          <w:snapToGrid w:val="0"/>
          <w:color w:val="auto"/>
          <w:sz w:val="24"/>
          <w:lang w:val="en-US" w:eastAsia="zh-CN"/>
        </w:rPr>
        <w:t>2</w:t>
      </w:r>
      <w:r>
        <w:rPr>
          <w:rFonts w:hint="eastAsia" w:ascii="宋体" w:hAnsi="宋体" w:eastAsia="宋体" w:cs="宋体"/>
          <w:b/>
          <w:snapToGrid w:val="0"/>
          <w:color w:val="auto"/>
          <w:sz w:val="24"/>
        </w:rPr>
        <w:t>.1</w:t>
      </w:r>
      <w:r>
        <w:rPr>
          <w:rFonts w:hint="eastAsia" w:ascii="宋体" w:hAnsi="宋体" w:eastAsia="宋体" w:cs="宋体"/>
          <w:bCs/>
          <w:snapToGrid w:val="0"/>
          <w:color w:val="auto"/>
          <w:sz w:val="24"/>
        </w:rPr>
        <w:t>按照交易平台关于全流程电子化项目的相关指南进行操作。详见</w:t>
      </w:r>
      <w:r>
        <w:rPr>
          <w:rFonts w:hint="eastAsia" w:ascii="宋体" w:hAnsi="宋体" w:eastAsia="宋体" w:cs="宋体"/>
          <w:color w:val="auto"/>
          <w:sz w:val="24"/>
          <w:szCs w:val="24"/>
          <w:shd w:val="clear" w:color="auto" w:fill="FFFFFF"/>
        </w:rPr>
        <w:t>全国公共资源交易平台（广东省·韶关市）</w:t>
      </w:r>
      <w:r>
        <w:rPr>
          <w:rFonts w:hint="eastAsia" w:ascii="宋体" w:hAnsi="宋体" w:eastAsia="宋体" w:cs="宋体"/>
          <w:bCs/>
          <w:snapToGrid w:val="0"/>
          <w:color w:val="auto"/>
          <w:sz w:val="24"/>
        </w:rPr>
        <w:t>发布的最新版操作指引。</w:t>
      </w:r>
    </w:p>
    <w:p w14:paraId="6D4B8564">
      <w:pPr>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rPr>
      </w:pPr>
      <w:r>
        <w:rPr>
          <w:rFonts w:hint="eastAsia" w:ascii="宋体" w:hAnsi="宋体" w:eastAsia="宋体" w:cs="宋体"/>
          <w:b/>
          <w:snapToGrid w:val="0"/>
          <w:color w:val="auto"/>
          <w:sz w:val="24"/>
        </w:rPr>
        <w:t>1</w:t>
      </w:r>
      <w:r>
        <w:rPr>
          <w:rFonts w:hint="eastAsia" w:ascii="宋体" w:hAnsi="宋体" w:eastAsia="宋体" w:cs="宋体"/>
          <w:b/>
          <w:snapToGrid w:val="0"/>
          <w:color w:val="auto"/>
          <w:sz w:val="24"/>
          <w:lang w:val="en-US" w:eastAsia="zh-CN"/>
        </w:rPr>
        <w:t>2</w:t>
      </w:r>
      <w:r>
        <w:rPr>
          <w:rFonts w:hint="eastAsia" w:ascii="宋体" w:hAnsi="宋体" w:eastAsia="宋体" w:cs="宋体"/>
          <w:b/>
          <w:snapToGrid w:val="0"/>
          <w:color w:val="auto"/>
          <w:sz w:val="24"/>
        </w:rPr>
        <w:t>.2</w:t>
      </w:r>
      <w:r>
        <w:rPr>
          <w:rFonts w:hint="eastAsia" w:ascii="宋体" w:hAnsi="宋体" w:eastAsia="宋体" w:cs="宋体"/>
          <w:color w:val="auto"/>
          <w:sz w:val="24"/>
        </w:rPr>
        <w:t>补救方案</w:t>
      </w:r>
    </w:p>
    <w:p w14:paraId="29225DEB">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（1）投标文件解密失败的补救方案：</w:t>
      </w:r>
    </w:p>
    <w:p w14:paraId="5C780705">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在规定时间内，因投标人之外原因(指网络瘫痪、服务器损坏、</w:t>
      </w:r>
      <w:r>
        <w:rPr>
          <w:rFonts w:hint="eastAsia" w:ascii="宋体" w:hAnsi="宋体" w:eastAsia="宋体" w:cs="宋体"/>
          <w:color w:val="auto"/>
          <w:sz w:val="24"/>
          <w:szCs w:val="24"/>
          <w:shd w:val="clear" w:color="auto" w:fill="FFFFFF"/>
        </w:rPr>
        <w:t>交易平台</w:t>
      </w:r>
      <w:r>
        <w:rPr>
          <w:rFonts w:hint="eastAsia" w:ascii="宋体" w:hAnsi="宋体" w:eastAsia="宋体" w:cs="宋体"/>
          <w:color w:val="auto"/>
          <w:sz w:val="24"/>
        </w:rPr>
        <w:t>故障短期无法恢复)等导致的电子投标文件解密失败，</w:t>
      </w:r>
      <w:r>
        <w:rPr>
          <w:rFonts w:hint="eastAsia" w:ascii="宋体" w:hAnsi="宋体" w:eastAsia="宋体" w:cs="宋体"/>
          <w:color w:val="auto"/>
          <w:sz w:val="24"/>
          <w:szCs w:val="24"/>
        </w:rPr>
        <w:t>投标人应在规定的时限内按要求成功上传未加密的备用投标文件，继续开标程序。</w:t>
      </w:r>
      <w:r>
        <w:rPr>
          <w:rFonts w:hint="eastAsia" w:ascii="宋体" w:hAnsi="宋体" w:eastAsia="宋体" w:cs="宋体"/>
          <w:b/>
          <w:bCs/>
          <w:color w:val="auto"/>
          <w:sz w:val="24"/>
          <w:szCs w:val="24"/>
        </w:rPr>
        <w:t>电子投标文件解密失败且未在规定的时限内按要求成功上传未加密的备用投标文件的，视为无效投标。</w:t>
      </w:r>
    </w:p>
    <w:p w14:paraId="0D58D2EE">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（2）评标时突发情况的补救方案</w:t>
      </w:r>
    </w:p>
    <w:p w14:paraId="046CA65D">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1E111B0D">
      <w:pPr>
        <w:pageBreakBefore w:val="0"/>
        <w:widowControl w:val="0"/>
        <w:numPr>
          <w:ilvl w:val="0"/>
          <w:numId w:val="0"/>
        </w:numPr>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val="0"/>
          <w:bCs w:val="0"/>
          <w:snapToGrid w:val="0"/>
          <w:color w:val="auto"/>
          <w:kern w:val="0"/>
          <w:sz w:val="24"/>
          <w:szCs w:val="24"/>
          <w:highlight w:val="none"/>
          <w:lang w:eastAsia="zh-CN"/>
        </w:rPr>
      </w:pPr>
      <w:r>
        <w:rPr>
          <w:rFonts w:hint="eastAsia" w:ascii="宋体" w:hAnsi="宋体" w:eastAsia="宋体" w:cs="宋体"/>
          <w:b/>
          <w:bCs/>
          <w:snapToGrid w:val="0"/>
          <w:color w:val="auto"/>
          <w:kern w:val="0"/>
          <w:sz w:val="24"/>
          <w:lang w:val="en-US" w:eastAsia="zh-CN"/>
        </w:rPr>
        <w:t>12.3</w:t>
      </w:r>
      <w:r>
        <w:rPr>
          <w:rFonts w:hint="eastAsia" w:ascii="宋体" w:hAnsi="宋体" w:eastAsia="宋体" w:cs="宋体"/>
          <w:b w:val="0"/>
          <w:bCs w:val="0"/>
          <w:snapToGrid w:val="0"/>
          <w:color w:val="auto"/>
          <w:kern w:val="0"/>
          <w:sz w:val="24"/>
          <w:szCs w:val="24"/>
          <w:highlight w:val="none"/>
          <w:lang w:eastAsia="zh-CN"/>
        </w:rPr>
        <w:t>除发生上述情况外，开标评标均以投标人通过交易平台网上递交的电子投标文件为准。</w:t>
      </w:r>
      <w:bookmarkEnd w:id="171"/>
      <w:bookmarkEnd w:id="172"/>
      <w:bookmarkEnd w:id="173"/>
      <w:bookmarkEnd w:id="174"/>
    </w:p>
    <w:p w14:paraId="66E100BD">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lang w:val="en-US" w:eastAsia="zh-CN"/>
        </w:rPr>
      </w:pPr>
      <w:bookmarkStart w:id="175" w:name="_Toc22729"/>
      <w:bookmarkStart w:id="176" w:name="_Toc385"/>
      <w:r>
        <w:rPr>
          <w:rFonts w:hint="eastAsia" w:ascii="宋体" w:hAnsi="宋体" w:eastAsia="宋体" w:cs="宋体"/>
          <w:b/>
          <w:color w:val="auto"/>
          <w:sz w:val="24"/>
          <w:lang w:val="en-US" w:eastAsia="zh-CN"/>
        </w:rPr>
        <w:t>13.投标文件的提交</w:t>
      </w:r>
      <w:bookmarkEnd w:id="175"/>
      <w:bookmarkEnd w:id="176"/>
    </w:p>
    <w:p w14:paraId="6B901312">
      <w:pPr>
        <w:pStyle w:val="60"/>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13.1</w:t>
      </w:r>
      <w:r>
        <w:rPr>
          <w:rFonts w:hint="eastAsia" w:ascii="宋体" w:hAnsi="宋体" w:eastAsia="宋体" w:cs="宋体"/>
          <w:color w:val="auto"/>
          <w:sz w:val="24"/>
          <w:highlight w:val="none"/>
          <w:lang w:val="en-US" w:eastAsia="zh-CN"/>
        </w:rPr>
        <w:t>在投标文件提交截止时间前，投标人通过韶关市公共资源交易一体化平台提交已加密投标文件。逾期提交的电子投标文件，韶关市公共资源交易一体化平台将予以拒收。</w:t>
      </w:r>
    </w:p>
    <w:p w14:paraId="61084E00">
      <w:pPr>
        <w:pStyle w:val="60"/>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13.2</w:t>
      </w:r>
      <w:r>
        <w:rPr>
          <w:rFonts w:hint="eastAsia" w:ascii="宋体" w:hAnsi="宋体" w:eastAsia="宋体" w:cs="宋体"/>
          <w:color w:val="auto"/>
          <w:sz w:val="24"/>
          <w:highlight w:val="none"/>
          <w:lang w:val="en-US" w:eastAsia="zh-CN"/>
        </w:rPr>
        <w:t>提交电子投标文件截止时间：见本章第二节“重要事项时间地点一览表”。</w:t>
      </w:r>
    </w:p>
    <w:p w14:paraId="26CEA5AB">
      <w:pPr>
        <w:pStyle w:val="60"/>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13.3</w:t>
      </w:r>
      <w:r>
        <w:rPr>
          <w:rFonts w:hint="eastAsia" w:ascii="宋体" w:hAnsi="宋体" w:eastAsia="宋体" w:cs="宋体"/>
          <w:color w:val="auto"/>
          <w:sz w:val="24"/>
          <w:highlight w:val="none"/>
          <w:lang w:val="en-US" w:eastAsia="zh-CN"/>
        </w:rPr>
        <w:t>投标人代表除提交电子投标文件外，无须进行现场签到，如有招标文件要求提交的用于评审的证书、证件、证明原件等相关资料，投标人可在规定的地点、时间内递交至开标现场（附一式两份清单），可自行委派授权委托人（递交资料的授权委托人可与投标代理人不是同一人）（授权委托人到场的，应同时出示《授权委托书》（格式六）和《法定代表人身份证明》（格式五）），无原件的不作要求。</w:t>
      </w:r>
    </w:p>
    <w:p w14:paraId="75FA21C4">
      <w:pPr>
        <w:pStyle w:val="60"/>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13.</w:t>
      </w:r>
      <w:r>
        <w:rPr>
          <w:rFonts w:hint="eastAsia" w:hAnsi="宋体" w:cs="宋体"/>
          <w:b/>
          <w:bCs/>
          <w:color w:val="auto"/>
          <w:sz w:val="24"/>
          <w:highlight w:val="none"/>
          <w:lang w:val="en-US" w:eastAsia="zh-CN"/>
        </w:rPr>
        <w:t>4</w:t>
      </w:r>
      <w:r>
        <w:rPr>
          <w:rFonts w:hint="eastAsia" w:ascii="宋体" w:hAnsi="宋体" w:eastAsia="宋体" w:cs="宋体"/>
          <w:color w:val="auto"/>
          <w:sz w:val="24"/>
          <w:highlight w:val="none"/>
          <w:lang w:val="en-US" w:eastAsia="zh-CN"/>
        </w:rPr>
        <w:t>招标人或其授权的招标代理机构核对、接收投标人递交的相关资料后，应向投标人出具标明签收人和签收时间的凭证，并妥善保管。</w:t>
      </w:r>
    </w:p>
    <w:p w14:paraId="75C30072">
      <w:pPr>
        <w:pStyle w:val="60"/>
        <w:pageBreakBefore w:val="0"/>
        <w:kinsoku/>
        <w:overflowPunct/>
        <w:topLinePunct w:val="0"/>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13.</w:t>
      </w:r>
      <w:r>
        <w:rPr>
          <w:rFonts w:hint="eastAsia" w:hAnsi="宋体" w:cs="宋体"/>
          <w:b/>
          <w:bCs/>
          <w:color w:val="auto"/>
          <w:sz w:val="24"/>
          <w:highlight w:val="none"/>
          <w:lang w:val="en-US" w:eastAsia="zh-CN"/>
        </w:rPr>
        <w:t>5</w:t>
      </w:r>
      <w:r>
        <w:rPr>
          <w:rFonts w:hint="eastAsia" w:ascii="宋体" w:hAnsi="宋体" w:eastAsia="宋体" w:cs="宋体"/>
          <w:color w:val="auto"/>
          <w:sz w:val="24"/>
          <w:highlight w:val="none"/>
          <w:lang w:val="en-US" w:eastAsia="zh-CN"/>
        </w:rPr>
        <w:t>出现下述情形之一，属于未成功提交投标文件，按无效投标处理：</w:t>
      </w:r>
    </w:p>
    <w:p w14:paraId="5E87F3D2">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（1）至提交投标文件截止时，投标文件未完整上传及提交标书；</w:t>
      </w:r>
    </w:p>
    <w:p w14:paraId="54B17EA8">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（2）解密失败且在规定时间内未重新提交投标文件的；</w:t>
      </w:r>
    </w:p>
    <w:p w14:paraId="50EEBBB1">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（3）投标文件损坏或格式不正确的；</w:t>
      </w:r>
      <w:bookmarkStart w:id="177" w:name="_Hlt66608380"/>
      <w:bookmarkEnd w:id="177"/>
      <w:bookmarkStart w:id="178" w:name="_Hlt74494779"/>
      <w:bookmarkEnd w:id="178"/>
      <w:bookmarkStart w:id="179" w:name="_Hlt75685366"/>
      <w:bookmarkEnd w:id="179"/>
      <w:bookmarkStart w:id="180" w:name="_Hlt69699424"/>
      <w:bookmarkEnd w:id="180"/>
      <w:bookmarkStart w:id="181" w:name="_Hlt92512875"/>
      <w:bookmarkEnd w:id="181"/>
      <w:bookmarkStart w:id="182" w:name="_Toc104711075"/>
      <w:bookmarkStart w:id="183" w:name="_Toc31438"/>
      <w:bookmarkStart w:id="184" w:name="_Toc106418820"/>
    </w:p>
    <w:p w14:paraId="374AFE07">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备注：递交相应资料地址与开标地址一致</w:t>
      </w:r>
    </w:p>
    <w:p w14:paraId="1FD1AEB0">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185" w:name="_Toc5415"/>
      <w:bookmarkStart w:id="186" w:name="_Toc24510"/>
      <w:r>
        <w:rPr>
          <w:rFonts w:hint="eastAsia" w:ascii="宋体" w:hAnsi="宋体" w:eastAsia="宋体" w:cs="宋体"/>
          <w:b/>
          <w:color w:val="auto"/>
          <w:sz w:val="24"/>
          <w:lang w:val="en-US" w:eastAsia="zh-CN"/>
        </w:rPr>
        <w:t>14.</w:t>
      </w:r>
      <w:r>
        <w:rPr>
          <w:rFonts w:hint="eastAsia" w:ascii="宋体" w:hAnsi="宋体" w:eastAsia="宋体" w:cs="宋体"/>
          <w:b/>
          <w:color w:val="auto"/>
          <w:sz w:val="24"/>
        </w:rPr>
        <w:t>投标有效期</w:t>
      </w:r>
      <w:bookmarkEnd w:id="182"/>
      <w:bookmarkEnd w:id="183"/>
      <w:bookmarkEnd w:id="184"/>
      <w:bookmarkEnd w:id="185"/>
      <w:bookmarkEnd w:id="186"/>
    </w:p>
    <w:p w14:paraId="5FDE3422">
      <w:pPr>
        <w:pStyle w:val="60"/>
        <w:pageBreakBefore w:val="0"/>
        <w:kinsoku/>
        <w:overflowPunct/>
        <w:topLinePunct w:val="0"/>
        <w:bidi w:val="0"/>
        <w:snapToGrid/>
        <w:spacing w:beforeAutospacing="0" w:afterAutospacing="0" w:line="360" w:lineRule="auto"/>
        <w:ind w:left="0" w:leftChars="0" w:right="0" w:rightChars="0" w:firstLine="480" w:firstLineChars="200"/>
        <w:jc w:val="left"/>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投标有效期为</w:t>
      </w:r>
      <w:r>
        <w:rPr>
          <w:rFonts w:hint="eastAsia" w:ascii="宋体" w:hAnsi="宋体" w:eastAsia="宋体" w:cs="宋体"/>
          <w:color w:val="auto"/>
          <w:sz w:val="24"/>
          <w:szCs w:val="22"/>
          <w:highlight w:val="none"/>
          <w:u w:val="single"/>
        </w:rPr>
        <w:t>90</w:t>
      </w:r>
      <w:r>
        <w:rPr>
          <w:rFonts w:hint="eastAsia" w:ascii="宋体" w:hAnsi="宋体" w:eastAsia="宋体" w:cs="宋体"/>
          <w:color w:val="auto"/>
          <w:sz w:val="24"/>
          <w:szCs w:val="22"/>
          <w:highlight w:val="none"/>
          <w:u w:val="none"/>
        </w:rPr>
        <w:t>个日历天</w:t>
      </w:r>
      <w:r>
        <w:rPr>
          <w:rFonts w:hint="eastAsia" w:ascii="宋体" w:hAnsi="宋体" w:eastAsia="宋体" w:cs="宋体"/>
          <w:color w:val="auto"/>
          <w:sz w:val="24"/>
          <w:szCs w:val="22"/>
          <w:highlight w:val="none"/>
        </w:rPr>
        <w:t>，自招标人或其授权的招标代理机构接收投标人递交的投标文件之日起计。在此期间，投标人不得撤销或修改其投标文件，否则其投标保证不予退还。</w:t>
      </w:r>
    </w:p>
    <w:p w14:paraId="7C4674B3">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187" w:name="_Toc14083"/>
      <w:bookmarkStart w:id="188" w:name="_Toc8502"/>
      <w:bookmarkStart w:id="189" w:name="_Toc32303"/>
      <w:r>
        <w:rPr>
          <w:rFonts w:hint="eastAsia" w:ascii="宋体" w:hAnsi="宋体" w:eastAsia="宋体" w:cs="宋体"/>
          <w:b/>
          <w:color w:val="auto"/>
          <w:sz w:val="24"/>
          <w:lang w:val="en-US" w:eastAsia="zh-CN"/>
        </w:rPr>
        <w:t>15.</w:t>
      </w:r>
      <w:r>
        <w:rPr>
          <w:rFonts w:hint="eastAsia" w:ascii="宋体" w:hAnsi="宋体" w:eastAsia="宋体" w:cs="宋体"/>
          <w:b/>
          <w:color w:val="auto"/>
          <w:sz w:val="24"/>
        </w:rPr>
        <w:t>开标</w:t>
      </w:r>
      <w:bookmarkEnd w:id="187"/>
      <w:bookmarkEnd w:id="188"/>
      <w:bookmarkEnd w:id="189"/>
    </w:p>
    <w:p w14:paraId="7ED2901F">
      <w:pPr>
        <w:pStyle w:val="130"/>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b/>
          <w:bCs/>
          <w:caps w:val="0"/>
          <w:smallCaps w:val="0"/>
          <w:snapToGrid w:val="0"/>
          <w:color w:val="auto"/>
          <w:spacing w:val="0"/>
          <w:kern w:val="0"/>
          <w:sz w:val="24"/>
          <w:highlight w:val="none"/>
          <w:lang w:val="en-US" w:eastAsia="zh-CN"/>
        </w:rPr>
        <w:t>15.1</w:t>
      </w:r>
      <w:r>
        <w:rPr>
          <w:rFonts w:hint="eastAsia" w:ascii="宋体" w:hAnsi="宋体" w:eastAsia="宋体" w:cs="宋体"/>
          <w:caps w:val="0"/>
          <w:smallCaps w:val="0"/>
          <w:snapToGrid w:val="0"/>
          <w:color w:val="auto"/>
          <w:spacing w:val="0"/>
          <w:kern w:val="0"/>
          <w:sz w:val="24"/>
          <w:highlight w:val="none"/>
          <w:lang w:val="en-US" w:eastAsia="zh-CN"/>
        </w:rPr>
        <w:t>实行全流程电子化招标投标的项目，投标人无须进行现场签到，招标人邀请所有正确完成了获取招标文件、电子投标、缴纳投标保证的投标人参加开标，投标人可登录交易平台观看开标实况，可提出异议或进行澄清、确认等操作，投标人可自主决定是否参加，投标人不参加交易平台观看开标的，视其默认开标结果，以及放弃在开标期间见证、监督、投诉、申辩的权利。具体操作投标人可登录全国公共资源交易平台（广东省·韶关市）（https://ygp.gdzwfw.gov.cn/ggzy-portal/#/440200/index），在【服务指南】栏目中下载</w:t>
      </w:r>
      <w:r>
        <w:rPr>
          <w:rFonts w:hint="eastAsia" w:ascii="宋体" w:hAnsi="宋体" w:eastAsia="宋体" w:cs="宋体"/>
          <w:b w:val="0"/>
          <w:bCs/>
          <w:snapToGrid w:val="0"/>
          <w:color w:val="auto"/>
          <w:kern w:val="0"/>
          <w:sz w:val="24"/>
          <w:szCs w:val="20"/>
          <w:highlight w:val="none"/>
          <w:lang w:val="en-US" w:eastAsia="zh-CN" w:bidi="ar-SA"/>
        </w:rPr>
        <w:t>《韶关市公共资源一体化平台—建设工程交易投标人操作指南（电子评标）》</w:t>
      </w:r>
      <w:r>
        <w:rPr>
          <w:rFonts w:hint="eastAsia" w:ascii="宋体" w:hAnsi="宋体" w:eastAsia="宋体" w:cs="宋体"/>
          <w:caps w:val="0"/>
          <w:smallCaps w:val="0"/>
          <w:snapToGrid w:val="0"/>
          <w:color w:val="auto"/>
          <w:spacing w:val="0"/>
          <w:kern w:val="0"/>
          <w:sz w:val="24"/>
          <w:highlight w:val="none"/>
          <w:lang w:val="en-US" w:eastAsia="zh-CN"/>
        </w:rPr>
        <w:t>。</w:t>
      </w:r>
    </w:p>
    <w:p w14:paraId="4EF72B52">
      <w:pPr>
        <w:pStyle w:val="130"/>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b/>
          <w:bCs/>
          <w:caps w:val="0"/>
          <w:smallCaps w:val="0"/>
          <w:snapToGrid w:val="0"/>
          <w:color w:val="auto"/>
          <w:spacing w:val="0"/>
          <w:kern w:val="0"/>
          <w:sz w:val="24"/>
          <w:szCs w:val="20"/>
          <w:highlight w:val="none"/>
          <w:u w:val="none" w:color="auto"/>
          <w:lang w:val="en-US" w:eastAsia="zh-CN" w:bidi="ar-SA"/>
        </w:rPr>
        <w:t>15.1.1</w:t>
      </w:r>
      <w:r>
        <w:rPr>
          <w:rFonts w:hint="eastAsia" w:ascii="宋体" w:hAnsi="宋体" w:eastAsia="宋体" w:cs="宋体"/>
          <w:caps w:val="0"/>
          <w:smallCaps w:val="0"/>
          <w:snapToGrid w:val="0"/>
          <w:color w:val="auto"/>
          <w:spacing w:val="0"/>
          <w:kern w:val="0"/>
          <w:sz w:val="24"/>
          <w:highlight w:val="none"/>
          <w:lang w:val="en-US" w:eastAsia="zh-CN"/>
        </w:rPr>
        <w:t>开标时间和地点：见本章第二节“重要事项时间地点一览表”。</w:t>
      </w:r>
    </w:p>
    <w:p w14:paraId="1A087A04">
      <w:pPr>
        <w:pStyle w:val="130"/>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b/>
          <w:bCs/>
          <w:caps w:val="0"/>
          <w:smallCaps w:val="0"/>
          <w:snapToGrid w:val="0"/>
          <w:color w:val="auto"/>
          <w:spacing w:val="0"/>
          <w:kern w:val="0"/>
          <w:sz w:val="24"/>
          <w:szCs w:val="20"/>
          <w:highlight w:val="none"/>
          <w:u w:val="none" w:color="auto"/>
          <w:lang w:val="en-US" w:eastAsia="zh-CN" w:bidi="ar-SA"/>
        </w:rPr>
        <w:t>15.1.2</w:t>
      </w:r>
      <w:r>
        <w:rPr>
          <w:rFonts w:hint="eastAsia" w:ascii="宋体" w:hAnsi="宋体" w:eastAsia="宋体" w:cs="宋体"/>
          <w:caps w:val="0"/>
          <w:smallCaps w:val="0"/>
          <w:snapToGrid w:val="0"/>
          <w:color w:val="auto"/>
          <w:spacing w:val="0"/>
          <w:kern w:val="0"/>
          <w:sz w:val="24"/>
          <w:highlight w:val="none"/>
          <w:lang w:val="en-US" w:eastAsia="zh-CN"/>
        </w:rPr>
        <w:t>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eastAsia="宋体" w:cs="宋体"/>
          <w:b w:val="0"/>
          <w:bCs/>
          <w:snapToGrid w:val="0"/>
          <w:color w:val="auto"/>
          <w:kern w:val="0"/>
          <w:sz w:val="24"/>
          <w:szCs w:val="20"/>
          <w:highlight w:val="none"/>
        </w:rPr>
        <w:t>全国公共资源交易平台（广东省·韶关市）（https://ygp.gdzwfw.gov.cn/ggzy-portal/#/440200/index）</w:t>
      </w:r>
      <w:r>
        <w:rPr>
          <w:rFonts w:hint="eastAsia" w:ascii="宋体" w:hAnsi="宋体" w:eastAsia="宋体" w:cs="宋体"/>
          <w:caps w:val="0"/>
          <w:smallCaps w:val="0"/>
          <w:snapToGrid w:val="0"/>
          <w:color w:val="auto"/>
          <w:spacing w:val="0"/>
          <w:kern w:val="0"/>
          <w:sz w:val="24"/>
          <w:highlight w:val="none"/>
          <w:lang w:val="en-US" w:eastAsia="zh-CN"/>
        </w:rPr>
        <w:t>查询是否发布了取消开标活动的相关信息。</w:t>
      </w:r>
    </w:p>
    <w:p w14:paraId="2F31E168">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开标程序</w:t>
      </w:r>
      <w:bookmarkStart w:id="190" w:name="_Toc3252"/>
      <w:bookmarkStart w:id="191" w:name="_Toc31811"/>
    </w:p>
    <w:p w14:paraId="35EBC241">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aps w:val="0"/>
          <w:smallCaps w:val="0"/>
          <w:snapToGrid w:val="0"/>
          <w:color w:val="auto"/>
          <w:spacing w:val="0"/>
          <w:kern w:val="0"/>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bidi="ar-SA"/>
        </w:rPr>
        <w:t>（1）主持人（招标人代表或招标人授权的招标代理机构人员）宣读开标纪律。</w:t>
      </w:r>
      <w:bookmarkEnd w:id="190"/>
      <w:bookmarkEnd w:id="191"/>
      <w:bookmarkStart w:id="192" w:name="_Toc12253"/>
      <w:bookmarkStart w:id="193" w:name="_Toc3910"/>
    </w:p>
    <w:p w14:paraId="5FF2F765">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aps w:val="0"/>
          <w:smallCaps w:val="0"/>
          <w:snapToGrid w:val="0"/>
          <w:color w:val="auto"/>
          <w:spacing w:val="0"/>
          <w:kern w:val="0"/>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bidi="ar-SA"/>
        </w:rPr>
        <w:t>（2）主持人宣布唱标人、记录人、见证人、监督人等有关人员姓名。</w:t>
      </w:r>
      <w:bookmarkEnd w:id="192"/>
      <w:bookmarkEnd w:id="193"/>
      <w:bookmarkStart w:id="194" w:name="_Toc19254"/>
      <w:bookmarkStart w:id="195" w:name="_Toc3323"/>
    </w:p>
    <w:p w14:paraId="54B0B6ED">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aps w:val="0"/>
          <w:smallCaps w:val="0"/>
          <w:snapToGrid w:val="0"/>
          <w:color w:val="auto"/>
          <w:spacing w:val="0"/>
          <w:kern w:val="0"/>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bidi="ar-SA"/>
        </w:rPr>
        <w:t>（3）唱标人公布在投标截止时间前提交电子投标文件的投标人数量和名称，投标人不参加开标的，视其默认开标结果，招标代理机构应将有关情形在《开标一览表》“备注”栏中注明。</w:t>
      </w:r>
      <w:bookmarkEnd w:id="194"/>
      <w:bookmarkEnd w:id="195"/>
      <w:bookmarkStart w:id="196" w:name="_Toc31244"/>
      <w:bookmarkStart w:id="197" w:name="_Toc7705"/>
    </w:p>
    <w:p w14:paraId="5B3106BD">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aps w:val="0"/>
          <w:smallCaps w:val="0"/>
          <w:snapToGrid w:val="0"/>
          <w:color w:val="auto"/>
          <w:spacing w:val="0"/>
          <w:kern w:val="0"/>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bidi="ar-SA"/>
        </w:rPr>
        <w:t>（4）招标代理机构在交易场所工作人员见证下，对投标人的电子投标信息进行解密，建设工程交易系统自动生成《投标保证缴纳情况表》和《开标一览表》。</w:t>
      </w:r>
      <w:bookmarkEnd w:id="196"/>
      <w:bookmarkEnd w:id="197"/>
      <w:bookmarkStart w:id="198" w:name="_Toc23641"/>
      <w:bookmarkStart w:id="199" w:name="_Toc8440"/>
    </w:p>
    <w:p w14:paraId="6B407C1D">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aps w:val="0"/>
          <w:smallCaps w:val="0"/>
          <w:snapToGrid w:val="0"/>
          <w:color w:val="auto"/>
          <w:spacing w:val="0"/>
          <w:kern w:val="0"/>
          <w:sz w:val="24"/>
          <w:szCs w:val="24"/>
          <w:highlight w:val="none"/>
          <w:lang w:val="en-US"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bidi="ar-SA"/>
        </w:rPr>
        <w:t>（5）唱标人检查《投标保证缴纳情况表》中各投标人所缴纳投标保证的金额、有效期是否符合招标文件规定。若不符合规定，该投标人的投标无效。将有关情形在《投标保证缴纳情况表》“备注”栏中注明。</w:t>
      </w:r>
      <w:bookmarkEnd w:id="198"/>
      <w:bookmarkEnd w:id="199"/>
    </w:p>
    <w:p w14:paraId="2D71ACBA">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aps w:val="0"/>
          <w:smallCaps w:val="0"/>
          <w:snapToGrid w:val="0"/>
          <w:color w:val="auto"/>
          <w:spacing w:val="0"/>
          <w:kern w:val="0"/>
          <w:sz w:val="24"/>
          <w:szCs w:val="24"/>
          <w:highlight w:val="none"/>
          <w:lang w:val="en-US" w:eastAsia="zh-CN" w:bidi="ar-SA"/>
        </w:rPr>
      </w:pPr>
      <w:bookmarkStart w:id="200" w:name="_Toc3354"/>
      <w:bookmarkStart w:id="201" w:name="_Toc20964"/>
      <w:bookmarkStart w:id="202" w:name="_Toc20169"/>
      <w:r>
        <w:rPr>
          <w:rFonts w:hint="eastAsia" w:ascii="宋体" w:hAnsi="宋体" w:eastAsia="宋体" w:cs="宋体"/>
          <w:caps w:val="0"/>
          <w:smallCaps w:val="0"/>
          <w:snapToGrid w:val="0"/>
          <w:color w:val="auto"/>
          <w:spacing w:val="0"/>
          <w:kern w:val="0"/>
          <w:sz w:val="24"/>
          <w:szCs w:val="24"/>
          <w:highlight w:val="none"/>
          <w:lang w:val="en-US" w:eastAsia="zh-CN" w:bidi="ar-SA"/>
        </w:rPr>
        <w:t>（6）招标人代表、唱标人、记录人等有关人员在《投标保证缴纳情况表》以及《开标一览表》上签字确认。</w:t>
      </w:r>
      <w:bookmarkEnd w:id="200"/>
      <w:bookmarkEnd w:id="201"/>
      <w:bookmarkEnd w:id="202"/>
    </w:p>
    <w:p w14:paraId="2BE1DA86">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caps w:val="0"/>
          <w:smallCaps w:val="0"/>
          <w:snapToGrid w:val="0"/>
          <w:color w:val="auto"/>
          <w:spacing w:val="0"/>
          <w:kern w:val="0"/>
          <w:sz w:val="24"/>
          <w:highlight w:val="none"/>
          <w:lang w:val="en-US" w:eastAsia="zh-CN"/>
        </w:rPr>
        <w:t>（7）主持人宣布有关注意事项后，宣布开标结束。</w:t>
      </w:r>
    </w:p>
    <w:p w14:paraId="5F80571D">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06EDF51D">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caps w:val="0"/>
          <w:smallCaps w:val="0"/>
          <w:snapToGrid w:val="0"/>
          <w:color w:val="auto"/>
          <w:spacing w:val="0"/>
          <w:kern w:val="0"/>
          <w:sz w:val="24"/>
          <w:highlight w:val="none"/>
          <w:lang w:val="en-US" w:eastAsia="zh-CN"/>
        </w:rPr>
        <w:t>投标人对开标相关事项（如开标程序、唱标次序和内容等）有异议的，必须在开标期间和开标现场提出，招标人或其授权的招标代理机构应当场作出答复，并记录在案。对开标事项的异议未在开标期间和开标现场提出的，招标人不予受理。</w:t>
      </w:r>
    </w:p>
    <w:p w14:paraId="34C8C970">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招标代理机构将相关评审资料原件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、《开标一览表》以及其他有关资料移交评标委员会。</w:t>
      </w:r>
      <w:bookmarkStart w:id="203" w:name="_Hlt127093805"/>
      <w:bookmarkEnd w:id="203"/>
    </w:p>
    <w:p w14:paraId="00E7D0F0">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lang w:val="en-US" w:eastAsia="zh-CN"/>
        </w:rPr>
      </w:pPr>
      <w:bookmarkStart w:id="204" w:name="_Toc32344"/>
      <w:bookmarkStart w:id="205" w:name="_Toc24162"/>
      <w:bookmarkStart w:id="206" w:name="_Toc14774"/>
      <w:r>
        <w:rPr>
          <w:rFonts w:hint="eastAsia" w:ascii="宋体" w:hAnsi="宋体" w:eastAsia="宋体" w:cs="宋体"/>
          <w:b/>
          <w:color w:val="auto"/>
          <w:sz w:val="24"/>
          <w:lang w:val="en-US" w:eastAsia="zh-CN"/>
        </w:rPr>
        <w:t>16.评标</w:t>
      </w:r>
      <w:bookmarkEnd w:id="204"/>
      <w:bookmarkEnd w:id="205"/>
      <w:bookmarkEnd w:id="206"/>
    </w:p>
    <w:p w14:paraId="36C4E738">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caps w:val="0"/>
          <w:smallCaps w:val="0"/>
          <w:snapToGrid w:val="0"/>
          <w:color w:val="auto"/>
          <w:spacing w:val="0"/>
          <w:kern w:val="0"/>
          <w:sz w:val="24"/>
          <w:highlight w:val="none"/>
          <w:lang w:val="en-US" w:eastAsia="zh-CN"/>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eastAsia="宋体" w:cs="宋体"/>
          <w:caps w:val="0"/>
          <w:smallCaps w:val="0"/>
          <w:snapToGrid w:val="0"/>
          <w:color w:val="auto"/>
          <w:spacing w:val="0"/>
          <w:kern w:val="0"/>
          <w:sz w:val="24"/>
          <w:highlight w:val="none"/>
          <w:u w:val="single"/>
          <w:lang w:val="en-US" w:eastAsia="zh-CN"/>
        </w:rPr>
        <w:t xml:space="preserve"> 3 </w:t>
      </w:r>
      <w:r>
        <w:rPr>
          <w:rFonts w:hint="eastAsia" w:ascii="宋体" w:hAnsi="宋体" w:eastAsia="宋体" w:cs="宋体"/>
          <w:caps w:val="0"/>
          <w:smallCaps w:val="0"/>
          <w:snapToGrid w:val="0"/>
          <w:color w:val="auto"/>
          <w:spacing w:val="0"/>
          <w:kern w:val="0"/>
          <w:sz w:val="24"/>
          <w:highlight w:val="none"/>
          <w:u w:val="none"/>
          <w:lang w:val="en-US" w:eastAsia="zh-CN"/>
        </w:rPr>
        <w:t>个中标候选人，并</w:t>
      </w:r>
      <w:r>
        <w:rPr>
          <w:rFonts w:hint="eastAsia" w:ascii="宋体" w:hAnsi="宋体" w:eastAsia="宋体" w:cs="宋体"/>
          <w:caps w:val="0"/>
          <w:smallCaps w:val="0"/>
          <w:snapToGrid w:val="0"/>
          <w:color w:val="auto"/>
          <w:spacing w:val="0"/>
          <w:kern w:val="0"/>
          <w:sz w:val="24"/>
          <w:highlight w:val="none"/>
          <w:lang w:val="en-US" w:eastAsia="zh-CN"/>
        </w:rPr>
        <w:t>向招标人提交</w:t>
      </w:r>
      <w:r>
        <w:rPr>
          <w:rFonts w:hint="eastAsia" w:ascii="宋体" w:hAnsi="宋体" w:eastAsia="宋体" w:cs="宋体"/>
          <w:caps w:val="0"/>
          <w:smallCaps w:val="0"/>
          <w:snapToGrid w:val="0"/>
          <w:color w:val="auto"/>
          <w:spacing w:val="0"/>
          <w:kern w:val="0"/>
          <w:sz w:val="24"/>
          <w:highlight w:val="none"/>
          <w:u w:val="none"/>
          <w:lang w:val="en-US" w:eastAsia="zh-CN"/>
        </w:rPr>
        <w:t>由全体评标委员会成员签字的</w:t>
      </w:r>
      <w:r>
        <w:rPr>
          <w:rFonts w:hint="eastAsia" w:ascii="宋体" w:hAnsi="宋体" w:eastAsia="宋体" w:cs="宋体"/>
          <w:caps w:val="0"/>
          <w:smallCaps w:val="0"/>
          <w:snapToGrid w:val="0"/>
          <w:color w:val="auto"/>
          <w:spacing w:val="0"/>
          <w:kern w:val="0"/>
          <w:sz w:val="24"/>
          <w:highlight w:val="none"/>
          <w:lang w:val="en-US" w:eastAsia="zh-CN"/>
        </w:rPr>
        <w:t>评标报告。</w:t>
      </w:r>
    </w:p>
    <w:p w14:paraId="51B045D2">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16</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rPr>
        <w:t>评标委员会</w:t>
      </w:r>
    </w:p>
    <w:p w14:paraId="267B34E0">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16</w:t>
      </w:r>
      <w:r>
        <w:rPr>
          <w:rFonts w:hint="eastAsia" w:ascii="宋体" w:hAnsi="宋体" w:eastAsia="宋体" w:cs="宋体"/>
          <w:b/>
          <w:bCs/>
          <w:snapToGrid w:val="0"/>
          <w:color w:val="auto"/>
          <w:kern w:val="0"/>
          <w:sz w:val="24"/>
          <w:szCs w:val="24"/>
          <w:highlight w:val="none"/>
        </w:rPr>
        <w:t>.1.1</w:t>
      </w:r>
      <w:r>
        <w:rPr>
          <w:rFonts w:hint="eastAsia" w:ascii="宋体" w:hAnsi="宋体" w:eastAsia="宋体" w:cs="宋体"/>
          <w:snapToGrid w:val="0"/>
          <w:color w:val="auto"/>
          <w:kern w:val="0"/>
          <w:sz w:val="24"/>
          <w:szCs w:val="24"/>
          <w:highlight w:val="none"/>
        </w:rPr>
        <w:t>评标委员会由</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人组成，其中招标人代表</w:t>
      </w:r>
      <w:r>
        <w:rPr>
          <w:rFonts w:hint="eastAsia" w:ascii="宋体" w:hAnsi="宋体" w:eastAsia="宋体" w:cs="宋体"/>
          <w:snapToGrid w:val="0"/>
          <w:color w:val="auto"/>
          <w:kern w:val="0"/>
          <w:sz w:val="24"/>
          <w:szCs w:val="24"/>
          <w:highlight w:val="none"/>
          <w:u w:val="single"/>
        </w:rPr>
        <w:t xml:space="preserve"> 0 </w:t>
      </w:r>
      <w:r>
        <w:rPr>
          <w:rFonts w:hint="eastAsia" w:ascii="宋体" w:hAnsi="宋体" w:eastAsia="宋体" w:cs="宋体"/>
          <w:snapToGrid w:val="0"/>
          <w:color w:val="auto"/>
          <w:kern w:val="0"/>
          <w:sz w:val="24"/>
          <w:szCs w:val="24"/>
          <w:highlight w:val="none"/>
        </w:rPr>
        <w:t>人，专家</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人。专家从广东省综合评标评审专家库-韶关市区域中随机抽取，</w:t>
      </w:r>
      <w:r>
        <w:rPr>
          <w:rFonts w:hint="eastAsia" w:ascii="宋体" w:hAnsi="宋体" w:eastAsia="宋体" w:cs="宋体"/>
          <w:caps w:val="0"/>
          <w:smallCaps w:val="0"/>
          <w:snapToGrid w:val="0"/>
          <w:color w:val="auto"/>
          <w:spacing w:val="0"/>
          <w:kern w:val="0"/>
          <w:sz w:val="24"/>
          <w:highlight w:val="none"/>
          <w:lang w:val="en-US" w:eastAsia="zh-CN"/>
        </w:rPr>
        <w:t>其中技术类专家</w:t>
      </w:r>
      <w:r>
        <w:rPr>
          <w:rFonts w:hint="eastAsia" w:ascii="宋体" w:hAnsi="宋体" w:eastAsia="宋体" w:cs="宋体"/>
          <w:caps w:val="0"/>
          <w:smallCaps w:val="0"/>
          <w:snapToGrid w:val="0"/>
          <w:color w:val="auto"/>
          <w:spacing w:val="0"/>
          <w:kern w:val="0"/>
          <w:sz w:val="24"/>
          <w:highlight w:val="none"/>
          <w:u w:val="single"/>
          <w:lang w:val="en-US" w:eastAsia="zh-CN"/>
        </w:rPr>
        <w:t xml:space="preserve"> 3 </w:t>
      </w:r>
      <w:r>
        <w:rPr>
          <w:rFonts w:hint="eastAsia" w:ascii="宋体" w:hAnsi="宋体" w:eastAsia="宋体" w:cs="宋体"/>
          <w:caps w:val="0"/>
          <w:smallCaps w:val="0"/>
          <w:snapToGrid w:val="0"/>
          <w:color w:val="auto"/>
          <w:spacing w:val="0"/>
          <w:kern w:val="0"/>
          <w:sz w:val="24"/>
          <w:highlight w:val="none"/>
          <w:lang w:val="en-US" w:eastAsia="zh-CN"/>
        </w:rPr>
        <w:t>人，经济类专家</w:t>
      </w:r>
      <w:r>
        <w:rPr>
          <w:rFonts w:hint="eastAsia" w:ascii="宋体" w:hAnsi="宋体" w:eastAsia="宋体" w:cs="宋体"/>
          <w:caps w:val="0"/>
          <w:smallCaps w:val="0"/>
          <w:snapToGrid w:val="0"/>
          <w:color w:val="auto"/>
          <w:spacing w:val="0"/>
          <w:kern w:val="0"/>
          <w:sz w:val="24"/>
          <w:highlight w:val="none"/>
          <w:u w:val="single"/>
          <w:lang w:val="en-US" w:eastAsia="zh-CN"/>
        </w:rPr>
        <w:t xml:space="preserve"> 2 </w:t>
      </w:r>
      <w:r>
        <w:rPr>
          <w:rFonts w:hint="eastAsia" w:ascii="宋体" w:hAnsi="宋体" w:eastAsia="宋体" w:cs="宋体"/>
          <w:caps w:val="0"/>
          <w:smallCaps w:val="0"/>
          <w:snapToGrid w:val="0"/>
          <w:color w:val="auto"/>
          <w:spacing w:val="0"/>
          <w:kern w:val="0"/>
          <w:sz w:val="24"/>
          <w:highlight w:val="none"/>
          <w:lang w:val="en-US" w:eastAsia="zh-CN"/>
        </w:rPr>
        <w:t>人。</w:t>
      </w:r>
      <w:r>
        <w:rPr>
          <w:rFonts w:hint="eastAsia" w:ascii="宋体" w:hAnsi="宋体" w:eastAsia="宋体" w:cs="宋体"/>
          <w:snapToGrid w:val="0"/>
          <w:color w:val="auto"/>
          <w:kern w:val="0"/>
          <w:sz w:val="24"/>
          <w:szCs w:val="24"/>
          <w:highlight w:val="none"/>
        </w:rPr>
        <w:t>评标委员会设负责人，由评标委员会成员推举产生。评标委员会负责人与评标委员会的其他成员有同等的表决权。</w:t>
      </w:r>
    </w:p>
    <w:p w14:paraId="3EDA05CE">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.1.2</w:t>
      </w:r>
      <w:r>
        <w:rPr>
          <w:rFonts w:hint="eastAsia" w:ascii="宋体" w:hAnsi="宋体" w:eastAsia="宋体" w:cs="宋体"/>
          <w:snapToGrid w:val="0"/>
          <w:color w:val="auto"/>
          <w:kern w:val="0"/>
          <w:sz w:val="24"/>
          <w:szCs w:val="24"/>
          <w:highlight w:val="none"/>
        </w:rPr>
        <w:t>评标委员会应认真、公正、诚实、廉洁地履行职责。有下列情形之一的，不得担任评标委员会成员：</w:t>
      </w:r>
    </w:p>
    <w:p w14:paraId="4B2F1B67">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（1）投标人或投标人主要负责人的近亲属；</w:t>
      </w:r>
    </w:p>
    <w:p w14:paraId="3681BF16">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（2）项目主管部门或者行政监督部门的人员；</w:t>
      </w:r>
    </w:p>
    <w:p w14:paraId="36B2CF77">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（3）与投标人有经济利益关系，可能影响对投标公正评审的；</w:t>
      </w:r>
    </w:p>
    <w:p w14:paraId="22C34C7F">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（4）曾因在招标、评标以及其他与招标投标有关活动中从事违法行为而受过行政处罚或刑事处罚的。</w:t>
      </w:r>
    </w:p>
    <w:p w14:paraId="04513323">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评标委员会成员有以上情形之一的，应主动提出回避。</w:t>
      </w:r>
    </w:p>
    <w:p w14:paraId="0B8A2F81">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.1.3</w:t>
      </w:r>
      <w:r>
        <w:rPr>
          <w:rFonts w:hint="eastAsia" w:ascii="宋体" w:hAnsi="宋体" w:eastAsia="宋体" w:cs="宋体"/>
          <w:snapToGrid w:val="0"/>
          <w:color w:val="auto"/>
          <w:kern w:val="0"/>
          <w:sz w:val="24"/>
          <w:szCs w:val="24"/>
          <w:highlight w:val="none"/>
        </w:rPr>
        <w:t>评标全过程实行封闭式管理，在中标结果公布前，禁止评标委员会成员以任何方式私下接触投标人。</w:t>
      </w:r>
    </w:p>
    <w:p w14:paraId="30C5BE39">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.1.4</w:t>
      </w:r>
      <w:r>
        <w:rPr>
          <w:rFonts w:hint="eastAsia" w:ascii="宋体" w:hAnsi="宋体" w:eastAsia="宋体" w:cs="宋体"/>
          <w:snapToGrid w:val="0"/>
          <w:color w:val="auto"/>
          <w:kern w:val="0"/>
          <w:sz w:val="24"/>
          <w:szCs w:val="24"/>
          <w:highlight w:val="none"/>
        </w:rPr>
        <w:t>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60270005">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.1.5</w:t>
      </w:r>
      <w:r>
        <w:rPr>
          <w:rFonts w:hint="eastAsia" w:ascii="宋体" w:hAnsi="宋体" w:eastAsia="宋体" w:cs="宋体"/>
          <w:snapToGrid w:val="0"/>
          <w:color w:val="auto"/>
          <w:kern w:val="0"/>
          <w:sz w:val="24"/>
          <w:szCs w:val="24"/>
          <w:highlight w:val="none"/>
        </w:rPr>
        <w:t>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A90AD5F">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rPr>
        <w:t>评标方法</w:t>
      </w:r>
    </w:p>
    <w:p w14:paraId="6B421042">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根据有关法律、法规的相关规定，结合本招标项目资金来源和规模特点，本次招标采用“综合评估法”进行评标。</w:t>
      </w:r>
    </w:p>
    <w:p w14:paraId="67184345">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bCs/>
          <w:snapToGrid w:val="0"/>
          <w:color w:val="auto"/>
          <w:kern w:val="0"/>
          <w:sz w:val="24"/>
          <w:szCs w:val="24"/>
          <w:highlight w:val="none"/>
        </w:rPr>
        <w:t>评审范围：</w:t>
      </w:r>
      <w:r>
        <w:rPr>
          <w:rFonts w:hint="eastAsia" w:ascii="宋体" w:hAnsi="宋体" w:eastAsia="宋体" w:cs="宋体"/>
          <w:snapToGrid w:val="0"/>
          <w:color w:val="auto"/>
          <w:kern w:val="0"/>
          <w:sz w:val="24"/>
          <w:szCs w:val="24"/>
          <w:highlight w:val="none"/>
        </w:rPr>
        <w:t>评标委员会应对所有进入评标投标人的投标文件进行评审。</w:t>
      </w:r>
    </w:p>
    <w:p w14:paraId="15C16E42">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初步评审阶段</w:t>
      </w:r>
    </w:p>
    <w:p w14:paraId="56B48D28">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初步评审阶段分为资格评审、形式评审和响应性评审三个环节。</w:t>
      </w:r>
    </w:p>
    <w:p w14:paraId="215BED4D">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.4.1</w:t>
      </w:r>
      <w:r>
        <w:rPr>
          <w:rFonts w:hint="eastAsia" w:ascii="宋体" w:hAnsi="宋体" w:eastAsia="宋体" w:cs="宋体"/>
          <w:snapToGrid w:val="0"/>
          <w:color w:val="auto"/>
          <w:kern w:val="0"/>
          <w:sz w:val="24"/>
          <w:szCs w:val="24"/>
          <w:highlight w:val="none"/>
        </w:rPr>
        <w:t>资格评审环节</w:t>
      </w:r>
    </w:p>
    <w:p w14:paraId="4DC6BCB6">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资格评审事项包括：</w:t>
      </w:r>
    </w:p>
    <w:p w14:paraId="144FFD6F">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（1）投标人是否符合本章第三节第</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条“禁止投标条款”规定。</w:t>
      </w:r>
    </w:p>
    <w:p w14:paraId="725BF693">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（2）投标人名称是否与营业执照、资质证书一致。</w:t>
      </w:r>
    </w:p>
    <w:p w14:paraId="0F8CDF27">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（3）投标人的资质是否符合招标文件规定；其营业执照、资质证书是否合法、有效。</w:t>
      </w:r>
    </w:p>
    <w:p w14:paraId="09015F6A">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（4）投标文件中拟派</w:t>
      </w:r>
      <w:r>
        <w:rPr>
          <w:rFonts w:hint="eastAsia" w:ascii="宋体" w:hAnsi="宋体" w:eastAsia="宋体" w:cs="宋体"/>
          <w:color w:val="auto"/>
          <w:kern w:val="0"/>
          <w:sz w:val="24"/>
          <w:highlight w:val="none"/>
        </w:rPr>
        <w:t>项目负责人（即设计负责人</w:t>
      </w:r>
      <w:r>
        <w:rPr>
          <w:rFonts w:hint="eastAsia" w:ascii="宋体" w:hAnsi="宋体" w:cs="宋体"/>
          <w:color w:val="auto"/>
          <w:kern w:val="0"/>
          <w:sz w:val="24"/>
          <w:highlight w:val="none"/>
          <w:lang w:eastAsia="zh-CN"/>
        </w:rPr>
        <w:t>）</w:t>
      </w:r>
      <w:r>
        <w:rPr>
          <w:rFonts w:hint="eastAsia" w:ascii="宋体" w:hAnsi="宋体" w:eastAsia="宋体" w:cs="宋体"/>
          <w:snapToGrid w:val="0"/>
          <w:color w:val="auto"/>
          <w:kern w:val="0"/>
          <w:sz w:val="24"/>
          <w:szCs w:val="24"/>
          <w:highlight w:val="none"/>
        </w:rPr>
        <w:t>的条件是否符合招标文件规定</w:t>
      </w:r>
      <w:r>
        <w:rPr>
          <w:rFonts w:hint="eastAsia" w:ascii="宋体" w:hAnsi="宋体" w:eastAsia="宋体" w:cs="宋体"/>
          <w:snapToGrid w:val="0"/>
          <w:color w:val="auto"/>
          <w:kern w:val="0"/>
          <w:sz w:val="24"/>
          <w:szCs w:val="24"/>
          <w:highlight w:val="none"/>
          <w:lang w:eastAsia="zh-CN"/>
        </w:rPr>
        <w:t>。</w:t>
      </w:r>
    </w:p>
    <w:p w14:paraId="259DD680">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（5）投标人与其拟派往本项目管理机构的所有人员之间必须具备合法、唯一的劳动聘用关系。拟派人员中具备注册执业资格的，其注册单位须与投标人保持一致。</w:t>
      </w:r>
    </w:p>
    <w:p w14:paraId="4CBDA330">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）投标人为外省建筑企业的，是否按规定在“进粤企业和人员诚信信息登记平台”录入企业及其拟派往本项目管理机构的所有人员信息并通过数据规范检查。</w:t>
      </w:r>
    </w:p>
    <w:p w14:paraId="493AF40F">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.4.2</w:t>
      </w:r>
      <w:r>
        <w:rPr>
          <w:rFonts w:hint="eastAsia" w:ascii="宋体" w:hAnsi="宋体" w:eastAsia="宋体" w:cs="宋体"/>
          <w:snapToGrid w:val="0"/>
          <w:color w:val="auto"/>
          <w:kern w:val="0"/>
          <w:sz w:val="24"/>
          <w:szCs w:val="24"/>
          <w:highlight w:val="none"/>
        </w:rPr>
        <w:t>形式评审环节</w:t>
      </w:r>
    </w:p>
    <w:p w14:paraId="6E1862E2">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形式评审事项包括：</w:t>
      </w:r>
    </w:p>
    <w:p w14:paraId="3FA24E1D">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（1）投标文件的分册组成是否符合招标文件规定。</w:t>
      </w:r>
    </w:p>
    <w:p w14:paraId="3F49DC83">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目中规定的“所有投标人均应提供”的组成内容（包括该组成内容的所附资料）是否完整、齐全。</w:t>
      </w:r>
    </w:p>
    <w:p w14:paraId="45EBF397">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（3）是否出现</w:t>
      </w:r>
      <w:r>
        <w:rPr>
          <w:rFonts w:hint="eastAsia" w:ascii="宋体" w:hAnsi="宋体" w:eastAsia="宋体" w:cs="宋体"/>
          <w:snapToGrid w:val="0"/>
          <w:color w:val="auto"/>
          <w:kern w:val="0"/>
          <w:sz w:val="24"/>
          <w:szCs w:val="24"/>
          <w:highlight w:val="none"/>
        </w:rPr>
        <w:t>关键字迹模糊、无法辨认；</w:t>
      </w:r>
      <w:r>
        <w:rPr>
          <w:rFonts w:hint="eastAsia" w:ascii="宋体" w:hAnsi="宋体" w:eastAsia="宋体" w:cs="宋体"/>
          <w:snapToGrid w:val="0"/>
          <w:color w:val="auto"/>
          <w:kern w:val="0"/>
          <w:sz w:val="24"/>
          <w:szCs w:val="24"/>
          <w:highlight w:val="none"/>
          <w:lang w:val="en-US" w:eastAsia="zh-CN"/>
        </w:rPr>
        <w:t>是否</w:t>
      </w:r>
      <w:r>
        <w:rPr>
          <w:rFonts w:hint="eastAsia" w:ascii="宋体" w:hAnsi="宋体" w:eastAsia="宋体" w:cs="宋体"/>
          <w:snapToGrid w:val="0"/>
          <w:color w:val="auto"/>
          <w:kern w:val="0"/>
          <w:sz w:val="24"/>
          <w:szCs w:val="24"/>
          <w:highlight w:val="none"/>
        </w:rPr>
        <w:t>出现手工涂改、行间插字或删除，但未加盖单位章</w:t>
      </w:r>
      <w:r>
        <w:rPr>
          <w:rFonts w:hint="eastAsia" w:ascii="宋体" w:hAnsi="宋体" w:eastAsia="宋体" w:cs="宋体"/>
          <w:snapToGrid w:val="0"/>
          <w:color w:val="auto"/>
          <w:kern w:val="0"/>
          <w:sz w:val="24"/>
          <w:szCs w:val="24"/>
          <w:highlight w:val="none"/>
          <w:lang w:val="en-US" w:eastAsia="zh-CN"/>
        </w:rPr>
        <w:t>或</w:t>
      </w:r>
      <w:r>
        <w:rPr>
          <w:rFonts w:hint="eastAsia" w:ascii="宋体" w:hAnsi="宋体" w:eastAsia="宋体" w:cs="宋体"/>
          <w:snapToGrid w:val="0"/>
          <w:color w:val="auto"/>
          <w:kern w:val="0"/>
          <w:sz w:val="24"/>
          <w:szCs w:val="24"/>
          <w:highlight w:val="none"/>
        </w:rPr>
        <w:t>由投标人的法定代表人或其委托代理人签字确认的</w:t>
      </w:r>
      <w:r>
        <w:rPr>
          <w:rFonts w:hint="eastAsia" w:ascii="宋体" w:hAnsi="宋体" w:eastAsia="宋体" w:cs="宋体"/>
          <w:snapToGrid w:val="0"/>
          <w:color w:val="auto"/>
          <w:kern w:val="0"/>
          <w:sz w:val="24"/>
          <w:szCs w:val="24"/>
          <w:highlight w:val="none"/>
          <w:lang w:eastAsia="zh-CN"/>
        </w:rPr>
        <w:t>。</w:t>
      </w:r>
    </w:p>
    <w:p w14:paraId="4ECBBC20">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）各分册是否按招标文件规定签字、盖章。</w:t>
      </w:r>
    </w:p>
    <w:p w14:paraId="02FD762D">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.4.3</w:t>
      </w:r>
      <w:r>
        <w:rPr>
          <w:rFonts w:hint="eastAsia" w:ascii="宋体" w:hAnsi="宋体" w:eastAsia="宋体" w:cs="宋体"/>
          <w:snapToGrid w:val="0"/>
          <w:color w:val="auto"/>
          <w:kern w:val="0"/>
          <w:sz w:val="24"/>
          <w:szCs w:val="24"/>
          <w:highlight w:val="none"/>
        </w:rPr>
        <w:t>响应性评审环节</w:t>
      </w:r>
    </w:p>
    <w:p w14:paraId="4183FE4C">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响应性评审事项包括：</w:t>
      </w:r>
    </w:p>
    <w:p w14:paraId="631CD8FA">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（1）投标有效期、工期等是否响应招标文件实质性要求；是否擅自修改、遗漏《投标函》《各项承诺一览表》的实质性内容。</w:t>
      </w:r>
    </w:p>
    <w:p w14:paraId="30749AD0">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（2）投标总价是否唯一；投标报价是否超出最高投标限价。</w:t>
      </w:r>
    </w:p>
    <w:p w14:paraId="2EB6596E">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（3）技术标书的质量、保障措施是否符合国家和省市现行有关规范、规定、标准，是否能实现工程质量、进度管理目标。</w:t>
      </w:r>
    </w:p>
    <w:p w14:paraId="02B88871">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否决投标说明</w:t>
      </w:r>
    </w:p>
    <w:p w14:paraId="32B727FA">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初步评审阶段各个环节否决投标的全部条件，在本章第四节“否决投标条件”第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条至第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5422B6CC">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.5</w:t>
      </w:r>
      <w:r>
        <w:rPr>
          <w:rFonts w:hint="eastAsia" w:ascii="宋体" w:hAnsi="宋体" w:eastAsia="宋体" w:cs="宋体"/>
          <w:snapToGrid w:val="0"/>
          <w:color w:val="auto"/>
          <w:kern w:val="0"/>
          <w:sz w:val="24"/>
          <w:szCs w:val="24"/>
          <w:highlight w:val="none"/>
        </w:rPr>
        <w:t xml:space="preserve"> 详细评审阶段</w:t>
      </w:r>
    </w:p>
    <w:p w14:paraId="6AACD4AA">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.5.1</w:t>
      </w:r>
      <w:r>
        <w:rPr>
          <w:rFonts w:hint="eastAsia" w:ascii="宋体" w:hAnsi="宋体" w:eastAsia="宋体" w:cs="宋体"/>
          <w:bCs/>
          <w:snapToGrid w:val="0"/>
          <w:color w:val="auto"/>
          <w:kern w:val="0"/>
          <w:sz w:val="24"/>
          <w:szCs w:val="24"/>
          <w:highlight w:val="none"/>
        </w:rPr>
        <w:t xml:space="preserve"> “综合评估法”评审程序</w:t>
      </w:r>
    </w:p>
    <w:p w14:paraId="7690D3DC">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评审内容分为商务、技术和投标报价三大部分，综合得分满分为100分。其中，商务满分为</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分，技术满分为</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分，投标报价部分满分为</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分。</w:t>
      </w:r>
    </w:p>
    <w:p w14:paraId="4BD9AD09">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除特别注明外，综合得分以及商务、技术、投标报价得分的中间过程计算值和最终值，均按“四舍五入”原则精确到两位小数。</w:t>
      </w:r>
    </w:p>
    <w:p w14:paraId="11F4E64D">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（1）商务技术得分M</w:t>
      </w:r>
    </w:p>
    <w:p w14:paraId="42BCEB33">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a．评标委员会按照《综合评分表》商务部分指定的评分标准对各评分因素进行打分。各评分因素得分之和即为某投标人的商务得分M1。</w:t>
      </w:r>
    </w:p>
    <w:p w14:paraId="11B06DED">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3CA51870">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c．M＝M1＋M2</w:t>
      </w:r>
    </w:p>
    <w:p w14:paraId="62EFACDB">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式中：M1为某投标人的商务得分，M2为某投标人的技术得分。</w:t>
      </w:r>
    </w:p>
    <w:p w14:paraId="11E7FE11">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（2）投标报价得分N</w:t>
      </w:r>
    </w:p>
    <w:p w14:paraId="5B10C005">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a．评标委员会按照《综合评分表》投标报价部分指定的方法计算评标基准价D。</w:t>
      </w:r>
    </w:p>
    <w:p w14:paraId="4CC7F125">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b．采用内插法计算某投标人的投标报价得分N，即当投标人的投标总价等于评标基准价时得</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分，每高于评标基准价一个百分点扣</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分，每低于评标基准价一个百分点扣</w:t>
      </w:r>
      <w:r>
        <w:rPr>
          <w:rFonts w:hint="eastAsia" w:ascii="宋体" w:hAnsi="宋体" w:eastAsia="宋体" w:cs="宋体"/>
          <w:snapToGrid w:val="0"/>
          <w:color w:val="auto"/>
          <w:kern w:val="0"/>
          <w:sz w:val="24"/>
          <w:szCs w:val="24"/>
          <w:highlight w:val="none"/>
          <w:lang w:val="en-US" w:eastAsia="zh-CN"/>
        </w:rPr>
        <w:t>0.5</w:t>
      </w:r>
      <w:r>
        <w:rPr>
          <w:rFonts w:hint="eastAsia" w:ascii="宋体" w:hAnsi="宋体" w:eastAsia="宋体" w:cs="宋体"/>
          <w:snapToGrid w:val="0"/>
          <w:color w:val="auto"/>
          <w:kern w:val="0"/>
          <w:sz w:val="24"/>
          <w:szCs w:val="24"/>
          <w:highlight w:val="none"/>
        </w:rPr>
        <w:t>分，扣完为止。公式如下：</w:t>
      </w:r>
    </w:p>
    <w:p w14:paraId="079643A3">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N＝</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 Di－D | ÷D）×100×E</w:t>
      </w:r>
    </w:p>
    <w:p w14:paraId="4BAB5259">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；当Di＜D时，E＝0.</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w:t>
      </w:r>
    </w:p>
    <w:p w14:paraId="47E7C46D">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（3）综合得分</w:t>
      </w:r>
    </w:p>
    <w:p w14:paraId="0380EB39">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综合得分满分100分，公式如下：</w:t>
      </w:r>
    </w:p>
    <w:p w14:paraId="2927838E">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综合得分＝M＋N</w:t>
      </w:r>
    </w:p>
    <w:p w14:paraId="7EC58519">
      <w:pPr>
        <w:pageBreakBefore w:val="0"/>
        <w:kinsoku/>
        <w:wordWrap w:val="0"/>
        <w:overflowPunct/>
        <w:topLinePunct w:val="0"/>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式中：M为商务技术得分，N为投标报价得分。</w:t>
      </w:r>
    </w:p>
    <w:p w14:paraId="3F75F6A5">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p w14:paraId="45E8A16C">
      <w:pPr>
        <w:pStyle w:val="2"/>
        <w:bidi w:val="0"/>
        <w:snapToGrid/>
        <w:spacing w:before="0" w:beforeLines="0" w:beforeAutospacing="0" w:afterLines="0" w:afterAutospacing="0" w:line="360" w:lineRule="auto"/>
        <w:ind w:left="0" w:leftChars="0" w:right="0" w:rightChars="0" w:firstLine="482" w:firstLineChars="200"/>
        <w:jc w:val="center"/>
        <w:rPr>
          <w:rFonts w:hint="eastAsia" w:ascii="宋体" w:hAnsi="宋体" w:eastAsia="宋体" w:cs="宋体"/>
          <w:b/>
          <w:color w:val="auto"/>
          <w:sz w:val="24"/>
          <w:szCs w:val="28"/>
          <w:highlight w:val="none"/>
        </w:rPr>
      </w:pPr>
      <w:bookmarkStart w:id="207" w:name="_Hlt69669771"/>
      <w:bookmarkEnd w:id="207"/>
      <w:bookmarkStart w:id="208" w:name="_Toc14036"/>
      <w:bookmarkStart w:id="209" w:name="_Hlt69698713"/>
      <w:bookmarkStart w:id="210" w:name="_Hlt69698765"/>
      <w:r>
        <w:rPr>
          <w:rFonts w:hint="eastAsia" w:ascii="宋体" w:hAnsi="宋体" w:eastAsia="宋体" w:cs="宋体"/>
          <w:b/>
          <w:bCs/>
          <w:color w:val="auto"/>
          <w:kern w:val="44"/>
          <w:sz w:val="24"/>
          <w:szCs w:val="28"/>
          <w:highlight w:val="none"/>
        </w:rPr>
        <w:br w:type="page"/>
      </w:r>
      <w:bookmarkStart w:id="211" w:name="_Toc19160"/>
      <w:bookmarkStart w:id="212" w:name="_Toc11374"/>
      <w:bookmarkStart w:id="213" w:name="_Toc17713"/>
      <w:r>
        <w:rPr>
          <w:rFonts w:hint="eastAsia" w:ascii="宋体" w:hAnsi="宋体" w:eastAsia="宋体" w:cs="宋体"/>
          <w:b/>
          <w:color w:val="auto"/>
          <w:sz w:val="32"/>
          <w:szCs w:val="36"/>
          <w:highlight w:val="none"/>
        </w:rPr>
        <w:t>综合评分表</w:t>
      </w:r>
      <w:bookmarkEnd w:id="211"/>
      <w:bookmarkEnd w:id="212"/>
      <w:bookmarkEnd w:id="213"/>
    </w:p>
    <w:tbl>
      <w:tblPr>
        <w:tblStyle w:val="3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3600"/>
        <w:gridCol w:w="4028"/>
      </w:tblGrid>
      <w:tr w14:paraId="782E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362" w:type="dxa"/>
            <w:gridSpan w:val="3"/>
            <w:shd w:val="clear" w:color="auto" w:fill="D7D7D7"/>
            <w:noWrap w:val="0"/>
            <w:vAlign w:val="center"/>
          </w:tcPr>
          <w:p w14:paraId="56936BFD">
            <w:pPr>
              <w:pStyle w:val="11"/>
              <w:wordWrap w:val="0"/>
              <w:autoSpaceDE w:val="0"/>
              <w:adjustRightInd w:val="0"/>
              <w:snapToGrid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商务部分M1，满分：</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lang w:val="en-US" w:eastAsia="zh-CN"/>
              </w:rPr>
              <w:t>分。</w:t>
            </w:r>
          </w:p>
        </w:tc>
      </w:tr>
      <w:tr w14:paraId="30EF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34" w:type="dxa"/>
            <w:noWrap w:val="0"/>
            <w:vAlign w:val="center"/>
          </w:tcPr>
          <w:p w14:paraId="597679AE">
            <w:pPr>
              <w:pStyle w:val="11"/>
              <w:wordWrap w:val="0"/>
              <w:autoSpaceDE w:val="0"/>
              <w:adjustRightInd w:val="0"/>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评分因素</w:t>
            </w:r>
          </w:p>
        </w:tc>
        <w:tc>
          <w:tcPr>
            <w:tcW w:w="3600" w:type="dxa"/>
            <w:noWrap w:val="0"/>
            <w:vAlign w:val="center"/>
          </w:tcPr>
          <w:p w14:paraId="405B0688">
            <w:pPr>
              <w:pStyle w:val="11"/>
              <w:wordWrap w:val="0"/>
              <w:autoSpaceDE w:val="0"/>
              <w:adjustRightInd w:val="0"/>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评分标准</w:t>
            </w:r>
          </w:p>
        </w:tc>
        <w:tc>
          <w:tcPr>
            <w:tcW w:w="4028" w:type="dxa"/>
            <w:noWrap w:val="0"/>
            <w:vAlign w:val="center"/>
          </w:tcPr>
          <w:p w14:paraId="23DFEFB6">
            <w:pPr>
              <w:pStyle w:val="11"/>
              <w:wordWrap w:val="0"/>
              <w:autoSpaceDE w:val="0"/>
              <w:adjustRightInd w:val="0"/>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14:paraId="2767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4" w:type="dxa"/>
            <w:noWrap w:val="0"/>
            <w:vAlign w:val="center"/>
          </w:tcPr>
          <w:p w14:paraId="62CBA8D0">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企业奖项</w:t>
            </w:r>
          </w:p>
          <w:p w14:paraId="64669590">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600" w:type="dxa"/>
            <w:noWrap w:val="0"/>
            <w:vAlign w:val="center"/>
          </w:tcPr>
          <w:p w14:paraId="7A57E56C">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p>
          <w:p w14:paraId="5A369395">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企业近5年来（</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年1月1日至</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月1日）</w:t>
            </w:r>
            <w:r>
              <w:rPr>
                <w:rFonts w:hint="eastAsia" w:ascii="宋体" w:hAnsi="宋体" w:eastAsia="宋体" w:cs="宋体"/>
                <w:color w:val="auto"/>
                <w:sz w:val="24"/>
                <w:szCs w:val="24"/>
                <w:highlight w:val="none"/>
              </w:rPr>
              <w:t>获得</w:t>
            </w:r>
            <w:r>
              <w:rPr>
                <w:rFonts w:hint="eastAsia" w:ascii="宋体" w:hAnsi="宋体" w:eastAsia="宋体" w:cs="宋体"/>
                <w:color w:val="auto"/>
                <w:sz w:val="24"/>
                <w:szCs w:val="24"/>
                <w:highlight w:val="none"/>
                <w:u w:val="single"/>
              </w:rPr>
              <w:t>市政工程类设计奖</w:t>
            </w:r>
            <w:r>
              <w:rPr>
                <w:rFonts w:hint="eastAsia" w:ascii="宋体" w:hAnsi="宋体" w:eastAsia="宋体" w:cs="宋体"/>
                <w:color w:val="auto"/>
                <w:sz w:val="24"/>
                <w:szCs w:val="24"/>
                <w:highlight w:val="none"/>
                <w:lang w:val="en-US" w:eastAsia="zh-CN"/>
              </w:rPr>
              <w:t>情况：</w:t>
            </w:r>
          </w:p>
          <w:p w14:paraId="2816EC15">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1.获得国家级奖项的，</w:t>
            </w:r>
            <w:r>
              <w:rPr>
                <w:rFonts w:hint="eastAsia" w:ascii="宋体" w:hAnsi="宋体" w:eastAsia="宋体" w:cs="宋体"/>
                <w:color w:val="auto"/>
                <w:sz w:val="24"/>
                <w:szCs w:val="24"/>
                <w:highlight w:val="none"/>
                <w:lang w:eastAsia="zh-CN"/>
              </w:rPr>
              <w:t>每项得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2EA22BB">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获得省级奖项的，</w:t>
            </w:r>
            <w:r>
              <w:rPr>
                <w:rFonts w:hint="eastAsia" w:ascii="宋体" w:hAnsi="宋体" w:eastAsia="宋体" w:cs="宋体"/>
                <w:color w:val="auto"/>
                <w:sz w:val="24"/>
                <w:szCs w:val="24"/>
                <w:highlight w:val="none"/>
                <w:lang w:eastAsia="zh-CN"/>
              </w:rPr>
              <w:t>每项得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p w14:paraId="6F291224">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.获得地市级奖项的，</w:t>
            </w:r>
            <w:r>
              <w:rPr>
                <w:rFonts w:hint="eastAsia" w:ascii="宋体" w:hAnsi="宋体" w:eastAsia="宋体" w:cs="宋体"/>
                <w:color w:val="auto"/>
                <w:sz w:val="24"/>
                <w:szCs w:val="24"/>
                <w:highlight w:val="none"/>
                <w:lang w:eastAsia="zh-CN"/>
              </w:rPr>
              <w:t>每项得</w:t>
            </w:r>
            <w:r>
              <w:rPr>
                <w:rFonts w:hint="eastAsia" w:ascii="宋体" w:hAnsi="宋体" w:cs="宋体"/>
                <w:color w:val="auto"/>
                <w:sz w:val="24"/>
                <w:szCs w:val="24"/>
                <w:highlight w:val="none"/>
                <w:lang w:val="en-US" w:eastAsia="zh-CN"/>
              </w:rPr>
              <w:t>5</w:t>
            </w:r>
          </w:p>
          <w:p w14:paraId="12D3F7DC">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w:t>
            </w:r>
          </w:p>
          <w:p w14:paraId="19A9CEC1">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4.以上奖项均未获得的，不予计分。</w:t>
            </w:r>
          </w:p>
          <w:p w14:paraId="522E6EC5">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.本项最高得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028" w:type="dxa"/>
            <w:noWrap w:val="0"/>
            <w:vAlign w:val="center"/>
          </w:tcPr>
          <w:p w14:paraId="096E2B6F">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1.允许投标人提交多个业绩，但同一业绩只按最高级别奖项计分一次。</w:t>
            </w:r>
          </w:p>
          <w:p w14:paraId="2CAC3504">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2.需附有关奖项证明彩色扫描件，</w:t>
            </w:r>
            <w:r>
              <w:rPr>
                <w:rFonts w:hint="eastAsia" w:ascii="宋体" w:hAnsi="宋体" w:eastAsia="宋体" w:cs="宋体"/>
                <w:b/>
                <w:bCs/>
                <w:snapToGrid w:val="0"/>
                <w:color w:val="auto"/>
                <w:kern w:val="0"/>
                <w:sz w:val="24"/>
                <w:szCs w:val="24"/>
                <w:highlight w:val="none"/>
                <w:lang w:val="en-US" w:eastAsia="zh-CN"/>
              </w:rPr>
              <w:t>同时提供原件供核对（奖项如电子证书的除外）</w:t>
            </w:r>
            <w:r>
              <w:rPr>
                <w:rFonts w:hint="eastAsia" w:ascii="宋体" w:hAnsi="宋体" w:eastAsia="宋体" w:cs="宋体"/>
                <w:snapToGrid w:val="0"/>
                <w:color w:val="auto"/>
                <w:kern w:val="0"/>
                <w:sz w:val="24"/>
                <w:szCs w:val="24"/>
                <w:highlight w:val="none"/>
                <w:lang w:val="en-US" w:eastAsia="zh-CN"/>
              </w:rPr>
              <w:t>。</w:t>
            </w:r>
          </w:p>
          <w:p w14:paraId="475589C8">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3.颁发机构限定以下范围：</w:t>
            </w:r>
          </w:p>
          <w:p w14:paraId="115CB8D2">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lang w:val="en-US" w:eastAsia="zh-CN"/>
              </w:rPr>
              <w:t>①国家级奖项：</w:t>
            </w:r>
            <w:r>
              <w:rPr>
                <w:rFonts w:hint="eastAsia" w:ascii="宋体" w:hAnsi="宋体" w:eastAsia="宋体" w:cs="宋体"/>
                <w:snapToGrid w:val="0"/>
                <w:color w:val="auto"/>
                <w:kern w:val="0"/>
                <w:sz w:val="24"/>
                <w:szCs w:val="24"/>
                <w:highlight w:val="none"/>
                <w:u w:val="single"/>
                <w:lang w:val="en-US" w:eastAsia="zh-CN"/>
              </w:rPr>
              <w:t>国务院、住建部、中国勘察设计协会或工程勘察设计行业协会、中国建筑业协会；</w:t>
            </w:r>
          </w:p>
          <w:p w14:paraId="0E34BAAC">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lang w:val="en-US" w:eastAsia="zh-CN"/>
              </w:rPr>
              <w:t>②省级奖项：</w:t>
            </w:r>
            <w:r>
              <w:rPr>
                <w:rFonts w:hint="eastAsia" w:ascii="宋体" w:hAnsi="宋体" w:eastAsia="宋体" w:cs="宋体"/>
                <w:snapToGrid w:val="0"/>
                <w:color w:val="auto"/>
                <w:kern w:val="0"/>
                <w:sz w:val="24"/>
                <w:szCs w:val="24"/>
                <w:highlight w:val="none"/>
                <w:u w:val="single"/>
                <w:lang w:val="en-US" w:eastAsia="zh-CN"/>
              </w:rPr>
              <w:t>省级人民政府、省级住建部门、省级勘察设计协会或工程勘察设计行业协会、省级建筑业协会；</w:t>
            </w:r>
          </w:p>
          <w:p w14:paraId="26309452">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③地市级奖项：</w:t>
            </w:r>
            <w:r>
              <w:rPr>
                <w:rFonts w:hint="eastAsia" w:ascii="宋体" w:hAnsi="宋体" w:eastAsia="宋体" w:cs="宋体"/>
                <w:snapToGrid w:val="0"/>
                <w:color w:val="auto"/>
                <w:kern w:val="0"/>
                <w:sz w:val="24"/>
                <w:szCs w:val="24"/>
                <w:highlight w:val="none"/>
                <w:u w:val="single"/>
                <w:lang w:val="en-US" w:eastAsia="zh-CN"/>
              </w:rPr>
              <w:t>地市级人民政府、地市级住建部门、地市级勘察设计协会或工程勘察设计行业协会、地市级建筑业协会。</w:t>
            </w:r>
          </w:p>
          <w:p w14:paraId="7BBC5CE9">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4.获奖时间以奖项证明的落款日期为准。</w:t>
            </w:r>
          </w:p>
          <w:p w14:paraId="3C7869C2">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5.任一奖项有以下情形之一的，该奖项视为无效，不予计分：</w:t>
            </w:r>
          </w:p>
          <w:p w14:paraId="22FBE15A">
            <w:pPr>
              <w:pStyle w:val="11"/>
              <w:wordWrap w:val="0"/>
              <w:adjustRightInd w:val="0"/>
              <w:snapToGrid w:val="0"/>
              <w:spacing w:after="0"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①未提供奖项原件的；</w:t>
            </w:r>
          </w:p>
          <w:p w14:paraId="79CB06FD">
            <w:pPr>
              <w:pStyle w:val="11"/>
              <w:wordWrap w:val="0"/>
              <w:adjustRightInd w:val="0"/>
              <w:snapToGrid w:val="0"/>
              <w:spacing w:after="0"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②奖项不属于指定类别的；</w:t>
            </w:r>
          </w:p>
          <w:p w14:paraId="11E06796">
            <w:pPr>
              <w:pStyle w:val="11"/>
              <w:wordWrap w:val="0"/>
              <w:adjustRightInd w:val="0"/>
              <w:snapToGrid w:val="0"/>
              <w:spacing w:after="0"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③颁发机构不符合要求的；</w:t>
            </w:r>
          </w:p>
          <w:p w14:paraId="7FA9C502">
            <w:pPr>
              <w:pStyle w:val="11"/>
              <w:wordWrap w:val="0"/>
              <w:adjustRightInd w:val="0"/>
              <w:snapToGrid w:val="0"/>
              <w:spacing w:after="0"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④获奖时间不符合要求的。</w:t>
            </w:r>
          </w:p>
          <w:p w14:paraId="0BFE137E">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rPr>
              <w:t>说明：以上所称“要求”均指本表评分标准及备注的要求，下同。</w:t>
            </w:r>
          </w:p>
        </w:tc>
      </w:tr>
      <w:tr w14:paraId="5B3F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34" w:type="dxa"/>
            <w:noWrap w:val="0"/>
            <w:vAlign w:val="center"/>
          </w:tcPr>
          <w:p w14:paraId="23F2F1BB">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14:paraId="2406EB10">
            <w:pPr>
              <w:keepNext w:val="0"/>
              <w:keepLines w:val="0"/>
              <w:pageBreakBefore w:val="0"/>
              <w:kinsoku/>
              <w:overflowPunct/>
              <w:topLinePunct w:val="0"/>
              <w:autoSpaceDN/>
              <w:bidi w:val="0"/>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600" w:type="dxa"/>
            <w:noWrap w:val="0"/>
            <w:vAlign w:val="center"/>
          </w:tcPr>
          <w:p w14:paraId="3C245047">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企业近 5 年来（</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年1月1日至</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月1日）业绩情况：</w:t>
            </w:r>
          </w:p>
          <w:p w14:paraId="2CC2BC31">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承接过类似</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eastAsia="zh-CN"/>
              </w:rPr>
              <w:t>项目的，</w:t>
            </w:r>
            <w:r>
              <w:rPr>
                <w:rFonts w:hint="eastAsia" w:ascii="宋体" w:hAnsi="宋体" w:eastAsia="宋体" w:cs="宋体"/>
                <w:color w:val="auto"/>
                <w:sz w:val="24"/>
                <w:szCs w:val="24"/>
                <w:highlight w:val="none"/>
                <w:lang w:val="zh-CN" w:eastAsia="zh-CN"/>
              </w:rPr>
              <w:t>每</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分；</w:t>
            </w:r>
          </w:p>
          <w:p w14:paraId="4689D039">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未承接过类似</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lang w:val="zh-CN" w:eastAsia="zh-CN"/>
              </w:rPr>
              <w:t>项目的，不予计分；</w:t>
            </w:r>
          </w:p>
          <w:p w14:paraId="236204E9">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本项最高得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eastAsia="zh-CN"/>
              </w:rPr>
              <w:t>分。</w:t>
            </w:r>
          </w:p>
        </w:tc>
        <w:tc>
          <w:tcPr>
            <w:tcW w:w="4028" w:type="dxa"/>
            <w:noWrap w:val="0"/>
            <w:vAlign w:val="center"/>
          </w:tcPr>
          <w:p w14:paraId="4FFB93D3">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1.类似项目指：市政</w:t>
            </w:r>
            <w:r>
              <w:rPr>
                <w:rFonts w:hint="eastAsia" w:ascii="宋体" w:hAnsi="宋体" w:eastAsia="宋体" w:cs="宋体"/>
                <w:snapToGrid w:val="0"/>
                <w:color w:val="auto"/>
                <w:kern w:val="0"/>
                <w:sz w:val="24"/>
                <w:szCs w:val="24"/>
                <w:highlight w:val="none"/>
              </w:rPr>
              <w:t>类工程设计项目（含设计，勘察设计，勘察设计施工总承包项目）</w:t>
            </w:r>
            <w:r>
              <w:rPr>
                <w:rFonts w:hint="eastAsia" w:ascii="宋体" w:hAnsi="宋体" w:eastAsia="宋体" w:cs="宋体"/>
                <w:snapToGrid w:val="0"/>
                <w:color w:val="auto"/>
                <w:kern w:val="0"/>
                <w:sz w:val="24"/>
                <w:szCs w:val="24"/>
                <w:highlight w:val="none"/>
                <w:lang w:val="en-US" w:eastAsia="zh-CN"/>
              </w:rPr>
              <w:t>。</w:t>
            </w:r>
          </w:p>
          <w:p w14:paraId="7C9E8529">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2.需附有关业绩合同协议书彩色扫描件</w:t>
            </w:r>
            <w:r>
              <w:rPr>
                <w:rFonts w:hint="eastAsia" w:ascii="宋体" w:hAnsi="宋体" w:eastAsia="宋体" w:cs="宋体"/>
                <w:snapToGrid w:val="0"/>
                <w:color w:val="auto"/>
                <w:kern w:val="0"/>
                <w:sz w:val="24"/>
                <w:szCs w:val="24"/>
              </w:rPr>
              <w:t>，</w:t>
            </w:r>
            <w:r>
              <w:rPr>
                <w:rFonts w:hint="eastAsia" w:ascii="宋体" w:hAnsi="宋体" w:eastAsia="宋体" w:cs="宋体"/>
                <w:b/>
                <w:bCs/>
                <w:snapToGrid w:val="0"/>
                <w:color w:val="auto"/>
                <w:kern w:val="0"/>
                <w:sz w:val="24"/>
                <w:szCs w:val="24"/>
              </w:rPr>
              <w:t>同时提供原件供核对</w:t>
            </w:r>
            <w:r>
              <w:rPr>
                <w:rFonts w:hint="eastAsia" w:ascii="宋体" w:hAnsi="宋体" w:eastAsia="宋体" w:cs="宋体"/>
                <w:snapToGrid w:val="0"/>
                <w:color w:val="auto"/>
                <w:kern w:val="0"/>
                <w:sz w:val="24"/>
                <w:szCs w:val="24"/>
                <w:highlight w:val="none"/>
                <w:lang w:val="en-US" w:eastAsia="zh-CN"/>
              </w:rPr>
              <w:t>。</w:t>
            </w:r>
          </w:p>
          <w:p w14:paraId="4DE85908">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3.业绩时间以合同协议书日期为准。</w:t>
            </w:r>
          </w:p>
          <w:p w14:paraId="610D2FB8">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4.任一业绩有以下情形之一的，该业绩视为无效，不予计分：</w:t>
            </w:r>
          </w:p>
          <w:p w14:paraId="10BFC626">
            <w:pPr>
              <w:pStyle w:val="11"/>
              <w:wordWrap w:val="0"/>
              <w:adjustRightInd w:val="0"/>
              <w:snapToGrid w:val="0"/>
              <w:spacing w:after="0" w:line="36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rPr>
              <w:t>①未提供业绩证明材料原件的；</w:t>
            </w:r>
          </w:p>
          <w:p w14:paraId="58E01523">
            <w:pPr>
              <w:pStyle w:val="11"/>
              <w:wordWrap w:val="0"/>
              <w:adjustRightInd w:val="0"/>
              <w:snapToGrid w:val="0"/>
              <w:spacing w:after="0"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②业绩不属于类似工程的；</w:t>
            </w:r>
          </w:p>
          <w:p w14:paraId="199CB72B">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rPr>
              <w:t>③</w:t>
            </w:r>
            <w:r>
              <w:rPr>
                <w:rFonts w:hint="eastAsia" w:ascii="宋体" w:hAnsi="宋体" w:eastAsia="宋体" w:cs="宋体"/>
                <w:snapToGrid w:val="0"/>
                <w:color w:val="auto"/>
                <w:kern w:val="0"/>
                <w:sz w:val="24"/>
                <w:szCs w:val="24"/>
                <w:highlight w:val="none"/>
                <w:lang w:val="en-US" w:eastAsia="zh-CN"/>
              </w:rPr>
              <w:t>业绩时间不符合要求的。</w:t>
            </w:r>
          </w:p>
        </w:tc>
      </w:tr>
      <w:tr w14:paraId="442A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34" w:type="dxa"/>
            <w:noWrap w:val="0"/>
            <w:vAlign w:val="center"/>
          </w:tcPr>
          <w:p w14:paraId="7ADB2227">
            <w:pPr>
              <w:keepNext w:val="0"/>
              <w:keepLines w:val="0"/>
              <w:pageBreakBefore w:val="0"/>
              <w:kinsoku/>
              <w:overflowPunct/>
              <w:topLinePunct w:val="0"/>
              <w:autoSpaceDN/>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设计负责人</w:t>
            </w:r>
            <w:r>
              <w:rPr>
                <w:rFonts w:hint="eastAsia" w:ascii="宋体" w:hAnsi="宋体" w:eastAsia="宋体" w:cs="宋体"/>
                <w:snapToGrid w:val="0"/>
                <w:color w:val="auto"/>
                <w:kern w:val="0"/>
                <w:sz w:val="24"/>
                <w:szCs w:val="24"/>
                <w:highlight w:val="none"/>
              </w:rPr>
              <w:t>综合素质（</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分）</w:t>
            </w:r>
          </w:p>
        </w:tc>
        <w:tc>
          <w:tcPr>
            <w:tcW w:w="3600" w:type="dxa"/>
            <w:noWrap w:val="0"/>
            <w:vAlign w:val="center"/>
          </w:tcPr>
          <w:p w14:paraId="0F4F8025">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具有注册土木工程师（道路工程）或注册公用设备工程师（给水排水）证书</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14:paraId="24E5D0CB">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xml:space="preserve">.本项最高得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tc>
        <w:tc>
          <w:tcPr>
            <w:tcW w:w="4028" w:type="dxa"/>
            <w:noWrap w:val="0"/>
            <w:vAlign w:val="top"/>
          </w:tcPr>
          <w:p w14:paraId="7ECC04F0">
            <w:pPr>
              <w:pStyle w:val="11"/>
              <w:wordWrap w:val="0"/>
              <w:adjustRightInd w:val="0"/>
              <w:snapToGrid w:val="0"/>
              <w:spacing w:after="0" w:line="360" w:lineRule="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1.需附职称证彩色扫描件，</w:t>
            </w:r>
            <w:r>
              <w:rPr>
                <w:rFonts w:hint="eastAsia" w:ascii="宋体" w:hAnsi="宋体" w:eastAsia="宋体" w:cs="宋体"/>
                <w:b/>
                <w:bCs/>
                <w:snapToGrid w:val="0"/>
                <w:color w:val="auto"/>
                <w:kern w:val="0"/>
                <w:sz w:val="24"/>
                <w:szCs w:val="24"/>
                <w:highlight w:val="none"/>
                <w:lang w:val="en-US" w:eastAsia="zh-CN"/>
              </w:rPr>
              <w:t>同时提供原件供核对（证书为电子证书的除外）</w:t>
            </w:r>
            <w:r>
              <w:rPr>
                <w:rFonts w:hint="eastAsia" w:ascii="宋体" w:hAnsi="宋体" w:eastAsia="宋体" w:cs="宋体"/>
                <w:snapToGrid w:val="0"/>
                <w:color w:val="auto"/>
                <w:kern w:val="0"/>
                <w:sz w:val="24"/>
                <w:szCs w:val="24"/>
                <w:highlight w:val="none"/>
                <w:lang w:val="en-US" w:eastAsia="zh-CN"/>
              </w:rPr>
              <w:t>。</w:t>
            </w:r>
          </w:p>
        </w:tc>
      </w:tr>
      <w:tr w14:paraId="5D6A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734" w:type="dxa"/>
            <w:noWrap w:val="0"/>
            <w:vAlign w:val="center"/>
          </w:tcPr>
          <w:p w14:paraId="7C9B7A5E">
            <w:pPr>
              <w:pStyle w:val="11"/>
              <w:keepNext w:val="0"/>
              <w:keepLines w:val="0"/>
              <w:pageBreakBefore w:val="0"/>
              <w:kinsoku/>
              <w:wordWrap w:val="0"/>
              <w:overflowPunct/>
              <w:topLinePunct w:val="0"/>
              <w:autoSpaceDN/>
              <w:bidi w:val="0"/>
              <w:adjustRightInd w:val="0"/>
              <w:snapToGrid w:val="0"/>
              <w:spacing w:after="0" w:line="360" w:lineRule="auto"/>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rPr>
              <w:t>其他人员综合素质</w:t>
            </w:r>
          </w:p>
          <w:p w14:paraId="47A98E1D">
            <w:pPr>
              <w:pStyle w:val="11"/>
              <w:keepNext w:val="0"/>
              <w:keepLines w:val="0"/>
              <w:pageBreakBefore w:val="0"/>
              <w:kinsoku/>
              <w:wordWrap w:val="0"/>
              <w:overflowPunct/>
              <w:topLinePunct w:val="0"/>
              <w:autoSpaceDN/>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（10分）</w:t>
            </w:r>
          </w:p>
        </w:tc>
        <w:tc>
          <w:tcPr>
            <w:tcW w:w="3600" w:type="dxa"/>
            <w:noWrap w:val="0"/>
            <w:vAlign w:val="center"/>
          </w:tcPr>
          <w:p w14:paraId="1609C292">
            <w:pPr>
              <w:pStyle w:val="11"/>
              <w:keepNext w:val="0"/>
              <w:keepLines w:val="0"/>
              <w:pageBreakBefore w:val="0"/>
              <w:numPr>
                <w:ilvl w:val="0"/>
                <w:numId w:val="3"/>
              </w:numPr>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拟投入本项目各专业负责人</w:t>
            </w:r>
            <w:r>
              <w:rPr>
                <w:rFonts w:hint="eastAsia" w:ascii="宋体" w:hAnsi="宋体" w:cs="宋体"/>
                <w:color w:val="auto"/>
                <w:sz w:val="24"/>
                <w:szCs w:val="24"/>
                <w:highlight w:val="none"/>
                <w:lang w:val="en-US" w:eastAsia="zh-CN"/>
              </w:rPr>
              <w:t>：</w:t>
            </w:r>
          </w:p>
          <w:p w14:paraId="5DC28058">
            <w:pPr>
              <w:pStyle w:val="11"/>
              <w:keepNext w:val="0"/>
              <w:keepLines w:val="0"/>
              <w:pageBreakBefore w:val="0"/>
              <w:numPr>
                <w:ilvl w:val="-1"/>
                <w:numId w:val="0"/>
              </w:numPr>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①具有市政路桥</w:t>
            </w:r>
            <w:r>
              <w:rPr>
                <w:rFonts w:hint="eastAsia" w:ascii="宋体" w:hAnsi="宋体" w:eastAsia="宋体" w:cs="宋体"/>
                <w:color w:val="auto"/>
                <w:sz w:val="24"/>
                <w:szCs w:val="24"/>
                <w:highlight w:val="none"/>
                <w:lang w:val="en-US" w:eastAsia="zh-CN"/>
              </w:rPr>
              <w:t>类专业</w:t>
            </w:r>
            <w:r>
              <w:rPr>
                <w:rFonts w:hint="eastAsia" w:ascii="宋体" w:hAnsi="宋体" w:eastAsia="宋体" w:cs="宋体"/>
                <w:color w:val="auto"/>
                <w:sz w:val="24"/>
                <w:szCs w:val="24"/>
                <w:highlight w:val="none"/>
              </w:rPr>
              <w:t>高级</w:t>
            </w:r>
            <w:r>
              <w:rPr>
                <w:rFonts w:hint="eastAsia" w:ascii="宋体" w:hAnsi="宋体" w:eastAsia="宋体" w:cs="宋体"/>
                <w:color w:val="auto"/>
                <w:sz w:val="24"/>
                <w:szCs w:val="24"/>
                <w:highlight w:val="none"/>
                <w:lang w:val="en-US" w:eastAsia="zh-CN"/>
              </w:rPr>
              <w:t>工程师或以上</w:t>
            </w:r>
            <w:r>
              <w:rPr>
                <w:rFonts w:hint="eastAsia" w:ascii="宋体" w:hAnsi="宋体" w:eastAsia="宋体" w:cs="宋体"/>
                <w:color w:val="auto"/>
                <w:sz w:val="24"/>
                <w:szCs w:val="24"/>
                <w:highlight w:val="none"/>
              </w:rPr>
              <w:t>职称证书或市政路桥</w:t>
            </w:r>
            <w:r>
              <w:rPr>
                <w:rFonts w:hint="eastAsia" w:ascii="宋体" w:hAnsi="宋体" w:eastAsia="宋体" w:cs="宋体"/>
                <w:color w:val="auto"/>
                <w:sz w:val="24"/>
                <w:szCs w:val="24"/>
                <w:highlight w:val="none"/>
                <w:lang w:val="en-US" w:eastAsia="zh-CN"/>
              </w:rPr>
              <w:t>类专业</w:t>
            </w:r>
            <w:r>
              <w:rPr>
                <w:rFonts w:hint="eastAsia" w:ascii="宋体" w:hAnsi="宋体" w:eastAsia="宋体" w:cs="宋体"/>
                <w:color w:val="auto"/>
                <w:sz w:val="24"/>
                <w:szCs w:val="24"/>
                <w:highlight w:val="none"/>
              </w:rPr>
              <w:t>注册证书的，得2分；</w:t>
            </w:r>
          </w:p>
          <w:p w14:paraId="783727E8">
            <w:pPr>
              <w:pStyle w:val="11"/>
              <w:keepNext w:val="0"/>
              <w:keepLines w:val="0"/>
              <w:pageBreakBefore w:val="0"/>
              <w:numPr>
                <w:ilvl w:val="-1"/>
                <w:numId w:val="0"/>
              </w:numPr>
              <w:kinsoku/>
              <w:wordWrap w:val="0"/>
              <w:overflowPunct/>
              <w:topLinePunct w:val="0"/>
              <w:autoSpaceDN/>
              <w:bidi w:val="0"/>
              <w:adjustRightInd w:val="0"/>
              <w:snapToGrid w:val="0"/>
              <w:spacing w:after="0" w:line="360" w:lineRule="auto"/>
              <w:textAlignment w:val="auto"/>
              <w:rPr>
                <w:rFonts w:hint="eastAsia" w:ascii="宋体" w:hAnsi="宋体" w:cs="宋体"/>
                <w:color w:val="auto"/>
                <w:sz w:val="24"/>
                <w:szCs w:val="24"/>
                <w:highlight w:val="none"/>
                <w:lang w:eastAsia="zh-CN"/>
              </w:rPr>
            </w:pPr>
            <w:r>
              <w:rPr>
                <w:rFonts w:hint="default" w:ascii="宋体" w:hAnsi="宋体" w:eastAsia="宋体" w:cs="宋体"/>
                <w:color w:val="auto"/>
                <w:sz w:val="24"/>
                <w:szCs w:val="24"/>
                <w:highlight w:val="none"/>
              </w:rPr>
              <w:t>②</w:t>
            </w:r>
            <w:r>
              <w:rPr>
                <w:rFonts w:hint="eastAsia" w:ascii="宋体" w:hAnsi="宋体" w:eastAsia="宋体" w:cs="宋体"/>
                <w:color w:val="auto"/>
                <w:sz w:val="24"/>
                <w:szCs w:val="24"/>
                <w:highlight w:val="none"/>
              </w:rPr>
              <w:t>具有结构专</w:t>
            </w:r>
            <w:r>
              <w:rPr>
                <w:rFonts w:hint="eastAsia" w:ascii="宋体" w:hAnsi="宋体" w:eastAsia="宋体" w:cs="宋体"/>
                <w:color w:val="auto"/>
                <w:sz w:val="24"/>
                <w:szCs w:val="24"/>
                <w:highlight w:val="none"/>
                <w:lang w:val="en-US" w:eastAsia="zh-CN"/>
              </w:rPr>
              <w:t>业</w:t>
            </w:r>
            <w:r>
              <w:rPr>
                <w:rFonts w:hint="eastAsia" w:ascii="宋体" w:hAnsi="宋体" w:eastAsia="宋体" w:cs="宋体"/>
                <w:color w:val="auto"/>
                <w:sz w:val="24"/>
                <w:szCs w:val="24"/>
                <w:highlight w:val="none"/>
              </w:rPr>
              <w:t>高级</w:t>
            </w:r>
            <w:r>
              <w:rPr>
                <w:rFonts w:hint="eastAsia" w:ascii="宋体" w:hAnsi="宋体" w:eastAsia="宋体" w:cs="宋体"/>
                <w:color w:val="auto"/>
                <w:sz w:val="24"/>
                <w:szCs w:val="24"/>
                <w:highlight w:val="none"/>
                <w:lang w:val="en-US" w:eastAsia="zh-CN"/>
              </w:rPr>
              <w:t>工程师或以上</w:t>
            </w:r>
            <w:r>
              <w:rPr>
                <w:rFonts w:hint="eastAsia" w:ascii="宋体" w:hAnsi="宋体" w:eastAsia="宋体" w:cs="宋体"/>
                <w:color w:val="auto"/>
                <w:sz w:val="24"/>
                <w:szCs w:val="24"/>
                <w:highlight w:val="none"/>
              </w:rPr>
              <w:t>技术职称证书或结构专业注册证书的，得2分</w:t>
            </w:r>
            <w:r>
              <w:rPr>
                <w:rFonts w:hint="eastAsia" w:ascii="宋体" w:hAnsi="宋体" w:cs="宋体"/>
                <w:color w:val="auto"/>
                <w:sz w:val="24"/>
                <w:szCs w:val="24"/>
                <w:highlight w:val="none"/>
                <w:lang w:eastAsia="zh-CN"/>
              </w:rPr>
              <w:t>；</w:t>
            </w:r>
          </w:p>
          <w:p w14:paraId="085A767B">
            <w:pPr>
              <w:pStyle w:val="11"/>
              <w:keepNext w:val="0"/>
              <w:keepLines w:val="0"/>
              <w:pageBreakBefore w:val="0"/>
              <w:numPr>
                <w:ilvl w:val="-1"/>
                <w:numId w:val="0"/>
              </w:numPr>
              <w:kinsoku/>
              <w:wordWrap w:val="0"/>
              <w:overflowPunct/>
              <w:topLinePunct w:val="0"/>
              <w:autoSpaceDN/>
              <w:bidi w:val="0"/>
              <w:adjustRightInd w:val="0"/>
              <w:snapToGrid w:val="0"/>
              <w:spacing w:after="0" w:line="360" w:lineRule="auto"/>
              <w:textAlignment w:val="auto"/>
              <w:rPr>
                <w:rFonts w:hint="eastAsia" w:ascii="宋体" w:hAnsi="宋体" w:cs="宋体"/>
                <w:color w:val="auto"/>
                <w:sz w:val="24"/>
                <w:szCs w:val="24"/>
                <w:highlight w:val="none"/>
                <w:lang w:eastAsia="zh-CN"/>
              </w:rPr>
            </w:pPr>
            <w:r>
              <w:rPr>
                <w:rFonts w:hint="default" w:ascii="宋体" w:hAnsi="宋体" w:eastAsia="宋体" w:cs="宋体"/>
                <w:color w:val="auto"/>
                <w:sz w:val="24"/>
                <w:szCs w:val="24"/>
                <w:highlight w:val="none"/>
              </w:rPr>
              <w:t>③</w:t>
            </w:r>
            <w:r>
              <w:rPr>
                <w:rFonts w:hint="eastAsia" w:ascii="宋体" w:hAnsi="宋体" w:eastAsia="宋体" w:cs="宋体"/>
                <w:color w:val="auto"/>
                <w:sz w:val="24"/>
                <w:szCs w:val="24"/>
                <w:highlight w:val="none"/>
              </w:rPr>
              <w:t>具有给排水专业高级</w:t>
            </w:r>
            <w:r>
              <w:rPr>
                <w:rFonts w:hint="eastAsia" w:ascii="宋体" w:hAnsi="宋体" w:eastAsia="宋体" w:cs="宋体"/>
                <w:color w:val="auto"/>
                <w:sz w:val="24"/>
                <w:szCs w:val="24"/>
                <w:highlight w:val="none"/>
                <w:lang w:val="en-US" w:eastAsia="zh-CN"/>
              </w:rPr>
              <w:t>工程师或以上</w:t>
            </w:r>
            <w:r>
              <w:rPr>
                <w:rFonts w:hint="eastAsia" w:ascii="宋体" w:hAnsi="宋体" w:eastAsia="宋体" w:cs="宋体"/>
                <w:color w:val="auto"/>
                <w:sz w:val="24"/>
                <w:szCs w:val="24"/>
                <w:highlight w:val="none"/>
              </w:rPr>
              <w:t>技术职称证书或给</w:t>
            </w:r>
            <w:r>
              <w:rPr>
                <w:rFonts w:hint="eastAsia" w:ascii="宋体" w:hAnsi="宋体" w:eastAsia="宋体" w:cs="宋体"/>
                <w:color w:val="auto"/>
                <w:sz w:val="24"/>
                <w:szCs w:val="24"/>
                <w:highlight w:val="none"/>
              </w:rPr>
              <w:t>排水专业注册证书的，得2分</w:t>
            </w:r>
            <w:r>
              <w:rPr>
                <w:rFonts w:hint="eastAsia" w:ascii="宋体" w:hAnsi="宋体" w:cs="宋体"/>
                <w:color w:val="auto"/>
                <w:sz w:val="24"/>
                <w:szCs w:val="24"/>
                <w:highlight w:val="none"/>
                <w:lang w:eastAsia="zh-CN"/>
              </w:rPr>
              <w:t>；</w:t>
            </w:r>
          </w:p>
          <w:p w14:paraId="63AEE556">
            <w:pPr>
              <w:pStyle w:val="11"/>
              <w:keepNext w:val="0"/>
              <w:keepLines w:val="0"/>
              <w:pageBreakBefore w:val="0"/>
              <w:numPr>
                <w:ilvl w:val="-1"/>
                <w:numId w:val="0"/>
              </w:numPr>
              <w:kinsoku/>
              <w:wordWrap w:val="0"/>
              <w:overflowPunct/>
              <w:topLinePunct w:val="0"/>
              <w:autoSpaceDN/>
              <w:bidi w:val="0"/>
              <w:adjustRightInd w:val="0"/>
              <w:snapToGrid w:val="0"/>
              <w:spacing w:after="0" w:line="360" w:lineRule="auto"/>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④</w:t>
            </w:r>
            <w:r>
              <w:rPr>
                <w:rFonts w:hint="eastAsia" w:ascii="宋体" w:hAnsi="宋体" w:cs="宋体"/>
                <w:color w:val="auto"/>
                <w:sz w:val="24"/>
                <w:szCs w:val="24"/>
                <w:highlight w:val="none"/>
                <w:lang w:val="en-US" w:eastAsia="zh-CN"/>
              </w:rPr>
              <w:t>具</w:t>
            </w:r>
            <w:r>
              <w:rPr>
                <w:rFonts w:hint="eastAsia" w:ascii="宋体" w:hAnsi="宋体" w:eastAsia="宋体" w:cs="宋体"/>
                <w:color w:val="auto"/>
                <w:sz w:val="24"/>
                <w:szCs w:val="24"/>
                <w:highlight w:val="none"/>
              </w:rPr>
              <w:t>有造价</w:t>
            </w:r>
            <w:r>
              <w:rPr>
                <w:rFonts w:hint="eastAsia" w:ascii="宋体" w:hAnsi="宋体" w:eastAsia="宋体" w:cs="宋体"/>
                <w:color w:val="auto"/>
                <w:sz w:val="24"/>
                <w:szCs w:val="24"/>
                <w:highlight w:val="none"/>
                <w:lang w:val="en-US" w:eastAsia="zh-CN"/>
              </w:rPr>
              <w:t>专业</w:t>
            </w:r>
            <w:r>
              <w:rPr>
                <w:rFonts w:hint="eastAsia" w:ascii="宋体" w:hAnsi="宋体" w:eastAsia="宋体" w:cs="宋体"/>
                <w:color w:val="auto"/>
                <w:sz w:val="24"/>
                <w:szCs w:val="24"/>
                <w:highlight w:val="none"/>
              </w:rPr>
              <w:t>高级</w:t>
            </w:r>
            <w:r>
              <w:rPr>
                <w:rFonts w:hint="eastAsia" w:ascii="宋体" w:hAnsi="宋体" w:eastAsia="宋体" w:cs="宋体"/>
                <w:color w:val="auto"/>
                <w:sz w:val="24"/>
                <w:szCs w:val="24"/>
                <w:highlight w:val="none"/>
                <w:lang w:val="en-US" w:eastAsia="zh-CN"/>
              </w:rPr>
              <w:t>工程师或以上</w:t>
            </w:r>
            <w:r>
              <w:rPr>
                <w:rFonts w:hint="eastAsia" w:ascii="宋体" w:hAnsi="宋体" w:eastAsia="宋体" w:cs="宋体"/>
                <w:color w:val="auto"/>
                <w:sz w:val="24"/>
                <w:szCs w:val="24"/>
                <w:highlight w:val="none"/>
              </w:rPr>
              <w:t>技术职称证书或造价专业注册证书的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得2分</w:t>
            </w:r>
            <w:r>
              <w:rPr>
                <w:rFonts w:hint="eastAsia" w:ascii="宋体" w:hAnsi="宋体" w:cs="宋体"/>
                <w:color w:val="auto"/>
                <w:sz w:val="24"/>
                <w:szCs w:val="24"/>
                <w:highlight w:val="none"/>
                <w:lang w:eastAsia="zh-CN"/>
              </w:rPr>
              <w:t>；</w:t>
            </w:r>
          </w:p>
          <w:p w14:paraId="0CDD8667">
            <w:pPr>
              <w:pStyle w:val="11"/>
              <w:keepNext w:val="0"/>
              <w:keepLines w:val="0"/>
              <w:pageBreakBefore w:val="0"/>
              <w:numPr>
                <w:ilvl w:val="-1"/>
                <w:numId w:val="0"/>
              </w:numPr>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cs="宋体"/>
                <w:color w:val="auto"/>
                <w:sz w:val="24"/>
                <w:szCs w:val="24"/>
                <w:highlight w:val="none"/>
                <w:lang w:val="en-US" w:eastAsia="zh-CN"/>
              </w:rPr>
              <w:t>具</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电气专业</w:t>
            </w:r>
            <w:r>
              <w:rPr>
                <w:rFonts w:hint="eastAsia" w:ascii="宋体" w:hAnsi="宋体" w:eastAsia="宋体" w:cs="宋体"/>
                <w:color w:val="auto"/>
                <w:sz w:val="24"/>
                <w:szCs w:val="24"/>
                <w:highlight w:val="none"/>
              </w:rPr>
              <w:t>高级</w:t>
            </w:r>
            <w:r>
              <w:rPr>
                <w:rFonts w:hint="eastAsia" w:ascii="宋体" w:hAnsi="宋体" w:eastAsia="宋体" w:cs="宋体"/>
                <w:color w:val="auto"/>
                <w:sz w:val="24"/>
                <w:szCs w:val="24"/>
                <w:highlight w:val="none"/>
                <w:lang w:val="en-US" w:eastAsia="zh-CN"/>
              </w:rPr>
              <w:t>工程师或以上</w:t>
            </w:r>
            <w:r>
              <w:rPr>
                <w:rFonts w:hint="eastAsia" w:ascii="宋体" w:hAnsi="宋体" w:eastAsia="宋体" w:cs="宋体"/>
                <w:color w:val="auto"/>
                <w:sz w:val="24"/>
                <w:szCs w:val="24"/>
                <w:highlight w:val="none"/>
              </w:rPr>
              <w:t>技术职称证书或</w:t>
            </w:r>
            <w:r>
              <w:rPr>
                <w:rFonts w:hint="eastAsia" w:ascii="宋体" w:hAnsi="宋体" w:eastAsia="宋体" w:cs="宋体"/>
                <w:color w:val="auto"/>
                <w:sz w:val="24"/>
                <w:szCs w:val="24"/>
                <w:highlight w:val="none"/>
                <w:lang w:val="en-US" w:eastAsia="zh-CN"/>
              </w:rPr>
              <w:t>电气</w:t>
            </w:r>
            <w:r>
              <w:rPr>
                <w:rFonts w:hint="eastAsia" w:ascii="宋体" w:hAnsi="宋体" w:eastAsia="宋体" w:cs="宋体"/>
                <w:color w:val="auto"/>
                <w:sz w:val="24"/>
                <w:szCs w:val="24"/>
                <w:highlight w:val="none"/>
              </w:rPr>
              <w:t>专业注册证书的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得2分</w:t>
            </w:r>
            <w:r>
              <w:rPr>
                <w:rFonts w:hint="eastAsia" w:ascii="宋体" w:hAnsi="宋体" w:cs="宋体"/>
                <w:color w:val="auto"/>
                <w:sz w:val="24"/>
                <w:szCs w:val="24"/>
                <w:highlight w:val="none"/>
                <w:lang w:eastAsia="zh-CN"/>
              </w:rPr>
              <w:t>；</w:t>
            </w:r>
          </w:p>
          <w:p w14:paraId="40EB9831">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.同专业人员不重复计分。</w:t>
            </w:r>
          </w:p>
          <w:p w14:paraId="54BE5D03">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.本项最高得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c>
          <w:tcPr>
            <w:tcW w:w="4028" w:type="dxa"/>
            <w:noWrap w:val="0"/>
            <w:vAlign w:val="center"/>
          </w:tcPr>
          <w:p w14:paraId="09B54A3B">
            <w:pPr>
              <w:pStyle w:val="11"/>
              <w:wordWrap w:val="0"/>
              <w:adjustRightInd w:val="0"/>
              <w:snapToGrid w:val="0"/>
              <w:spacing w:after="0"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1.需附</w:t>
            </w:r>
            <w:r>
              <w:rPr>
                <w:rFonts w:hint="eastAsia" w:ascii="宋体" w:hAnsi="宋体" w:eastAsia="宋体" w:cs="宋体"/>
                <w:color w:val="auto"/>
                <w:sz w:val="24"/>
                <w:szCs w:val="24"/>
                <w:highlight w:val="none"/>
              </w:rPr>
              <w:t>注册证书</w:t>
            </w:r>
            <w:r>
              <w:rPr>
                <w:rFonts w:hint="eastAsia" w:ascii="宋体" w:hAnsi="宋体" w:eastAsia="宋体" w:cs="宋体"/>
                <w:snapToGrid w:val="0"/>
                <w:color w:val="auto"/>
                <w:kern w:val="0"/>
                <w:sz w:val="24"/>
                <w:szCs w:val="24"/>
                <w:highlight w:val="none"/>
              </w:rPr>
              <w:t>彩色扫描件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rPr>
              <w:t>同时提供原件供核对</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证书为电子证书的除外）</w:t>
            </w:r>
            <w:r>
              <w:rPr>
                <w:rFonts w:hint="eastAsia" w:ascii="宋体" w:hAnsi="宋体" w:eastAsia="宋体" w:cs="宋体"/>
                <w:snapToGrid w:val="0"/>
                <w:color w:val="auto"/>
                <w:kern w:val="0"/>
                <w:sz w:val="24"/>
                <w:szCs w:val="24"/>
                <w:highlight w:val="none"/>
              </w:rPr>
              <w:t>。</w:t>
            </w:r>
          </w:p>
          <w:p w14:paraId="4CC0B019">
            <w:pPr>
              <w:pStyle w:val="11"/>
              <w:shd w:val="clear" w:color="auto" w:fill="auto"/>
              <w:wordWrap w:val="0"/>
              <w:adjustRightInd w:val="0"/>
              <w:snapToGrid w:val="0"/>
              <w:spacing w:after="0" w:line="360" w:lineRule="auto"/>
              <w:rPr>
                <w:rFonts w:hint="eastAsia" w:ascii="宋体" w:hAnsi="宋体" w:eastAsia="宋体" w:cs="宋体"/>
                <w:snapToGrid w:val="0"/>
                <w:color w:val="auto"/>
                <w:kern w:val="0"/>
                <w:sz w:val="24"/>
                <w:szCs w:val="24"/>
                <w:highlight w:val="none"/>
              </w:rPr>
            </w:pPr>
          </w:p>
        </w:tc>
      </w:tr>
      <w:tr w14:paraId="2424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734" w:type="dxa"/>
            <w:noWrap w:val="0"/>
            <w:vAlign w:val="center"/>
          </w:tcPr>
          <w:p w14:paraId="07201A9C">
            <w:pPr>
              <w:pStyle w:val="11"/>
              <w:widowControl/>
              <w:shd w:val="clear" w:color="auto" w:fill="auto"/>
              <w:wordWrap w:val="0"/>
              <w:adjustRightInd w:val="0"/>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企业荣誉（</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en-US" w:eastAsia="zh-CN"/>
              </w:rPr>
              <w:t>分）</w:t>
            </w:r>
          </w:p>
        </w:tc>
        <w:tc>
          <w:tcPr>
            <w:tcW w:w="3600" w:type="dxa"/>
            <w:noWrap w:val="0"/>
            <w:vAlign w:val="center"/>
          </w:tcPr>
          <w:p w14:paraId="301142E0">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企业近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年来（202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年1月1日至</w:t>
            </w:r>
            <w:r>
              <w:rPr>
                <w:rFonts w:hint="eastAsia" w:ascii="宋体" w:hAnsi="宋体" w:cs="宋体"/>
                <w:color w:val="auto"/>
                <w:sz w:val="24"/>
                <w:szCs w:val="24"/>
                <w:highlight w:val="none"/>
                <w:lang w:val="en-US" w:eastAsia="zh-CN"/>
              </w:rPr>
              <w:t>今</w:t>
            </w:r>
            <w:r>
              <w:rPr>
                <w:rFonts w:hint="eastAsia" w:ascii="宋体" w:hAnsi="宋体" w:eastAsia="宋体" w:cs="宋体"/>
                <w:color w:val="auto"/>
                <w:sz w:val="24"/>
                <w:szCs w:val="24"/>
                <w:highlight w:val="none"/>
                <w:lang w:val="en-US" w:eastAsia="zh-CN"/>
              </w:rPr>
              <w:t>） 获得过中国市政工程协会颁发的企业信用等级AAA级证书的得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分； </w:t>
            </w:r>
          </w:p>
          <w:p w14:paraId="59EFE781">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其他情形的，不予计分。</w:t>
            </w:r>
          </w:p>
        </w:tc>
        <w:tc>
          <w:tcPr>
            <w:tcW w:w="4028" w:type="dxa"/>
            <w:noWrap w:val="0"/>
            <w:vAlign w:val="center"/>
          </w:tcPr>
          <w:p w14:paraId="3B076D40">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1.证书由“中国市政工程协会”颁发，须提供有关证书彩色扫描件，</w:t>
            </w:r>
            <w:r>
              <w:rPr>
                <w:rFonts w:hint="eastAsia" w:ascii="宋体" w:hAnsi="宋体" w:eastAsia="宋体" w:cs="宋体"/>
                <w:b/>
                <w:bCs/>
                <w:color w:val="auto"/>
                <w:spacing w:val="7"/>
                <w:sz w:val="24"/>
                <w:szCs w:val="24"/>
                <w:highlight w:val="none"/>
              </w:rPr>
              <w:t>同</w:t>
            </w:r>
            <w:r>
              <w:rPr>
                <w:rFonts w:hint="eastAsia" w:ascii="宋体" w:hAnsi="宋体" w:eastAsia="宋体" w:cs="宋体"/>
                <w:b/>
                <w:bCs/>
                <w:color w:val="auto"/>
                <w:spacing w:val="6"/>
                <w:sz w:val="24"/>
                <w:szCs w:val="24"/>
                <w:highlight w:val="none"/>
              </w:rPr>
              <w:t>时提供原件供核对</w:t>
            </w:r>
            <w:r>
              <w:rPr>
                <w:rFonts w:hint="eastAsia" w:ascii="宋体" w:hAnsi="宋体" w:eastAsia="宋体" w:cs="宋体"/>
                <w:snapToGrid w:val="0"/>
                <w:color w:val="auto"/>
                <w:kern w:val="0"/>
                <w:sz w:val="24"/>
                <w:szCs w:val="24"/>
                <w:highlight w:val="none"/>
                <w:lang w:val="en-US" w:eastAsia="zh-CN"/>
              </w:rPr>
              <w:t>。</w:t>
            </w:r>
          </w:p>
          <w:p w14:paraId="07D2DDE4">
            <w:pPr>
              <w:pStyle w:val="11"/>
              <w:keepNext w:val="0"/>
              <w:keepLines w:val="0"/>
              <w:pageBreakBefore w:val="0"/>
              <w:kinsoku/>
              <w:wordWrap w:val="0"/>
              <w:overflowPunct/>
              <w:topLinePunct w:val="0"/>
              <w:autoSpaceDN/>
              <w:bidi w:val="0"/>
              <w:adjustRightInd w:val="0"/>
              <w:snapToGrid w:val="0"/>
              <w:spacing w:after="0" w:line="320" w:lineRule="exac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2.未提供原件的，颁发机构不符合要求的，按第 2 项标准处理。</w:t>
            </w:r>
          </w:p>
        </w:tc>
      </w:tr>
      <w:tr w14:paraId="7A63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734" w:type="dxa"/>
            <w:noWrap w:val="0"/>
            <w:vAlign w:val="center"/>
          </w:tcPr>
          <w:p w14:paraId="2F7144B5">
            <w:pPr>
              <w:shd w:val="clear" w:color="auto" w:fill="auto"/>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企业</w:t>
            </w:r>
            <w:r>
              <w:rPr>
                <w:rFonts w:hint="eastAsia" w:ascii="宋体" w:hAnsi="宋体" w:eastAsia="宋体" w:cs="宋体"/>
                <w:b w:val="0"/>
                <w:bCs w:val="0"/>
                <w:color w:val="auto"/>
                <w:kern w:val="0"/>
                <w:sz w:val="24"/>
                <w:szCs w:val="24"/>
                <w:highlight w:val="none"/>
                <w:lang w:val="en-US" w:eastAsia="zh-CN"/>
              </w:rPr>
              <w:t>管理体系认证</w:t>
            </w:r>
            <w:r>
              <w:rPr>
                <w:rFonts w:hint="eastAsia" w:ascii="宋体" w:hAnsi="宋体" w:eastAsia="宋体" w:cs="宋体"/>
                <w:b w:val="0"/>
                <w:bCs w:val="0"/>
                <w:color w:val="auto"/>
                <w:kern w:val="0"/>
                <w:sz w:val="24"/>
                <w:szCs w:val="24"/>
                <w:highlight w:val="none"/>
              </w:rPr>
              <w:t>（</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分）</w:t>
            </w:r>
          </w:p>
        </w:tc>
        <w:tc>
          <w:tcPr>
            <w:tcW w:w="3600" w:type="dxa"/>
            <w:noWrap w:val="0"/>
            <w:vAlign w:val="center"/>
          </w:tcPr>
          <w:p w14:paraId="38626EC0">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1．质量管理体系认证、职业健康安全管理体系认证、环境管理体系认证，每获得1项认证得1分，最高得3分。 </w:t>
            </w:r>
          </w:p>
          <w:p w14:paraId="6CE5F4B2">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2．未获得以上认证的，不予计分。</w:t>
            </w:r>
          </w:p>
        </w:tc>
        <w:tc>
          <w:tcPr>
            <w:tcW w:w="4028" w:type="dxa"/>
            <w:noWrap w:val="0"/>
            <w:vAlign w:val="center"/>
          </w:tcPr>
          <w:p w14:paraId="2FD7B263">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1.需附在有效期内的认证证书彩色扫描件，</w:t>
            </w:r>
            <w:r>
              <w:rPr>
                <w:rFonts w:hint="eastAsia" w:ascii="宋体" w:hAnsi="宋体" w:eastAsia="宋体" w:cs="宋体"/>
                <w:b/>
                <w:bCs/>
                <w:color w:val="auto"/>
                <w:spacing w:val="7"/>
                <w:sz w:val="24"/>
                <w:szCs w:val="24"/>
                <w:highlight w:val="none"/>
              </w:rPr>
              <w:t>同</w:t>
            </w:r>
            <w:r>
              <w:rPr>
                <w:rFonts w:hint="eastAsia" w:ascii="宋体" w:hAnsi="宋体" w:eastAsia="宋体" w:cs="宋体"/>
                <w:b/>
                <w:bCs/>
                <w:color w:val="auto"/>
                <w:spacing w:val="6"/>
                <w:sz w:val="24"/>
                <w:szCs w:val="24"/>
                <w:highlight w:val="none"/>
              </w:rPr>
              <w:t>时提供原件供核对（证书为电子证书的除外）</w:t>
            </w:r>
            <w:r>
              <w:rPr>
                <w:rFonts w:hint="eastAsia" w:ascii="宋体" w:hAnsi="宋体" w:eastAsia="宋体" w:cs="宋体"/>
                <w:color w:val="auto"/>
                <w:spacing w:val="6"/>
                <w:sz w:val="24"/>
                <w:szCs w:val="24"/>
                <w:highlight w:val="none"/>
              </w:rPr>
              <w:t>。</w:t>
            </w:r>
          </w:p>
          <w:p w14:paraId="24FCA3DF">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2.任一认证证书有以下情形之一的，该认证证书视为无效，不予计分：</w:t>
            </w:r>
          </w:p>
          <w:p w14:paraId="26398214">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①未提供认证证书原件的；</w:t>
            </w:r>
          </w:p>
          <w:p w14:paraId="04538631">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②认证证书不在有效期内的。</w:t>
            </w:r>
          </w:p>
        </w:tc>
      </w:tr>
      <w:tr w14:paraId="11AD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734" w:type="dxa"/>
            <w:noWrap w:val="0"/>
            <w:vAlign w:val="center"/>
          </w:tcPr>
          <w:p w14:paraId="7700C2FF">
            <w:pPr>
              <w:pStyle w:val="11"/>
              <w:widowControl/>
              <w:shd w:val="clear" w:color="auto" w:fill="auto"/>
              <w:wordWrap w:val="0"/>
              <w:adjustRightInd w:val="0"/>
              <w:snapToGrid w:val="0"/>
              <w:spacing w:after="0" w:line="24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纳税信用（10分）</w:t>
            </w:r>
          </w:p>
        </w:tc>
        <w:tc>
          <w:tcPr>
            <w:tcW w:w="3600" w:type="dxa"/>
            <w:noWrap w:val="0"/>
            <w:vAlign w:val="center"/>
          </w:tcPr>
          <w:p w14:paraId="707C60DD">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1.企业连续5年或5年以上（含5年）获得纳税信用A级纳税人的，得10分；(其中必须有2023年度)</w:t>
            </w:r>
            <w:r>
              <w:rPr>
                <w:rFonts w:hint="eastAsia" w:ascii="宋体" w:hAnsi="宋体" w:cs="宋体"/>
                <w:color w:val="auto"/>
                <w:sz w:val="24"/>
                <w:szCs w:val="24"/>
                <w:highlight w:val="none"/>
                <w:lang w:val="en-US" w:eastAsia="zh-CN"/>
              </w:rPr>
              <w:t>。</w:t>
            </w:r>
          </w:p>
          <w:p w14:paraId="783C3D25">
            <w:pPr>
              <w:pStyle w:val="11"/>
              <w:keepNext w:val="0"/>
              <w:keepLines w:val="0"/>
              <w:pageBreakBefore w:val="0"/>
              <w:kinsoku/>
              <w:wordWrap w:val="0"/>
              <w:overflowPunct/>
              <w:topLinePunct w:val="0"/>
              <w:autoSpaceDN/>
              <w:bidi w:val="0"/>
              <w:adjustRightInd w:val="0"/>
              <w:snapToGrid w:val="0"/>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2.其他情形不予计分。</w:t>
            </w:r>
          </w:p>
        </w:tc>
        <w:tc>
          <w:tcPr>
            <w:tcW w:w="4028" w:type="dxa"/>
            <w:noWrap w:val="0"/>
            <w:vAlign w:val="center"/>
          </w:tcPr>
          <w:p w14:paraId="1515CEFD">
            <w:pPr>
              <w:pStyle w:val="11"/>
              <w:wordWrap w:val="0"/>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必须提供企业纳税信用 A 级纳税人证明材料（或证书）及国家税务总局网上查询截图，否则不得分。</w:t>
            </w:r>
          </w:p>
          <w:p w14:paraId="3388D46A">
            <w:pPr>
              <w:pStyle w:val="11"/>
              <w:wordWrap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2.只计算投标人自身（投标人的分公司、子公司及分支机构除外）。</w:t>
            </w:r>
          </w:p>
        </w:tc>
      </w:tr>
      <w:tr w14:paraId="06F7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62" w:type="dxa"/>
            <w:gridSpan w:val="3"/>
            <w:shd w:val="clear" w:color="auto" w:fill="D9D9D9"/>
            <w:noWrap w:val="0"/>
            <w:vAlign w:val="center"/>
          </w:tcPr>
          <w:p w14:paraId="1E39182D">
            <w:pPr>
              <w:pStyle w:val="11"/>
              <w:wordWrap w:val="0"/>
              <w:autoSpaceDE w:val="0"/>
              <w:adjustRightInd w:val="0"/>
              <w:snapToGrid w:val="0"/>
              <w:spacing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技术部分M2，满分：</w:t>
            </w:r>
            <w:r>
              <w:rPr>
                <w:rFonts w:hint="eastAsia" w:ascii="宋体" w:hAnsi="宋体" w:cs="宋体"/>
                <w:color w:val="auto"/>
                <w:kern w:val="0"/>
                <w:sz w:val="24"/>
                <w:szCs w:val="24"/>
                <w:highlight w:val="none"/>
                <w:u w:val="single"/>
                <w:lang w:val="en-US" w:eastAsia="zh-CN"/>
              </w:rPr>
              <w:t>2</w:t>
            </w:r>
            <w:r>
              <w:rPr>
                <w:rFonts w:hint="eastAsia" w:ascii="宋体" w:hAnsi="宋体" w:eastAsia="宋体" w:cs="宋体"/>
                <w:color w:val="auto"/>
                <w:kern w:val="0"/>
                <w:sz w:val="24"/>
                <w:szCs w:val="24"/>
                <w:highlight w:val="none"/>
                <w:u w:val="single"/>
                <w:lang w:val="en-US" w:eastAsia="zh-CN"/>
              </w:rPr>
              <w:t>0</w:t>
            </w:r>
            <w:r>
              <w:rPr>
                <w:rFonts w:hint="eastAsia" w:ascii="宋体" w:hAnsi="宋体" w:eastAsia="宋体" w:cs="宋体"/>
                <w:color w:val="auto"/>
                <w:kern w:val="0"/>
                <w:sz w:val="24"/>
                <w:szCs w:val="24"/>
                <w:highlight w:val="none"/>
                <w:lang w:val="en-US" w:eastAsia="zh-CN"/>
              </w:rPr>
              <w:t>分。</w:t>
            </w:r>
          </w:p>
        </w:tc>
      </w:tr>
      <w:tr w14:paraId="254E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34" w:type="dxa"/>
            <w:noWrap w:val="0"/>
            <w:vAlign w:val="center"/>
          </w:tcPr>
          <w:p w14:paraId="5536A2CF">
            <w:pPr>
              <w:pStyle w:val="11"/>
              <w:wordWrap w:val="0"/>
              <w:autoSpaceDE w:val="0"/>
              <w:adjustRightInd w:val="0"/>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评分因素</w:t>
            </w:r>
          </w:p>
        </w:tc>
        <w:tc>
          <w:tcPr>
            <w:tcW w:w="7628" w:type="dxa"/>
            <w:gridSpan w:val="2"/>
            <w:noWrap w:val="0"/>
            <w:vAlign w:val="center"/>
          </w:tcPr>
          <w:p w14:paraId="11CBD49D">
            <w:pPr>
              <w:pStyle w:val="11"/>
              <w:wordWrap w:val="0"/>
              <w:autoSpaceDE w:val="0"/>
              <w:adjustRightInd w:val="0"/>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评分标准</w:t>
            </w:r>
          </w:p>
        </w:tc>
      </w:tr>
      <w:tr w14:paraId="07DD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34" w:type="dxa"/>
            <w:noWrap w:val="0"/>
            <w:vAlign w:val="center"/>
          </w:tcPr>
          <w:p w14:paraId="724592F3">
            <w:pPr>
              <w:keepNext w:val="0"/>
              <w:keepLines w:val="0"/>
              <w:pageBreakBefore w:val="0"/>
              <w:widowControl w:val="0"/>
              <w:kinsoku/>
              <w:overflowPunct/>
              <w:topLinePunct w:val="0"/>
              <w:bidi w:val="0"/>
              <w:snapToGrid w:val="0"/>
              <w:spacing w:line="360" w:lineRule="auto"/>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项目设计重点、难点分析（</w:t>
            </w:r>
            <w:r>
              <w:rPr>
                <w:rFonts w:hint="eastAsia" w:ascii="宋体" w:hAnsi="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rPr>
              <w:t>分）</w:t>
            </w:r>
          </w:p>
        </w:tc>
        <w:tc>
          <w:tcPr>
            <w:tcW w:w="7628" w:type="dxa"/>
            <w:gridSpan w:val="2"/>
            <w:noWrap w:val="0"/>
            <w:vAlign w:val="center"/>
          </w:tcPr>
          <w:p w14:paraId="3E71CA5B">
            <w:pPr>
              <w:pStyle w:val="11"/>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对本招标项目的重点、难点的分析，以及相关应对措施：</w:t>
            </w:r>
          </w:p>
          <w:p w14:paraId="0ED833D6">
            <w:pPr>
              <w:pStyle w:val="11"/>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【优】对本招标项目的重点、难点的分析，以及相关应对措施描述详尽、透彻的得6.0分；</w:t>
            </w:r>
          </w:p>
          <w:p w14:paraId="2EA69100">
            <w:pPr>
              <w:pStyle w:val="11"/>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【良】对本招标项目的重点、难点的分析，以及相关应对措施描述较详尽、较透彻的得5</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3B2FF6E3">
            <w:pPr>
              <w:pStyle w:val="11"/>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【合格】对本招标项目的重点、难点的分析，以及相关应对措施描述不够详尽、不够透彻的得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.0分；</w:t>
            </w:r>
          </w:p>
          <w:p w14:paraId="5BA873D5">
            <w:pPr>
              <w:pStyle w:val="11"/>
              <w:keepNext w:val="0"/>
              <w:keepLines w:val="0"/>
              <w:pageBreakBefore w:val="0"/>
              <w:widowControl w:val="0"/>
              <w:kinsoku/>
              <w:wordWrap w:val="0"/>
              <w:overflowPunct/>
              <w:topLinePunct w:val="0"/>
              <w:autoSpaceDE/>
              <w:autoSpaceDN/>
              <w:bidi w:val="0"/>
              <w:adjustRightInd w:val="0"/>
              <w:snapToGrid w:val="0"/>
              <w:spacing w:after="0"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无该项描述得0分。</w:t>
            </w:r>
          </w:p>
        </w:tc>
      </w:tr>
      <w:tr w14:paraId="3444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34" w:type="dxa"/>
            <w:noWrap w:val="0"/>
            <w:vAlign w:val="center"/>
          </w:tcPr>
          <w:p w14:paraId="3C10D02F">
            <w:pPr>
              <w:keepNext w:val="0"/>
              <w:keepLines w:val="0"/>
              <w:pageBreakBefore w:val="0"/>
              <w:widowControl w:val="0"/>
              <w:kinsoku/>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质量和进度保证措施（</w:t>
            </w:r>
            <w:r>
              <w:rPr>
                <w:rFonts w:hint="eastAsia" w:ascii="宋体" w:hAnsi="宋体" w:eastAsia="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rPr>
              <w:t>分）</w:t>
            </w:r>
          </w:p>
        </w:tc>
        <w:tc>
          <w:tcPr>
            <w:tcW w:w="7628" w:type="dxa"/>
            <w:gridSpan w:val="2"/>
            <w:noWrap w:val="0"/>
            <w:vAlign w:val="center"/>
          </w:tcPr>
          <w:p w14:paraId="06972219">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据投标人对质量和进度的保证措施及承诺进行评分：</w:t>
            </w:r>
          </w:p>
          <w:p w14:paraId="258D8A96">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【优】对质量和进度的保证措施及承诺描述详尽、透彻的得6.0分；</w:t>
            </w:r>
          </w:p>
          <w:p w14:paraId="1D8BF5D7">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【良】对质量和进度的保证措施及承诺描述较详尽、较透彻的得5.</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64B9866C">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【合格】对质量和进度的保证措施及承诺描述不够详尽、不够透彻的得</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.0分；</w:t>
            </w:r>
          </w:p>
          <w:p w14:paraId="7DF4BDF8">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无该项描述得0分。</w:t>
            </w:r>
          </w:p>
        </w:tc>
      </w:tr>
      <w:tr w14:paraId="0AE5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34" w:type="dxa"/>
            <w:noWrap w:val="0"/>
            <w:vAlign w:val="center"/>
          </w:tcPr>
          <w:p w14:paraId="1622BBCF">
            <w:pPr>
              <w:keepNext w:val="0"/>
              <w:keepLines w:val="0"/>
              <w:pageBreakBefore w:val="0"/>
              <w:widowControl w:val="0"/>
              <w:kinsoku/>
              <w:overflowPunct/>
              <w:topLinePunct w:val="0"/>
              <w:autoSpaceDE w:val="0"/>
              <w:autoSpaceDN w:val="0"/>
              <w:bidi w:val="0"/>
              <w:adjustRightInd w:val="0"/>
              <w:snapToGrid w:val="0"/>
              <w:spacing w:line="360" w:lineRule="auto"/>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设计方案合理性（</w:t>
            </w: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分）</w:t>
            </w:r>
          </w:p>
        </w:tc>
        <w:tc>
          <w:tcPr>
            <w:tcW w:w="7628" w:type="dxa"/>
            <w:gridSpan w:val="2"/>
            <w:noWrap w:val="0"/>
            <w:vAlign w:val="center"/>
          </w:tcPr>
          <w:p w14:paraId="04A48D0A">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根据投标人的设计方案合理性进行评分：</w:t>
            </w:r>
          </w:p>
          <w:p w14:paraId="067B6BD9">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【优】投标人的设计方案非常合理的得8.0分；</w:t>
            </w:r>
          </w:p>
          <w:p w14:paraId="11832B2F">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【良】投标人的设计方案较合理的得7.</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val="en-US" w:eastAsia="zh-CN"/>
              </w:rPr>
              <w:t>分；</w:t>
            </w:r>
          </w:p>
          <w:p w14:paraId="2DD8BFB5">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【合格】投标人的设计方案不够合理的得</w:t>
            </w:r>
            <w:r>
              <w:rPr>
                <w:rFonts w:hint="eastAsia" w:ascii="宋体" w:hAnsi="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lang w:val="en-US" w:eastAsia="zh-CN"/>
              </w:rPr>
              <w:t>.0分；</w:t>
            </w:r>
          </w:p>
          <w:p w14:paraId="00744F7C">
            <w:pPr>
              <w:pStyle w:val="11"/>
              <w:keepNext w:val="0"/>
              <w:keepLines w:val="0"/>
              <w:pageBreakBefore w:val="0"/>
              <w:widowControl w:val="0"/>
              <w:kinsoku/>
              <w:wordWrap w:val="0"/>
              <w:overflowPunct/>
              <w:topLinePunct w:val="0"/>
              <w:bidi w:val="0"/>
              <w:adjustRightInd w:val="0"/>
              <w:snapToGrid w:val="0"/>
              <w:spacing w:after="0" w:line="360" w:lineRule="auto"/>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无该项描述得0分。</w:t>
            </w:r>
          </w:p>
        </w:tc>
      </w:tr>
      <w:tr w14:paraId="645D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62" w:type="dxa"/>
            <w:gridSpan w:val="3"/>
            <w:shd w:val="clear" w:color="auto" w:fill="D9D9D9"/>
            <w:noWrap w:val="0"/>
            <w:vAlign w:val="center"/>
          </w:tcPr>
          <w:p w14:paraId="65AD1FCC">
            <w:pPr>
              <w:pStyle w:val="89"/>
              <w:wordWrap w:val="0"/>
              <w:autoSpaceDE w:val="0"/>
              <w:adjustRightInd w:val="0"/>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投标报价部分</w:t>
            </w:r>
            <w:r>
              <w:rPr>
                <w:rFonts w:hint="eastAsia" w:ascii="宋体" w:hAnsi="宋体" w:eastAsia="宋体" w:cs="宋体"/>
                <w:color w:val="auto"/>
                <w:kern w:val="0"/>
                <w:sz w:val="24"/>
                <w:szCs w:val="24"/>
                <w:highlight w:val="none"/>
                <w:lang w:val="en-US" w:eastAsia="zh-CN"/>
              </w:rPr>
              <w:t>N</w:t>
            </w:r>
            <w:r>
              <w:rPr>
                <w:rFonts w:hint="eastAsia" w:ascii="宋体" w:hAnsi="宋体" w:eastAsia="宋体" w:cs="宋体"/>
                <w:color w:val="auto"/>
                <w:kern w:val="0"/>
                <w:sz w:val="24"/>
                <w:szCs w:val="24"/>
                <w:highlight w:val="none"/>
              </w:rPr>
              <w:t>，满分：30分。</w:t>
            </w:r>
          </w:p>
        </w:tc>
      </w:tr>
      <w:tr w14:paraId="6591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4" w:type="dxa"/>
            <w:noWrap w:val="0"/>
            <w:vAlign w:val="center"/>
          </w:tcPr>
          <w:p w14:paraId="07548350">
            <w:pPr>
              <w:pStyle w:val="11"/>
              <w:wordWrap w:val="0"/>
              <w:autoSpaceDE w:val="0"/>
              <w:adjustRightInd w:val="0"/>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评分事项</w:t>
            </w:r>
          </w:p>
        </w:tc>
        <w:tc>
          <w:tcPr>
            <w:tcW w:w="7628" w:type="dxa"/>
            <w:gridSpan w:val="2"/>
            <w:noWrap w:val="0"/>
            <w:vAlign w:val="center"/>
          </w:tcPr>
          <w:p w14:paraId="0BD9775C">
            <w:pPr>
              <w:pStyle w:val="11"/>
              <w:wordWrap w:val="0"/>
              <w:autoSpaceDE w:val="0"/>
              <w:adjustRightInd w:val="0"/>
              <w:snapToGrid w:val="0"/>
              <w:spacing w:line="44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评分方法</w:t>
            </w:r>
          </w:p>
        </w:tc>
      </w:tr>
      <w:tr w14:paraId="5BCE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7" w:hRule="atLeast"/>
          <w:jc w:val="center"/>
        </w:trPr>
        <w:tc>
          <w:tcPr>
            <w:tcW w:w="1734" w:type="dxa"/>
            <w:noWrap w:val="0"/>
            <w:vAlign w:val="center"/>
          </w:tcPr>
          <w:p w14:paraId="609AF303">
            <w:pPr>
              <w:pStyle w:val="159"/>
              <w:wordWrap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评标基准价D</w:t>
            </w:r>
          </w:p>
        </w:tc>
        <w:tc>
          <w:tcPr>
            <w:tcW w:w="7628" w:type="dxa"/>
            <w:gridSpan w:val="2"/>
            <w:noWrap w:val="0"/>
            <w:vAlign w:val="center"/>
          </w:tcPr>
          <w:p w14:paraId="1834D1C3">
            <w:pPr>
              <w:wordWrap w:val="0"/>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（1）确定最高投标限价下浮系数n：用1～21号球分别代表一个下浮系数，由评委代表从这21个号码中随机抽取</w:t>
            </w:r>
            <w:r>
              <w:rPr>
                <w:rFonts w:hint="eastAsia" w:ascii="宋体" w:hAnsi="宋体" w:eastAsia="宋体" w:cs="宋体"/>
                <w:snapToGrid w:val="0"/>
                <w:color w:val="auto"/>
                <w:kern w:val="0"/>
                <w:sz w:val="24"/>
                <w:szCs w:val="24"/>
                <w:highlight w:val="none"/>
                <w:u w:val="single"/>
              </w:rPr>
              <w:t xml:space="preserve"> 3 </w:t>
            </w:r>
            <w:r>
              <w:rPr>
                <w:rFonts w:hint="eastAsia" w:ascii="宋体" w:hAnsi="宋体" w:eastAsia="宋体" w:cs="宋体"/>
                <w:snapToGrid w:val="0"/>
                <w:color w:val="auto"/>
                <w:kern w:val="0"/>
                <w:sz w:val="24"/>
                <w:szCs w:val="24"/>
                <w:highlight w:val="none"/>
              </w:rPr>
              <w:t>次，每次抽取1个号码，抽出的号球不参与下次抽取。所抽取的3个号码对应下浮系数的算术平均值作为最高投标限价下浮系数n。具体号码对应的下浮系数可参考下表。</w:t>
            </w:r>
          </w:p>
          <w:tbl>
            <w:tblPr>
              <w:tblStyle w:val="34"/>
              <w:tblW w:w="7331" w:type="dxa"/>
              <w:tblInd w:w="113" w:type="dxa"/>
              <w:tblLayout w:type="fixed"/>
              <w:tblCellMar>
                <w:top w:w="0" w:type="dxa"/>
                <w:left w:w="108" w:type="dxa"/>
                <w:bottom w:w="0" w:type="dxa"/>
                <w:right w:w="108" w:type="dxa"/>
              </w:tblCellMar>
            </w:tblPr>
            <w:tblGrid>
              <w:gridCol w:w="1465"/>
              <w:gridCol w:w="794"/>
              <w:gridCol w:w="830"/>
              <w:gridCol w:w="864"/>
              <w:gridCol w:w="848"/>
              <w:gridCol w:w="882"/>
              <w:gridCol w:w="829"/>
              <w:gridCol w:w="819"/>
            </w:tblGrid>
            <w:tr w14:paraId="15688010">
              <w:tblPrEx>
                <w:tblCellMar>
                  <w:top w:w="0" w:type="dxa"/>
                  <w:left w:w="108" w:type="dxa"/>
                  <w:bottom w:w="0" w:type="dxa"/>
                  <w:right w:w="108" w:type="dxa"/>
                </w:tblCellMar>
              </w:tblPrEx>
              <w:trPr>
                <w:trHeight w:val="248" w:hRule="atLeast"/>
              </w:trPr>
              <w:tc>
                <w:tcPr>
                  <w:tcW w:w="146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7391FA3">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79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C200DC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83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4C525E0">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86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CFFE5BD">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84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83EFF46">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88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C6E1A18">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8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B81781E">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8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87B02A9">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r>
            <w:tr w14:paraId="1FC36192">
              <w:tblPrEx>
                <w:tblCellMar>
                  <w:top w:w="0" w:type="dxa"/>
                  <w:left w:w="108" w:type="dxa"/>
                  <w:bottom w:w="0" w:type="dxa"/>
                  <w:right w:w="108" w:type="dxa"/>
                </w:tblCellMar>
              </w:tblPrEx>
              <w:trPr>
                <w:trHeight w:val="57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A92F7C6">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74D8F67">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2ACCD3E">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3888901C">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9865AC3">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602980C8">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6D55330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4ED15F4">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r>
            <w:tr w14:paraId="64F916F4">
              <w:tblPrEx>
                <w:tblCellMar>
                  <w:top w:w="0" w:type="dxa"/>
                  <w:left w:w="108" w:type="dxa"/>
                  <w:bottom w:w="0" w:type="dxa"/>
                  <w:right w:w="108" w:type="dxa"/>
                </w:tblCellMar>
              </w:tblPrEx>
              <w:trPr>
                <w:trHeight w:val="421" w:hRule="atLeast"/>
              </w:trPr>
              <w:tc>
                <w:tcPr>
                  <w:tcW w:w="146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DE72296">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79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20964BD">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83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1C5FEA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86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BE1C2D3">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BB86868">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A9A9A9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8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4EEBD23">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8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5FC76F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r>
            <w:tr w14:paraId="4D4B22C2">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55A9766">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288EA36">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AF4CF90">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653A5752">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7736730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21D3A2E7">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7939983E">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15E4D2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w:t>
                  </w:r>
                </w:p>
              </w:tc>
            </w:tr>
            <w:tr w14:paraId="7FB9559C">
              <w:tblPrEx>
                <w:tblCellMar>
                  <w:top w:w="0" w:type="dxa"/>
                  <w:left w:w="108" w:type="dxa"/>
                  <w:bottom w:w="0" w:type="dxa"/>
                  <w:right w:w="108" w:type="dxa"/>
                </w:tblCellMar>
              </w:tblPrEx>
              <w:trPr>
                <w:trHeight w:val="470" w:hRule="atLeast"/>
              </w:trPr>
              <w:tc>
                <w:tcPr>
                  <w:tcW w:w="146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4BC9A0EF">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79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0B71D5F">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83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E9F6DA9">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c>
                <w:tcPr>
                  <w:tcW w:w="86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9B4B35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84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C2312DA">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88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5ECA1AE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82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0A93F9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8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B6402B4">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r>
            <w:tr w14:paraId="13E85428">
              <w:tblPrEx>
                <w:tblCellMar>
                  <w:top w:w="0" w:type="dxa"/>
                  <w:left w:w="108" w:type="dxa"/>
                  <w:bottom w:w="0" w:type="dxa"/>
                  <w:right w:w="108" w:type="dxa"/>
                </w:tblCellMar>
              </w:tblPrEx>
              <w:trPr>
                <w:trHeight w:val="600"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E038D5F">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C0D28DC">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1F3D983">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14:paraId="5E95EC0A">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49BE4FCC">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w:t>
                  </w:r>
                </w:p>
              </w:tc>
              <w:tc>
                <w:tcPr>
                  <w:tcW w:w="882" w:type="dxa"/>
                  <w:tcBorders>
                    <w:top w:val="single" w:color="000000" w:sz="4" w:space="0"/>
                    <w:left w:val="single" w:color="000000" w:sz="4" w:space="0"/>
                    <w:bottom w:val="single" w:color="000000" w:sz="4" w:space="0"/>
                    <w:right w:val="single" w:color="000000" w:sz="4" w:space="0"/>
                  </w:tcBorders>
                  <w:noWrap w:val="0"/>
                  <w:vAlign w:val="center"/>
                </w:tcPr>
                <w:p w14:paraId="5CADFA2A">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7D07C4F4">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2.9</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B9BAD86">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3.0</w:t>
                  </w:r>
                </w:p>
              </w:tc>
            </w:tr>
          </w:tbl>
          <w:p w14:paraId="5C9F7EEB">
            <w:pPr>
              <w:wordWrap w:val="0"/>
              <w:adjustRightInd w:val="0"/>
              <w:snapToGrid w:val="0"/>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（2）评标基准价D＝最高投标限价×（1－n）</w:t>
            </w:r>
          </w:p>
        </w:tc>
      </w:tr>
      <w:tr w14:paraId="0C38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734" w:type="dxa"/>
            <w:noWrap w:val="0"/>
            <w:vAlign w:val="center"/>
          </w:tcPr>
          <w:p w14:paraId="41250F6C">
            <w:pPr>
              <w:pStyle w:val="159"/>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投标报价</w:t>
            </w:r>
          </w:p>
          <w:p w14:paraId="56A9EE01">
            <w:pPr>
              <w:pStyle w:val="159"/>
              <w:wordWrap w:val="0"/>
              <w:adjustRightInd w:val="0"/>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得分N</w:t>
            </w:r>
          </w:p>
        </w:tc>
        <w:tc>
          <w:tcPr>
            <w:tcW w:w="7628" w:type="dxa"/>
            <w:gridSpan w:val="2"/>
            <w:noWrap w:val="0"/>
            <w:vAlign w:val="center"/>
          </w:tcPr>
          <w:p w14:paraId="44DE4B15">
            <w:pPr>
              <w:wordWrap w:val="0"/>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采用内插法计算某投标人的投标报价得分N，即当投标人的投标总价等于评标基准价时得30分，每高于评标基准价一个百分点扣1分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每低于评标基准价一个百分点扣0.5分，扣完为止。公式如下：</w:t>
            </w:r>
          </w:p>
          <w:p w14:paraId="0596D33D">
            <w:pPr>
              <w:wordWrap w:val="0"/>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N＝30－（| Di－D | ÷D）×100×E</w:t>
            </w:r>
          </w:p>
          <w:p w14:paraId="601F1B31">
            <w:pPr>
              <w:wordWrap w:val="0"/>
              <w:adjustRightInd w:val="0"/>
              <w:snapToGrid w:val="0"/>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式中：D为评标基准价；Di为某投标人的投标总价；E为扣分因子，当Di＞D时，E＝1 ；当Di＜D时，E＝0.5。</w:t>
            </w:r>
          </w:p>
        </w:tc>
      </w:tr>
    </w:tbl>
    <w:p w14:paraId="05876378">
      <w:pPr>
        <w:bidi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p>
    <w:p w14:paraId="3C1B98BA">
      <w:pPr>
        <w:snapToGrid/>
        <w:spacing w:beforeAutospacing="0" w:afterAutospacing="0" w:line="360" w:lineRule="auto"/>
        <w:ind w:left="0" w:leftChars="0" w:right="0" w:rightChars="0" w:firstLine="522" w:firstLineChars="200"/>
        <w:jc w:val="left"/>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val="0"/>
          <w:color w:val="auto"/>
          <w:spacing w:val="10"/>
          <w:sz w:val="24"/>
          <w:szCs w:val="24"/>
          <w:highlight w:val="none"/>
        </w:rPr>
        <w:t>备注：1、</w:t>
      </w:r>
      <w:r>
        <w:rPr>
          <w:rFonts w:hint="eastAsia" w:ascii="宋体" w:hAnsi="宋体" w:eastAsia="宋体" w:cs="宋体"/>
          <w:b/>
          <w:bCs w:val="0"/>
          <w:color w:val="auto"/>
          <w:sz w:val="24"/>
          <w:szCs w:val="24"/>
          <w:highlight w:val="none"/>
        </w:rPr>
        <w:t>评分如出现小数点，则按“四舍五入”原则精确到两位小数。</w:t>
      </w:r>
    </w:p>
    <w:p w14:paraId="79B13C68">
      <w:pPr>
        <w:pageBreakBefore w:val="0"/>
        <w:widowControl w:val="0"/>
        <w:kinsoku/>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bCs/>
          <w:snapToGrid w:val="0"/>
          <w:color w:val="auto"/>
          <w:kern w:val="0"/>
          <w:sz w:val="24"/>
          <w:szCs w:val="24"/>
          <w:highlight w:val="none"/>
          <w:lang w:eastAsia="zh-CN"/>
        </w:rPr>
      </w:pPr>
    </w:p>
    <w:p w14:paraId="4D8F3CE8">
      <w:pPr>
        <w:pageBreakBefore w:val="0"/>
        <w:widowControl w:val="0"/>
        <w:kinsoku/>
        <w:overflowPunct/>
        <w:topLinePunct w:val="0"/>
        <w:bidi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w:t>
      </w:r>
      <w:r>
        <w:rPr>
          <w:rFonts w:hint="eastAsia" w:ascii="宋体" w:hAnsi="宋体" w:eastAsia="宋体" w:cs="宋体"/>
          <w:b/>
          <w:bCs/>
          <w:snapToGrid w:val="0"/>
          <w:color w:val="auto"/>
          <w:kern w:val="0"/>
          <w:sz w:val="24"/>
          <w:szCs w:val="24"/>
          <w:highlight w:val="none"/>
          <w:lang w:val="en-US" w:eastAsia="zh-CN"/>
        </w:rPr>
        <w:t>6</w:t>
      </w:r>
      <w:r>
        <w:rPr>
          <w:rFonts w:hint="eastAsia" w:ascii="宋体" w:hAnsi="宋体" w:eastAsia="宋体" w:cs="宋体"/>
          <w:b/>
          <w:bCs/>
          <w:snapToGrid w:val="0"/>
          <w:color w:val="auto"/>
          <w:kern w:val="0"/>
          <w:sz w:val="24"/>
          <w:szCs w:val="24"/>
          <w:highlight w:val="none"/>
        </w:rPr>
        <w:t xml:space="preserve">.5.2 </w:t>
      </w:r>
      <w:r>
        <w:rPr>
          <w:rFonts w:hint="eastAsia" w:ascii="宋体" w:hAnsi="宋体" w:eastAsia="宋体" w:cs="宋体"/>
          <w:snapToGrid w:val="0"/>
          <w:color w:val="auto"/>
          <w:kern w:val="0"/>
          <w:sz w:val="24"/>
          <w:szCs w:val="24"/>
          <w:highlight w:val="none"/>
        </w:rPr>
        <w:t>否决投标说明</w:t>
      </w:r>
    </w:p>
    <w:p w14:paraId="0D4E40D7">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详细评审阶段否决投标的全部条件，在本章第四节“否决投标条件”第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4AB0D265">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524E6A82">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214" w:name="_Toc377"/>
      <w:bookmarkStart w:id="215" w:name="_Toc32706"/>
      <w:bookmarkStart w:id="216" w:name="_Toc8383"/>
      <w:r>
        <w:rPr>
          <w:rFonts w:hint="eastAsia" w:ascii="宋体" w:hAnsi="宋体" w:eastAsia="宋体" w:cs="宋体"/>
          <w:b/>
          <w:color w:val="auto"/>
          <w:sz w:val="24"/>
          <w:lang w:val="en-US" w:eastAsia="zh-CN"/>
        </w:rPr>
        <w:t>17.</w:t>
      </w:r>
      <w:r>
        <w:rPr>
          <w:rFonts w:hint="eastAsia" w:ascii="宋体" w:hAnsi="宋体" w:eastAsia="宋体" w:cs="宋体"/>
          <w:b/>
          <w:color w:val="auto"/>
          <w:sz w:val="24"/>
        </w:rPr>
        <w:t>推荐中标候选人</w:t>
      </w:r>
      <w:bookmarkEnd w:id="214"/>
      <w:bookmarkEnd w:id="215"/>
      <w:bookmarkEnd w:id="216"/>
    </w:p>
    <w:p w14:paraId="7ADB051D">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17</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 xml:space="preserve"> 确定排名</w:t>
      </w:r>
    </w:p>
    <w:p w14:paraId="66EA1C85">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综合得分相等时，以商务部分得分高的优先；如果商务部分得分也相等，以技术部分得分高的优先；如果技术部分得分也相等，以投标总价低的优先；投标总价也相等的，由评标委员会投票确定。</w:t>
      </w:r>
    </w:p>
    <w:p w14:paraId="00392C2D">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17</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 xml:space="preserve"> 推荐方法</w:t>
      </w:r>
    </w:p>
    <w:p w14:paraId="28846332">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（1）有效投标人数量达到或超过3个的，评标委员会将前三名投标人作为中标候选人向招标人推荐，并标明排列顺序。</w:t>
      </w:r>
    </w:p>
    <w:p w14:paraId="3E9C6CD3">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57CF613F">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17</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 xml:space="preserve"> 评标委员会完成评标后，应向招标人提交由全体评标委员会成员签字的评标报告和中标候选人名单。</w:t>
      </w:r>
    </w:p>
    <w:p w14:paraId="641E8418">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rPr>
      </w:pPr>
      <w:bookmarkStart w:id="217" w:name="_Toc854"/>
      <w:bookmarkStart w:id="218" w:name="_Toc16382"/>
      <w:bookmarkStart w:id="219" w:name="_Toc23876"/>
      <w:r>
        <w:rPr>
          <w:rFonts w:hint="eastAsia" w:ascii="宋体" w:hAnsi="宋体" w:eastAsia="宋体" w:cs="宋体"/>
          <w:b/>
          <w:color w:val="auto"/>
          <w:sz w:val="24"/>
          <w:lang w:val="en-US" w:eastAsia="zh-CN"/>
        </w:rPr>
        <w:t>18.</w:t>
      </w:r>
      <w:r>
        <w:rPr>
          <w:rFonts w:hint="eastAsia" w:ascii="宋体" w:hAnsi="宋体" w:eastAsia="宋体" w:cs="宋体"/>
          <w:b/>
          <w:color w:val="auto"/>
          <w:sz w:val="24"/>
        </w:rPr>
        <w:t>中标候选人公示</w:t>
      </w:r>
      <w:bookmarkEnd w:id="217"/>
      <w:bookmarkEnd w:id="218"/>
      <w:bookmarkEnd w:id="219"/>
    </w:p>
    <w:p w14:paraId="00BCFB66">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招标人自收到评标委员会提交的书面评标报告和中标候选人名单之日起3日内，将评标结果（即中标候选人名单）、中标候选人投标文件（商务</w:t>
      </w:r>
      <w:r>
        <w:rPr>
          <w:rFonts w:hint="eastAsia" w:ascii="宋体" w:hAnsi="宋体" w:eastAsia="宋体" w:cs="宋体"/>
          <w:snapToGrid w:val="0"/>
          <w:color w:val="auto"/>
          <w:kern w:val="0"/>
          <w:sz w:val="24"/>
          <w:szCs w:val="24"/>
          <w:highlight w:val="none"/>
          <w:lang w:val="en-US" w:eastAsia="zh-CN"/>
        </w:rPr>
        <w:t>经济</w:t>
      </w:r>
      <w:r>
        <w:rPr>
          <w:rFonts w:hint="eastAsia" w:ascii="宋体" w:hAnsi="宋体" w:eastAsia="宋体" w:cs="宋体"/>
          <w:snapToGrid w:val="0"/>
          <w:color w:val="auto"/>
          <w:kern w:val="0"/>
          <w:sz w:val="24"/>
          <w:szCs w:val="24"/>
          <w:highlight w:val="none"/>
        </w:rPr>
        <w:t>标书分册）、评标过程（评标专家姓名用代码标记）一并在广东省招标投标监管网（http://zbtb.gd.gov.cn）及全国公共资源交易平台（广东省·韶关市）（https://ygp.gdzwfw.gov.cn/ggzy-portal/#/440200/index）进行公示，公示期不得少于3天。</w:t>
      </w:r>
    </w:p>
    <w:p w14:paraId="6E826F31">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18.2</w:t>
      </w:r>
      <w:r>
        <w:rPr>
          <w:rFonts w:hint="eastAsia" w:ascii="宋体" w:hAnsi="宋体" w:eastAsia="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号）执行。</w:t>
      </w:r>
    </w:p>
    <w:p w14:paraId="138F0859">
      <w:pPr>
        <w:pageBreakBefore w:val="0"/>
        <w:widowControl w:val="0"/>
        <w:kinsoku/>
        <w:wordWrap w:val="0"/>
        <w:overflowPunct/>
        <w:topLinePunct w:val="0"/>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18</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2A1F2E3B">
      <w:pPr>
        <w:pStyle w:val="4"/>
        <w:bidi w:val="0"/>
        <w:snapToGrid/>
        <w:spacing w:before="200" w:beforeLines="0" w:beforeAutospacing="0" w:after="200" w:afterAutospacing="0" w:line="240" w:lineRule="auto"/>
        <w:ind w:left="0" w:leftChars="0" w:right="0" w:rightChars="0" w:firstLine="0" w:firstLineChars="0"/>
        <w:jc w:val="left"/>
        <w:outlineLvl w:val="1"/>
        <w:rPr>
          <w:rFonts w:hint="eastAsia" w:ascii="宋体" w:hAnsi="宋体" w:eastAsia="宋体" w:cs="宋体"/>
          <w:b/>
          <w:color w:val="auto"/>
          <w:kern w:val="44"/>
          <w:sz w:val="24"/>
          <w:highlight w:val="none"/>
        </w:rPr>
      </w:pPr>
      <w:bookmarkStart w:id="220" w:name="_Toc31980"/>
      <w:bookmarkStart w:id="221" w:name="_Toc2752"/>
      <w:r>
        <w:rPr>
          <w:rFonts w:hint="eastAsia" w:ascii="宋体" w:hAnsi="宋体" w:eastAsia="宋体" w:cs="宋体"/>
          <w:b/>
          <w:color w:val="auto"/>
          <w:kern w:val="44"/>
          <w:sz w:val="24"/>
          <w:highlight w:val="none"/>
        </w:rPr>
        <w:br w:type="page"/>
      </w:r>
      <w:bookmarkStart w:id="222" w:name="_Toc7834"/>
      <w:r>
        <w:rPr>
          <w:rFonts w:hint="eastAsia" w:ascii="宋体" w:hAnsi="宋体" w:eastAsia="宋体" w:cs="宋体"/>
          <w:b/>
          <w:color w:val="auto"/>
          <w:kern w:val="44"/>
          <w:sz w:val="24"/>
          <w:highlight w:val="none"/>
        </w:rPr>
        <w:t>第四节 否决投标条件</w:t>
      </w:r>
      <w:bookmarkEnd w:id="220"/>
      <w:bookmarkEnd w:id="221"/>
      <w:bookmarkEnd w:id="222"/>
    </w:p>
    <w:p w14:paraId="56D6CB1A">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sz w:val="24"/>
          <w:szCs w:val="22"/>
          <w:highlight w:val="none"/>
        </w:rPr>
        <w:t>投标人未有列入本节情形的，评标时一律不得否决其投标。</w:t>
      </w:r>
      <w:r>
        <w:rPr>
          <w:rFonts w:hint="eastAsia" w:ascii="宋体" w:hAnsi="宋体" w:eastAsia="宋体" w:cs="宋体"/>
          <w:snapToGrid w:val="0"/>
          <w:color w:val="auto"/>
          <w:kern w:val="0"/>
          <w:sz w:val="24"/>
          <w:szCs w:val="22"/>
          <w:highlight w:val="none"/>
        </w:rPr>
        <w:t>本节所称“规定”均指招标文件的规定。</w:t>
      </w:r>
    </w:p>
    <w:p w14:paraId="1FA60EAE">
      <w:pPr>
        <w:pStyle w:val="5"/>
        <w:bidi w:val="0"/>
        <w:snapToGrid/>
        <w:spacing w:before="200" w:beforeLines="0" w:beforeAutospacing="0" w:after="200" w:afterLines="0" w:afterAutospacing="0" w:line="240" w:lineRule="auto"/>
        <w:ind w:left="0" w:leftChars="0" w:right="0" w:rightChars="0" w:firstLine="0" w:firstLineChars="0"/>
        <w:jc w:val="left"/>
        <w:outlineLvl w:val="2"/>
        <w:rPr>
          <w:rFonts w:hint="eastAsia" w:ascii="宋体" w:hAnsi="宋体" w:eastAsia="宋体" w:cs="宋体"/>
          <w:b/>
          <w:color w:val="auto"/>
          <w:sz w:val="24"/>
          <w:lang w:val="en-US" w:eastAsia="zh-CN"/>
        </w:rPr>
      </w:pPr>
      <w:bookmarkStart w:id="223" w:name="_Toc2200"/>
      <w:bookmarkStart w:id="224" w:name="_Toc4139"/>
      <w:bookmarkStart w:id="225" w:name="_Toc11881"/>
      <w:r>
        <w:rPr>
          <w:rFonts w:hint="eastAsia" w:ascii="宋体" w:hAnsi="宋体" w:eastAsia="宋体" w:cs="宋体"/>
          <w:b/>
          <w:color w:val="auto"/>
          <w:sz w:val="24"/>
          <w:lang w:val="en-US" w:eastAsia="zh-CN"/>
        </w:rPr>
        <w:t>1.资格评审环节</w:t>
      </w:r>
      <w:bookmarkEnd w:id="223"/>
      <w:bookmarkEnd w:id="224"/>
      <w:bookmarkEnd w:id="225"/>
    </w:p>
    <w:p w14:paraId="11A2B3D6">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投标人有下列情形之一的，评标委员会应否决其投标。被否决的投标，不进入形式评审环节。</w:t>
      </w:r>
    </w:p>
    <w:p w14:paraId="70E7125C">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（1）有本章第三节第</w:t>
      </w:r>
      <w:r>
        <w:rPr>
          <w:rFonts w:hint="eastAsia" w:ascii="宋体" w:hAnsi="宋体" w:eastAsia="宋体" w:cs="宋体"/>
          <w:b/>
          <w:bCs/>
          <w:snapToGrid w:val="0"/>
          <w:color w:val="auto"/>
          <w:kern w:val="0"/>
          <w:sz w:val="24"/>
          <w:szCs w:val="22"/>
          <w:highlight w:val="none"/>
          <w:lang w:val="en-US" w:eastAsia="zh-CN"/>
        </w:rPr>
        <w:t>4</w:t>
      </w:r>
      <w:r>
        <w:rPr>
          <w:rFonts w:hint="eastAsia" w:ascii="宋体" w:hAnsi="宋体" w:eastAsia="宋体" w:cs="宋体"/>
          <w:b/>
          <w:bCs/>
          <w:snapToGrid w:val="0"/>
          <w:color w:val="auto"/>
          <w:kern w:val="0"/>
          <w:sz w:val="24"/>
          <w:szCs w:val="22"/>
          <w:highlight w:val="none"/>
        </w:rPr>
        <w:t>.4</w:t>
      </w:r>
      <w:r>
        <w:rPr>
          <w:rFonts w:hint="eastAsia" w:ascii="宋体" w:hAnsi="宋体" w:eastAsia="宋体" w:cs="宋体"/>
          <w:snapToGrid w:val="0"/>
          <w:color w:val="auto"/>
          <w:kern w:val="0"/>
          <w:sz w:val="24"/>
          <w:szCs w:val="22"/>
          <w:highlight w:val="none"/>
        </w:rPr>
        <w:t>条“禁止投标条款”规定的任何一种情形；</w:t>
      </w:r>
    </w:p>
    <w:p w14:paraId="536FEF83">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（2）投标人资质不符合</w:t>
      </w:r>
      <w:r>
        <w:rPr>
          <w:rFonts w:hint="eastAsia" w:ascii="宋体" w:hAnsi="宋体" w:eastAsia="宋体" w:cs="宋体"/>
          <w:snapToGrid w:val="0"/>
          <w:color w:val="auto"/>
          <w:kern w:val="0"/>
          <w:sz w:val="24"/>
          <w:szCs w:val="21"/>
          <w:highlight w:val="none"/>
        </w:rPr>
        <w:t>规定的；</w:t>
      </w:r>
    </w:p>
    <w:p w14:paraId="2C9CA319">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14:paraId="46AD9075">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b/>
          <w:bCs/>
          <w:snapToGrid w:val="0"/>
          <w:color w:val="auto"/>
          <w:kern w:val="0"/>
          <w:sz w:val="24"/>
          <w:szCs w:val="22"/>
          <w:highlight w:val="none"/>
        </w:rPr>
      </w:pPr>
      <w:r>
        <w:rPr>
          <w:rFonts w:hint="eastAsia" w:ascii="宋体" w:hAnsi="宋体" w:eastAsia="宋体" w:cs="宋体"/>
          <w:b/>
          <w:bCs/>
          <w:snapToGrid w:val="0"/>
          <w:color w:val="auto"/>
          <w:kern w:val="0"/>
          <w:sz w:val="24"/>
          <w:szCs w:val="22"/>
          <w:highlight w:val="none"/>
        </w:rPr>
        <w:t>注：投标人已经工商变更，但其企业资质证书的企业名称未完成变更的，不得否决其投标；投标人营业执照、资质证书之间登记的信息不一致，应当允许投标人澄清，不得直接否决其投标。</w:t>
      </w:r>
    </w:p>
    <w:p w14:paraId="31A06416">
      <w:pPr>
        <w:pStyle w:val="204"/>
        <w:keepNext w:val="0"/>
        <w:keepLines w:val="0"/>
        <w:pageBreakBefore w:val="0"/>
        <w:kinsoku/>
        <w:overflowPunct/>
        <w:topLinePunct w:val="0"/>
        <w:autoSpaceDE/>
        <w:autoSpaceDN/>
        <w:bidi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rPr>
      </w:pPr>
      <w:r>
        <w:rPr>
          <w:rFonts w:hint="eastAsia" w:ascii="宋体" w:hAnsi="宋体" w:eastAsia="宋体" w:cs="宋体"/>
          <w:b/>
          <w:bCs/>
          <w:snapToGrid w:val="0"/>
          <w:color w:val="auto"/>
          <w:kern w:val="0"/>
          <w:sz w:val="24"/>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p>
    <w:p w14:paraId="03DAE415">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（4）投标文件中拟派</w:t>
      </w:r>
      <w:r>
        <w:rPr>
          <w:rFonts w:hint="eastAsia" w:ascii="宋体" w:hAnsi="宋体" w:eastAsia="宋体" w:cs="宋体"/>
          <w:color w:val="auto"/>
          <w:kern w:val="0"/>
          <w:sz w:val="24"/>
          <w:highlight w:val="none"/>
        </w:rPr>
        <w:t>项目负责人（即设计负责人）</w:t>
      </w:r>
      <w:r>
        <w:rPr>
          <w:rFonts w:hint="eastAsia" w:ascii="宋体" w:hAnsi="宋体" w:eastAsia="宋体" w:cs="宋体"/>
          <w:snapToGrid w:val="0"/>
          <w:color w:val="auto"/>
          <w:kern w:val="0"/>
          <w:sz w:val="24"/>
          <w:szCs w:val="22"/>
          <w:highlight w:val="none"/>
        </w:rPr>
        <w:t>的条件不符合规定的；</w:t>
      </w:r>
    </w:p>
    <w:p w14:paraId="296C9C70">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（5）拟派人员的各类证书、证件、证明不在有效期内的；或注册单位与投标人不一致的；</w:t>
      </w:r>
    </w:p>
    <w:p w14:paraId="30825C2E">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rPr>
      </w:pPr>
      <w:r>
        <w:rPr>
          <w:rFonts w:hint="eastAsia" w:ascii="宋体" w:hAnsi="宋体" w:eastAsia="宋体" w:cs="宋体"/>
          <w:b/>
          <w:bCs/>
          <w:snapToGrid w:val="0"/>
          <w:color w:val="auto"/>
          <w:kern w:val="0"/>
          <w:sz w:val="24"/>
          <w:szCs w:val="22"/>
          <w:highlight w:val="none"/>
        </w:rPr>
        <w:t>注：投标人已经工商变更，但其员工执业资格注册证书的注册单位名称未完成变更的，不得否决其投标。</w:t>
      </w:r>
    </w:p>
    <w:p w14:paraId="2C71C407">
      <w:pPr>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6</w:t>
      </w:r>
      <w:r>
        <w:rPr>
          <w:rFonts w:hint="eastAsia" w:ascii="宋体" w:hAnsi="宋体" w:eastAsia="宋体" w:cs="宋体"/>
          <w:snapToGrid w:val="0"/>
          <w:color w:val="auto"/>
          <w:kern w:val="0"/>
          <w:sz w:val="24"/>
          <w:szCs w:val="22"/>
          <w:highlight w:val="none"/>
        </w:rPr>
        <w:t>）投标人为外省企业，但未提供“进粤企业和人员诚信信息登记平台”企业</w:t>
      </w:r>
      <w:r>
        <w:rPr>
          <w:rFonts w:hint="eastAsia" w:ascii="宋体" w:hAnsi="宋体" w:eastAsia="宋体" w:cs="宋体"/>
          <w:snapToGrid w:val="0"/>
          <w:color w:val="auto"/>
          <w:kern w:val="0"/>
          <w:sz w:val="24"/>
          <w:szCs w:val="24"/>
          <w:highlight w:val="none"/>
        </w:rPr>
        <w:t>及其拟派往本项目管理机构的所有人员</w:t>
      </w:r>
      <w:r>
        <w:rPr>
          <w:rFonts w:hint="eastAsia" w:ascii="宋体" w:hAnsi="宋体" w:eastAsia="宋体" w:cs="宋体"/>
          <w:snapToGrid w:val="0"/>
          <w:color w:val="auto"/>
          <w:kern w:val="0"/>
          <w:sz w:val="24"/>
          <w:szCs w:val="22"/>
          <w:highlight w:val="none"/>
        </w:rPr>
        <w:t>信息情况打印页的。</w:t>
      </w:r>
    </w:p>
    <w:p w14:paraId="0305691C">
      <w:pPr>
        <w:pStyle w:val="5"/>
        <w:pageBreakBefore w:val="0"/>
        <w:kinsoku/>
        <w:overflowPunct/>
        <w:topLinePunct w:val="0"/>
        <w:autoSpaceDE/>
        <w:autoSpaceDN/>
        <w:bidi w:val="0"/>
        <w:adjustRightInd w:val="0"/>
        <w:snapToGrid/>
        <w:spacing w:before="200" w:beforeLines="0" w:beforeAutospacing="0" w:after="200" w:afterLines="0" w:afterAutospacing="0" w:line="240" w:lineRule="auto"/>
        <w:ind w:left="0" w:leftChars="0" w:right="0" w:rightChars="0" w:firstLine="0" w:firstLineChars="0"/>
        <w:jc w:val="left"/>
        <w:textAlignment w:val="auto"/>
        <w:outlineLvl w:val="2"/>
        <w:rPr>
          <w:rFonts w:hint="eastAsia" w:ascii="宋体" w:hAnsi="宋体" w:eastAsia="宋体" w:cs="宋体"/>
          <w:b/>
          <w:color w:val="auto"/>
          <w:sz w:val="24"/>
          <w:lang w:val="en-US" w:eastAsia="zh-CN"/>
        </w:rPr>
      </w:pPr>
      <w:bookmarkStart w:id="226" w:name="_Toc18573"/>
      <w:bookmarkStart w:id="227" w:name="_Toc22692"/>
      <w:bookmarkStart w:id="228" w:name="_Toc32171"/>
      <w:r>
        <w:rPr>
          <w:rFonts w:hint="eastAsia" w:ascii="宋体" w:hAnsi="宋体" w:eastAsia="宋体" w:cs="宋体"/>
          <w:b/>
          <w:color w:val="auto"/>
          <w:sz w:val="24"/>
          <w:lang w:val="en-US" w:eastAsia="zh-CN"/>
        </w:rPr>
        <w:t>2.形式评审环节</w:t>
      </w:r>
      <w:bookmarkEnd w:id="226"/>
      <w:bookmarkEnd w:id="227"/>
      <w:bookmarkEnd w:id="228"/>
    </w:p>
    <w:p w14:paraId="143AE387">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投标人有下列情形之一的，评标委员会应否决其投标。被否决的投标，不进入响应性评审环节。</w:t>
      </w:r>
    </w:p>
    <w:p w14:paraId="78D85A0B">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lang w:val="en-US" w:eastAsia="zh-CN"/>
        </w:rPr>
      </w:pPr>
      <w:r>
        <w:rPr>
          <w:rFonts w:hint="eastAsia" w:ascii="宋体" w:hAnsi="宋体" w:eastAsia="宋体" w:cs="宋体"/>
          <w:snapToGrid w:val="0"/>
          <w:color w:val="auto"/>
          <w:kern w:val="0"/>
          <w:sz w:val="24"/>
          <w:szCs w:val="22"/>
          <w:highlight w:val="none"/>
          <w:lang w:val="en-US" w:eastAsia="zh-CN"/>
        </w:rPr>
        <w:t>（</w:t>
      </w:r>
      <w:r>
        <w:rPr>
          <w:rFonts w:hint="eastAsia" w:ascii="宋体" w:hAnsi="宋体" w:cs="宋体"/>
          <w:snapToGrid w:val="0"/>
          <w:color w:val="auto"/>
          <w:kern w:val="0"/>
          <w:sz w:val="24"/>
          <w:szCs w:val="22"/>
          <w:highlight w:val="none"/>
          <w:lang w:val="en-US" w:eastAsia="zh-CN"/>
        </w:rPr>
        <w:t>1</w:t>
      </w:r>
      <w:r>
        <w:rPr>
          <w:rFonts w:hint="eastAsia" w:ascii="宋体" w:hAnsi="宋体" w:eastAsia="宋体" w:cs="宋体"/>
          <w:snapToGrid w:val="0"/>
          <w:color w:val="auto"/>
          <w:kern w:val="0"/>
          <w:sz w:val="24"/>
          <w:szCs w:val="22"/>
          <w:highlight w:val="none"/>
          <w:lang w:val="en-US" w:eastAsia="zh-CN"/>
        </w:rPr>
        <w:t>）投标文件的分册组成不符合规定的；</w:t>
      </w:r>
    </w:p>
    <w:p w14:paraId="6ADE7B8F">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2</w:t>
      </w:r>
      <w:r>
        <w:rPr>
          <w:rFonts w:hint="eastAsia" w:ascii="宋体" w:hAnsi="宋体" w:eastAsia="宋体" w:cs="宋体"/>
          <w:snapToGrid w:val="0"/>
          <w:color w:val="auto"/>
          <w:kern w:val="0"/>
          <w:sz w:val="24"/>
          <w:szCs w:val="22"/>
          <w:highlight w:val="none"/>
        </w:rPr>
        <w:t>）本章第三节第</w:t>
      </w:r>
      <w:r>
        <w:rPr>
          <w:rFonts w:hint="eastAsia" w:ascii="宋体" w:hAnsi="宋体" w:eastAsia="宋体" w:cs="宋体"/>
          <w:b/>
          <w:bCs/>
          <w:snapToGrid w:val="0"/>
          <w:color w:val="auto"/>
          <w:kern w:val="0"/>
          <w:sz w:val="24"/>
          <w:szCs w:val="21"/>
          <w:highlight w:val="none"/>
        </w:rPr>
        <w:t>10.2.2</w:t>
      </w:r>
      <w:r>
        <w:rPr>
          <w:rFonts w:hint="eastAsia" w:ascii="宋体" w:hAnsi="宋体" w:eastAsia="宋体" w:cs="宋体"/>
          <w:snapToGrid w:val="0"/>
          <w:color w:val="auto"/>
          <w:kern w:val="0"/>
          <w:sz w:val="24"/>
          <w:szCs w:val="21"/>
          <w:highlight w:val="none"/>
        </w:rPr>
        <w:t>目、</w:t>
      </w:r>
      <w:r>
        <w:rPr>
          <w:rFonts w:hint="eastAsia" w:ascii="宋体" w:hAnsi="宋体" w:eastAsia="宋体" w:cs="宋体"/>
          <w:snapToGrid w:val="0"/>
          <w:color w:val="auto"/>
          <w:kern w:val="0"/>
          <w:sz w:val="24"/>
          <w:szCs w:val="22"/>
          <w:highlight w:val="none"/>
        </w:rPr>
        <w:t>第</w:t>
      </w:r>
      <w:r>
        <w:rPr>
          <w:rFonts w:hint="eastAsia" w:ascii="宋体" w:hAnsi="宋体" w:eastAsia="宋体" w:cs="宋体"/>
          <w:b/>
          <w:bCs/>
          <w:snapToGrid w:val="0"/>
          <w:color w:val="auto"/>
          <w:kern w:val="0"/>
          <w:sz w:val="24"/>
          <w:szCs w:val="22"/>
          <w:highlight w:val="none"/>
        </w:rPr>
        <w:t>10</w:t>
      </w:r>
      <w:r>
        <w:rPr>
          <w:rFonts w:hint="eastAsia" w:ascii="宋体" w:hAnsi="宋体" w:eastAsia="宋体" w:cs="宋体"/>
          <w:b/>
          <w:bCs/>
          <w:snapToGrid w:val="0"/>
          <w:color w:val="auto"/>
          <w:kern w:val="0"/>
          <w:sz w:val="24"/>
          <w:szCs w:val="21"/>
          <w:highlight w:val="none"/>
        </w:rPr>
        <w:t>.3.2</w:t>
      </w:r>
      <w:r>
        <w:rPr>
          <w:rFonts w:hint="eastAsia" w:ascii="宋体" w:hAnsi="宋体" w:eastAsia="宋体" w:cs="宋体"/>
          <w:snapToGrid w:val="0"/>
          <w:color w:val="auto"/>
          <w:kern w:val="0"/>
          <w:sz w:val="24"/>
          <w:szCs w:val="21"/>
          <w:highlight w:val="none"/>
        </w:rPr>
        <w:t>目</w:t>
      </w:r>
      <w:r>
        <w:rPr>
          <w:rFonts w:hint="eastAsia" w:ascii="宋体" w:hAnsi="宋体" w:eastAsia="宋体" w:cs="宋体"/>
          <w:snapToGrid w:val="0"/>
          <w:color w:val="auto"/>
          <w:kern w:val="0"/>
          <w:sz w:val="24"/>
          <w:szCs w:val="22"/>
          <w:highlight w:val="none"/>
        </w:rPr>
        <w:t>中规定的“</w:t>
      </w:r>
      <w:r>
        <w:rPr>
          <w:rFonts w:hint="eastAsia" w:ascii="宋体" w:hAnsi="宋体" w:eastAsia="宋体" w:cs="宋体"/>
          <w:snapToGrid w:val="0"/>
          <w:color w:val="auto"/>
          <w:kern w:val="0"/>
          <w:sz w:val="24"/>
          <w:szCs w:val="21"/>
          <w:highlight w:val="none"/>
        </w:rPr>
        <w:t>所有投标人均应提供</w:t>
      </w:r>
      <w:r>
        <w:rPr>
          <w:rFonts w:hint="eastAsia" w:ascii="宋体" w:hAnsi="宋体" w:eastAsia="宋体" w:cs="宋体"/>
          <w:snapToGrid w:val="0"/>
          <w:color w:val="auto"/>
          <w:kern w:val="0"/>
          <w:sz w:val="24"/>
          <w:szCs w:val="22"/>
          <w:highlight w:val="none"/>
        </w:rPr>
        <w:t>”的组成内容（包括该组成内容的所附资料）中，任何一项有缺漏的；</w:t>
      </w:r>
    </w:p>
    <w:p w14:paraId="67C47407">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3</w:t>
      </w:r>
      <w:r>
        <w:rPr>
          <w:rFonts w:hint="eastAsia" w:ascii="宋体" w:hAnsi="宋体" w:eastAsia="宋体" w:cs="宋体"/>
          <w:snapToGrid w:val="0"/>
          <w:color w:val="auto"/>
          <w:kern w:val="0"/>
          <w:sz w:val="24"/>
          <w:szCs w:val="22"/>
          <w:highlight w:val="none"/>
        </w:rPr>
        <w:t>）关键字迹模糊、无法辨认，</w:t>
      </w:r>
      <w:r>
        <w:rPr>
          <w:rFonts w:hint="eastAsia" w:ascii="宋体" w:hAnsi="宋体" w:eastAsia="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eastAsia="宋体" w:cs="宋体"/>
          <w:snapToGrid w:val="0"/>
          <w:color w:val="auto"/>
          <w:kern w:val="0"/>
          <w:sz w:val="24"/>
          <w:szCs w:val="22"/>
          <w:highlight w:val="none"/>
        </w:rPr>
        <w:t>；出现手工涂改、行间插字或删除，但未加盖单位章或由投标人的法定代表人或其委托代理人签字确认的；</w:t>
      </w:r>
    </w:p>
    <w:p w14:paraId="3B567C29">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4</w:t>
      </w:r>
      <w:r>
        <w:rPr>
          <w:rFonts w:hint="eastAsia" w:ascii="宋体" w:hAnsi="宋体" w:eastAsia="宋体" w:cs="宋体"/>
          <w:snapToGrid w:val="0"/>
          <w:color w:val="auto"/>
          <w:kern w:val="0"/>
          <w:sz w:val="24"/>
          <w:szCs w:val="22"/>
          <w:highlight w:val="none"/>
        </w:rPr>
        <w:t>）投标文件未按规定签字、盖章的；</w:t>
      </w:r>
    </w:p>
    <w:p w14:paraId="630E5D64">
      <w:pPr>
        <w:pStyle w:val="5"/>
        <w:pageBreakBefore w:val="0"/>
        <w:kinsoku/>
        <w:overflowPunct/>
        <w:topLinePunct w:val="0"/>
        <w:autoSpaceDE/>
        <w:autoSpaceDN/>
        <w:bidi w:val="0"/>
        <w:adjustRightInd w:val="0"/>
        <w:snapToGrid/>
        <w:spacing w:before="200" w:beforeLines="0" w:beforeAutospacing="0" w:after="200" w:afterLines="0" w:afterAutospacing="0" w:line="240" w:lineRule="auto"/>
        <w:ind w:left="0" w:leftChars="0" w:right="0" w:rightChars="0" w:firstLine="0" w:firstLineChars="0"/>
        <w:jc w:val="left"/>
        <w:textAlignment w:val="auto"/>
        <w:outlineLvl w:val="2"/>
        <w:rPr>
          <w:rFonts w:hint="eastAsia" w:ascii="宋体" w:hAnsi="宋体" w:eastAsia="宋体" w:cs="宋体"/>
          <w:b/>
          <w:color w:val="auto"/>
          <w:sz w:val="24"/>
          <w:lang w:val="en-US" w:eastAsia="zh-CN"/>
        </w:rPr>
      </w:pPr>
      <w:bookmarkStart w:id="229" w:name="_Toc14105"/>
      <w:bookmarkStart w:id="230" w:name="_Toc29122"/>
      <w:bookmarkStart w:id="231" w:name="_Toc26983"/>
      <w:r>
        <w:rPr>
          <w:rFonts w:hint="eastAsia" w:ascii="宋体" w:hAnsi="宋体" w:eastAsia="宋体" w:cs="宋体"/>
          <w:b/>
          <w:color w:val="auto"/>
          <w:sz w:val="24"/>
          <w:lang w:val="en-US" w:eastAsia="zh-CN"/>
        </w:rPr>
        <w:t>3.响应性评审环节</w:t>
      </w:r>
      <w:bookmarkEnd w:id="229"/>
      <w:bookmarkEnd w:id="230"/>
      <w:bookmarkEnd w:id="231"/>
    </w:p>
    <w:p w14:paraId="28A4171F">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投标人有下列情形之一的，评标委员会应否决其投标。被否决的投标，不进入详细评审阶段。</w:t>
      </w:r>
    </w:p>
    <w:p w14:paraId="44E453C7">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bookmarkStart w:id="232" w:name="_Toc6331"/>
      <w:bookmarkStart w:id="233" w:name="_Toc19353"/>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1</w:t>
      </w:r>
      <w:r>
        <w:rPr>
          <w:rFonts w:hint="eastAsia" w:ascii="宋体" w:hAnsi="宋体" w:eastAsia="宋体" w:cs="宋体"/>
          <w:snapToGrid w:val="0"/>
          <w:color w:val="auto"/>
          <w:kern w:val="0"/>
          <w:sz w:val="24"/>
          <w:szCs w:val="22"/>
          <w:highlight w:val="none"/>
        </w:rPr>
        <w:t>）投标有效期、工期不符合规定的；擅自修改、遗漏《投标函》《各项承诺一览表》实质性内容的；</w:t>
      </w:r>
    </w:p>
    <w:p w14:paraId="737F08F2">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2</w:t>
      </w:r>
      <w:r>
        <w:rPr>
          <w:rFonts w:hint="eastAsia" w:ascii="宋体" w:hAnsi="宋体" w:eastAsia="宋体" w:cs="宋体"/>
          <w:snapToGrid w:val="0"/>
          <w:color w:val="auto"/>
          <w:kern w:val="0"/>
          <w:sz w:val="24"/>
          <w:szCs w:val="22"/>
          <w:highlight w:val="none"/>
        </w:rPr>
        <w:t>）出现两个或两个以上投标总价的（同一个投标总价大、小写不一致的除外）；投标总价超出最高投标限价的。</w:t>
      </w:r>
    </w:p>
    <w:p w14:paraId="439473D9">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3</w:t>
      </w:r>
      <w:r>
        <w:rPr>
          <w:rFonts w:hint="eastAsia" w:ascii="宋体" w:hAnsi="宋体" w:eastAsia="宋体" w:cs="宋体"/>
          <w:snapToGrid w:val="0"/>
          <w:color w:val="auto"/>
          <w:kern w:val="0"/>
          <w:sz w:val="24"/>
          <w:szCs w:val="22"/>
          <w:highlight w:val="none"/>
        </w:rPr>
        <w:t>）在技术标书评审中，评标委员会认定质量、保障措施与国家和省市现行有关规范、规定、标准有重大偏差，且该种过错将导致工程质量、进度管理目标无法实现的。</w:t>
      </w:r>
    </w:p>
    <w:p w14:paraId="2AFB8793">
      <w:pPr>
        <w:pStyle w:val="5"/>
        <w:pageBreakBefore w:val="0"/>
        <w:kinsoku/>
        <w:overflowPunct/>
        <w:topLinePunct w:val="0"/>
        <w:autoSpaceDE/>
        <w:autoSpaceDN/>
        <w:bidi w:val="0"/>
        <w:adjustRightInd w:val="0"/>
        <w:snapToGrid/>
        <w:spacing w:before="200" w:beforeLines="0" w:beforeAutospacing="0" w:after="200" w:afterLines="0" w:afterAutospacing="0" w:line="240" w:lineRule="auto"/>
        <w:ind w:left="0" w:leftChars="0" w:right="0" w:rightChars="0" w:firstLine="0" w:firstLineChars="0"/>
        <w:jc w:val="left"/>
        <w:textAlignment w:val="auto"/>
        <w:outlineLvl w:val="2"/>
        <w:rPr>
          <w:rFonts w:hint="eastAsia" w:ascii="宋体" w:hAnsi="宋体" w:eastAsia="宋体" w:cs="宋体"/>
          <w:b/>
          <w:color w:val="auto"/>
          <w:sz w:val="24"/>
          <w:lang w:val="en-US" w:eastAsia="zh-CN"/>
        </w:rPr>
      </w:pPr>
      <w:bookmarkStart w:id="234" w:name="_Toc10147"/>
      <w:r>
        <w:rPr>
          <w:rFonts w:hint="eastAsia" w:ascii="宋体" w:hAnsi="宋体" w:eastAsia="宋体" w:cs="宋体"/>
          <w:b/>
          <w:color w:val="auto"/>
          <w:sz w:val="24"/>
          <w:lang w:val="en-US" w:eastAsia="zh-CN"/>
        </w:rPr>
        <w:t>4.其他</w:t>
      </w:r>
      <w:bookmarkEnd w:id="232"/>
      <w:bookmarkEnd w:id="233"/>
      <w:bookmarkEnd w:id="234"/>
    </w:p>
    <w:p w14:paraId="2F9740C1">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8"/>
          <w:highlight w:val="none"/>
        </w:rPr>
      </w:pPr>
      <w:r>
        <w:rPr>
          <w:rFonts w:hint="eastAsia" w:ascii="宋体" w:hAnsi="宋体" w:eastAsia="宋体" w:cs="宋体"/>
          <w:snapToGrid w:val="0"/>
          <w:color w:val="auto"/>
          <w:kern w:val="0"/>
          <w:sz w:val="24"/>
          <w:szCs w:val="22"/>
          <w:highlight w:val="none"/>
        </w:rPr>
        <w:t>在任何评标环节（或阶段），投标人有下列情形之一的，评标委员会应否决其投标。</w:t>
      </w:r>
      <w:r>
        <w:rPr>
          <w:rFonts w:hint="eastAsia" w:ascii="宋体" w:hAnsi="宋体" w:eastAsia="宋体" w:cs="宋体"/>
          <w:snapToGrid w:val="0"/>
          <w:color w:val="auto"/>
          <w:kern w:val="0"/>
          <w:sz w:val="24"/>
          <w:szCs w:val="28"/>
          <w:highlight w:val="none"/>
        </w:rPr>
        <w:t>被否决的投标，不进入下一环节（或阶段）。</w:t>
      </w:r>
    </w:p>
    <w:p w14:paraId="07C5A419">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1</w:t>
      </w:r>
      <w:r>
        <w:rPr>
          <w:rFonts w:hint="eastAsia" w:ascii="宋体" w:hAnsi="宋体" w:eastAsia="宋体" w:cs="宋体"/>
          <w:snapToGrid w:val="0"/>
          <w:color w:val="auto"/>
          <w:kern w:val="0"/>
          <w:sz w:val="24"/>
          <w:szCs w:val="22"/>
          <w:highlight w:val="none"/>
        </w:rPr>
        <w:t>）不按评标委员会要求澄清、说明或补正的；</w:t>
      </w:r>
    </w:p>
    <w:p w14:paraId="6B83BDCC">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2</w:t>
      </w:r>
      <w:r>
        <w:rPr>
          <w:rFonts w:hint="eastAsia" w:ascii="宋体" w:hAnsi="宋体" w:eastAsia="宋体" w:cs="宋体"/>
          <w:snapToGrid w:val="0"/>
          <w:color w:val="auto"/>
          <w:kern w:val="0"/>
          <w:sz w:val="24"/>
          <w:szCs w:val="22"/>
          <w:highlight w:val="none"/>
        </w:rPr>
        <w:t>）有下列情形之一，被评标委员会认定属于串通投标的：</w:t>
      </w:r>
    </w:p>
    <w:p w14:paraId="66AD8A49">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①不同投标人的投标文件两处以上（含两处）错、漏一致；</w:t>
      </w:r>
    </w:p>
    <w:p w14:paraId="641768C5">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②不同投标人的投标各项报价存在异常一致或者呈规律性变化；</w:t>
      </w:r>
    </w:p>
    <w:p w14:paraId="4744A08C">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③不同投标人的投标文件由同一单位或者同一个人编制；</w:t>
      </w:r>
    </w:p>
    <w:p w14:paraId="67DAAC96">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④不同投标人的投标文件中投标资料（包括电子资料）相互混装或项目班子成员出现同一人；</w:t>
      </w:r>
    </w:p>
    <w:p w14:paraId="6BE4452A">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⑤不同投标人的投标文件由同一电脑编制；</w:t>
      </w:r>
    </w:p>
    <w:p w14:paraId="700E09D0">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⑥不同投标人的投标保证由同一企业或同一账户资金缴纳；</w:t>
      </w:r>
    </w:p>
    <w:p w14:paraId="5A32896E">
      <w:pPr>
        <w:keepNext w:val="0"/>
        <w:keepLines w:val="0"/>
        <w:pageBreakBefore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14:paraId="01F65CAF">
      <w:pPr>
        <w:rPr>
          <w:rStyle w:val="42"/>
          <w:rFonts w:hint="eastAsia" w:ascii="宋体" w:hAnsi="宋体" w:eastAsia="宋体" w:cs="宋体"/>
          <w:b/>
          <w:bCs/>
          <w:color w:val="auto"/>
          <w:sz w:val="32"/>
          <w:szCs w:val="21"/>
          <w:highlight w:val="none"/>
        </w:rPr>
      </w:pPr>
      <w:bookmarkStart w:id="235" w:name="_Toc2855"/>
      <w:r>
        <w:rPr>
          <w:rStyle w:val="42"/>
          <w:rFonts w:hint="eastAsia" w:ascii="宋体" w:hAnsi="宋体" w:eastAsia="宋体" w:cs="宋体"/>
          <w:b/>
          <w:bCs/>
          <w:color w:val="auto"/>
          <w:sz w:val="32"/>
          <w:szCs w:val="21"/>
          <w:highlight w:val="none"/>
        </w:rPr>
        <w:br w:type="page"/>
      </w:r>
    </w:p>
    <w:p w14:paraId="61A36C1C">
      <w:pPr>
        <w:pStyle w:val="3"/>
        <w:bidi w:val="0"/>
        <w:snapToGrid/>
        <w:spacing w:before="200" w:beforeAutospacing="0" w:after="200" w:afterLines="0" w:afterAutospacing="0" w:line="240" w:lineRule="auto"/>
        <w:ind w:left="0" w:leftChars="0" w:right="0" w:rightChars="0" w:firstLine="0" w:firstLineChars="0"/>
        <w:jc w:val="center"/>
        <w:outlineLvl w:val="0"/>
        <w:rPr>
          <w:rStyle w:val="42"/>
          <w:rFonts w:hint="eastAsia" w:ascii="宋体" w:hAnsi="宋体" w:eastAsia="宋体" w:cs="宋体"/>
          <w:b/>
          <w:bCs/>
          <w:color w:val="auto"/>
          <w:sz w:val="24"/>
          <w:szCs w:val="18"/>
          <w:highlight w:val="none"/>
        </w:rPr>
      </w:pPr>
      <w:r>
        <w:rPr>
          <w:rStyle w:val="42"/>
          <w:rFonts w:hint="eastAsia" w:ascii="宋体" w:hAnsi="宋体" w:eastAsia="宋体" w:cs="宋体"/>
          <w:b/>
          <w:bCs/>
          <w:color w:val="auto"/>
          <w:sz w:val="32"/>
          <w:szCs w:val="21"/>
          <w:highlight w:val="none"/>
        </w:rPr>
        <w:t>第</w:t>
      </w:r>
      <w:bookmarkStart w:id="236" w:name="_Hlt69669171"/>
      <w:bookmarkEnd w:id="236"/>
      <w:r>
        <w:rPr>
          <w:rStyle w:val="42"/>
          <w:rFonts w:hint="eastAsia" w:ascii="宋体" w:hAnsi="宋体" w:eastAsia="宋体" w:cs="宋体"/>
          <w:b/>
          <w:bCs/>
          <w:color w:val="auto"/>
          <w:sz w:val="32"/>
          <w:szCs w:val="21"/>
          <w:highlight w:val="none"/>
          <w:lang w:val="en-US" w:eastAsia="zh-CN"/>
        </w:rPr>
        <w:t>二</w:t>
      </w:r>
      <w:r>
        <w:rPr>
          <w:rStyle w:val="42"/>
          <w:rFonts w:hint="eastAsia" w:ascii="宋体" w:hAnsi="宋体" w:eastAsia="宋体" w:cs="宋体"/>
          <w:b/>
          <w:bCs/>
          <w:color w:val="auto"/>
          <w:sz w:val="32"/>
          <w:szCs w:val="21"/>
          <w:highlight w:val="none"/>
        </w:rPr>
        <w:t>章</w:t>
      </w:r>
      <w:bookmarkStart w:id="237" w:name="_Hlt87793839"/>
      <w:bookmarkEnd w:id="237"/>
      <w:r>
        <w:rPr>
          <w:rStyle w:val="42"/>
          <w:rFonts w:hint="eastAsia" w:ascii="宋体" w:hAnsi="宋体" w:eastAsia="宋体" w:cs="宋体"/>
          <w:b/>
          <w:bCs/>
          <w:color w:val="auto"/>
          <w:sz w:val="32"/>
          <w:szCs w:val="21"/>
          <w:highlight w:val="none"/>
        </w:rPr>
        <w:t xml:space="preserve"> 中标人须知</w:t>
      </w:r>
      <w:bookmarkEnd w:id="235"/>
    </w:p>
    <w:p w14:paraId="21618284">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szCs w:val="24"/>
          <w:highlight w:val="none"/>
        </w:rPr>
      </w:pPr>
      <w:bookmarkStart w:id="238" w:name="_Hlt69698776"/>
      <w:r>
        <w:rPr>
          <w:rFonts w:hint="eastAsia" w:ascii="宋体" w:hAnsi="宋体" w:eastAsia="宋体" w:cs="宋体"/>
          <w:b/>
          <w:snapToGrid w:val="0"/>
          <w:color w:val="auto"/>
          <w:kern w:val="0"/>
          <w:sz w:val="24"/>
          <w:szCs w:val="24"/>
          <w:highlight w:val="none"/>
        </w:rPr>
        <w:t>1．中标通知书</w:t>
      </w:r>
    </w:p>
    <w:p w14:paraId="38CF4F25">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7611B702">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2．中标结果公示</w:t>
      </w:r>
    </w:p>
    <w:p w14:paraId="5E53C757">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中标通知书发出后15日内，招标人应将中标结果在广东省招标投标监管网（http://zbtb.gd.gov.cn）及全国公共资源交易平台（广东省·韶关市）（https://ygp.gdzwfw.gov.cn/ggzy-portal/#/440200/index）进行公示。</w:t>
      </w:r>
    </w:p>
    <w:p w14:paraId="1190B6BD">
      <w:pPr>
        <w:pStyle w:val="196"/>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highlight w:val="none"/>
        </w:rPr>
      </w:pPr>
    </w:p>
    <w:p w14:paraId="3F8B728B">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rPr>
        <w:t>3．履约保证</w:t>
      </w:r>
    </w:p>
    <w:p w14:paraId="3410C698">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中标人须在领取中标通知书之日起</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个工作日内、签订合同前向招标人提交金额为中标价</w:t>
      </w:r>
      <w:r>
        <w:rPr>
          <w:rFonts w:hint="eastAsia" w:ascii="宋体" w:hAnsi="宋体" w:eastAsia="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的履约保证。</w:t>
      </w:r>
    </w:p>
    <w:p w14:paraId="675A54A8">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 履约保证的形式包括</w:t>
      </w:r>
      <w:r>
        <w:rPr>
          <w:rFonts w:hint="eastAsia" w:ascii="宋体" w:hAnsi="宋体" w:eastAsia="宋体" w:cs="宋体"/>
          <w:snapToGrid w:val="0"/>
          <w:color w:val="auto"/>
          <w:kern w:val="0"/>
          <w:sz w:val="24"/>
          <w:szCs w:val="24"/>
          <w:highlight w:val="none"/>
          <w:lang w:val="en-US" w:eastAsia="zh-CN"/>
        </w:rPr>
        <w:t>银行转账</w:t>
      </w:r>
      <w:r>
        <w:rPr>
          <w:rFonts w:hint="eastAsia" w:ascii="宋体" w:hAnsi="宋体" w:eastAsia="宋体" w:cs="宋体"/>
          <w:snapToGrid w:val="0"/>
          <w:color w:val="auto"/>
          <w:kern w:val="0"/>
          <w:sz w:val="24"/>
          <w:szCs w:val="24"/>
          <w:highlight w:val="none"/>
        </w:rPr>
        <w:t>、履约保证担保、履约保证保险三种，由中标人自主选择。</w:t>
      </w:r>
    </w:p>
    <w:p w14:paraId="64F37931">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3.3</w:t>
      </w:r>
      <w:r>
        <w:rPr>
          <w:rFonts w:hint="eastAsia" w:ascii="宋体" w:hAnsi="宋体" w:eastAsia="宋体" w:cs="宋体"/>
          <w:snapToGrid w:val="0"/>
          <w:color w:val="auto"/>
          <w:kern w:val="0"/>
          <w:sz w:val="24"/>
          <w:szCs w:val="24"/>
          <w:highlight w:val="none"/>
        </w:rPr>
        <w:t>履约保证</w:t>
      </w:r>
      <w:r>
        <w:rPr>
          <w:rFonts w:hint="eastAsia" w:ascii="宋体" w:hAnsi="宋体" w:eastAsia="宋体" w:cs="宋体"/>
          <w:snapToGrid w:val="0"/>
          <w:color w:val="auto"/>
          <w:kern w:val="0"/>
          <w:sz w:val="24"/>
          <w:szCs w:val="24"/>
          <w:highlight w:val="none"/>
          <w:lang w:val="en-US" w:eastAsia="zh-CN"/>
        </w:rPr>
        <w:t>的收缴及退回统一在</w:t>
      </w:r>
      <w:r>
        <w:rPr>
          <w:rFonts w:hint="eastAsia" w:ascii="宋体" w:hAnsi="宋体" w:eastAsia="宋体" w:cs="宋体"/>
          <w:snapToGrid w:val="0"/>
          <w:color w:val="auto"/>
          <w:kern w:val="0"/>
          <w:sz w:val="24"/>
          <w:szCs w:val="24"/>
          <w:highlight w:val="none"/>
          <w:lang w:eastAsia="zh-CN"/>
        </w:rPr>
        <w:t>韶关市公共资源一体化平台</w:t>
      </w:r>
      <w:r>
        <w:rPr>
          <w:rFonts w:hint="eastAsia" w:ascii="宋体" w:hAnsi="宋体" w:eastAsia="宋体" w:cs="宋体"/>
          <w:snapToGrid w:val="0"/>
          <w:color w:val="auto"/>
          <w:kern w:val="0"/>
          <w:sz w:val="24"/>
          <w:szCs w:val="24"/>
          <w:highlight w:val="none"/>
          <w:lang w:val="en-US" w:eastAsia="zh-CN"/>
        </w:rPr>
        <w:t>办理。</w:t>
      </w:r>
    </w:p>
    <w:p w14:paraId="1FFD9E9E">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3.4中标通知书发出时，招标人应登录</w:t>
      </w:r>
      <w:r>
        <w:rPr>
          <w:rFonts w:hint="eastAsia" w:ascii="宋体" w:hAnsi="宋体" w:eastAsia="宋体" w:cs="宋体"/>
          <w:snapToGrid w:val="0"/>
          <w:color w:val="auto"/>
          <w:kern w:val="0"/>
          <w:sz w:val="24"/>
          <w:szCs w:val="24"/>
          <w:highlight w:val="none"/>
          <w:lang w:eastAsia="zh-CN"/>
        </w:rPr>
        <w:t>韶关市公共资源一体化平台</w:t>
      </w:r>
      <w:r>
        <w:rPr>
          <w:rFonts w:hint="eastAsia" w:ascii="宋体" w:hAnsi="宋体" w:eastAsia="宋体" w:cs="宋体"/>
          <w:snapToGrid w:val="0"/>
          <w:color w:val="auto"/>
          <w:kern w:val="0"/>
          <w:sz w:val="24"/>
          <w:szCs w:val="24"/>
          <w:highlight w:val="none"/>
          <w:lang w:val="en-US" w:eastAsia="zh-CN"/>
        </w:rPr>
        <w:t>发起收缴</w:t>
      </w:r>
      <w:r>
        <w:rPr>
          <w:rFonts w:hint="eastAsia" w:ascii="宋体" w:hAnsi="宋体" w:eastAsia="宋体" w:cs="宋体"/>
          <w:snapToGrid w:val="0"/>
          <w:color w:val="auto"/>
          <w:kern w:val="0"/>
          <w:sz w:val="24"/>
          <w:szCs w:val="24"/>
          <w:highlight w:val="none"/>
        </w:rPr>
        <w:t>履约保证</w:t>
      </w:r>
      <w:r>
        <w:rPr>
          <w:rFonts w:hint="eastAsia" w:ascii="宋体" w:hAnsi="宋体" w:eastAsia="宋体" w:cs="宋体"/>
          <w:snapToGrid w:val="0"/>
          <w:color w:val="auto"/>
          <w:kern w:val="0"/>
          <w:sz w:val="24"/>
          <w:szCs w:val="24"/>
          <w:highlight w:val="none"/>
          <w:lang w:val="en-US" w:eastAsia="zh-CN"/>
        </w:rPr>
        <w:t>并填写保证金金额、缴交时限和项目工期。收缴信息推送至中标人账号中，向中标人收缴履约保证。</w:t>
      </w:r>
    </w:p>
    <w:p w14:paraId="7FD29A2D">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3.5中标人在允许的</w:t>
      </w:r>
      <w:r>
        <w:rPr>
          <w:rFonts w:hint="eastAsia" w:ascii="宋体" w:hAnsi="宋体" w:eastAsia="宋体" w:cs="宋体"/>
          <w:snapToGrid w:val="0"/>
          <w:color w:val="auto"/>
          <w:kern w:val="0"/>
          <w:sz w:val="24"/>
          <w:szCs w:val="24"/>
          <w:highlight w:val="none"/>
        </w:rPr>
        <w:t>履约保证</w:t>
      </w:r>
      <w:r>
        <w:rPr>
          <w:rFonts w:hint="eastAsia" w:ascii="宋体" w:hAnsi="宋体" w:eastAsia="宋体" w:cs="宋体"/>
          <w:snapToGrid w:val="0"/>
          <w:color w:val="auto"/>
          <w:kern w:val="0"/>
          <w:sz w:val="24"/>
          <w:szCs w:val="24"/>
          <w:highlight w:val="none"/>
          <w:lang w:val="en-US" w:eastAsia="zh-CN"/>
        </w:rPr>
        <w:t>缴纳形式中选择一种进行缴交。</w:t>
      </w:r>
    </w:p>
    <w:p w14:paraId="6554129B">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 xml:space="preserve">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14:paraId="53921504">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在项目实施过程中，如果承包人（即招标阶段的中标人，下同）由于自身的资金、技术、质量、非不可抗力等原因给发包人（即招标阶段的招标人，下同）造成经济损失，扣除相应履约保证。</w:t>
      </w:r>
    </w:p>
    <w:p w14:paraId="187646C9">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3.8</w:t>
      </w:r>
      <w:r>
        <w:rPr>
          <w:rFonts w:hint="eastAsia" w:ascii="宋体" w:hAnsi="宋体" w:eastAsia="宋体" w:cs="宋体"/>
          <w:snapToGrid w:val="0"/>
          <w:color w:val="auto"/>
          <w:kern w:val="0"/>
          <w:sz w:val="24"/>
          <w:szCs w:val="24"/>
          <w:highlight w:val="none"/>
        </w:rPr>
        <w:t>项目通过竣工验收</w:t>
      </w:r>
      <w:r>
        <w:rPr>
          <w:rFonts w:hint="eastAsia" w:ascii="宋体" w:hAnsi="宋体" w:eastAsia="宋体" w:cs="宋体"/>
          <w:snapToGrid w:val="0"/>
          <w:color w:val="auto"/>
          <w:kern w:val="0"/>
          <w:sz w:val="24"/>
          <w:szCs w:val="24"/>
          <w:highlight w:val="none"/>
          <w:lang w:val="en-US" w:eastAsia="zh-CN"/>
        </w:rPr>
        <w:t>后招标人应登录韶</w:t>
      </w:r>
      <w:r>
        <w:rPr>
          <w:rFonts w:hint="eastAsia" w:ascii="宋体" w:hAnsi="宋体" w:eastAsia="宋体" w:cs="宋体"/>
          <w:snapToGrid w:val="0"/>
          <w:color w:val="auto"/>
          <w:kern w:val="0"/>
          <w:sz w:val="24"/>
          <w:szCs w:val="24"/>
          <w:highlight w:val="none"/>
          <w:lang w:eastAsia="zh-CN"/>
        </w:rPr>
        <w:t>关市公共资源一体化平台</w:t>
      </w:r>
      <w:r>
        <w:rPr>
          <w:rFonts w:hint="eastAsia" w:ascii="宋体" w:hAnsi="宋体" w:eastAsia="宋体" w:cs="宋体"/>
          <w:snapToGrid w:val="0"/>
          <w:color w:val="auto"/>
          <w:kern w:val="0"/>
          <w:sz w:val="24"/>
          <w:szCs w:val="24"/>
          <w:highlight w:val="none"/>
          <w:lang w:val="en-US" w:eastAsia="zh-CN"/>
        </w:rPr>
        <w:t>进行履约保证退回操作，经招标人确认</w:t>
      </w:r>
      <w:r>
        <w:rPr>
          <w:rFonts w:hint="eastAsia" w:ascii="宋体" w:hAnsi="宋体" w:eastAsia="宋体" w:cs="宋体"/>
          <w:snapToGrid w:val="0"/>
          <w:color w:val="auto"/>
          <w:kern w:val="0"/>
          <w:sz w:val="24"/>
          <w:szCs w:val="24"/>
          <w:highlight w:val="none"/>
        </w:rPr>
        <w:t>竣工验收</w:t>
      </w:r>
      <w:r>
        <w:rPr>
          <w:rFonts w:hint="eastAsia" w:ascii="宋体" w:hAnsi="宋体" w:eastAsia="宋体" w:cs="宋体"/>
          <w:snapToGrid w:val="0"/>
          <w:color w:val="auto"/>
          <w:kern w:val="0"/>
          <w:sz w:val="24"/>
          <w:szCs w:val="24"/>
          <w:highlight w:val="none"/>
          <w:lang w:val="en-US" w:eastAsia="zh-CN"/>
        </w:rPr>
        <w:t>后履约保证退保信息会自动发送到交易中心财务中进行履约保证退回工作。</w:t>
      </w:r>
    </w:p>
    <w:p w14:paraId="7442A10E">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项目通过竣工验收之日后起28天内，招标人将履约保证退还给承包人。</w:t>
      </w:r>
    </w:p>
    <w:p w14:paraId="7CDB19CA">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lang w:val="en-US" w:eastAsia="zh-CN"/>
        </w:rPr>
      </w:pPr>
      <w:r>
        <w:rPr>
          <w:rFonts w:hint="eastAsia" w:ascii="宋体" w:hAnsi="宋体" w:eastAsia="宋体" w:cs="宋体"/>
          <w:snapToGrid w:val="0"/>
          <w:color w:val="auto"/>
          <w:kern w:val="0"/>
          <w:sz w:val="24"/>
          <w:szCs w:val="24"/>
          <w:highlight w:val="none"/>
          <w:lang w:val="en-US" w:eastAsia="zh-CN"/>
        </w:rPr>
        <w:t>3.10项目延期竣工的，中标人应登录</w:t>
      </w:r>
      <w:r>
        <w:rPr>
          <w:rFonts w:hint="eastAsia" w:ascii="宋体" w:hAnsi="宋体" w:eastAsia="宋体" w:cs="宋体"/>
          <w:snapToGrid w:val="0"/>
          <w:color w:val="auto"/>
          <w:kern w:val="0"/>
          <w:sz w:val="24"/>
          <w:szCs w:val="24"/>
          <w:highlight w:val="none"/>
          <w:lang w:eastAsia="zh-CN"/>
        </w:rPr>
        <w:t>韶关市公共资源一体化平台</w:t>
      </w:r>
      <w:r>
        <w:rPr>
          <w:rFonts w:hint="eastAsia" w:ascii="宋体" w:hAnsi="宋体" w:eastAsia="宋体" w:cs="宋体"/>
          <w:snapToGrid w:val="0"/>
          <w:color w:val="auto"/>
          <w:kern w:val="0"/>
          <w:sz w:val="24"/>
          <w:szCs w:val="24"/>
          <w:highlight w:val="none"/>
          <w:lang w:val="en-US" w:eastAsia="zh-CN"/>
        </w:rPr>
        <w:t>办理延长</w:t>
      </w:r>
      <w:r>
        <w:rPr>
          <w:rFonts w:hint="eastAsia" w:ascii="宋体" w:hAnsi="宋体" w:eastAsia="宋体" w:cs="宋体"/>
          <w:snapToGrid w:val="0"/>
          <w:color w:val="auto"/>
          <w:kern w:val="0"/>
          <w:sz w:val="24"/>
          <w:szCs w:val="24"/>
          <w:highlight w:val="none"/>
        </w:rPr>
        <w:t>履约保证</w:t>
      </w:r>
      <w:r>
        <w:rPr>
          <w:rFonts w:hint="eastAsia" w:ascii="宋体" w:hAnsi="宋体" w:eastAsia="宋体" w:cs="宋体"/>
          <w:snapToGrid w:val="0"/>
          <w:color w:val="auto"/>
          <w:kern w:val="0"/>
          <w:sz w:val="24"/>
          <w:szCs w:val="24"/>
          <w:highlight w:val="none"/>
          <w:lang w:val="en-US" w:eastAsia="zh-CN"/>
        </w:rPr>
        <w:t>期限。</w:t>
      </w:r>
    </w:p>
    <w:p w14:paraId="30CA03BF">
      <w:pPr>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bCs/>
          <w:color w:val="auto"/>
          <w:sz w:val="24"/>
          <w:szCs w:val="24"/>
          <w:highlight w:val="none"/>
        </w:rPr>
        <w:t>合同订立</w:t>
      </w:r>
    </w:p>
    <w:p w14:paraId="00206CFE">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招标人应当自中标通知书发出之日起</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日内，按照招标文件、中标人的投标文件与中标人订立书面合同。</w:t>
      </w:r>
    </w:p>
    <w:p w14:paraId="37AFBB2E">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本招标项目合同计价方式为：</w:t>
      </w:r>
      <w:r>
        <w:rPr>
          <w:rFonts w:hint="eastAsia" w:ascii="宋体" w:hAnsi="宋体" w:eastAsia="宋体" w:cs="宋体"/>
          <w:color w:val="auto"/>
          <w:sz w:val="24"/>
          <w:szCs w:val="24"/>
          <w:highlight w:val="none"/>
          <w:u w:val="single"/>
          <w:lang w:val="en-US" w:eastAsia="zh-CN"/>
        </w:rPr>
        <w:t>固定费率合同</w:t>
      </w:r>
      <w:r>
        <w:rPr>
          <w:rFonts w:hint="eastAsia" w:ascii="宋体" w:hAnsi="宋体" w:eastAsia="宋体" w:cs="宋体"/>
          <w:color w:val="auto"/>
          <w:sz w:val="24"/>
          <w:szCs w:val="24"/>
          <w:highlight w:val="none"/>
        </w:rPr>
        <w:t>。</w:t>
      </w:r>
    </w:p>
    <w:p w14:paraId="30A4CD9C">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14:paraId="3C65D077">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36A3273E">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4.5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14:paraId="5B0EFA49">
      <w:pPr>
        <w:adjustRightInd w:val="0"/>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5.放弃中标的处理</w:t>
      </w:r>
    </w:p>
    <w:p w14:paraId="72CEC7A2">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06B70B9C">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rPr>
      </w:pPr>
      <w:r>
        <w:rPr>
          <w:rFonts w:hint="eastAsia" w:ascii="宋体" w:hAnsi="宋体" w:eastAsia="宋体" w:cs="宋体"/>
          <w:bCs/>
          <w:color w:val="auto"/>
          <w:sz w:val="24"/>
          <w:szCs w:val="24"/>
          <w:highlight w:val="none"/>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bookmarkEnd w:id="238"/>
    <w:p w14:paraId="429D038F">
      <w:pPr>
        <w:adjustRightInd w:val="0"/>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24"/>
          <w:highlight w:val="none"/>
        </w:rPr>
      </w:pPr>
      <w:bookmarkStart w:id="239" w:name="_Toc5762"/>
      <w:r>
        <w:rPr>
          <w:rFonts w:hint="eastAsia" w:ascii="宋体" w:hAnsi="宋体" w:eastAsia="宋体" w:cs="宋体"/>
          <w:b/>
          <w:color w:val="auto"/>
          <w:sz w:val="24"/>
          <w:szCs w:val="24"/>
          <w:highlight w:val="none"/>
        </w:rPr>
        <w:t>6．</w:t>
      </w:r>
      <w:bookmarkEnd w:id="239"/>
      <w:bookmarkStart w:id="240" w:name="_Toc31321"/>
      <w:r>
        <w:rPr>
          <w:rFonts w:hint="eastAsia" w:ascii="宋体" w:hAnsi="宋体" w:eastAsia="宋体" w:cs="宋体"/>
          <w:b/>
          <w:color w:val="auto"/>
          <w:sz w:val="24"/>
          <w:szCs w:val="24"/>
          <w:highlight w:val="none"/>
        </w:rPr>
        <w:t>项目管理机构</w:t>
      </w:r>
      <w:bookmarkEnd w:id="240"/>
    </w:p>
    <w:p w14:paraId="71A3A24B">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承包人派驻的项目管理班子成员必须为其投标文件确定的人员，否则发包人有权终止合同。</w:t>
      </w:r>
    </w:p>
    <w:p w14:paraId="7EB66F6E">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 项目管理班子成员不得擅自变更。其中，投标文件确定的设计负责人除发生下列情形之一外，不得更换：</w:t>
      </w:r>
    </w:p>
    <w:p w14:paraId="19C36027">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（一）因重病或重伤（持有县、区以上医院证明）两个月以上不能履行职责的；</w:t>
      </w:r>
    </w:p>
    <w:p w14:paraId="0ABE0951">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（二）调离原工作单位的；</w:t>
      </w:r>
    </w:p>
    <w:p w14:paraId="40C82716">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（三）无能力履行合同的责任和义务，造成严重后果，建设单位要求更换的；</w:t>
      </w:r>
    </w:p>
    <w:p w14:paraId="423FE03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（四）因违法被责令停止执业的；</w:t>
      </w:r>
    </w:p>
    <w:p w14:paraId="00494185">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（五）因犯罪被羁押或判刑的；</w:t>
      </w:r>
    </w:p>
    <w:p w14:paraId="7FAF6EC8">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（六）死亡。</w:t>
      </w:r>
    </w:p>
    <w:p w14:paraId="7ED8935C">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负责人应与承包人的投标文件所确定的原设计负责人的主要条件一致。</w:t>
      </w:r>
    </w:p>
    <w:p w14:paraId="6E10DE54">
      <w:pPr>
        <w:adjustRightInd w:val="0"/>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24"/>
          <w:highlight w:val="none"/>
        </w:rPr>
      </w:pPr>
      <w:bookmarkStart w:id="241" w:name="_Toc12700"/>
      <w:r>
        <w:rPr>
          <w:rFonts w:hint="eastAsia" w:ascii="宋体" w:hAnsi="宋体" w:eastAsia="宋体" w:cs="宋体"/>
          <w:b/>
          <w:color w:val="auto"/>
          <w:sz w:val="24"/>
          <w:szCs w:val="24"/>
          <w:highlight w:val="none"/>
        </w:rPr>
        <w:t>7．监督实施</w:t>
      </w:r>
      <w:bookmarkEnd w:id="241"/>
    </w:p>
    <w:p w14:paraId="6317AD8D">
      <w:pPr>
        <w:pStyle w:val="196"/>
        <w:snapToGrid/>
        <w:spacing w:beforeAutospacing="0" w:afterAutospacing="0" w:line="360" w:lineRule="auto"/>
        <w:ind w:left="0" w:leftChars="0" w:right="0" w:rightChars="0" w:firstLine="480" w:firstLineChars="200"/>
        <w:jc w:val="left"/>
        <w:rPr>
          <w:rFonts w:hint="eastAsia" w:ascii="宋体" w:hAnsi="宋体" w:eastAsia="宋体" w:cs="宋体"/>
          <w:b/>
          <w:bCs/>
          <w:snapToGrid w:val="0"/>
          <w:color w:val="auto"/>
          <w:kern w:val="0"/>
          <w:sz w:val="24"/>
          <w:highlight w:val="none"/>
        </w:rPr>
      </w:pPr>
      <w:r>
        <w:rPr>
          <w:rFonts w:hint="eastAsia" w:ascii="宋体" w:hAnsi="宋体" w:eastAsia="宋体" w:cs="宋体"/>
          <w:b w:val="0"/>
          <w:snapToGrid w:val="0"/>
          <w:color w:val="auto"/>
          <w:kern w:val="0"/>
          <w:sz w:val="24"/>
          <w:highlight w:val="none"/>
        </w:rPr>
        <w:t>承包人须服从发包人对工程质量、进度、成本的全方位的监督，项目资料应及时报送招标人审查备案。</w:t>
      </w:r>
    </w:p>
    <w:p w14:paraId="2CB229F1">
      <w:pPr>
        <w:adjustRightInd w:val="0"/>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24"/>
          <w:highlight w:val="none"/>
        </w:rPr>
      </w:pPr>
      <w:bookmarkStart w:id="242" w:name="_Toc14276"/>
      <w:r>
        <w:rPr>
          <w:rFonts w:hint="eastAsia" w:ascii="宋体" w:hAnsi="宋体" w:eastAsia="宋体" w:cs="宋体"/>
          <w:b/>
          <w:color w:val="auto"/>
          <w:sz w:val="24"/>
          <w:szCs w:val="24"/>
          <w:highlight w:val="none"/>
        </w:rPr>
        <w:t>8 其他事项</w:t>
      </w:r>
      <w:bookmarkEnd w:id="242"/>
    </w:p>
    <w:p w14:paraId="2E4B923A">
      <w:pPr>
        <w:pStyle w:val="196"/>
        <w:snapToGrid/>
        <w:spacing w:beforeAutospacing="0" w:afterAutospacing="0" w:line="360" w:lineRule="auto"/>
        <w:ind w:left="0" w:leftChars="0" w:right="0" w:rightChars="0" w:firstLine="480" w:firstLineChars="200"/>
        <w:jc w:val="left"/>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8.1 中标人须在收到中标通知书之日</w:t>
      </w:r>
      <w:r>
        <w:rPr>
          <w:rFonts w:hint="eastAsia" w:ascii="宋体" w:hAnsi="宋体" w:eastAsia="宋体" w:cs="宋体"/>
          <w:b w:val="0"/>
          <w:snapToGrid w:val="0"/>
          <w:color w:val="auto"/>
          <w:kern w:val="0"/>
          <w:sz w:val="24"/>
          <w:highlight w:val="none"/>
          <w:lang w:val="en-US" w:eastAsia="zh-CN"/>
        </w:rPr>
        <w:t>七</w:t>
      </w:r>
      <w:r>
        <w:rPr>
          <w:rFonts w:hint="eastAsia" w:ascii="宋体" w:hAnsi="宋体" w:eastAsia="宋体" w:cs="宋体"/>
          <w:b w:val="0"/>
          <w:snapToGrid w:val="0"/>
          <w:color w:val="auto"/>
          <w:kern w:val="0"/>
          <w:sz w:val="24"/>
          <w:highlight w:val="none"/>
        </w:rPr>
        <w:t>天内向招标人提交各阶段详细的工期计划承诺书。</w:t>
      </w:r>
    </w:p>
    <w:p w14:paraId="19127D4D">
      <w:pPr>
        <w:pStyle w:val="196"/>
        <w:snapToGrid/>
        <w:spacing w:beforeAutospacing="0" w:afterAutospacing="0" w:line="360" w:lineRule="auto"/>
        <w:ind w:left="0" w:leftChars="0" w:right="0" w:rightChars="0" w:firstLine="480" w:firstLineChars="200"/>
        <w:jc w:val="left"/>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8.2中标人必须按照相关规定进行设计。</w:t>
      </w:r>
    </w:p>
    <w:p w14:paraId="30F05DBD">
      <w:pPr>
        <w:pStyle w:val="196"/>
        <w:snapToGrid/>
        <w:spacing w:beforeAutospacing="0" w:afterAutospacing="0" w:line="360" w:lineRule="auto"/>
        <w:ind w:left="0" w:leftChars="0" w:right="0" w:rightChars="0" w:firstLine="480" w:firstLineChars="200"/>
        <w:jc w:val="left"/>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w:t>
      </w:r>
      <w:r>
        <w:rPr>
          <w:rFonts w:hint="eastAsia" w:ascii="宋体" w:hAnsi="宋体" w:cs="宋体"/>
          <w:b w:val="0"/>
          <w:snapToGrid w:val="0"/>
          <w:color w:val="auto"/>
          <w:kern w:val="0"/>
          <w:sz w:val="24"/>
          <w:highlight w:val="none"/>
          <w:lang w:val="en-US" w:eastAsia="zh-CN"/>
        </w:rPr>
        <w:t>3</w:t>
      </w:r>
      <w:r>
        <w:rPr>
          <w:rFonts w:hint="eastAsia" w:ascii="宋体" w:hAnsi="宋体" w:eastAsia="宋体" w:cs="宋体"/>
          <w:b w:val="0"/>
          <w:snapToGrid w:val="0"/>
          <w:color w:val="auto"/>
          <w:kern w:val="0"/>
          <w:sz w:val="24"/>
          <w:highlight w:val="none"/>
        </w:rPr>
        <w:t>本项目各个阶段的设计成果必须经招标人及有关审批部门同意后方可进行下一工序的设计工作，设计工程中，中标人需对接市自然资源局、市交通局、市公安局及市政各职能部门了解相关设施的设计要求（如道路、给水、管网等），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0FF40D74">
      <w:pPr>
        <w:pStyle w:val="196"/>
        <w:snapToGrid/>
        <w:spacing w:beforeAutospacing="0" w:afterAutospacing="0" w:line="360" w:lineRule="auto"/>
        <w:ind w:left="0" w:leftChars="0" w:right="0" w:rightChars="0" w:firstLine="480" w:firstLineChars="200"/>
        <w:jc w:val="left"/>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rPr>
        <w:t>8.</w:t>
      </w:r>
      <w:r>
        <w:rPr>
          <w:rFonts w:hint="eastAsia" w:ascii="宋体" w:hAnsi="宋体" w:cs="宋体"/>
          <w:b w:val="0"/>
          <w:snapToGrid w:val="0"/>
          <w:color w:val="auto"/>
          <w:kern w:val="0"/>
          <w:sz w:val="24"/>
          <w:highlight w:val="none"/>
          <w:lang w:val="en-US" w:eastAsia="zh-CN"/>
        </w:rPr>
        <w:t>4</w:t>
      </w:r>
      <w:r>
        <w:rPr>
          <w:rFonts w:hint="eastAsia" w:ascii="宋体" w:hAnsi="宋体" w:eastAsia="宋体" w:cs="宋体"/>
          <w:b w:val="0"/>
          <w:snapToGrid w:val="0"/>
          <w:color w:val="auto"/>
          <w:kern w:val="0"/>
          <w:sz w:val="24"/>
          <w:highlight w:val="none"/>
        </w:rPr>
        <w:t xml:space="preserve"> 每一步设计工作必须经招标人及有关部门审核批准后方可进行下一步设计。中标人提交的施工图阶段的设计成果必须经招标人确认后，再送有资质的审图单位的进行审查</w:t>
      </w:r>
      <w:r>
        <w:rPr>
          <w:rFonts w:hint="eastAsia" w:ascii="宋体" w:hAnsi="宋体" w:eastAsia="宋体" w:cs="宋体"/>
          <w:b w:val="0"/>
          <w:snapToGrid w:val="0"/>
          <w:color w:val="auto"/>
          <w:kern w:val="0"/>
          <w:sz w:val="24"/>
          <w:highlight w:val="none"/>
          <w:lang w:eastAsia="zh-CN"/>
        </w:rPr>
        <w:t>（如需）</w:t>
      </w:r>
      <w:r>
        <w:rPr>
          <w:rFonts w:hint="eastAsia" w:ascii="宋体" w:hAnsi="宋体" w:eastAsia="宋体" w:cs="宋体"/>
          <w:b w:val="0"/>
          <w:snapToGrid w:val="0"/>
          <w:color w:val="auto"/>
          <w:kern w:val="0"/>
          <w:sz w:val="24"/>
          <w:highlight w:val="none"/>
        </w:rPr>
        <w:t>，若由于招标人和审图单位在审查过程中提出的设计修改或变更，中标人必须无条件进行修改或优化设计，招标人不再支付由此而增加的设计费用。</w:t>
      </w:r>
    </w:p>
    <w:p w14:paraId="7BD9257B">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义务</w:t>
      </w:r>
    </w:p>
    <w:p w14:paraId="4F4584B9">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.1</w:t>
      </w:r>
      <w:r>
        <w:rPr>
          <w:rFonts w:hint="eastAsia" w:ascii="宋体" w:hAnsi="宋体" w:eastAsia="宋体" w:cs="宋体"/>
          <w:b w:val="0"/>
          <w:bCs w:val="0"/>
          <w:color w:val="auto"/>
          <w:sz w:val="24"/>
          <w:szCs w:val="24"/>
        </w:rPr>
        <w:t>合同生效后，</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要求终止或解除合同视为</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违约，扣除履约保证金。</w:t>
      </w:r>
    </w:p>
    <w:p w14:paraId="159A93DA">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.2</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负责按照合同规定承包范围、内容和方式，在规定时间内提交满足规定质量要求的设计成果，并完成约定的服务内容。</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交付设计文件后，按规定参加有关的设计审查，并根据审查结论负责不超出原定范围的内容做必要调整补充。</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按合同规定时限交付设计文件，负责向发包人及施工单位进行设计交底、处理有关设计问题和参加竣工验收。施工过程中负责有关工程变更的变更设计。</w:t>
      </w:r>
    </w:p>
    <w:p w14:paraId="57C54B87">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.3</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应对发包人提供的文件、资料进行认真研究，对本项目的特点和不确定因素进行认真考虑，并提出合理建议和评价,对影响设计稳定的重大问题要进行多方案比较选择。</w:t>
      </w:r>
    </w:p>
    <w:p w14:paraId="49C634ED">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.4</w:t>
      </w:r>
      <w:r>
        <w:rPr>
          <w:rFonts w:hint="eastAsia" w:ascii="宋体" w:hAnsi="宋体" w:eastAsia="宋体" w:cs="宋体"/>
          <w:b w:val="0"/>
          <w:bCs w:val="0"/>
          <w:color w:val="auto"/>
          <w:sz w:val="24"/>
          <w:szCs w:val="24"/>
        </w:rPr>
        <w:t>设计应尽可能减少施工难度，为施工创造方便合理的施工条件；应尽量减少施工对城市交通、市民生活以及水利、通航的干扰，并尽可能减少对施工期的影响。</w:t>
      </w:r>
    </w:p>
    <w:p w14:paraId="6B958E04">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.5</w:t>
      </w:r>
      <w:r>
        <w:rPr>
          <w:rFonts w:hint="eastAsia" w:ascii="宋体" w:hAnsi="宋体" w:eastAsia="宋体" w:cs="宋体"/>
          <w:b w:val="0"/>
          <w:bCs w:val="0"/>
          <w:color w:val="auto"/>
          <w:sz w:val="24"/>
          <w:szCs w:val="24"/>
        </w:rPr>
        <w:t>未经发包人书面同意，</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不得对已批准的设计和勘探点布置方案作重大修改、增减或删除。</w:t>
      </w:r>
    </w:p>
    <w:p w14:paraId="0312E3E4">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.6</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提交的全部设计文件应考虑地质因素、正常施工中可能出现的各种因素，对设计文件出现的遗漏或错误负责修改或补充。</w:t>
      </w:r>
    </w:p>
    <w:p w14:paraId="1B7B1667">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.7</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承诺在交付项目的部分或全部设计文件后，如有更好的新工艺、新技术、新材料、新设备等适用于本项目，应及时向发包人推荐并提供科学的评估和来源证明。</w:t>
      </w:r>
    </w:p>
    <w:p w14:paraId="72B25FE9">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.8</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应委派1名参与并熟悉本项目设计、有现场处理经验的设计代表常驻项目现场。</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应为派驻现场的设计工作人员提供工作、生活及交通等方面的便利条件及准备必要的劳动保护装备。在正常施工阶段，每月应保证最少20天在现场。</w:t>
      </w:r>
    </w:p>
    <w:p w14:paraId="12352F51">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.9</w:t>
      </w:r>
      <w:r>
        <w:rPr>
          <w:rFonts w:hint="eastAsia" w:ascii="宋体" w:hAnsi="宋体" w:eastAsia="宋体" w:cs="宋体"/>
          <w:b w:val="0"/>
          <w:bCs w:val="0"/>
          <w:color w:val="auto"/>
          <w:sz w:val="24"/>
          <w:szCs w:val="24"/>
        </w:rPr>
        <w:t>设计限额为经发包人确定的本项目概算中的建安费。发包人据此制定投资分解目标，实行限额设计。在保证设计质量的前提下，设计人应按投资限额进行设计，严格控制设计变更，确保工程概算不突破限额目标。施工图预算不得超过区发改部门批复的概算中建安费限额，如超过则必须根据评审专家和招标人的意见，进行方案修改，并承诺该修改不改变有关设计和规划的原则、内容与要求，不改变原方案设计的构思，不降低使用功能与设计质量标准，无条件进行优化设计，直至不超过概算限额为止。</w:t>
      </w:r>
    </w:p>
    <w:p w14:paraId="7894F5C9">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val="0"/>
          <w:snapToGrid w:val="0"/>
          <w:color w:val="auto"/>
          <w:kern w:val="0"/>
          <w:sz w:val="24"/>
          <w:lang w:val="en-US" w:eastAsia="zh-CN"/>
        </w:rPr>
        <w:t>8.</w:t>
      </w:r>
      <w:r>
        <w:rPr>
          <w:rFonts w:hint="eastAsia" w:ascii="宋体" w:hAnsi="宋体" w:cs="宋体"/>
          <w:b w:val="0"/>
          <w:bCs w:val="0"/>
          <w:snapToGrid w:val="0"/>
          <w:color w:val="auto"/>
          <w:kern w:val="0"/>
          <w:sz w:val="24"/>
          <w:lang w:val="en-US" w:eastAsia="zh-CN"/>
        </w:rPr>
        <w:t>5</w:t>
      </w:r>
      <w:r>
        <w:rPr>
          <w:rFonts w:hint="eastAsia" w:ascii="宋体" w:hAnsi="宋体" w:eastAsia="宋体" w:cs="宋体"/>
          <w:b w:val="0"/>
          <w:bCs w:val="0"/>
          <w:snapToGrid w:val="0"/>
          <w:color w:val="auto"/>
          <w:kern w:val="0"/>
          <w:sz w:val="24"/>
        </w:rPr>
        <w:t>.10</w:t>
      </w:r>
      <w:r>
        <w:rPr>
          <w:rFonts w:hint="eastAsia" w:ascii="宋体" w:hAnsi="宋体" w:eastAsia="宋体" w:cs="宋体"/>
          <w:b w:val="0"/>
          <w:bCs w:val="0"/>
          <w:color w:val="auto"/>
          <w:sz w:val="24"/>
          <w:szCs w:val="24"/>
        </w:rPr>
        <w:t>发包人及咨询单位、上级主管部门对设计文件的审查并不免除</w:t>
      </w:r>
      <w:r>
        <w:rPr>
          <w:rFonts w:hint="eastAsia" w:ascii="宋体" w:hAnsi="宋体" w:cs="宋体"/>
          <w:b w:val="0"/>
          <w:bCs w:val="0"/>
          <w:color w:val="auto"/>
          <w:sz w:val="24"/>
          <w:szCs w:val="24"/>
          <w:lang w:eastAsia="zh-CN"/>
        </w:rPr>
        <w:t>设计人</w:t>
      </w:r>
      <w:r>
        <w:rPr>
          <w:rFonts w:hint="eastAsia" w:ascii="宋体" w:hAnsi="宋体" w:eastAsia="宋体" w:cs="宋体"/>
          <w:b w:val="0"/>
          <w:bCs w:val="0"/>
          <w:color w:val="auto"/>
          <w:sz w:val="24"/>
          <w:szCs w:val="24"/>
        </w:rPr>
        <w:t>的责任。</w:t>
      </w:r>
    </w:p>
    <w:p w14:paraId="2FA87BC5">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lang w:eastAsia="zh-CN"/>
        </w:rPr>
      </w:pPr>
    </w:p>
    <w:p w14:paraId="70C66423">
      <w:pPr>
        <w:snapToGrid/>
        <w:spacing w:beforeAutospacing="0" w:afterAutospacing="0" w:line="360" w:lineRule="auto"/>
        <w:ind w:left="0" w:leftChars="0" w:right="0" w:rightChars="0" w:firstLine="480" w:firstLineChars="200"/>
        <w:jc w:val="left"/>
        <w:rPr>
          <w:rFonts w:hint="eastAsia" w:ascii="宋体" w:hAnsi="宋体" w:eastAsia="宋体" w:cs="宋体"/>
          <w:b w:val="0"/>
          <w:snapToGrid w:val="0"/>
          <w:color w:val="auto"/>
          <w:kern w:val="0"/>
          <w:sz w:val="24"/>
          <w:highlight w:val="none"/>
          <w:lang w:eastAsia="zh-CN"/>
        </w:rPr>
      </w:pPr>
    </w:p>
    <w:p w14:paraId="67B7C031">
      <w:pPr>
        <w:snapToGrid/>
        <w:spacing w:beforeAutospacing="0" w:afterAutospacing="0" w:line="360" w:lineRule="auto"/>
        <w:ind w:left="0" w:leftChars="0" w:right="0" w:rightChars="0" w:firstLine="480" w:firstLineChars="200"/>
        <w:jc w:val="left"/>
        <w:rPr>
          <w:rFonts w:hint="eastAsia" w:ascii="宋体" w:hAnsi="宋体" w:eastAsia="宋体" w:cs="宋体"/>
          <w:b w:val="0"/>
          <w:snapToGrid w:val="0"/>
          <w:color w:val="auto"/>
          <w:kern w:val="0"/>
          <w:sz w:val="24"/>
          <w:highlight w:val="none"/>
          <w:lang w:eastAsia="zh-CN"/>
        </w:rPr>
      </w:pPr>
    </w:p>
    <w:p w14:paraId="478C5BDC">
      <w:pPr>
        <w:pStyle w:val="3"/>
        <w:bidi w:val="0"/>
        <w:snapToGrid/>
        <w:spacing w:before="200" w:beforeAutospacing="0" w:after="200" w:afterLines="0" w:afterAutospacing="0" w:line="240" w:lineRule="auto"/>
        <w:ind w:left="0" w:leftChars="0" w:right="0" w:rightChars="0" w:firstLine="0" w:firstLineChars="0"/>
        <w:jc w:val="center"/>
        <w:outlineLvl w:val="0"/>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br w:type="page"/>
      </w:r>
      <w:bookmarkStart w:id="243" w:name="_Toc17439"/>
      <w:r>
        <w:rPr>
          <w:rFonts w:hint="eastAsia" w:ascii="宋体" w:hAnsi="宋体" w:eastAsia="宋体" w:cs="宋体"/>
          <w:b/>
          <w:color w:val="auto"/>
          <w:sz w:val="32"/>
          <w:szCs w:val="22"/>
          <w:lang w:val="en-US" w:eastAsia="zh-CN"/>
        </w:rPr>
        <w:t>第三章</w:t>
      </w:r>
      <w:bookmarkStart w:id="244" w:name="_Hlt87793831"/>
      <w:bookmarkEnd w:id="244"/>
      <w:r>
        <w:rPr>
          <w:rFonts w:hint="eastAsia" w:ascii="宋体" w:hAnsi="宋体" w:eastAsia="宋体" w:cs="宋体"/>
          <w:b/>
          <w:color w:val="auto"/>
          <w:sz w:val="32"/>
          <w:szCs w:val="22"/>
          <w:lang w:val="en-US" w:eastAsia="zh-CN"/>
        </w:rPr>
        <w:t xml:space="preserve"> </w:t>
      </w:r>
      <w:bookmarkEnd w:id="208"/>
      <w:r>
        <w:rPr>
          <w:rFonts w:hint="eastAsia" w:ascii="宋体" w:hAnsi="宋体" w:eastAsia="宋体" w:cs="宋体"/>
          <w:b/>
          <w:color w:val="auto"/>
          <w:sz w:val="32"/>
          <w:szCs w:val="22"/>
          <w:lang w:val="en-US" w:eastAsia="zh-CN"/>
        </w:rPr>
        <w:t>拟签订合同的主要条款</w:t>
      </w:r>
      <w:bookmarkEnd w:id="243"/>
    </w:p>
    <w:bookmarkEnd w:id="209"/>
    <w:bookmarkEnd w:id="210"/>
    <w:p w14:paraId="407077C8">
      <w:pPr>
        <w:pStyle w:val="5"/>
        <w:bidi w:val="0"/>
        <w:snapToGrid/>
        <w:spacing w:before="0" w:beforeLines="0" w:beforeAutospacing="0" w:after="0" w:afterLines="0" w:afterAutospacing="0" w:line="360" w:lineRule="auto"/>
        <w:ind w:left="0" w:leftChars="0" w:right="0" w:rightChars="0" w:firstLine="482" w:firstLineChars="200"/>
        <w:jc w:val="left"/>
        <w:rPr>
          <w:rFonts w:hint="eastAsia" w:ascii="宋体" w:hAnsi="宋体" w:eastAsia="宋体" w:cs="宋体"/>
          <w:color w:val="auto"/>
          <w:sz w:val="24"/>
        </w:rPr>
      </w:pPr>
      <w:bookmarkStart w:id="245" w:name="_Toc71813711"/>
      <w:bookmarkStart w:id="246" w:name="_Toc71811188"/>
      <w:bookmarkStart w:id="247" w:name="_Toc9692"/>
      <w:bookmarkStart w:id="248" w:name="_Toc18268"/>
      <w:bookmarkStart w:id="249" w:name="_Toc371968727"/>
      <w:bookmarkStart w:id="250" w:name="_Toc143765509"/>
      <w:bookmarkStart w:id="251" w:name="_Toc353462320"/>
      <w:bookmarkStart w:id="252" w:name="_Toc71811321"/>
      <w:bookmarkStart w:id="253" w:name="_Toc24616749"/>
      <w:bookmarkStart w:id="254" w:name="_Toc353462211"/>
      <w:bookmarkStart w:id="255" w:name="_Toc143766475"/>
      <w:bookmarkStart w:id="256" w:name="_Toc24315"/>
      <w:bookmarkStart w:id="257" w:name="_Hlt69698722"/>
      <w:bookmarkStart w:id="258" w:name="_Hlt69698741"/>
      <w:bookmarkStart w:id="259" w:name="_Hlt87951777"/>
      <w:bookmarkStart w:id="260" w:name="_Hlt69698769"/>
      <w:bookmarkStart w:id="261" w:name="_Toc26730"/>
      <w:r>
        <w:rPr>
          <w:rFonts w:hint="eastAsia" w:ascii="宋体" w:hAnsi="宋体" w:eastAsia="宋体" w:cs="宋体"/>
          <w:color w:val="auto"/>
          <w:sz w:val="24"/>
        </w:rPr>
        <w:t>1.承包方式</w:t>
      </w:r>
      <w:bookmarkEnd w:id="245"/>
      <w:bookmarkEnd w:id="246"/>
      <w:bookmarkEnd w:id="247"/>
      <w:bookmarkEnd w:id="248"/>
      <w:bookmarkEnd w:id="249"/>
      <w:bookmarkEnd w:id="250"/>
      <w:bookmarkEnd w:id="251"/>
      <w:bookmarkEnd w:id="252"/>
      <w:bookmarkEnd w:id="253"/>
      <w:bookmarkEnd w:id="254"/>
      <w:bookmarkEnd w:id="255"/>
      <w:bookmarkEnd w:id="256"/>
    </w:p>
    <w:p w14:paraId="77E7F78D">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bookmarkStart w:id="262" w:name="_Hlt112206782"/>
      <w:bookmarkEnd w:id="262"/>
      <w:bookmarkStart w:id="263" w:name="_Toc19364"/>
      <w:bookmarkStart w:id="264" w:name="_Toc143765510"/>
      <w:bookmarkStart w:id="265" w:name="_Toc371968728"/>
      <w:bookmarkStart w:id="266" w:name="_Toc353462321"/>
      <w:bookmarkStart w:id="267" w:name="_Toc353462212"/>
      <w:bookmarkStart w:id="268" w:name="_Toc143766476"/>
      <w:bookmarkStart w:id="269" w:name="_Toc24616750"/>
      <w:r>
        <w:rPr>
          <w:rFonts w:hint="eastAsia" w:ascii="宋体" w:hAnsi="宋体" w:eastAsia="宋体" w:cs="宋体"/>
          <w:color w:val="auto"/>
          <w:sz w:val="24"/>
          <w:szCs w:val="24"/>
          <w:highlight w:val="none"/>
        </w:rPr>
        <w:t>中标人以中标价按合同约定和招标文件内容要求，法律法规及国家强制性标准要求，提供完整的最新工程地形图、初步设计及概算、施工图设计文件和建设期的服务内容。双方约束内容以实际签订合同为准。</w:t>
      </w:r>
      <w:bookmarkEnd w:id="263"/>
      <w:bookmarkEnd w:id="264"/>
      <w:bookmarkEnd w:id="265"/>
      <w:bookmarkEnd w:id="266"/>
      <w:bookmarkEnd w:id="267"/>
      <w:bookmarkEnd w:id="268"/>
      <w:bookmarkEnd w:id="269"/>
      <w:bookmarkStart w:id="270" w:name="_Toc71811322"/>
      <w:bookmarkStart w:id="271" w:name="_Toc71813712"/>
      <w:bookmarkStart w:id="272" w:name="_Toc71811189"/>
    </w:p>
    <w:p w14:paraId="7F6EFD5B">
      <w:pPr>
        <w:pStyle w:val="5"/>
        <w:bidi w:val="0"/>
        <w:snapToGrid/>
        <w:spacing w:before="0" w:beforeLines="0" w:beforeAutospacing="0" w:after="0" w:afterLines="0" w:afterAutospacing="0" w:line="360" w:lineRule="auto"/>
        <w:ind w:left="0" w:leftChars="0" w:right="0" w:rightChars="0" w:firstLine="482" w:firstLineChars="200"/>
        <w:jc w:val="left"/>
        <w:rPr>
          <w:rFonts w:hint="eastAsia" w:ascii="宋体" w:hAnsi="宋体" w:eastAsia="宋体" w:cs="宋体"/>
          <w:color w:val="auto"/>
          <w:sz w:val="24"/>
        </w:rPr>
      </w:pPr>
      <w:bookmarkStart w:id="273" w:name="_Toc11846"/>
      <w:bookmarkStart w:id="274" w:name="_Toc29994"/>
      <w:r>
        <w:rPr>
          <w:rFonts w:hint="eastAsia" w:ascii="宋体" w:hAnsi="宋体" w:eastAsia="宋体" w:cs="宋体"/>
          <w:color w:val="auto"/>
          <w:sz w:val="24"/>
        </w:rPr>
        <w:t>2.合同价款支付办法</w:t>
      </w:r>
      <w:bookmarkEnd w:id="270"/>
      <w:bookmarkEnd w:id="271"/>
      <w:bookmarkEnd w:id="272"/>
      <w:bookmarkEnd w:id="273"/>
      <w:bookmarkEnd w:id="274"/>
    </w:p>
    <w:p w14:paraId="503ED7BF">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项目分期进行实施，</w:t>
      </w:r>
      <w:r>
        <w:rPr>
          <w:rFonts w:hint="eastAsia" w:ascii="宋体" w:hAnsi="宋体" w:eastAsia="宋体" w:cs="宋体"/>
          <w:color w:val="auto"/>
          <w:sz w:val="24"/>
          <w:szCs w:val="24"/>
        </w:rPr>
        <w:t>各期的实施进度要求不同，合同价款采取按实际进度分期分别支付，各期支付办法如下：</w:t>
      </w:r>
    </w:p>
    <w:p w14:paraId="16D8E8B2">
      <w:pPr>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2.1</w:t>
      </w:r>
      <w:r>
        <w:rPr>
          <w:rFonts w:hint="eastAsia" w:ascii="宋体" w:hAnsi="宋体" w:eastAsia="宋体" w:cs="宋体"/>
          <w:color w:val="auto"/>
          <w:sz w:val="24"/>
          <w:szCs w:val="24"/>
        </w:rPr>
        <w:t xml:space="preserve">  设计费的支付：</w:t>
      </w:r>
    </w:p>
    <w:p w14:paraId="73E15DAA">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（1）本招标项目不支付设计预付款；</w:t>
      </w:r>
    </w:p>
    <w:p w14:paraId="4A77BBDF">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（2）出具初步设计文件（含概算）经审查并修编完成后10个工作日内支付至该期设计费合同价款的40%（该期设计费合同价款的40%=该期</w:t>
      </w:r>
      <w:r>
        <w:rPr>
          <w:rFonts w:hint="eastAsia" w:ascii="宋体" w:hAnsi="宋体" w:eastAsia="宋体" w:cs="宋体"/>
          <w:color w:val="auto"/>
          <w:sz w:val="24"/>
          <w:szCs w:val="24"/>
          <w:lang w:val="en-US" w:eastAsia="zh-CN"/>
        </w:rPr>
        <w:t>武江区发改局审定的概算建安费</w:t>
      </w:r>
      <w:r>
        <w:rPr>
          <w:rFonts w:hint="eastAsia" w:ascii="宋体" w:hAnsi="宋体" w:eastAsia="宋体" w:cs="宋体"/>
          <w:color w:val="auto"/>
          <w:sz w:val="24"/>
          <w:szCs w:val="24"/>
        </w:rPr>
        <w:t>×中标费率×</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w:t>
      </w:r>
    </w:p>
    <w:p w14:paraId="1FE8FEA8">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（3）出具设计施工图文件，经有资质的施工图审核单位审查合格并修编完成后，且经</w:t>
      </w:r>
      <w:r>
        <w:rPr>
          <w:rFonts w:hint="eastAsia" w:ascii="宋体" w:hAnsi="宋体" w:eastAsia="宋体" w:cs="宋体"/>
          <w:color w:val="auto"/>
          <w:sz w:val="24"/>
        </w:rPr>
        <w:t>武江区财政局投资评审中心</w:t>
      </w:r>
      <w:r>
        <w:rPr>
          <w:rFonts w:hint="eastAsia" w:ascii="宋体" w:hAnsi="宋体" w:eastAsia="宋体" w:cs="宋体"/>
          <w:color w:val="auto"/>
          <w:sz w:val="24"/>
          <w:szCs w:val="24"/>
        </w:rPr>
        <w:t>审定预算价（招标控制价）后，10个工作日内支付至该期审定的预算价（招标控制价）乘以中标费率的80%</w:t>
      </w:r>
      <w:r>
        <w:rPr>
          <w:rFonts w:hint="eastAsia" w:ascii="宋体" w:hAnsi="宋体" w:eastAsia="宋体" w:cs="宋体"/>
          <w:color w:val="auto"/>
          <w:sz w:val="24"/>
          <w:szCs w:val="24"/>
          <w:lang w:val="en-US" w:eastAsia="zh-CN"/>
        </w:rPr>
        <w:t>（支付时需扣除已支付的</w:t>
      </w:r>
      <w:r>
        <w:rPr>
          <w:rFonts w:hint="eastAsia" w:ascii="宋体" w:hAnsi="宋体" w:eastAsia="宋体" w:cs="宋体"/>
          <w:color w:val="auto"/>
          <w:sz w:val="24"/>
          <w:szCs w:val="24"/>
        </w:rPr>
        <w:t>该期设计费合同价款的40%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p>
    <w:p w14:paraId="1FF347C3">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r>
        <w:rPr>
          <w:rFonts w:hint="eastAsia" w:ascii="宋体" w:hAnsi="宋体" w:eastAsia="宋体" w:cs="宋体"/>
          <w:color w:val="auto"/>
          <w:sz w:val="24"/>
          <w:szCs w:val="24"/>
        </w:rPr>
        <w:t>（4）本工程竣工验收合格交付使用后，10个工作日内支付至该期设计费结算价款的100%</w:t>
      </w:r>
      <w:r>
        <w:rPr>
          <w:rFonts w:hint="eastAsia" w:ascii="宋体" w:hAnsi="宋体" w:eastAsia="宋体" w:cs="宋体"/>
          <w:color w:val="auto"/>
          <w:sz w:val="24"/>
        </w:rPr>
        <w:t>（不计利息）</w:t>
      </w:r>
      <w:r>
        <w:rPr>
          <w:rFonts w:hint="eastAsia" w:ascii="宋体" w:hAnsi="宋体" w:eastAsia="宋体" w:cs="宋体"/>
          <w:color w:val="auto"/>
          <w:sz w:val="24"/>
          <w:szCs w:val="24"/>
        </w:rPr>
        <w:t>。</w:t>
      </w:r>
    </w:p>
    <w:p w14:paraId="57E9BD50">
      <w:pPr>
        <w:pStyle w:val="5"/>
        <w:bidi w:val="0"/>
        <w:snapToGrid/>
        <w:spacing w:before="0" w:beforeLines="0" w:beforeAutospacing="0" w:after="0" w:afterLines="0" w:afterAutospacing="0" w:line="360" w:lineRule="auto"/>
        <w:ind w:left="0" w:leftChars="0" w:right="0" w:rightChars="0" w:firstLine="482" w:firstLineChars="200"/>
        <w:jc w:val="left"/>
        <w:rPr>
          <w:rFonts w:hint="eastAsia" w:ascii="宋体" w:hAnsi="宋体" w:eastAsia="宋体" w:cs="宋体"/>
          <w:color w:val="auto"/>
          <w:sz w:val="24"/>
          <w:lang w:val="en-US" w:eastAsia="zh-CN"/>
        </w:rPr>
      </w:pPr>
      <w:bookmarkStart w:id="275" w:name="_Toc16659"/>
      <w:bookmarkStart w:id="276" w:name="_Toc2414"/>
      <w:bookmarkStart w:id="277" w:name="_Toc26766"/>
      <w:bookmarkStart w:id="278" w:name="_Toc21984"/>
      <w:bookmarkStart w:id="279" w:name="_Toc6753"/>
      <w:bookmarkStart w:id="280" w:name="_Toc1175"/>
      <w:r>
        <w:rPr>
          <w:rFonts w:hint="eastAsia" w:ascii="宋体" w:hAnsi="宋体" w:eastAsia="宋体" w:cs="宋体"/>
          <w:color w:val="auto"/>
          <w:sz w:val="24"/>
          <w:lang w:val="en-US" w:eastAsia="zh-CN"/>
        </w:rPr>
        <w:t>3．</w:t>
      </w:r>
      <w:bookmarkStart w:id="281" w:name="_Hlt66593437"/>
      <w:bookmarkEnd w:id="281"/>
      <w:bookmarkStart w:id="282" w:name="_Hlt70150985"/>
      <w:bookmarkEnd w:id="282"/>
      <w:bookmarkStart w:id="283" w:name="_Hlt69700007"/>
      <w:bookmarkEnd w:id="283"/>
      <w:bookmarkStart w:id="284" w:name="_Hlt66608388"/>
      <w:bookmarkEnd w:id="284"/>
      <w:bookmarkStart w:id="285" w:name="_Hlt69669774"/>
      <w:bookmarkEnd w:id="285"/>
      <w:bookmarkStart w:id="286" w:name="_Hlt88976467"/>
      <w:bookmarkEnd w:id="286"/>
      <w:bookmarkStart w:id="287" w:name="_Hlt66591689"/>
      <w:bookmarkEnd w:id="287"/>
      <w:bookmarkStart w:id="288" w:name="_Hlt69114106"/>
      <w:bookmarkEnd w:id="288"/>
      <w:r>
        <w:rPr>
          <w:rFonts w:hint="eastAsia" w:ascii="宋体" w:hAnsi="宋体" w:eastAsia="宋体" w:cs="宋体"/>
          <w:color w:val="auto"/>
          <w:sz w:val="24"/>
          <w:lang w:val="en-US" w:eastAsia="zh-CN"/>
        </w:rPr>
        <w:t>结算原则</w:t>
      </w:r>
      <w:bookmarkEnd w:id="275"/>
      <w:bookmarkEnd w:id="276"/>
      <w:bookmarkEnd w:id="277"/>
      <w:bookmarkEnd w:id="278"/>
      <w:bookmarkEnd w:id="279"/>
      <w:bookmarkEnd w:id="280"/>
    </w:p>
    <w:p w14:paraId="60A06167">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bookmarkStart w:id="289" w:name="_Toc13869"/>
      <w:r>
        <w:rPr>
          <w:rFonts w:hint="eastAsia" w:ascii="宋体" w:hAnsi="宋体" w:eastAsia="宋体" w:cs="宋体"/>
          <w:color w:val="auto"/>
          <w:sz w:val="24"/>
          <w:szCs w:val="24"/>
        </w:rPr>
        <w:t>因各期的实施进度要求不同，合同价款采取分期分别结算的办法，具体如下：</w:t>
      </w:r>
    </w:p>
    <w:p w14:paraId="5A15B1BF">
      <w:pPr>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rPr>
      </w:pPr>
      <w:r>
        <w:rPr>
          <w:rFonts w:hint="eastAsia" w:ascii="宋体" w:hAnsi="宋体" w:eastAsia="宋体" w:cs="宋体"/>
          <w:b/>
          <w:bCs/>
          <w:color w:val="auto"/>
          <w:sz w:val="24"/>
        </w:rPr>
        <w:t>3.</w:t>
      </w:r>
      <w:r>
        <w:rPr>
          <w:rFonts w:hint="eastAsia" w:ascii="宋体" w:hAnsi="宋体" w:cs="宋体"/>
          <w:b/>
          <w:bCs/>
          <w:color w:val="auto"/>
          <w:sz w:val="24"/>
          <w:lang w:val="en-US" w:eastAsia="zh-CN"/>
        </w:rPr>
        <w:t>1</w:t>
      </w:r>
      <w:r>
        <w:rPr>
          <w:rFonts w:hint="eastAsia" w:ascii="宋体" w:hAnsi="宋体" w:eastAsia="宋体" w:cs="宋体"/>
          <w:color w:val="auto"/>
          <w:sz w:val="24"/>
        </w:rPr>
        <w:t>设计费结算原则：各期设计费结算价=经武江区财政局投资评审中心审定的</w:t>
      </w:r>
      <w:r>
        <w:rPr>
          <w:rFonts w:hint="eastAsia" w:ascii="宋体" w:hAnsi="宋体" w:eastAsia="宋体" w:cs="宋体"/>
          <w:color w:val="auto"/>
          <w:sz w:val="24"/>
          <w:szCs w:val="24"/>
        </w:rPr>
        <w:t>该期预算价（招标控制价）</w:t>
      </w:r>
      <w:r>
        <w:rPr>
          <w:rFonts w:hint="eastAsia" w:ascii="宋体" w:hAnsi="宋体" w:eastAsia="宋体" w:cs="宋体"/>
          <w:color w:val="auto"/>
          <w:sz w:val="24"/>
        </w:rPr>
        <w:t>×中标费率，且</w:t>
      </w:r>
      <w:r>
        <w:rPr>
          <w:rFonts w:hint="eastAsia" w:ascii="宋体" w:hAnsi="宋体" w:eastAsia="宋体" w:cs="宋体"/>
          <w:color w:val="auto"/>
          <w:sz w:val="24"/>
          <w:lang w:eastAsia="zh-CN"/>
        </w:rPr>
        <w:t>总</w:t>
      </w:r>
      <w:r>
        <w:rPr>
          <w:rFonts w:hint="eastAsia" w:ascii="宋体" w:hAnsi="宋体" w:eastAsia="宋体" w:cs="宋体"/>
          <w:color w:val="auto"/>
          <w:sz w:val="24"/>
        </w:rPr>
        <w:t>结算价不得超过设计费中标价。</w:t>
      </w:r>
    </w:p>
    <w:bookmarkEnd w:id="289"/>
    <w:p w14:paraId="44D6D01C">
      <w:pPr>
        <w:snapToGrid/>
        <w:spacing w:beforeAutospacing="0" w:afterAutospacing="0" w:line="360" w:lineRule="auto"/>
        <w:ind w:left="0" w:leftChars="0" w:right="0" w:rightChars="0" w:firstLine="482" w:firstLineChars="200"/>
        <w:jc w:val="left"/>
        <w:rPr>
          <w:rFonts w:hint="eastAsia" w:ascii="宋体" w:hAnsi="宋体" w:eastAsia="宋体" w:cs="宋体"/>
          <w:color w:val="auto"/>
          <w:sz w:val="24"/>
        </w:rPr>
      </w:pPr>
      <w:r>
        <w:rPr>
          <w:rFonts w:hint="eastAsia" w:ascii="宋体" w:hAnsi="宋体" w:eastAsia="宋体" w:cs="宋体"/>
          <w:b/>
          <w:bCs/>
          <w:color w:val="auto"/>
          <w:sz w:val="24"/>
        </w:rPr>
        <w:t>3.</w:t>
      </w:r>
      <w:r>
        <w:rPr>
          <w:rFonts w:hint="eastAsia" w:ascii="宋体" w:hAnsi="宋体" w:cs="宋体"/>
          <w:b/>
          <w:bCs/>
          <w:color w:val="auto"/>
          <w:sz w:val="24"/>
          <w:lang w:val="en-US" w:eastAsia="zh-CN"/>
        </w:rPr>
        <w:t>2</w:t>
      </w:r>
      <w:r>
        <w:rPr>
          <w:rFonts w:hint="eastAsia" w:ascii="宋体" w:hAnsi="宋体" w:eastAsia="宋体" w:cs="宋体"/>
          <w:color w:val="auto"/>
          <w:sz w:val="24"/>
        </w:rPr>
        <w:t xml:space="preserve">根据《韶关市人民政府办公室关于加强市本级政府投资项目财政投资评审监督管理的实施意见》（韶府办发函〔2021〕32号）文件要求，设计单位违约责任条款包括且不限于： </w:t>
      </w:r>
    </w:p>
    <w:p w14:paraId="441B7E0B">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① 因设计单位责任引起变更造成投资规模增加10%以上的,由发包人按照合同扣减其20%的委托费用； </w:t>
      </w:r>
    </w:p>
    <w:p w14:paraId="32616BFF">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② 因设计单位责任引起变更造成投资规模增加 15%以上的,由发包人按照合同扣减其30%的委托费用； </w:t>
      </w:r>
    </w:p>
    <w:p w14:paraId="3B04852B">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③ 因设计单位责任引起变更造成投资规模增加 20%以上的,由发包人按照合同扣减其 40%的委托费用。 </w:t>
      </w:r>
    </w:p>
    <w:p w14:paraId="5C62ED4C">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rPr>
        <w:t>出现以上情况造成需扣除（收回）的设计等费用，由项目建设单位负责落</w:t>
      </w:r>
      <w:r>
        <w:rPr>
          <w:rFonts w:hint="eastAsia" w:ascii="宋体" w:hAnsi="宋体" w:eastAsia="宋体" w:cs="宋体"/>
          <w:color w:val="auto"/>
          <w:sz w:val="24"/>
          <w:szCs w:val="24"/>
        </w:rPr>
        <w:t>实。设计单位应按该文件的与设计有关的全部要求履行合同。</w:t>
      </w:r>
    </w:p>
    <w:p w14:paraId="0D7F4344">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033F10F9">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4B17B01C">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642AC19C">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37C3310A">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18474053">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4ADFE5BA">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18B15107">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09170C77">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1CC13985">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1DCE9328">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65A9579C">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p>
    <w:p w14:paraId="1C71E085">
      <w:pPr>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lang w:val="en-US" w:eastAsia="zh-CN"/>
        </w:rPr>
      </w:pPr>
    </w:p>
    <w:bookmarkEnd w:id="2"/>
    <w:bookmarkEnd w:id="257"/>
    <w:bookmarkEnd w:id="258"/>
    <w:bookmarkEnd w:id="259"/>
    <w:bookmarkEnd w:id="260"/>
    <w:bookmarkEnd w:id="261"/>
    <w:p w14:paraId="1F51949B">
      <w:pPr>
        <w:rPr>
          <w:rFonts w:hint="eastAsia" w:ascii="宋体" w:hAnsi="宋体" w:eastAsia="宋体" w:cs="宋体"/>
          <w:b/>
          <w:color w:val="auto"/>
          <w:sz w:val="32"/>
          <w:szCs w:val="22"/>
        </w:rPr>
      </w:pPr>
      <w:bookmarkStart w:id="290" w:name="_Toc466640610"/>
      <w:bookmarkStart w:id="291" w:name="_Toc28264"/>
      <w:r>
        <w:rPr>
          <w:rFonts w:hint="eastAsia" w:ascii="宋体" w:hAnsi="宋体" w:eastAsia="宋体" w:cs="宋体"/>
          <w:b/>
          <w:color w:val="auto"/>
          <w:sz w:val="32"/>
          <w:szCs w:val="22"/>
        </w:rPr>
        <w:br w:type="page"/>
      </w:r>
    </w:p>
    <w:p w14:paraId="4875EF5E">
      <w:pPr>
        <w:pStyle w:val="3"/>
        <w:bidi w:val="0"/>
        <w:snapToGrid/>
        <w:spacing w:before="200" w:beforeAutospacing="0" w:after="200" w:afterLines="0" w:afterAutospacing="0" w:line="240" w:lineRule="auto"/>
        <w:ind w:left="0" w:leftChars="0" w:right="0" w:rightChars="0" w:firstLine="0" w:firstLineChars="0"/>
        <w:jc w:val="center"/>
        <w:outlineLvl w:val="0"/>
        <w:rPr>
          <w:rFonts w:hint="eastAsia" w:ascii="宋体" w:hAnsi="宋体" w:eastAsia="宋体" w:cs="宋体"/>
          <w:b/>
          <w:color w:val="auto"/>
          <w:sz w:val="32"/>
          <w:szCs w:val="22"/>
        </w:rPr>
      </w:pPr>
      <w:bookmarkStart w:id="292" w:name="_Toc24388"/>
      <w:r>
        <w:rPr>
          <w:rFonts w:hint="eastAsia" w:ascii="宋体" w:hAnsi="宋体" w:eastAsia="宋体" w:cs="宋体"/>
          <w:b/>
          <w:color w:val="auto"/>
          <w:sz w:val="32"/>
          <w:szCs w:val="22"/>
        </w:rPr>
        <w:t xml:space="preserve">第四章 </w:t>
      </w:r>
      <w:bookmarkEnd w:id="290"/>
      <w:bookmarkEnd w:id="291"/>
      <w:r>
        <w:rPr>
          <w:rFonts w:hint="eastAsia" w:ascii="宋体" w:hAnsi="宋体" w:eastAsia="宋体" w:cs="宋体"/>
          <w:b/>
          <w:color w:val="auto"/>
          <w:sz w:val="32"/>
          <w:szCs w:val="22"/>
          <w:lang w:val="en-US" w:eastAsia="zh-CN"/>
        </w:rPr>
        <w:t>技术</w:t>
      </w:r>
      <w:r>
        <w:rPr>
          <w:rFonts w:hint="eastAsia" w:ascii="宋体" w:hAnsi="宋体" w:eastAsia="宋体" w:cs="宋体"/>
          <w:b/>
          <w:color w:val="auto"/>
          <w:sz w:val="32"/>
          <w:szCs w:val="22"/>
        </w:rPr>
        <w:t>要求</w:t>
      </w:r>
      <w:bookmarkEnd w:id="292"/>
    </w:p>
    <w:p w14:paraId="15324AFE">
      <w:pPr>
        <w:pStyle w:val="4"/>
        <w:bidi w:val="0"/>
        <w:snapToGrid/>
        <w:spacing w:before="0" w:beforeLines="0" w:beforeAutospacing="0" w:afterAutospacing="0" w:line="360" w:lineRule="auto"/>
        <w:ind w:left="0" w:leftChars="0" w:right="0" w:rightChars="0" w:firstLine="482" w:firstLineChars="200"/>
        <w:jc w:val="left"/>
        <w:rPr>
          <w:rFonts w:hint="eastAsia" w:ascii="宋体" w:hAnsi="宋体" w:eastAsia="宋体" w:cs="宋体"/>
          <w:color w:val="auto"/>
          <w:sz w:val="24"/>
          <w:lang w:val="en-US" w:eastAsia="zh-CN"/>
        </w:rPr>
      </w:pPr>
      <w:bookmarkStart w:id="293" w:name="_Hlt66104926"/>
      <w:bookmarkEnd w:id="293"/>
      <w:bookmarkStart w:id="294" w:name="_Hlt87793346"/>
      <w:bookmarkEnd w:id="294"/>
      <w:bookmarkStart w:id="295" w:name="_Hlt87793370"/>
      <w:bookmarkEnd w:id="295"/>
      <w:bookmarkStart w:id="296" w:name="_Hlt68774758"/>
      <w:bookmarkEnd w:id="296"/>
      <w:bookmarkStart w:id="297" w:name="_Hlt69357851"/>
      <w:bookmarkEnd w:id="297"/>
      <w:bookmarkStart w:id="298" w:name="_Hlt80411122"/>
      <w:bookmarkEnd w:id="298"/>
      <w:bookmarkStart w:id="299" w:name="_Hlt69265216"/>
      <w:bookmarkEnd w:id="299"/>
      <w:bookmarkStart w:id="300" w:name="_Hlt69359335"/>
      <w:bookmarkEnd w:id="300"/>
      <w:bookmarkStart w:id="301" w:name="_Hlt69358207"/>
      <w:bookmarkEnd w:id="301"/>
      <w:bookmarkStart w:id="302" w:name="_Hlt69116854"/>
      <w:bookmarkEnd w:id="302"/>
      <w:bookmarkStart w:id="303" w:name="_Hlt75685840"/>
      <w:bookmarkEnd w:id="303"/>
      <w:bookmarkStart w:id="304" w:name="_Toc22720"/>
      <w:bookmarkStart w:id="305" w:name="_Toc9294"/>
      <w:bookmarkStart w:id="306" w:name="_Toc31388"/>
      <w:bookmarkStart w:id="307" w:name="_Toc15661"/>
      <w:bookmarkStart w:id="308" w:name="_Toc26932"/>
      <w:bookmarkStart w:id="309" w:name="_Toc27381"/>
      <w:bookmarkStart w:id="310" w:name="_Toc27527"/>
      <w:bookmarkStart w:id="311" w:name="_Toc27055"/>
      <w:bookmarkStart w:id="312" w:name="_Toc4029"/>
      <w:bookmarkStart w:id="313" w:name="_Toc466640612"/>
      <w:r>
        <w:rPr>
          <w:rFonts w:hint="eastAsia" w:ascii="宋体" w:hAnsi="宋体" w:eastAsia="宋体" w:cs="宋体"/>
          <w:b/>
          <w:bCs/>
          <w:color w:val="auto"/>
          <w:kern w:val="2"/>
          <w:sz w:val="24"/>
          <w:szCs w:val="24"/>
          <w:highlight w:val="none"/>
          <w:lang w:val="en-US" w:eastAsia="zh-CN" w:bidi="ar-SA"/>
        </w:rPr>
        <w:t>1.工程的技术要求</w:t>
      </w:r>
      <w:bookmarkEnd w:id="304"/>
      <w:bookmarkEnd w:id="305"/>
      <w:bookmarkEnd w:id="306"/>
      <w:bookmarkEnd w:id="307"/>
      <w:bookmarkEnd w:id="308"/>
      <w:bookmarkEnd w:id="309"/>
      <w:bookmarkEnd w:id="310"/>
      <w:bookmarkEnd w:id="311"/>
      <w:bookmarkEnd w:id="312"/>
      <w:bookmarkStart w:id="314" w:name="_Toc16151"/>
    </w:p>
    <w:p w14:paraId="4354DD39">
      <w:pPr>
        <w:pStyle w:val="5"/>
        <w:bidi w:val="0"/>
        <w:snapToGrid/>
        <w:spacing w:before="0" w:beforeLines="0" w:beforeAutospacing="0" w:after="0" w:afterLines="0" w:afterAutospacing="0" w:line="360" w:lineRule="auto"/>
        <w:ind w:left="0" w:leftChars="0" w:right="0" w:rightChars="0" w:firstLine="482" w:firstLineChars="200"/>
        <w:jc w:val="left"/>
        <w:rPr>
          <w:rFonts w:hint="eastAsia" w:ascii="宋体" w:hAnsi="宋体" w:eastAsia="宋体" w:cs="宋体"/>
          <w:color w:val="auto"/>
          <w:sz w:val="24"/>
          <w:lang w:val="en-US" w:eastAsia="zh-CN"/>
        </w:rPr>
      </w:pPr>
      <w:bookmarkStart w:id="315" w:name="_Toc28401"/>
      <w:bookmarkStart w:id="316" w:name="_Toc2026"/>
      <w:bookmarkStart w:id="317" w:name="_Toc7945"/>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工程设计标准规范</w:t>
      </w:r>
      <w:bookmarkEnd w:id="314"/>
      <w:bookmarkEnd w:id="315"/>
      <w:bookmarkEnd w:id="316"/>
      <w:bookmarkEnd w:id="317"/>
    </w:p>
    <w:p w14:paraId="62D2FF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rPr>
        <w:t>文件必须符合现行国家、行业和地方的一切法规、规范和标准关于工程</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rPr>
        <w:t xml:space="preserve">的要求，包括但不限于： </w:t>
      </w:r>
    </w:p>
    <w:p w14:paraId="17539E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 xml:space="preserve">《工程建设标准强制性条文—城市建设部分》2013 年版 </w:t>
      </w:r>
    </w:p>
    <w:p w14:paraId="6B5909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 xml:space="preserve">《城市道路工程设计规范》（2016 年版） </w:t>
      </w:r>
    </w:p>
    <w:p w14:paraId="5722F5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w:t>
      </w:r>
      <w:r>
        <w:rPr>
          <w:rFonts w:hint="eastAsia" w:ascii="宋体" w:hAnsi="宋体" w:eastAsia="宋体" w:cs="宋体"/>
          <w:color w:val="auto"/>
          <w:sz w:val="24"/>
          <w:szCs w:val="22"/>
        </w:rPr>
        <w:t xml:space="preserve">《城市道路交叉口设计规程》（CJJ 152-2010） </w:t>
      </w:r>
    </w:p>
    <w:p w14:paraId="7ED4BE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 xml:space="preserve">《城市道路交通标志和标线设置规范》（GB 51038-2015） </w:t>
      </w:r>
    </w:p>
    <w:p w14:paraId="382BC6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(5)</w:t>
      </w:r>
      <w:r>
        <w:rPr>
          <w:rFonts w:hint="eastAsia" w:ascii="宋体" w:hAnsi="宋体" w:eastAsia="宋体" w:cs="宋体"/>
          <w:color w:val="auto"/>
          <w:sz w:val="24"/>
          <w:szCs w:val="22"/>
        </w:rPr>
        <w:t xml:space="preserve">《道路交通信号灯设置与安装规范》（GB 14886--2016） </w:t>
      </w:r>
    </w:p>
    <w:p w14:paraId="201385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 xml:space="preserve">《公路路线设计规范》（JTG D20-2017） </w:t>
      </w:r>
    </w:p>
    <w:p w14:paraId="69C4BD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rPr>
        <w:t xml:space="preserve">《公路工程技术标准》（JTGB01-2014） </w:t>
      </w:r>
    </w:p>
    <w:p w14:paraId="7E491E4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(8)</w:t>
      </w:r>
      <w:r>
        <w:rPr>
          <w:rFonts w:hint="eastAsia" w:ascii="宋体" w:hAnsi="宋体" w:eastAsia="宋体" w:cs="宋体"/>
          <w:color w:val="auto"/>
          <w:sz w:val="24"/>
          <w:szCs w:val="22"/>
        </w:rPr>
        <w:t xml:space="preserve">《公路水泥混凝土路面设计规范》（JTGD40-2011） </w:t>
      </w:r>
    </w:p>
    <w:p w14:paraId="55281D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(9)</w:t>
      </w:r>
      <w:r>
        <w:rPr>
          <w:rFonts w:hint="eastAsia" w:ascii="宋体" w:hAnsi="宋体" w:eastAsia="宋体" w:cs="宋体"/>
          <w:color w:val="auto"/>
          <w:sz w:val="24"/>
          <w:szCs w:val="22"/>
        </w:rPr>
        <w:t xml:space="preserve">《公路沥青路面设计规范》（JTG D50-2017） </w:t>
      </w:r>
    </w:p>
    <w:p w14:paraId="311370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(10)</w:t>
      </w:r>
      <w:r>
        <w:rPr>
          <w:rFonts w:hint="eastAsia" w:ascii="宋体" w:hAnsi="宋体" w:eastAsia="宋体" w:cs="宋体"/>
          <w:color w:val="auto"/>
          <w:sz w:val="24"/>
          <w:szCs w:val="22"/>
        </w:rPr>
        <w:t xml:space="preserve">《公路路基设计规范》（JTG D30-2015） </w:t>
      </w:r>
    </w:p>
    <w:p w14:paraId="655613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(11)</w:t>
      </w:r>
      <w:r>
        <w:rPr>
          <w:rFonts w:hint="eastAsia" w:ascii="宋体" w:hAnsi="宋体" w:eastAsia="宋体" w:cs="宋体"/>
          <w:color w:val="auto"/>
          <w:sz w:val="24"/>
          <w:szCs w:val="22"/>
        </w:rPr>
        <w:t xml:space="preserve">《城镇道路路面设计规范》（JTG 169-2012） </w:t>
      </w:r>
    </w:p>
    <w:p w14:paraId="2371AB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(12)</w:t>
      </w:r>
      <w:r>
        <w:rPr>
          <w:rFonts w:hint="eastAsia" w:ascii="宋体" w:hAnsi="宋体" w:eastAsia="宋体" w:cs="宋体"/>
          <w:color w:val="auto"/>
          <w:sz w:val="24"/>
          <w:szCs w:val="22"/>
        </w:rPr>
        <w:t xml:space="preserve">《无障碍设计规范》(GB50763-2012) </w:t>
      </w:r>
    </w:p>
    <w:p w14:paraId="5A60CD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(13)</w:t>
      </w:r>
      <w:r>
        <w:rPr>
          <w:rFonts w:hint="eastAsia" w:ascii="宋体" w:hAnsi="宋体" w:eastAsia="宋体" w:cs="宋体"/>
          <w:color w:val="auto"/>
          <w:sz w:val="24"/>
          <w:szCs w:val="22"/>
        </w:rPr>
        <w:t xml:space="preserve">《城市道路绿化规划与设计规范》（CJJ75-97） </w:t>
      </w:r>
    </w:p>
    <w:p w14:paraId="493F21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(14)</w:t>
      </w:r>
      <w:r>
        <w:rPr>
          <w:rFonts w:hint="eastAsia" w:ascii="宋体" w:hAnsi="宋体" w:eastAsia="宋体" w:cs="宋体"/>
          <w:color w:val="auto"/>
          <w:sz w:val="24"/>
          <w:szCs w:val="22"/>
        </w:rPr>
        <w:t xml:space="preserve">《城市道路照明设计标准》（CJJ45-2015） </w:t>
      </w:r>
    </w:p>
    <w:p w14:paraId="549A2C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(15)</w:t>
      </w:r>
      <w:r>
        <w:rPr>
          <w:rFonts w:hint="eastAsia" w:ascii="宋体" w:hAnsi="宋体" w:eastAsia="宋体" w:cs="宋体"/>
          <w:color w:val="auto"/>
          <w:sz w:val="24"/>
          <w:szCs w:val="22"/>
        </w:rPr>
        <w:t xml:space="preserve">《建筑地基基础设计规范》(GB50007-2011) </w:t>
      </w:r>
    </w:p>
    <w:p w14:paraId="0CA848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(16)</w:t>
      </w:r>
      <w:r>
        <w:rPr>
          <w:rFonts w:hint="eastAsia" w:ascii="宋体" w:hAnsi="宋体" w:eastAsia="宋体" w:cs="宋体"/>
          <w:color w:val="auto"/>
          <w:sz w:val="24"/>
          <w:szCs w:val="22"/>
        </w:rPr>
        <w:t xml:space="preserve">《建筑地基处理技术规范》(JGJ79-2012) </w:t>
      </w:r>
    </w:p>
    <w:p w14:paraId="1E83E0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(17)</w:t>
      </w:r>
      <w:r>
        <w:rPr>
          <w:rFonts w:hint="eastAsia" w:ascii="宋体" w:hAnsi="宋体" w:eastAsia="宋体" w:cs="宋体"/>
          <w:color w:val="auto"/>
          <w:sz w:val="24"/>
          <w:szCs w:val="22"/>
        </w:rPr>
        <w:t xml:space="preserve">《公路桥涵设计通用规范》（JTG D60-2015） </w:t>
      </w:r>
    </w:p>
    <w:p w14:paraId="33F1CD5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(18)</w:t>
      </w:r>
      <w:r>
        <w:rPr>
          <w:rFonts w:hint="eastAsia" w:ascii="宋体" w:hAnsi="宋体" w:eastAsia="宋体" w:cs="宋体"/>
          <w:color w:val="auto"/>
          <w:sz w:val="24"/>
          <w:szCs w:val="22"/>
        </w:rPr>
        <w:t xml:space="preserve">《公路圬工桥涵设计规范》（JTG D61-2005） </w:t>
      </w:r>
    </w:p>
    <w:p w14:paraId="470976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(19)</w:t>
      </w:r>
      <w:r>
        <w:rPr>
          <w:rFonts w:hint="eastAsia" w:ascii="宋体" w:hAnsi="宋体" w:eastAsia="宋体" w:cs="宋体"/>
          <w:color w:val="auto"/>
          <w:sz w:val="24"/>
          <w:szCs w:val="22"/>
        </w:rPr>
        <w:t xml:space="preserve">《公路钢筋混凝土及预应力混凝土桥涵设计规范》（JTG 3362-2018） </w:t>
      </w:r>
    </w:p>
    <w:p w14:paraId="371892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(20)</w:t>
      </w:r>
      <w:r>
        <w:rPr>
          <w:rFonts w:hint="eastAsia" w:ascii="宋体" w:hAnsi="宋体" w:eastAsia="宋体" w:cs="宋体"/>
          <w:color w:val="auto"/>
          <w:sz w:val="24"/>
          <w:szCs w:val="22"/>
        </w:rPr>
        <w:t xml:space="preserve">《公路桥涵地基与基础设计规范》（JTG 3363-2019） </w:t>
      </w:r>
    </w:p>
    <w:p w14:paraId="02CFA81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(21)</w:t>
      </w:r>
      <w:r>
        <w:rPr>
          <w:rFonts w:hint="eastAsia" w:ascii="宋体" w:hAnsi="宋体" w:eastAsia="宋体" w:cs="宋体"/>
          <w:color w:val="auto"/>
          <w:sz w:val="24"/>
          <w:szCs w:val="22"/>
        </w:rPr>
        <w:t xml:space="preserve">《公路桥梁抗震设计规范》（JTG/T 2231-01-2020） </w:t>
      </w:r>
    </w:p>
    <w:p w14:paraId="7D780B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(22)</w:t>
      </w:r>
      <w:r>
        <w:rPr>
          <w:rFonts w:hint="eastAsia" w:ascii="宋体" w:hAnsi="宋体" w:eastAsia="宋体" w:cs="宋体"/>
          <w:color w:val="auto"/>
          <w:sz w:val="24"/>
          <w:szCs w:val="22"/>
        </w:rPr>
        <w:t xml:space="preserve">《公路桥涵施工技术规范》（JTG/T 3650－2020） </w:t>
      </w:r>
    </w:p>
    <w:p w14:paraId="1483C64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(23)</w:t>
      </w:r>
      <w:r>
        <w:rPr>
          <w:rFonts w:hint="eastAsia" w:ascii="宋体" w:hAnsi="宋体" w:eastAsia="宋体" w:cs="宋体"/>
          <w:color w:val="auto"/>
          <w:sz w:val="24"/>
          <w:szCs w:val="22"/>
        </w:rPr>
        <w:t xml:space="preserve">《城市工程管线综合规划规范》(GB50289－2016) </w:t>
      </w:r>
    </w:p>
    <w:p w14:paraId="467B80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(24)</w:t>
      </w:r>
      <w:r>
        <w:rPr>
          <w:rFonts w:hint="eastAsia" w:ascii="宋体" w:hAnsi="宋体" w:eastAsia="宋体" w:cs="宋体"/>
          <w:color w:val="auto"/>
          <w:sz w:val="24"/>
          <w:szCs w:val="22"/>
        </w:rPr>
        <w:t xml:space="preserve">《室外排水设计标准》（GB50014-2021） </w:t>
      </w:r>
    </w:p>
    <w:p w14:paraId="34437D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(25)</w:t>
      </w:r>
      <w:r>
        <w:rPr>
          <w:rFonts w:hint="eastAsia" w:ascii="宋体" w:hAnsi="宋体" w:eastAsia="宋体" w:cs="宋体"/>
          <w:color w:val="auto"/>
          <w:sz w:val="24"/>
          <w:szCs w:val="22"/>
        </w:rPr>
        <w:t xml:space="preserve">《埋地塑料排水管道工程技术规程》(CJJ 143-2010) </w:t>
      </w:r>
    </w:p>
    <w:p w14:paraId="5B0966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(26)</w:t>
      </w:r>
      <w:r>
        <w:rPr>
          <w:rFonts w:hint="eastAsia" w:ascii="宋体" w:hAnsi="宋体" w:eastAsia="宋体" w:cs="宋体"/>
          <w:color w:val="auto"/>
          <w:sz w:val="24"/>
          <w:szCs w:val="22"/>
        </w:rPr>
        <w:t xml:space="preserve">《给水排水工程管道结构设计规范》（GB50332-2002） </w:t>
      </w:r>
    </w:p>
    <w:p w14:paraId="0AE1DBA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(27)</w:t>
      </w:r>
      <w:r>
        <w:rPr>
          <w:rFonts w:hint="eastAsia" w:ascii="宋体" w:hAnsi="宋体" w:eastAsia="宋体" w:cs="宋体"/>
          <w:color w:val="auto"/>
          <w:sz w:val="24"/>
          <w:szCs w:val="22"/>
        </w:rPr>
        <w:t>《给水排水工程构筑物结构设计规范》（GB50069-2002）</w:t>
      </w:r>
    </w:p>
    <w:p w14:paraId="4C4B593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(28)</w:t>
      </w:r>
      <w:r>
        <w:rPr>
          <w:rFonts w:hint="eastAsia" w:ascii="宋体" w:hAnsi="宋体" w:eastAsia="宋体" w:cs="宋体"/>
          <w:color w:val="auto"/>
          <w:sz w:val="24"/>
          <w:szCs w:val="22"/>
        </w:rPr>
        <w:t xml:space="preserve">《砌体结构设计规范》（GB 50003-2011） </w:t>
      </w:r>
    </w:p>
    <w:p w14:paraId="58DDB8E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(29)</w:t>
      </w:r>
      <w:r>
        <w:rPr>
          <w:rFonts w:hint="eastAsia" w:ascii="宋体" w:hAnsi="宋体" w:eastAsia="宋体" w:cs="宋体"/>
          <w:color w:val="auto"/>
          <w:sz w:val="24"/>
          <w:szCs w:val="22"/>
        </w:rPr>
        <w:t xml:space="preserve">《混凝土结构设计规范（2015 年版）》（GB 50010-2010） </w:t>
      </w:r>
    </w:p>
    <w:p w14:paraId="275B88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(30)</w:t>
      </w:r>
      <w:r>
        <w:rPr>
          <w:rFonts w:hint="eastAsia" w:ascii="宋体" w:hAnsi="宋体" w:eastAsia="宋体" w:cs="宋体"/>
          <w:color w:val="auto"/>
          <w:sz w:val="24"/>
          <w:szCs w:val="22"/>
        </w:rPr>
        <w:t xml:space="preserve">《建筑结构可靠性设计统一标准》(GB50068-2018) </w:t>
      </w:r>
    </w:p>
    <w:p w14:paraId="3D2F34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(31)</w:t>
      </w:r>
      <w:r>
        <w:rPr>
          <w:rFonts w:hint="eastAsia" w:ascii="宋体" w:hAnsi="宋体" w:eastAsia="宋体" w:cs="宋体"/>
          <w:color w:val="auto"/>
          <w:sz w:val="24"/>
          <w:szCs w:val="22"/>
        </w:rPr>
        <w:t xml:space="preserve">《建筑结构荷载规范》(GB50009-2012) </w:t>
      </w:r>
    </w:p>
    <w:p w14:paraId="52832A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(32)</w:t>
      </w:r>
      <w:r>
        <w:rPr>
          <w:rFonts w:hint="eastAsia" w:ascii="宋体" w:hAnsi="宋体" w:eastAsia="宋体" w:cs="宋体"/>
          <w:color w:val="auto"/>
          <w:sz w:val="24"/>
          <w:szCs w:val="22"/>
        </w:rPr>
        <w:t xml:space="preserve">《建筑边坡工程技术规范》(GB50330-2013) </w:t>
      </w:r>
    </w:p>
    <w:p w14:paraId="6A725E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(33)</w:t>
      </w:r>
      <w:r>
        <w:rPr>
          <w:rFonts w:hint="eastAsia" w:ascii="宋体" w:hAnsi="宋体" w:eastAsia="宋体" w:cs="宋体"/>
          <w:color w:val="auto"/>
          <w:sz w:val="24"/>
          <w:szCs w:val="22"/>
        </w:rPr>
        <w:t xml:space="preserve">《基坑工程技术规程》(GB42/159-2012) </w:t>
      </w:r>
    </w:p>
    <w:p w14:paraId="6F38061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(34)</w:t>
      </w:r>
      <w:r>
        <w:rPr>
          <w:rFonts w:hint="eastAsia" w:ascii="宋体" w:hAnsi="宋体" w:eastAsia="宋体" w:cs="宋体"/>
          <w:color w:val="auto"/>
          <w:sz w:val="24"/>
          <w:szCs w:val="22"/>
        </w:rPr>
        <w:t xml:space="preserve">《建筑工程抗震设防分类标准》(GB50223-2008) </w:t>
      </w:r>
    </w:p>
    <w:p w14:paraId="51DE96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(35)</w:t>
      </w:r>
      <w:r>
        <w:rPr>
          <w:rFonts w:hint="eastAsia" w:ascii="宋体" w:hAnsi="宋体" w:eastAsia="宋体" w:cs="宋体"/>
          <w:color w:val="auto"/>
          <w:sz w:val="24"/>
          <w:szCs w:val="22"/>
        </w:rPr>
        <w:t xml:space="preserve">《室外给水排水和燃气热力工程抗震设计规范》（GB50032-2003） </w:t>
      </w:r>
    </w:p>
    <w:p w14:paraId="79173A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(36)</w:t>
      </w:r>
      <w:r>
        <w:rPr>
          <w:rFonts w:hint="eastAsia" w:ascii="宋体" w:hAnsi="宋体" w:eastAsia="宋体" w:cs="宋体"/>
          <w:color w:val="auto"/>
          <w:sz w:val="24"/>
          <w:szCs w:val="22"/>
        </w:rPr>
        <w:t xml:space="preserve">《给水排水管道工程施工及验收规范》（GB50268-2008） </w:t>
      </w:r>
    </w:p>
    <w:p w14:paraId="0D9C90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(37)</w:t>
      </w:r>
      <w:r>
        <w:rPr>
          <w:rFonts w:hint="eastAsia" w:ascii="宋体" w:hAnsi="宋体" w:eastAsia="宋体" w:cs="宋体"/>
          <w:color w:val="auto"/>
          <w:sz w:val="24"/>
          <w:szCs w:val="22"/>
        </w:rPr>
        <w:t xml:space="preserve">《给水排水构筑物工程施工及验收规范》(GB50141-2008) </w:t>
      </w:r>
    </w:p>
    <w:p w14:paraId="2008D2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(38)</w:t>
      </w:r>
      <w:r>
        <w:rPr>
          <w:rFonts w:hint="eastAsia" w:ascii="宋体" w:hAnsi="宋体" w:eastAsia="宋体" w:cs="宋体"/>
          <w:color w:val="auto"/>
          <w:sz w:val="24"/>
          <w:szCs w:val="22"/>
        </w:rPr>
        <w:t xml:space="preserve">《供配电系统设计规范》（GB50052-2009） </w:t>
      </w:r>
    </w:p>
    <w:p w14:paraId="0FDDAB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(39)</w:t>
      </w:r>
      <w:r>
        <w:rPr>
          <w:rFonts w:hint="eastAsia" w:ascii="宋体" w:hAnsi="宋体" w:eastAsia="宋体" w:cs="宋体"/>
          <w:color w:val="auto"/>
          <w:sz w:val="24"/>
          <w:szCs w:val="22"/>
        </w:rPr>
        <w:t xml:space="preserve">《电气装置安装工程电缆线路施工及验收标准》（GB50168-2018） </w:t>
      </w:r>
    </w:p>
    <w:p w14:paraId="65D6EC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(40)</w:t>
      </w:r>
      <w:r>
        <w:rPr>
          <w:rFonts w:hint="eastAsia" w:ascii="宋体" w:hAnsi="宋体" w:eastAsia="宋体" w:cs="宋体"/>
          <w:color w:val="auto"/>
          <w:sz w:val="24"/>
          <w:szCs w:val="22"/>
        </w:rPr>
        <w:t xml:space="preserve">《建筑电气工程施工质量验收规范》（GB50303-2015） </w:t>
      </w:r>
    </w:p>
    <w:p w14:paraId="57B789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(41)</w:t>
      </w:r>
      <w:r>
        <w:rPr>
          <w:rFonts w:hint="eastAsia" w:ascii="宋体" w:hAnsi="宋体" w:eastAsia="宋体" w:cs="宋体"/>
          <w:color w:val="auto"/>
          <w:sz w:val="24"/>
          <w:szCs w:val="22"/>
        </w:rPr>
        <w:t xml:space="preserve">《城市电力规划规范》（GB/50293-2014） </w:t>
      </w:r>
    </w:p>
    <w:p w14:paraId="5C7B11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(42)</w:t>
      </w:r>
      <w:r>
        <w:rPr>
          <w:rFonts w:hint="eastAsia" w:ascii="宋体" w:hAnsi="宋体" w:eastAsia="宋体" w:cs="宋体"/>
          <w:color w:val="auto"/>
          <w:sz w:val="24"/>
          <w:szCs w:val="22"/>
        </w:rPr>
        <w:t xml:space="preserve">《(110～500)kV 架空送电线路设计技术规程》（DL/T 5092-1999） </w:t>
      </w:r>
    </w:p>
    <w:p w14:paraId="186265C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(43)</w:t>
      </w:r>
      <w:r>
        <w:rPr>
          <w:rFonts w:hint="eastAsia" w:ascii="宋体" w:hAnsi="宋体" w:eastAsia="宋体" w:cs="宋体"/>
          <w:color w:val="auto"/>
          <w:sz w:val="24"/>
          <w:szCs w:val="22"/>
        </w:rPr>
        <w:t xml:space="preserve">《电力设施保护条例实施细则》（1999） </w:t>
      </w:r>
    </w:p>
    <w:p w14:paraId="09E10B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(44)</w:t>
      </w:r>
      <w:r>
        <w:rPr>
          <w:rFonts w:hint="eastAsia" w:ascii="宋体" w:hAnsi="宋体" w:eastAsia="宋体" w:cs="宋体"/>
          <w:color w:val="auto"/>
          <w:sz w:val="24"/>
          <w:szCs w:val="22"/>
        </w:rPr>
        <w:t xml:space="preserve">《公园设计规范》（GB 51192-2016） </w:t>
      </w:r>
    </w:p>
    <w:p w14:paraId="0DE3A1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 xml:space="preserve">(45)《市政公用工程设计文件编制深度规定（2013年版）》；  </w:t>
      </w:r>
    </w:p>
    <w:p w14:paraId="621B324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 xml:space="preserve">(46) </w:t>
      </w:r>
      <w:r>
        <w:rPr>
          <w:rFonts w:hint="eastAsia" w:ascii="宋体" w:hAnsi="宋体" w:eastAsia="宋体" w:cs="宋体"/>
          <w:color w:val="auto"/>
          <w:sz w:val="24"/>
          <w:szCs w:val="22"/>
        </w:rPr>
        <w:t>其他现行国家、广东省关于市政工程的技术及验收规范、规程、标准。</w:t>
      </w:r>
    </w:p>
    <w:p w14:paraId="343294E9">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备注：若有相关主管部门颁发新的标准规范则按新的标准规范执行。</w:t>
      </w:r>
    </w:p>
    <w:p w14:paraId="7F49B063">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b/>
          <w:snapToGrid w:val="0"/>
          <w:color w:val="auto"/>
          <w:kern w:val="0"/>
          <w:sz w:val="24"/>
          <w:szCs w:val="24"/>
          <w:highlight w:val="none"/>
          <w:lang w:val="en-US" w:eastAsia="zh-CN"/>
        </w:rPr>
      </w:pPr>
    </w:p>
    <w:p w14:paraId="4E8E37BB">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2" w:firstLineChars="200"/>
        <w:jc w:val="left"/>
        <w:textAlignment w:val="auto"/>
        <w:rPr>
          <w:rFonts w:hint="eastAsia" w:ascii="宋体" w:hAnsi="宋体" w:eastAsia="宋体" w:cs="宋体"/>
          <w:strike/>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2</w:t>
      </w:r>
      <w:r>
        <w:rPr>
          <w:rFonts w:hint="eastAsia" w:ascii="宋体" w:hAnsi="宋体" w:eastAsia="宋体" w:cs="宋体"/>
          <w:b/>
          <w:snapToGrid w:val="0"/>
          <w:color w:val="auto"/>
          <w:kern w:val="0"/>
          <w:sz w:val="24"/>
          <w:szCs w:val="24"/>
          <w:highlight w:val="none"/>
        </w:rPr>
        <w:t>．备查要求</w:t>
      </w:r>
    </w:p>
    <w:p w14:paraId="35156CDE">
      <w:pPr>
        <w:keepNext w:val="0"/>
        <w:keepLines w:val="0"/>
        <w:pageBreakBefore w:val="0"/>
        <w:widowControl w:val="0"/>
        <w:kinsoku/>
        <w:wordWrap w:val="0"/>
        <w:overflowPunct/>
        <w:topLinePunct w:val="0"/>
        <w:autoSpaceDE/>
        <w:autoSpaceDN/>
        <w:bidi w:val="0"/>
        <w:adjustRightInd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以上所列规范和标准仅供参考，中标人必须准备至少一套现行的国家和广东省的有关技术规范及现行标准，招标人和监理单位可随时检查中标人的规范和标准，并监督中标人按规范和标准要求执行。</w:t>
      </w:r>
    </w:p>
    <w:p w14:paraId="0FB993F8">
      <w:pPr>
        <w:pStyle w:val="10"/>
        <w:snapToGrid/>
        <w:spacing w:beforeAutospacing="0" w:afterAutospacing="0" w:line="360" w:lineRule="auto"/>
        <w:ind w:right="0" w:rightChars="0"/>
        <w:jc w:val="left"/>
        <w:rPr>
          <w:rFonts w:hint="eastAsia" w:ascii="宋体" w:hAnsi="宋体" w:eastAsia="宋体" w:cs="宋体"/>
          <w:bCs/>
          <w:snapToGrid w:val="0"/>
          <w:color w:val="auto"/>
          <w:kern w:val="0"/>
          <w:sz w:val="24"/>
          <w:szCs w:val="24"/>
          <w:highlight w:val="none"/>
        </w:rPr>
      </w:pPr>
    </w:p>
    <w:p w14:paraId="6D37284E">
      <w:pPr>
        <w:snapToGrid/>
        <w:spacing w:beforeAutospacing="0" w:afterAutospacing="0" w:line="360" w:lineRule="auto"/>
        <w:ind w:left="0" w:leftChars="0" w:right="0" w:rightChars="0" w:firstLine="480" w:firstLineChars="200"/>
        <w:jc w:val="left"/>
        <w:rPr>
          <w:rFonts w:hint="eastAsia" w:ascii="宋体" w:hAnsi="宋体" w:eastAsia="宋体" w:cs="宋体"/>
          <w:bCs/>
          <w:snapToGrid w:val="0"/>
          <w:color w:val="auto"/>
          <w:kern w:val="0"/>
          <w:sz w:val="24"/>
          <w:szCs w:val="24"/>
          <w:highlight w:val="none"/>
        </w:rPr>
      </w:pPr>
    </w:p>
    <w:bookmarkEnd w:id="313"/>
    <w:p w14:paraId="4AB06CF5">
      <w:pPr>
        <w:rPr>
          <w:rFonts w:hint="eastAsia" w:ascii="宋体" w:hAnsi="宋体" w:eastAsia="宋体" w:cs="宋体"/>
          <w:color w:val="auto"/>
          <w:sz w:val="32"/>
          <w:szCs w:val="21"/>
          <w:lang w:val="en-US" w:eastAsia="zh-CN"/>
        </w:rPr>
      </w:pPr>
      <w:bookmarkStart w:id="318" w:name="_Toc10824"/>
      <w:bookmarkStart w:id="319" w:name="_Toc396813630"/>
      <w:bookmarkStart w:id="320" w:name="_Toc396982995"/>
      <w:bookmarkStart w:id="321" w:name="_Toc415171884"/>
      <w:bookmarkStart w:id="322" w:name="_Toc464768768"/>
      <w:bookmarkStart w:id="323" w:name="_Toc9423"/>
      <w:bookmarkStart w:id="324" w:name="_Toc32042"/>
      <w:bookmarkStart w:id="325" w:name="_Hlt69698785"/>
      <w:r>
        <w:rPr>
          <w:rFonts w:hint="eastAsia" w:ascii="宋体" w:hAnsi="宋体" w:eastAsia="宋体" w:cs="宋体"/>
          <w:color w:val="auto"/>
          <w:sz w:val="32"/>
          <w:szCs w:val="21"/>
          <w:lang w:val="en-US" w:eastAsia="zh-CN"/>
        </w:rPr>
        <w:br w:type="page"/>
      </w:r>
    </w:p>
    <w:p w14:paraId="027E4E4D">
      <w:pPr>
        <w:pStyle w:val="3"/>
        <w:bidi w:val="0"/>
        <w:jc w:val="center"/>
        <w:rPr>
          <w:rFonts w:hint="eastAsia" w:ascii="宋体" w:hAnsi="宋体" w:eastAsia="宋体" w:cs="宋体"/>
          <w:b/>
          <w:color w:val="auto"/>
          <w:sz w:val="32"/>
          <w:szCs w:val="32"/>
          <w:highlight w:val="none"/>
        </w:rPr>
      </w:pPr>
      <w:r>
        <w:rPr>
          <w:rFonts w:hint="eastAsia" w:ascii="宋体" w:hAnsi="宋体" w:eastAsia="宋体" w:cs="宋体"/>
          <w:color w:val="auto"/>
          <w:sz w:val="32"/>
          <w:szCs w:val="21"/>
          <w:lang w:val="en-US" w:eastAsia="zh-CN"/>
        </w:rPr>
        <w:t>第五章  投标文件格式</w:t>
      </w:r>
      <w:bookmarkEnd w:id="318"/>
    </w:p>
    <w:p w14:paraId="6F856EA9">
      <w:pPr>
        <w:pStyle w:val="4"/>
        <w:rPr>
          <w:rFonts w:hint="eastAsia" w:ascii="宋体" w:hAnsi="宋体" w:eastAsia="宋体" w:cs="宋体"/>
          <w:color w:val="auto"/>
          <w:sz w:val="24"/>
          <w:szCs w:val="24"/>
          <w:highlight w:val="none"/>
        </w:rPr>
      </w:pPr>
      <w:bookmarkStart w:id="326" w:name="_Toc19464"/>
      <w:bookmarkStart w:id="327" w:name="_Toc14506"/>
      <w:bookmarkStart w:id="328" w:name="_Toc464768767"/>
      <w:bookmarkStart w:id="329" w:name="_Toc71811193"/>
      <w:bookmarkStart w:id="330" w:name="_Toc71813716"/>
      <w:bookmarkStart w:id="331" w:name="_Toc71811326"/>
      <w:bookmarkStart w:id="332" w:name="_Toc14561"/>
      <w:bookmarkStart w:id="333" w:name="_Toc19266"/>
      <w:bookmarkStart w:id="334" w:name="_Toc396813629"/>
      <w:bookmarkStart w:id="335" w:name="_Toc396982994"/>
      <w:bookmarkStart w:id="336" w:name="_Toc415171883"/>
      <w:r>
        <w:rPr>
          <w:rStyle w:val="48"/>
          <w:rFonts w:hint="eastAsia" w:ascii="宋体" w:hAnsi="宋体" w:eastAsia="宋体" w:cs="宋体"/>
          <w:b/>
          <w:bCs/>
          <w:color w:val="auto"/>
          <w:sz w:val="24"/>
          <w:highlight w:val="none"/>
        </w:rPr>
        <w:t>格式一</w:t>
      </w:r>
      <w:bookmarkEnd w:id="326"/>
      <w:bookmarkEnd w:id="327"/>
      <w:bookmarkEnd w:id="328"/>
      <w:r>
        <w:rPr>
          <w:rStyle w:val="48"/>
          <w:rFonts w:hint="eastAsia" w:ascii="宋体" w:hAnsi="宋体" w:eastAsia="宋体" w:cs="宋体"/>
          <w:b/>
          <w:bCs/>
          <w:color w:val="auto"/>
          <w:sz w:val="24"/>
          <w:highlight w:val="none"/>
        </w:rPr>
        <w:t xml:space="preserve"> </w:t>
      </w:r>
      <w:r>
        <w:rPr>
          <w:rFonts w:hint="eastAsia" w:ascii="宋体" w:hAnsi="宋体" w:eastAsia="宋体" w:cs="宋体"/>
          <w:b/>
          <w:bCs/>
          <w:color w:val="auto"/>
          <w:sz w:val="24"/>
          <w:szCs w:val="24"/>
          <w:highlight w:val="none"/>
        </w:rPr>
        <w:t xml:space="preserve"> 封面</w:t>
      </w:r>
      <w:bookmarkEnd w:id="329"/>
      <w:bookmarkEnd w:id="330"/>
      <w:bookmarkEnd w:id="331"/>
      <w:bookmarkEnd w:id="332"/>
      <w:bookmarkEnd w:id="333"/>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bookmarkEnd w:id="334"/>
      <w:bookmarkEnd w:id="335"/>
      <w:bookmarkEnd w:id="336"/>
    </w:p>
    <w:p w14:paraId="5146716F">
      <w:pPr>
        <w:rPr>
          <w:rStyle w:val="48"/>
          <w:rFonts w:hint="eastAsia" w:ascii="宋体" w:hAnsi="宋体" w:eastAsia="宋体" w:cs="宋体"/>
          <w:color w:val="auto"/>
          <w:sz w:val="24"/>
          <w:highlight w:val="none"/>
        </w:rPr>
      </w:pPr>
    </w:p>
    <w:p w14:paraId="4A34AAF8">
      <w:pPr>
        <w:pStyle w:val="96"/>
        <w:widowControl w:val="0"/>
        <w:wordWrap w:val="0"/>
        <w:adjustRightInd w:val="0"/>
        <w:snapToGrid w:val="0"/>
        <w:rPr>
          <w:rFonts w:hint="eastAsia" w:ascii="宋体" w:hAnsi="宋体" w:eastAsia="宋体" w:cs="宋体"/>
          <w:b/>
          <w:snapToGrid w:val="0"/>
          <w:color w:val="auto"/>
          <w:sz w:val="24"/>
          <w:highlight w:val="none"/>
        </w:rPr>
      </w:pPr>
    </w:p>
    <w:p w14:paraId="33D9ED4E">
      <w:pPr>
        <w:pStyle w:val="96"/>
        <w:widowControl w:val="0"/>
        <w:wordWrap w:val="0"/>
        <w:adjustRightInd w:val="0"/>
        <w:snapToGrid w:val="0"/>
        <w:rPr>
          <w:rFonts w:hint="eastAsia" w:ascii="宋体" w:hAnsi="宋体" w:eastAsia="宋体" w:cs="宋体"/>
          <w:b/>
          <w:snapToGrid w:val="0"/>
          <w:color w:val="auto"/>
          <w:sz w:val="24"/>
          <w:highlight w:val="none"/>
        </w:rPr>
      </w:pPr>
    </w:p>
    <w:p w14:paraId="29EA2E17">
      <w:pPr>
        <w:pStyle w:val="96"/>
        <w:widowControl w:val="0"/>
        <w:wordWrap w:val="0"/>
        <w:adjustRightInd w:val="0"/>
        <w:snapToGrid w:val="0"/>
        <w:rPr>
          <w:rFonts w:hint="eastAsia" w:ascii="宋体" w:hAnsi="宋体" w:eastAsia="宋体" w:cs="宋体"/>
          <w:b/>
          <w:snapToGrid w:val="0"/>
          <w:color w:val="auto"/>
          <w:sz w:val="24"/>
          <w:highlight w:val="none"/>
        </w:rPr>
      </w:pPr>
    </w:p>
    <w:p w14:paraId="6F6FE341">
      <w:pPr>
        <w:pStyle w:val="96"/>
        <w:widowControl w:val="0"/>
        <w:wordWrap w:val="0"/>
        <w:adjustRightInd w:val="0"/>
        <w:snapToGrid w:val="0"/>
        <w:rPr>
          <w:rFonts w:hint="eastAsia" w:ascii="宋体" w:hAnsi="宋体" w:eastAsia="宋体" w:cs="宋体"/>
          <w:b/>
          <w:snapToGrid w:val="0"/>
          <w:color w:val="auto"/>
          <w:sz w:val="24"/>
          <w:highlight w:val="none"/>
        </w:rPr>
      </w:pPr>
    </w:p>
    <w:p w14:paraId="22D4D6D1">
      <w:pPr>
        <w:pStyle w:val="96"/>
        <w:widowControl w:val="0"/>
        <w:wordWrap w:val="0"/>
        <w:adjustRightInd w:val="0"/>
        <w:snapToGrid w:val="0"/>
        <w:rPr>
          <w:rFonts w:hint="eastAsia" w:ascii="宋体" w:hAnsi="宋体" w:eastAsia="宋体" w:cs="宋体"/>
          <w:b/>
          <w:snapToGrid w:val="0"/>
          <w:color w:val="auto"/>
          <w:sz w:val="24"/>
          <w:highlight w:val="none"/>
        </w:rPr>
      </w:pPr>
    </w:p>
    <w:p w14:paraId="6689E399">
      <w:pPr>
        <w:pStyle w:val="96"/>
        <w:widowControl w:val="0"/>
        <w:wordWrap w:val="0"/>
        <w:adjustRightInd w:val="0"/>
        <w:snapToGrid w:val="0"/>
        <w:ind w:firstLine="0"/>
        <w:rPr>
          <w:rFonts w:hint="eastAsia" w:ascii="宋体" w:hAnsi="宋体" w:eastAsia="宋体" w:cs="宋体"/>
          <w:b/>
          <w:snapToGrid w:val="0"/>
          <w:color w:val="auto"/>
          <w:sz w:val="24"/>
          <w:highlight w:val="none"/>
        </w:rPr>
      </w:pPr>
    </w:p>
    <w:p w14:paraId="382EEC3B">
      <w:pPr>
        <w:pStyle w:val="96"/>
        <w:widowControl w:val="0"/>
        <w:wordWrap w:val="0"/>
        <w:adjustRightInd w:val="0"/>
        <w:snapToGrid w:val="0"/>
        <w:rPr>
          <w:rFonts w:hint="eastAsia" w:ascii="宋体" w:hAnsi="宋体" w:eastAsia="宋体" w:cs="宋体"/>
          <w:b/>
          <w:snapToGrid w:val="0"/>
          <w:color w:val="auto"/>
          <w:sz w:val="24"/>
          <w:highlight w:val="none"/>
        </w:rPr>
      </w:pPr>
    </w:p>
    <w:p w14:paraId="626DBDDF">
      <w:pPr>
        <w:pStyle w:val="96"/>
        <w:widowControl w:val="0"/>
        <w:wordWrap w:val="0"/>
        <w:adjustRightInd w:val="0"/>
        <w:snapToGrid w:val="0"/>
        <w:rPr>
          <w:rFonts w:hint="eastAsia" w:ascii="宋体" w:hAnsi="宋体" w:eastAsia="宋体" w:cs="宋体"/>
          <w:b/>
          <w:snapToGrid w:val="0"/>
          <w:color w:val="auto"/>
          <w:sz w:val="24"/>
          <w:highlight w:val="none"/>
        </w:rPr>
      </w:pPr>
    </w:p>
    <w:p w14:paraId="4886F4EA">
      <w:pPr>
        <w:bidi w:val="0"/>
        <w:jc w:val="center"/>
        <w:rPr>
          <w:rFonts w:hint="eastAsia" w:ascii="宋体" w:hAnsi="宋体" w:eastAsia="宋体" w:cs="宋体"/>
          <w:b/>
          <w:snapToGrid w:val="0"/>
          <w:color w:val="auto"/>
          <w:sz w:val="48"/>
          <w:szCs w:val="48"/>
          <w:highlight w:val="none"/>
        </w:rPr>
      </w:pPr>
      <w:bookmarkStart w:id="337" w:name="_Toc11141"/>
      <w:bookmarkStart w:id="338" w:name="_Toc15910_WPSOffice_Level2"/>
      <w:bookmarkStart w:id="339" w:name="_Toc14006"/>
      <w:bookmarkStart w:id="340" w:name="_Toc17225"/>
      <w:bookmarkStart w:id="341" w:name="_Toc19515_WPSOffice_Level2"/>
      <w:bookmarkStart w:id="342" w:name="_Toc10931_WPSOffice_Level2"/>
      <w:bookmarkStart w:id="343" w:name="_Toc24590_WPSOffice_Level2"/>
      <w:bookmarkStart w:id="344" w:name="_Toc14783"/>
      <w:bookmarkStart w:id="345" w:name="_Toc29993"/>
      <w:r>
        <w:rPr>
          <w:rFonts w:hint="eastAsia" w:ascii="宋体" w:hAnsi="宋体" w:eastAsia="宋体" w:cs="宋体"/>
          <w:b/>
          <w:snapToGrid w:val="0"/>
          <w:color w:val="auto"/>
          <w:sz w:val="48"/>
          <w:szCs w:val="48"/>
          <w:highlight w:val="none"/>
          <w:u w:val="single"/>
        </w:rPr>
        <w:t>（项目名称）</w:t>
      </w:r>
      <w:bookmarkEnd w:id="337"/>
      <w:bookmarkEnd w:id="338"/>
      <w:bookmarkEnd w:id="339"/>
      <w:bookmarkEnd w:id="340"/>
      <w:bookmarkEnd w:id="341"/>
      <w:bookmarkEnd w:id="342"/>
      <w:bookmarkEnd w:id="343"/>
      <w:r>
        <w:rPr>
          <w:rFonts w:hint="eastAsia" w:ascii="宋体" w:hAnsi="宋体" w:eastAsia="宋体" w:cs="宋体"/>
          <w:b/>
          <w:snapToGrid w:val="0"/>
          <w:color w:val="auto"/>
          <w:sz w:val="48"/>
          <w:szCs w:val="48"/>
          <w:highlight w:val="none"/>
          <w:u w:val="single"/>
        </w:rPr>
        <w:t xml:space="preserve">  </w:t>
      </w:r>
      <w:bookmarkEnd w:id="344"/>
      <w:bookmarkEnd w:id="345"/>
      <w:r>
        <w:rPr>
          <w:rFonts w:hint="eastAsia" w:ascii="宋体" w:hAnsi="宋体" w:eastAsia="宋体" w:cs="宋体"/>
          <w:b/>
          <w:snapToGrid w:val="0"/>
          <w:color w:val="auto"/>
          <w:sz w:val="48"/>
          <w:szCs w:val="48"/>
          <w:highlight w:val="none"/>
        </w:rPr>
        <w:t>招标</w:t>
      </w:r>
    </w:p>
    <w:p w14:paraId="51436AC9">
      <w:pPr>
        <w:pStyle w:val="96"/>
        <w:widowControl w:val="0"/>
        <w:wordWrap w:val="0"/>
        <w:adjustRightInd w:val="0"/>
        <w:snapToGrid w:val="0"/>
        <w:ind w:firstLine="0"/>
        <w:jc w:val="center"/>
        <w:rPr>
          <w:rFonts w:hint="eastAsia" w:ascii="宋体" w:hAnsi="宋体" w:eastAsia="宋体" w:cs="宋体"/>
          <w:b/>
          <w:snapToGrid w:val="0"/>
          <w:color w:val="auto"/>
          <w:sz w:val="48"/>
          <w:szCs w:val="48"/>
          <w:highlight w:val="none"/>
        </w:rPr>
      </w:pPr>
    </w:p>
    <w:p w14:paraId="7B18D29B">
      <w:pPr>
        <w:pStyle w:val="96"/>
        <w:widowControl w:val="0"/>
        <w:wordWrap w:val="0"/>
        <w:adjustRightInd w:val="0"/>
        <w:snapToGrid w:val="0"/>
        <w:ind w:firstLine="0"/>
        <w:jc w:val="center"/>
        <w:rPr>
          <w:rFonts w:hint="eastAsia" w:ascii="宋体" w:hAnsi="宋体" w:eastAsia="宋体" w:cs="宋体"/>
          <w:b/>
          <w:snapToGrid w:val="0"/>
          <w:color w:val="auto"/>
          <w:sz w:val="32"/>
          <w:highlight w:val="none"/>
        </w:rPr>
      </w:pPr>
    </w:p>
    <w:p w14:paraId="3F90FD83">
      <w:pPr>
        <w:pStyle w:val="96"/>
        <w:widowControl w:val="0"/>
        <w:wordWrap w:val="0"/>
        <w:adjustRightInd w:val="0"/>
        <w:snapToGrid w:val="0"/>
        <w:ind w:firstLine="0"/>
        <w:jc w:val="center"/>
        <w:rPr>
          <w:rFonts w:hint="eastAsia" w:ascii="宋体" w:hAnsi="宋体" w:eastAsia="宋体" w:cs="宋体"/>
          <w:b/>
          <w:snapToGrid w:val="0"/>
          <w:color w:val="auto"/>
          <w:sz w:val="72"/>
          <w:highlight w:val="none"/>
        </w:rPr>
      </w:pPr>
      <w:bookmarkStart w:id="346" w:name="_Toc5301_WPSOffice_Level3"/>
      <w:bookmarkStart w:id="347" w:name="_Toc8798_WPSOffice_Level3"/>
      <w:r>
        <w:rPr>
          <w:rFonts w:hint="eastAsia" w:ascii="宋体" w:hAnsi="宋体" w:eastAsia="宋体" w:cs="宋体"/>
          <w:b/>
          <w:snapToGrid w:val="0"/>
          <w:color w:val="auto"/>
          <w:sz w:val="72"/>
          <w:highlight w:val="none"/>
        </w:rPr>
        <w:t>投  标  文  件</w:t>
      </w:r>
      <w:bookmarkEnd w:id="346"/>
      <w:bookmarkEnd w:id="347"/>
    </w:p>
    <w:p w14:paraId="46312F02">
      <w:pPr>
        <w:pStyle w:val="96"/>
        <w:widowControl w:val="0"/>
        <w:wordWrap w:val="0"/>
        <w:adjustRightInd w:val="0"/>
        <w:snapToGrid w:val="0"/>
        <w:ind w:firstLine="0"/>
        <w:jc w:val="center"/>
        <w:rPr>
          <w:rFonts w:hint="eastAsia" w:ascii="宋体" w:hAnsi="宋体" w:eastAsia="宋体" w:cs="宋体"/>
          <w:b/>
          <w:snapToGrid w:val="0"/>
          <w:color w:val="auto"/>
          <w:sz w:val="32"/>
          <w:highlight w:val="none"/>
        </w:rPr>
      </w:pPr>
    </w:p>
    <w:p w14:paraId="6EBBA86E">
      <w:pPr>
        <w:bidi w:val="0"/>
        <w:jc w:val="center"/>
        <w:rPr>
          <w:rFonts w:hint="eastAsia" w:ascii="宋体" w:hAnsi="宋体" w:eastAsia="宋体" w:cs="宋体"/>
          <w:b/>
          <w:bCs/>
          <w:color w:val="auto"/>
          <w:sz w:val="44"/>
          <w:szCs w:val="40"/>
        </w:rPr>
      </w:pPr>
      <w:bookmarkStart w:id="348" w:name="_Toc2104"/>
      <w:bookmarkStart w:id="349" w:name="_Toc8292"/>
      <w:bookmarkStart w:id="350" w:name="_Toc23773"/>
      <w:bookmarkStart w:id="351" w:name="_Toc6046_WPSOffice_Level2"/>
      <w:bookmarkStart w:id="352" w:name="_Toc18349_WPSOffice_Level2"/>
      <w:bookmarkStart w:id="353" w:name="_Toc7210_WPSOffice_Level2"/>
      <w:bookmarkStart w:id="354" w:name="_Toc14127"/>
      <w:bookmarkStart w:id="355" w:name="_Toc639_WPSOffice_Level2"/>
      <w:bookmarkStart w:id="356" w:name="_Toc24704"/>
      <w:r>
        <w:rPr>
          <w:rFonts w:hint="eastAsia" w:ascii="宋体" w:hAnsi="宋体" w:eastAsia="宋体" w:cs="宋体"/>
          <w:b/>
          <w:bCs/>
          <w:color w:val="auto"/>
          <w:sz w:val="44"/>
          <w:szCs w:val="40"/>
        </w:rPr>
        <w:t>（商务经济标书／技术标书）</w:t>
      </w:r>
      <w:bookmarkEnd w:id="348"/>
      <w:bookmarkEnd w:id="349"/>
      <w:bookmarkEnd w:id="350"/>
      <w:bookmarkEnd w:id="351"/>
      <w:bookmarkEnd w:id="352"/>
      <w:bookmarkEnd w:id="353"/>
      <w:bookmarkEnd w:id="354"/>
      <w:bookmarkEnd w:id="355"/>
      <w:bookmarkEnd w:id="356"/>
    </w:p>
    <w:p w14:paraId="5B324D91">
      <w:pPr>
        <w:pStyle w:val="96"/>
        <w:widowControl w:val="0"/>
        <w:wordWrap w:val="0"/>
        <w:adjustRightInd w:val="0"/>
        <w:snapToGrid w:val="0"/>
        <w:rPr>
          <w:rFonts w:hint="eastAsia" w:ascii="宋体" w:hAnsi="宋体" w:eastAsia="宋体" w:cs="宋体"/>
          <w:b/>
          <w:snapToGrid w:val="0"/>
          <w:color w:val="auto"/>
          <w:highlight w:val="none"/>
        </w:rPr>
      </w:pPr>
    </w:p>
    <w:p w14:paraId="41A1B7FD">
      <w:pPr>
        <w:pStyle w:val="96"/>
        <w:widowControl w:val="0"/>
        <w:wordWrap w:val="0"/>
        <w:adjustRightInd w:val="0"/>
        <w:snapToGrid w:val="0"/>
        <w:rPr>
          <w:rFonts w:hint="eastAsia" w:ascii="宋体" w:hAnsi="宋体" w:eastAsia="宋体" w:cs="宋体"/>
          <w:b/>
          <w:snapToGrid w:val="0"/>
          <w:color w:val="auto"/>
          <w:sz w:val="32"/>
          <w:highlight w:val="none"/>
        </w:rPr>
      </w:pPr>
    </w:p>
    <w:p w14:paraId="6D076C2F">
      <w:pPr>
        <w:pStyle w:val="96"/>
        <w:widowControl w:val="0"/>
        <w:wordWrap w:val="0"/>
        <w:adjustRightInd w:val="0"/>
        <w:snapToGrid w:val="0"/>
        <w:rPr>
          <w:rFonts w:hint="eastAsia" w:ascii="宋体" w:hAnsi="宋体" w:eastAsia="宋体" w:cs="宋体"/>
          <w:b/>
          <w:snapToGrid w:val="0"/>
          <w:color w:val="auto"/>
          <w:sz w:val="32"/>
          <w:highlight w:val="none"/>
        </w:rPr>
      </w:pPr>
    </w:p>
    <w:p w14:paraId="5F85701E">
      <w:pPr>
        <w:pStyle w:val="96"/>
        <w:widowControl w:val="0"/>
        <w:wordWrap w:val="0"/>
        <w:adjustRightInd w:val="0"/>
        <w:snapToGrid w:val="0"/>
        <w:rPr>
          <w:rFonts w:hint="eastAsia" w:ascii="宋体" w:hAnsi="宋体" w:eastAsia="宋体" w:cs="宋体"/>
          <w:b/>
          <w:snapToGrid w:val="0"/>
          <w:color w:val="auto"/>
          <w:sz w:val="32"/>
          <w:highlight w:val="none"/>
        </w:rPr>
      </w:pPr>
    </w:p>
    <w:p w14:paraId="7EC9E191">
      <w:pPr>
        <w:pStyle w:val="96"/>
        <w:widowControl w:val="0"/>
        <w:wordWrap w:val="0"/>
        <w:adjustRightInd w:val="0"/>
        <w:snapToGrid w:val="0"/>
        <w:rPr>
          <w:rFonts w:hint="eastAsia" w:ascii="宋体" w:hAnsi="宋体" w:eastAsia="宋体" w:cs="宋体"/>
          <w:b/>
          <w:snapToGrid w:val="0"/>
          <w:color w:val="auto"/>
          <w:sz w:val="32"/>
          <w:highlight w:val="none"/>
        </w:rPr>
      </w:pPr>
    </w:p>
    <w:p w14:paraId="3F6BA7E8">
      <w:pPr>
        <w:pStyle w:val="96"/>
        <w:widowControl w:val="0"/>
        <w:wordWrap w:val="0"/>
        <w:adjustRightInd w:val="0"/>
        <w:snapToGrid w:val="0"/>
        <w:rPr>
          <w:rFonts w:hint="eastAsia" w:ascii="宋体" w:hAnsi="宋体" w:eastAsia="宋体" w:cs="宋体"/>
          <w:b/>
          <w:snapToGrid w:val="0"/>
          <w:color w:val="auto"/>
          <w:sz w:val="32"/>
          <w:highlight w:val="none"/>
        </w:rPr>
      </w:pPr>
    </w:p>
    <w:p w14:paraId="784799F4">
      <w:pPr>
        <w:bidi w:val="0"/>
        <w:jc w:val="center"/>
        <w:rPr>
          <w:rFonts w:hint="eastAsia" w:ascii="宋体" w:hAnsi="宋体" w:eastAsia="宋体" w:cs="宋体"/>
          <w:color w:val="auto"/>
          <w:sz w:val="32"/>
          <w:szCs w:val="28"/>
        </w:rPr>
      </w:pPr>
      <w:bookmarkStart w:id="357" w:name="_Toc23809"/>
      <w:bookmarkStart w:id="358" w:name="_Toc10578_WPSOffice_Level2"/>
      <w:bookmarkStart w:id="359" w:name="_Toc1506"/>
      <w:bookmarkStart w:id="360" w:name="_Toc15825_WPSOffice_Level2"/>
      <w:bookmarkStart w:id="361" w:name="_Toc881_WPSOffice_Level2"/>
      <w:bookmarkStart w:id="362" w:name="_Toc7044"/>
      <w:bookmarkStart w:id="363" w:name="_Toc695"/>
      <w:bookmarkStart w:id="364" w:name="_Toc3918_WPSOffice_Level2"/>
      <w:bookmarkStart w:id="365" w:name="_Toc9798"/>
      <w:r>
        <w:rPr>
          <w:rFonts w:hint="eastAsia" w:ascii="宋体" w:hAnsi="宋体" w:eastAsia="宋体" w:cs="宋体"/>
          <w:color w:val="auto"/>
          <w:sz w:val="32"/>
          <w:szCs w:val="28"/>
        </w:rPr>
        <w:t>投标人：</w:t>
      </w:r>
      <w:r>
        <w:rPr>
          <w:rFonts w:hint="eastAsia" w:ascii="宋体" w:hAnsi="宋体" w:eastAsia="宋体" w:cs="宋体"/>
          <w:color w:val="auto"/>
          <w:sz w:val="32"/>
          <w:szCs w:val="28"/>
          <w:u w:val="single"/>
        </w:rPr>
        <w:t xml:space="preserve">                  </w:t>
      </w:r>
      <w:r>
        <w:rPr>
          <w:rFonts w:hint="eastAsia" w:ascii="宋体" w:hAnsi="宋体" w:eastAsia="宋体" w:cs="宋体"/>
          <w:color w:val="auto"/>
          <w:sz w:val="32"/>
          <w:szCs w:val="28"/>
        </w:rPr>
        <w:t xml:space="preserve">  （盖单位章）</w:t>
      </w:r>
      <w:bookmarkEnd w:id="357"/>
      <w:bookmarkEnd w:id="358"/>
      <w:bookmarkEnd w:id="359"/>
      <w:bookmarkEnd w:id="360"/>
      <w:bookmarkEnd w:id="361"/>
      <w:bookmarkEnd w:id="362"/>
      <w:bookmarkEnd w:id="363"/>
      <w:bookmarkEnd w:id="364"/>
      <w:bookmarkEnd w:id="365"/>
    </w:p>
    <w:p w14:paraId="31EC38B9">
      <w:pPr>
        <w:bidi w:val="0"/>
        <w:jc w:val="center"/>
        <w:rPr>
          <w:rFonts w:hint="eastAsia" w:ascii="宋体" w:hAnsi="宋体" w:eastAsia="宋体" w:cs="宋体"/>
          <w:color w:val="auto"/>
          <w:sz w:val="32"/>
          <w:szCs w:val="28"/>
        </w:rPr>
      </w:pPr>
    </w:p>
    <w:p w14:paraId="3D0D69D8">
      <w:pPr>
        <w:bidi w:val="0"/>
        <w:jc w:val="center"/>
        <w:rPr>
          <w:rFonts w:hint="eastAsia" w:ascii="宋体" w:hAnsi="宋体" w:eastAsia="宋体" w:cs="宋体"/>
          <w:color w:val="auto"/>
          <w:sz w:val="32"/>
          <w:szCs w:val="28"/>
        </w:rPr>
      </w:pPr>
    </w:p>
    <w:p w14:paraId="5C1E0DF0">
      <w:pPr>
        <w:bidi w:val="0"/>
        <w:jc w:val="center"/>
        <w:rPr>
          <w:rFonts w:hint="eastAsia" w:ascii="宋体" w:hAnsi="宋体" w:eastAsia="宋体" w:cs="宋体"/>
          <w:color w:val="auto"/>
          <w:sz w:val="32"/>
          <w:szCs w:val="28"/>
        </w:rPr>
      </w:pPr>
    </w:p>
    <w:p w14:paraId="2171A9AA">
      <w:pPr>
        <w:bidi w:val="0"/>
        <w:jc w:val="center"/>
        <w:rPr>
          <w:rFonts w:hint="eastAsia" w:ascii="宋体" w:hAnsi="宋体" w:eastAsia="宋体" w:cs="宋体"/>
          <w:color w:val="auto"/>
          <w:sz w:val="32"/>
          <w:szCs w:val="28"/>
        </w:rPr>
      </w:pPr>
      <w:bookmarkStart w:id="366" w:name="_Toc13744_WPSOffice_Level2"/>
      <w:bookmarkStart w:id="367" w:name="_Toc24086"/>
      <w:bookmarkStart w:id="368" w:name="_Toc2370"/>
      <w:bookmarkStart w:id="369" w:name="_Toc29706"/>
      <w:bookmarkStart w:id="370" w:name="_Toc27630_WPSOffice_Level2"/>
      <w:bookmarkStart w:id="371" w:name="_Toc32628_WPSOffice_Level2"/>
      <w:bookmarkStart w:id="372" w:name="_Toc31144"/>
      <w:bookmarkStart w:id="373" w:name="_Toc12474"/>
      <w:bookmarkStart w:id="374" w:name="_Toc27613_WPSOffice_Level2"/>
      <w:r>
        <w:rPr>
          <w:rFonts w:hint="eastAsia" w:ascii="宋体" w:hAnsi="宋体" w:eastAsia="宋体" w:cs="宋体"/>
          <w:color w:val="auto"/>
          <w:sz w:val="32"/>
          <w:szCs w:val="28"/>
        </w:rPr>
        <w:t>法定代表人或其委托代理人：</w:t>
      </w:r>
      <w:r>
        <w:rPr>
          <w:rFonts w:hint="eastAsia" w:ascii="宋体" w:hAnsi="宋体" w:eastAsia="宋体" w:cs="宋体"/>
          <w:color w:val="auto"/>
          <w:sz w:val="32"/>
          <w:szCs w:val="28"/>
          <w:u w:val="single"/>
        </w:rPr>
        <w:t xml:space="preserve">           </w:t>
      </w:r>
      <w:r>
        <w:rPr>
          <w:rFonts w:hint="eastAsia" w:ascii="宋体" w:hAnsi="宋体" w:eastAsia="宋体" w:cs="宋体"/>
          <w:color w:val="auto"/>
          <w:sz w:val="32"/>
          <w:szCs w:val="28"/>
        </w:rPr>
        <w:t>（签字或盖章）</w:t>
      </w:r>
      <w:bookmarkEnd w:id="366"/>
      <w:bookmarkEnd w:id="367"/>
      <w:bookmarkEnd w:id="368"/>
      <w:bookmarkEnd w:id="369"/>
      <w:bookmarkEnd w:id="370"/>
      <w:bookmarkEnd w:id="371"/>
      <w:bookmarkEnd w:id="372"/>
      <w:bookmarkEnd w:id="373"/>
      <w:bookmarkEnd w:id="374"/>
    </w:p>
    <w:p w14:paraId="6FE8BF86">
      <w:pPr>
        <w:bidi w:val="0"/>
        <w:jc w:val="center"/>
        <w:rPr>
          <w:rFonts w:hint="eastAsia" w:ascii="宋体" w:hAnsi="宋体" w:eastAsia="宋体" w:cs="宋体"/>
          <w:color w:val="auto"/>
          <w:sz w:val="32"/>
          <w:szCs w:val="28"/>
        </w:rPr>
      </w:pPr>
    </w:p>
    <w:p w14:paraId="2CE57DAD">
      <w:pPr>
        <w:bidi w:val="0"/>
        <w:jc w:val="center"/>
        <w:rPr>
          <w:rFonts w:hint="eastAsia" w:ascii="宋体" w:hAnsi="宋体" w:eastAsia="宋体" w:cs="宋体"/>
          <w:color w:val="auto"/>
          <w:sz w:val="32"/>
          <w:szCs w:val="28"/>
        </w:rPr>
      </w:pPr>
    </w:p>
    <w:p w14:paraId="2EA52FC6">
      <w:pPr>
        <w:bidi w:val="0"/>
        <w:jc w:val="center"/>
        <w:rPr>
          <w:rFonts w:hint="eastAsia" w:ascii="宋体" w:hAnsi="宋体" w:eastAsia="宋体" w:cs="宋体"/>
          <w:color w:val="auto"/>
          <w:sz w:val="24"/>
        </w:rPr>
      </w:pPr>
      <w:bookmarkStart w:id="375" w:name="_Toc28423_WPSOffice_Level2"/>
      <w:bookmarkStart w:id="376" w:name="_Toc28896"/>
      <w:bookmarkStart w:id="377" w:name="_Toc6799"/>
      <w:bookmarkStart w:id="378" w:name="_Toc7063"/>
      <w:bookmarkStart w:id="379" w:name="_Toc1745_WPSOffice_Level2"/>
      <w:bookmarkStart w:id="380" w:name="_Toc23570"/>
      <w:bookmarkStart w:id="381" w:name="_Toc4261_WPSOffice_Level2"/>
      <w:bookmarkStart w:id="382" w:name="_Toc25506"/>
      <w:bookmarkStart w:id="383" w:name="_Toc15044_WPSOffice_Level2"/>
      <w:r>
        <w:rPr>
          <w:rFonts w:hint="eastAsia" w:ascii="宋体" w:hAnsi="宋体" w:eastAsia="宋体" w:cs="宋体"/>
          <w:color w:val="auto"/>
          <w:sz w:val="32"/>
          <w:szCs w:val="28"/>
        </w:rPr>
        <w:t>年    月    日</w:t>
      </w:r>
      <w:bookmarkEnd w:id="375"/>
      <w:bookmarkEnd w:id="376"/>
      <w:bookmarkEnd w:id="377"/>
      <w:bookmarkEnd w:id="378"/>
      <w:bookmarkEnd w:id="379"/>
      <w:bookmarkEnd w:id="380"/>
      <w:bookmarkEnd w:id="381"/>
      <w:bookmarkEnd w:id="382"/>
      <w:bookmarkEnd w:id="383"/>
    </w:p>
    <w:p w14:paraId="1DA60310">
      <w:pPr>
        <w:rPr>
          <w:rFonts w:hint="eastAsia" w:ascii="宋体" w:hAnsi="宋体" w:eastAsia="宋体" w:cs="宋体"/>
          <w:color w:val="auto"/>
          <w:sz w:val="24"/>
        </w:rPr>
      </w:pPr>
      <w:bookmarkStart w:id="384" w:name="_Toc71811327"/>
      <w:bookmarkStart w:id="385" w:name="_Toc8818"/>
      <w:bookmarkStart w:id="386" w:name="_Toc71811194"/>
      <w:bookmarkStart w:id="387" w:name="_Toc71813717"/>
      <w:bookmarkStart w:id="388" w:name="_Toc1375"/>
      <w:r>
        <w:rPr>
          <w:rFonts w:hint="eastAsia" w:ascii="宋体" w:hAnsi="宋体" w:eastAsia="宋体" w:cs="宋体"/>
          <w:color w:val="auto"/>
          <w:sz w:val="24"/>
        </w:rPr>
        <w:br w:type="page"/>
      </w:r>
    </w:p>
    <w:p w14:paraId="593BFCC1">
      <w:pPr>
        <w:pStyle w:val="4"/>
        <w:bidi w:val="0"/>
        <w:snapToGrid/>
        <w:spacing w:before="0" w:beforeLines="0" w:beforeAutospacing="0" w:afterAutospacing="0" w:line="360" w:lineRule="auto"/>
        <w:ind w:left="0" w:leftChars="0" w:right="0" w:rightChars="0" w:firstLine="482" w:firstLineChars="200"/>
        <w:jc w:val="left"/>
        <w:rPr>
          <w:rFonts w:hint="eastAsia" w:ascii="宋体" w:hAnsi="宋体" w:eastAsia="宋体" w:cs="宋体"/>
          <w:color w:val="auto"/>
          <w:sz w:val="24"/>
        </w:rPr>
      </w:pPr>
      <w:r>
        <w:rPr>
          <w:rFonts w:hint="eastAsia" w:ascii="宋体" w:hAnsi="宋体" w:eastAsia="宋体" w:cs="宋体"/>
          <w:color w:val="auto"/>
          <w:sz w:val="24"/>
        </w:rPr>
        <w:t>格式二</w:t>
      </w:r>
      <w:bookmarkEnd w:id="319"/>
      <w:bookmarkEnd w:id="320"/>
      <w:bookmarkEnd w:id="321"/>
      <w:bookmarkEnd w:id="322"/>
      <w:bookmarkEnd w:id="323"/>
      <w:bookmarkEnd w:id="324"/>
      <w:bookmarkEnd w:id="384"/>
      <w:bookmarkEnd w:id="385"/>
      <w:bookmarkEnd w:id="386"/>
      <w:bookmarkEnd w:id="387"/>
      <w:r>
        <w:rPr>
          <w:rFonts w:hint="eastAsia" w:ascii="宋体" w:hAnsi="宋体" w:eastAsia="宋体" w:cs="宋体"/>
          <w:color w:val="auto"/>
          <w:sz w:val="24"/>
        </w:rPr>
        <w:t xml:space="preserve">  投标函</w:t>
      </w:r>
      <w:bookmarkEnd w:id="388"/>
    </w:p>
    <w:p w14:paraId="73DEF3E1">
      <w:pPr>
        <w:snapToGrid/>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24"/>
          <w:highlight w:val="none"/>
        </w:rPr>
      </w:pPr>
    </w:p>
    <w:p w14:paraId="60B9E1F8">
      <w:pPr>
        <w:snapToGrid/>
        <w:spacing w:beforeAutospacing="0" w:afterAutospacing="0" w:line="360" w:lineRule="auto"/>
        <w:ind w:left="0" w:leftChars="0" w:right="0" w:rightChars="0" w:firstLine="562" w:firstLineChars="200"/>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投  标  函</w:t>
      </w:r>
    </w:p>
    <w:p w14:paraId="3C9E5D5A">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p>
    <w:p w14:paraId="4B6A82A1">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致：</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（招标人名称）</w:t>
      </w:r>
    </w:p>
    <w:p w14:paraId="30E9C135">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lang w:val="en-US" w:eastAsia="zh-CN"/>
        </w:rPr>
      </w:pPr>
      <w:r>
        <w:rPr>
          <w:rFonts w:hint="eastAsia" w:ascii="宋体" w:hAnsi="宋体" w:eastAsia="宋体" w:cs="宋体"/>
          <w:snapToGrid w:val="0"/>
          <w:color w:val="auto"/>
          <w:kern w:val="0"/>
          <w:sz w:val="24"/>
          <w:szCs w:val="22"/>
          <w:highlight w:val="none"/>
        </w:rPr>
        <w:t>1、经分析研究了贵方提供的</w:t>
      </w:r>
      <w:r>
        <w:rPr>
          <w:rFonts w:hint="eastAsia" w:ascii="宋体" w:hAnsi="宋体" w:eastAsia="宋体" w:cs="宋体"/>
          <w:snapToGrid w:val="0"/>
          <w:color w:val="auto"/>
          <w:kern w:val="0"/>
          <w:sz w:val="24"/>
          <w:szCs w:val="22"/>
          <w:highlight w:val="none"/>
          <w:u w:val="single"/>
        </w:rPr>
        <w:t xml:space="preserve">        （项目名称）      </w:t>
      </w:r>
      <w:r>
        <w:rPr>
          <w:rFonts w:hint="eastAsia" w:ascii="宋体" w:hAnsi="宋体" w:eastAsia="宋体" w:cs="宋体"/>
          <w:snapToGrid w:val="0"/>
          <w:color w:val="auto"/>
          <w:kern w:val="0"/>
          <w:sz w:val="24"/>
          <w:szCs w:val="22"/>
          <w:highlight w:val="none"/>
        </w:rPr>
        <w:t>（以下简称“本项目”）招标文件中的投标须知、拟签订合同的主要条款、项目介绍、本次招标答疑后，我方（即文末签名人），考虑了本企业的实力和特点，愿意接受招标文件的全部内容和条件，愿以投标报价</w:t>
      </w:r>
      <w:r>
        <w:rPr>
          <w:rFonts w:hint="eastAsia" w:ascii="宋体" w:hAnsi="宋体" w:eastAsia="宋体" w:cs="宋体"/>
          <w:snapToGrid w:val="0"/>
          <w:color w:val="auto"/>
          <w:kern w:val="0"/>
          <w:sz w:val="24"/>
          <w:szCs w:val="22"/>
          <w:highlight w:val="none"/>
          <w:u w:val="single"/>
        </w:rPr>
        <w:t xml:space="preserve">（人民币大写）：             （小写）¥            </w:t>
      </w:r>
      <w:r>
        <w:rPr>
          <w:rFonts w:hint="eastAsia" w:ascii="宋体" w:hAnsi="宋体" w:eastAsia="宋体" w:cs="宋体"/>
          <w:snapToGrid w:val="0"/>
          <w:color w:val="auto"/>
          <w:kern w:val="0"/>
          <w:sz w:val="24"/>
          <w:szCs w:val="22"/>
          <w:highlight w:val="none"/>
          <w:u w:val="single"/>
          <w:lang w:val="en-US" w:eastAsia="zh-CN"/>
        </w:rPr>
        <w:t>元</w:t>
      </w:r>
      <w:r>
        <w:rPr>
          <w:rFonts w:hint="eastAsia" w:ascii="宋体" w:hAnsi="宋体" w:eastAsia="宋体" w:cs="宋体"/>
          <w:snapToGrid w:val="0"/>
          <w:color w:val="auto"/>
          <w:kern w:val="0"/>
          <w:sz w:val="24"/>
          <w:szCs w:val="22"/>
          <w:highlight w:val="none"/>
        </w:rPr>
        <w:t>作为酬金，竞投承包上述工程。</w:t>
      </w:r>
    </w:p>
    <w:p w14:paraId="61B95685">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2、如我方中标，我方保证按合同条款、规范和附件要求，实施并完成上述工程设计。</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u w:val="single"/>
          <w:lang w:val="en-US" w:eastAsia="zh-CN"/>
        </w:rPr>
        <w:t xml:space="preserve"> </w:t>
      </w:r>
      <w:r>
        <w:rPr>
          <w:rFonts w:hint="eastAsia" w:ascii="宋体" w:hAnsi="宋体" w:eastAsia="宋体" w:cs="宋体"/>
          <w:snapToGrid w:val="0"/>
          <w:color w:val="auto"/>
          <w:kern w:val="0"/>
          <w:sz w:val="24"/>
          <w:szCs w:val="22"/>
          <w:highlight w:val="none"/>
        </w:rPr>
        <w:t>个日历天内完成合同约定的内容，并确保设计文件质量</w:t>
      </w:r>
      <w:r>
        <w:rPr>
          <w:rFonts w:hint="eastAsia" w:ascii="宋体" w:hAnsi="宋体" w:eastAsia="宋体" w:cs="宋体"/>
          <w:snapToGrid w:val="0"/>
          <w:color w:val="auto"/>
          <w:kern w:val="0"/>
          <w:sz w:val="24"/>
          <w:szCs w:val="22"/>
          <w:highlight w:val="none"/>
          <w:u w:val="single"/>
        </w:rPr>
        <w:t>必须满足招标文件相关要求</w:t>
      </w:r>
      <w:r>
        <w:rPr>
          <w:rFonts w:hint="eastAsia" w:ascii="宋体" w:hAnsi="宋体" w:eastAsia="宋体" w:cs="宋体"/>
          <w:snapToGrid w:val="0"/>
          <w:color w:val="auto"/>
          <w:kern w:val="0"/>
          <w:sz w:val="24"/>
          <w:szCs w:val="22"/>
          <w:highlight w:val="none"/>
        </w:rPr>
        <w:t>并修补其任何缺陷。</w:t>
      </w:r>
    </w:p>
    <w:p w14:paraId="16039204">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w:t>
      </w:r>
      <w:r>
        <w:rPr>
          <w:rFonts w:hint="eastAsia" w:ascii="宋体" w:hAnsi="宋体" w:eastAsia="宋体" w:cs="宋体"/>
          <w:snapToGrid w:val="0"/>
          <w:color w:val="auto"/>
          <w:kern w:val="0"/>
          <w:sz w:val="24"/>
          <w:szCs w:val="22"/>
          <w:highlight w:val="none"/>
          <w:lang w:val="en-US" w:eastAsia="zh-CN"/>
        </w:rPr>
        <w:t>、</w:t>
      </w:r>
      <w:r>
        <w:rPr>
          <w:rFonts w:hint="eastAsia" w:ascii="宋体" w:hAnsi="宋体" w:eastAsia="宋体" w:cs="宋体"/>
          <w:snapToGrid w:val="0"/>
          <w:color w:val="auto"/>
          <w:kern w:val="0"/>
          <w:sz w:val="24"/>
          <w:szCs w:val="22"/>
          <w:highlight w:val="none"/>
        </w:rPr>
        <w:t>本投标函在你方接收我方递交的投标文件之日起、到招标文件规定的投标有效期</w:t>
      </w:r>
      <w:r>
        <w:rPr>
          <w:rFonts w:hint="eastAsia" w:ascii="宋体" w:hAnsi="宋体" w:eastAsia="宋体" w:cs="宋体"/>
          <w:snapToGrid w:val="0"/>
          <w:color w:val="auto"/>
          <w:kern w:val="0"/>
          <w:sz w:val="24"/>
          <w:szCs w:val="22"/>
          <w:highlight w:val="none"/>
          <w:lang w:eastAsia="zh-CN"/>
        </w:rPr>
        <w:t>（</w:t>
      </w:r>
      <w:r>
        <w:rPr>
          <w:rFonts w:hint="eastAsia" w:ascii="宋体" w:hAnsi="宋体" w:eastAsia="宋体" w:cs="宋体"/>
          <w:snapToGrid w:val="0"/>
          <w:color w:val="auto"/>
          <w:kern w:val="0"/>
          <w:sz w:val="24"/>
          <w:szCs w:val="22"/>
          <w:highlight w:val="none"/>
          <w:lang w:val="en-US" w:eastAsia="zh-CN"/>
        </w:rPr>
        <w:t>90日历天</w:t>
      </w:r>
      <w:r>
        <w:rPr>
          <w:rFonts w:hint="eastAsia" w:ascii="宋体" w:hAnsi="宋体" w:eastAsia="宋体" w:cs="宋体"/>
          <w:snapToGrid w:val="0"/>
          <w:color w:val="auto"/>
          <w:kern w:val="0"/>
          <w:sz w:val="24"/>
          <w:szCs w:val="22"/>
          <w:highlight w:val="none"/>
          <w:lang w:eastAsia="zh-CN"/>
        </w:rPr>
        <w:t>）</w:t>
      </w:r>
      <w:r>
        <w:rPr>
          <w:rFonts w:hint="eastAsia" w:ascii="宋体" w:hAnsi="宋体" w:eastAsia="宋体" w:cs="宋体"/>
          <w:snapToGrid w:val="0"/>
          <w:color w:val="auto"/>
          <w:kern w:val="0"/>
          <w:sz w:val="24"/>
          <w:szCs w:val="22"/>
          <w:highlight w:val="none"/>
        </w:rPr>
        <w:t>期满前对我方具有约束力。我方随时准备接受你方发出的中标通知书。</w:t>
      </w:r>
    </w:p>
    <w:p w14:paraId="163649FD">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4</w:t>
      </w:r>
      <w:r>
        <w:rPr>
          <w:rFonts w:hint="eastAsia" w:ascii="宋体" w:hAnsi="宋体" w:eastAsia="宋体" w:cs="宋体"/>
          <w:snapToGrid w:val="0"/>
          <w:color w:val="auto"/>
          <w:kern w:val="0"/>
          <w:sz w:val="24"/>
          <w:szCs w:val="22"/>
          <w:highlight w:val="none"/>
          <w:lang w:eastAsia="zh-CN"/>
        </w:rPr>
        <w:t>、</w:t>
      </w:r>
      <w:r>
        <w:rPr>
          <w:rFonts w:hint="eastAsia" w:ascii="宋体" w:hAnsi="宋体" w:eastAsia="宋体" w:cs="宋体"/>
          <w:snapToGrid w:val="0"/>
          <w:color w:val="auto"/>
          <w:kern w:val="0"/>
          <w:sz w:val="24"/>
          <w:szCs w:val="22"/>
          <w:highlight w:val="none"/>
        </w:rPr>
        <w:t>我方在此声明，我方不存在本项目招标文件第一章第三节第</w:t>
      </w:r>
      <w:r>
        <w:rPr>
          <w:rFonts w:hint="eastAsia" w:ascii="宋体" w:hAnsi="宋体" w:eastAsia="宋体" w:cs="宋体"/>
          <w:snapToGrid w:val="0"/>
          <w:color w:val="auto"/>
          <w:kern w:val="0"/>
          <w:sz w:val="24"/>
          <w:szCs w:val="22"/>
          <w:highlight w:val="none"/>
          <w:lang w:val="en-US" w:eastAsia="zh-CN"/>
        </w:rPr>
        <w:t>4</w:t>
      </w:r>
      <w:r>
        <w:rPr>
          <w:rFonts w:hint="eastAsia" w:ascii="宋体" w:hAnsi="宋体" w:eastAsia="宋体" w:cs="宋体"/>
          <w:snapToGrid w:val="0"/>
          <w:color w:val="auto"/>
          <w:kern w:val="0"/>
          <w:sz w:val="24"/>
          <w:szCs w:val="22"/>
          <w:highlight w:val="none"/>
        </w:rPr>
        <w:t>.4条“禁止投标条款”所列出的任何一种情形，并愿意承担因我方就此弄虚作假所引起的一切法律后果。</w:t>
      </w:r>
    </w:p>
    <w:p w14:paraId="60B6CDE3">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5</w:t>
      </w:r>
      <w:r>
        <w:rPr>
          <w:rFonts w:hint="eastAsia" w:ascii="宋体" w:hAnsi="宋体" w:eastAsia="宋体" w:cs="宋体"/>
          <w:snapToGrid w:val="0"/>
          <w:color w:val="auto"/>
          <w:kern w:val="0"/>
          <w:sz w:val="24"/>
          <w:szCs w:val="22"/>
          <w:highlight w:val="none"/>
          <w:lang w:eastAsia="zh-CN"/>
        </w:rPr>
        <w:t>、</w:t>
      </w:r>
      <w:r>
        <w:rPr>
          <w:rFonts w:hint="eastAsia" w:ascii="宋体" w:hAnsi="宋体" w:eastAsia="宋体" w:cs="宋体"/>
          <w:snapToGrid w:val="0"/>
          <w:color w:val="auto"/>
          <w:kern w:val="0"/>
          <w:sz w:val="24"/>
          <w:szCs w:val="22"/>
          <w:highlight w:val="none"/>
        </w:rPr>
        <w:t>我方在此承诺，所递交投标文件的全部内容均为真实、有效、准确的，并愿意承担因我方就此弄虚作假所引起的一切法律后果，同时理解和同意有可能被要求提供更多的资料。</w:t>
      </w:r>
    </w:p>
    <w:p w14:paraId="1A182543">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bookmarkStart w:id="389" w:name="_Hlt68771070"/>
      <w:bookmarkEnd w:id="389"/>
      <w:r>
        <w:rPr>
          <w:rFonts w:hint="eastAsia" w:ascii="宋体" w:hAnsi="宋体" w:eastAsia="宋体" w:cs="宋体"/>
          <w:snapToGrid w:val="0"/>
          <w:color w:val="auto"/>
          <w:kern w:val="0"/>
          <w:sz w:val="24"/>
          <w:szCs w:val="22"/>
          <w:highlight w:val="none"/>
        </w:rPr>
        <w:t>6</w:t>
      </w:r>
      <w:r>
        <w:rPr>
          <w:rFonts w:hint="eastAsia" w:ascii="宋体" w:hAnsi="宋体" w:eastAsia="宋体" w:cs="宋体"/>
          <w:snapToGrid w:val="0"/>
          <w:color w:val="auto"/>
          <w:kern w:val="0"/>
          <w:sz w:val="24"/>
          <w:szCs w:val="22"/>
          <w:highlight w:val="none"/>
          <w:lang w:eastAsia="zh-CN"/>
        </w:rPr>
        <w:t>、</w:t>
      </w:r>
      <w:r>
        <w:rPr>
          <w:rFonts w:hint="eastAsia" w:ascii="宋体" w:hAnsi="宋体" w:eastAsia="宋体" w:cs="宋体"/>
          <w:snapToGrid w:val="0"/>
          <w:color w:val="auto"/>
          <w:kern w:val="0"/>
          <w:sz w:val="24"/>
          <w:szCs w:val="22"/>
          <w:highlight w:val="none"/>
        </w:rPr>
        <w:t>我方理解你方不一定要接纳收到的最低投标总价或任何投标总价的投标人中标，也不要求你方解释我方是否中标的原因。</w:t>
      </w:r>
    </w:p>
    <w:p w14:paraId="2EA5F58B">
      <w:pPr>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snapToGrid w:val="0"/>
          <w:color w:val="auto"/>
          <w:kern w:val="0"/>
          <w:sz w:val="24"/>
          <w:szCs w:val="22"/>
          <w:highlight w:val="none"/>
        </w:rPr>
      </w:pPr>
    </w:p>
    <w:p w14:paraId="1132F45B">
      <w:pPr>
        <w:pStyle w:val="10"/>
        <w:snapToGrid/>
        <w:spacing w:beforeAutospacing="0" w:afterAutospacing="0" w:line="360" w:lineRule="auto"/>
        <w:ind w:left="0" w:leftChars="0" w:right="0" w:rightChars="0" w:firstLine="480" w:firstLineChars="200"/>
        <w:jc w:val="left"/>
        <w:rPr>
          <w:rFonts w:hint="eastAsia" w:ascii="宋体" w:hAnsi="宋体" w:eastAsia="宋体" w:cs="宋体"/>
          <w:color w:val="auto"/>
          <w:sz w:val="24"/>
        </w:rPr>
      </w:pPr>
    </w:p>
    <w:p w14:paraId="73C81EBF">
      <w:pPr>
        <w:wordWrap w:val="0"/>
        <w:adjustRightInd w:val="0"/>
        <w:snapToGrid/>
        <w:spacing w:beforeAutospacing="0" w:afterAutospacing="0" w:line="360" w:lineRule="auto"/>
        <w:ind w:left="0" w:leftChars="0" w:right="0" w:rightChars="0" w:firstLine="480" w:firstLineChars="200"/>
        <w:jc w:val="righ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（盖单位章）</w:t>
      </w:r>
    </w:p>
    <w:p w14:paraId="3E976DE3">
      <w:pPr>
        <w:wordWrap w:val="0"/>
        <w:adjustRightInd w:val="0"/>
        <w:snapToGrid/>
        <w:spacing w:beforeAutospacing="0" w:afterAutospacing="0" w:line="360" w:lineRule="auto"/>
        <w:ind w:left="0" w:leftChars="0" w:right="0" w:rightChars="0" w:firstLine="480" w:firstLineChars="200"/>
        <w:jc w:val="righ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法定代表人或其委托代理人：</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（签字或盖章）</w:t>
      </w:r>
    </w:p>
    <w:p w14:paraId="11C3D4EC">
      <w:pPr>
        <w:wordWrap w:val="0"/>
        <w:adjustRightInd w:val="0"/>
        <w:snapToGrid/>
        <w:spacing w:beforeAutospacing="0" w:afterAutospacing="0" w:line="360" w:lineRule="auto"/>
        <w:ind w:left="0" w:leftChars="0" w:right="0" w:rightChars="0" w:firstLine="480" w:firstLineChars="200"/>
        <w:jc w:val="right"/>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年</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月</w:t>
      </w: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2"/>
          <w:highlight w:val="none"/>
        </w:rPr>
        <w:t>日</w:t>
      </w:r>
    </w:p>
    <w:p w14:paraId="37003CD9">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highlight w:val="none"/>
        </w:rPr>
      </w:pPr>
    </w:p>
    <w:p w14:paraId="4F3113AA">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highlight w:val="none"/>
        </w:rPr>
      </w:pPr>
    </w:p>
    <w:p w14:paraId="28FAEF77">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480" w:firstLineChars="200"/>
        <w:jc w:val="left"/>
        <w:textAlignment w:val="auto"/>
        <w:rPr>
          <w:rFonts w:hint="eastAsia" w:ascii="宋体" w:hAnsi="宋体" w:eastAsia="宋体" w:cs="宋体"/>
          <w:snapToGrid w:val="0"/>
          <w:color w:val="auto"/>
          <w:kern w:val="0"/>
          <w:sz w:val="24"/>
          <w:highlight w:val="none"/>
        </w:rPr>
      </w:pPr>
    </w:p>
    <w:p w14:paraId="2C76616F">
      <w:pPr>
        <w:keepNext w:val="0"/>
        <w:keepLines w:val="0"/>
        <w:pageBreakBefore w:val="0"/>
        <w:widowControl w:val="0"/>
        <w:kinsoku/>
        <w:wordWrap/>
        <w:overflowPunct/>
        <w:topLinePunct w:val="0"/>
        <w:autoSpaceDE/>
        <w:autoSpaceDN/>
        <w:bidi w:val="0"/>
        <w:snapToGrid/>
        <w:spacing w:beforeAutospacing="0" w:afterAutospacing="0" w:line="360" w:lineRule="auto"/>
        <w:ind w:right="0" w:rightChars="0"/>
        <w:jc w:val="left"/>
        <w:textAlignment w:val="auto"/>
        <w:rPr>
          <w:rFonts w:hint="eastAsia" w:ascii="宋体" w:hAnsi="宋体" w:eastAsia="宋体" w:cs="宋体"/>
          <w:snapToGrid w:val="0"/>
          <w:color w:val="auto"/>
          <w:kern w:val="0"/>
          <w:sz w:val="24"/>
          <w:highlight w:val="none"/>
        </w:rPr>
      </w:pPr>
    </w:p>
    <w:p w14:paraId="67FA22A4">
      <w:pPr>
        <w:rPr>
          <w:rStyle w:val="48"/>
          <w:rFonts w:hint="eastAsia" w:ascii="宋体" w:hAnsi="宋体" w:eastAsia="宋体" w:cs="宋体"/>
          <w:b/>
          <w:bCs/>
          <w:color w:val="auto"/>
          <w:sz w:val="24"/>
          <w:highlight w:val="none"/>
        </w:rPr>
      </w:pPr>
      <w:bookmarkStart w:id="390" w:name="_Toc2532"/>
      <w:bookmarkStart w:id="391" w:name="_Toc19501"/>
      <w:bookmarkStart w:id="392" w:name="_Toc135054610"/>
      <w:bookmarkStart w:id="393" w:name="_Toc26773"/>
      <w:bookmarkStart w:id="394" w:name="_Toc4189"/>
      <w:r>
        <w:rPr>
          <w:rStyle w:val="48"/>
          <w:rFonts w:hint="eastAsia" w:ascii="宋体" w:hAnsi="宋体" w:eastAsia="宋体" w:cs="宋体"/>
          <w:b/>
          <w:bCs/>
          <w:color w:val="auto"/>
          <w:sz w:val="24"/>
          <w:highlight w:val="none"/>
        </w:rPr>
        <w:br w:type="page"/>
      </w:r>
    </w:p>
    <w:p w14:paraId="13C7BE1A">
      <w:pPr>
        <w:pStyle w:val="4"/>
        <w:snapToGrid/>
        <w:spacing w:before="0" w:beforeLines="0" w:beforeAutospacing="0" w:afterAutospacing="0" w:line="360" w:lineRule="auto"/>
        <w:ind w:left="0" w:leftChars="0" w:right="0" w:rightChars="0" w:firstLine="482" w:firstLineChars="200"/>
        <w:jc w:val="left"/>
        <w:rPr>
          <w:rStyle w:val="48"/>
          <w:rFonts w:hint="eastAsia" w:ascii="宋体" w:hAnsi="宋体" w:eastAsia="宋体" w:cs="宋体"/>
          <w:b/>
          <w:bCs/>
          <w:color w:val="auto"/>
          <w:sz w:val="24"/>
          <w:highlight w:val="none"/>
        </w:rPr>
      </w:pPr>
      <w:r>
        <w:rPr>
          <w:rStyle w:val="48"/>
          <w:rFonts w:hint="eastAsia" w:ascii="宋体" w:hAnsi="宋体" w:eastAsia="宋体" w:cs="宋体"/>
          <w:b/>
          <w:bCs/>
          <w:color w:val="auto"/>
          <w:sz w:val="24"/>
          <w:highlight w:val="none"/>
        </w:rPr>
        <w:t>格式三  工程项目报价表</w:t>
      </w:r>
      <w:bookmarkEnd w:id="390"/>
      <w:bookmarkEnd w:id="391"/>
      <w:bookmarkEnd w:id="392"/>
      <w:bookmarkEnd w:id="393"/>
      <w:bookmarkEnd w:id="394"/>
    </w:p>
    <w:p w14:paraId="4210F02C">
      <w:pPr>
        <w:wordWrap w:val="0"/>
        <w:adjustRightInd w:val="0"/>
        <w:snapToGrid/>
        <w:spacing w:beforeAutospacing="0" w:afterAutospacing="0" w:line="360" w:lineRule="auto"/>
        <w:ind w:left="0" w:leftChars="0" w:right="0" w:rightChars="0" w:firstLine="562" w:firstLineChars="200"/>
        <w:jc w:val="center"/>
        <w:rPr>
          <w:rFonts w:hint="eastAsia" w:ascii="宋体" w:hAnsi="宋体" w:eastAsia="宋体" w:cs="宋体"/>
          <w:b/>
          <w:snapToGrid w:val="0"/>
          <w:color w:val="auto"/>
          <w:kern w:val="0"/>
          <w:sz w:val="28"/>
          <w:szCs w:val="21"/>
        </w:rPr>
      </w:pPr>
      <w:r>
        <w:rPr>
          <w:rFonts w:hint="eastAsia" w:ascii="宋体" w:hAnsi="宋体" w:eastAsia="宋体" w:cs="宋体"/>
          <w:b/>
          <w:snapToGrid w:val="0"/>
          <w:color w:val="auto"/>
          <w:kern w:val="0"/>
          <w:sz w:val="28"/>
          <w:szCs w:val="21"/>
        </w:rPr>
        <w:t>工程项目报价表</w:t>
      </w:r>
    </w:p>
    <w:tbl>
      <w:tblPr>
        <w:tblStyle w:val="34"/>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71"/>
        <w:gridCol w:w="1742"/>
        <w:gridCol w:w="2484"/>
        <w:gridCol w:w="1414"/>
        <w:gridCol w:w="2206"/>
      </w:tblGrid>
      <w:tr w14:paraId="1AC1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40" w:type="dxa"/>
            <w:noWrap w:val="0"/>
            <w:vAlign w:val="center"/>
          </w:tcPr>
          <w:p w14:paraId="585954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bookmarkStart w:id="395" w:name="_附件十一：单位工程费汇总表"/>
            <w:bookmarkEnd w:id="395"/>
            <w:r>
              <w:rPr>
                <w:rFonts w:hint="eastAsia" w:ascii="宋体" w:hAnsi="宋体" w:eastAsia="宋体" w:cs="宋体"/>
                <w:color w:val="auto"/>
                <w:sz w:val="24"/>
                <w:szCs w:val="24"/>
              </w:rPr>
              <w:t>序号</w:t>
            </w:r>
          </w:p>
        </w:tc>
        <w:tc>
          <w:tcPr>
            <w:tcW w:w="1271" w:type="dxa"/>
            <w:noWrap w:val="0"/>
            <w:vAlign w:val="center"/>
          </w:tcPr>
          <w:p w14:paraId="40E454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742" w:type="dxa"/>
            <w:noWrap w:val="0"/>
            <w:vAlign w:val="center"/>
          </w:tcPr>
          <w:p w14:paraId="7DD5D5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暂定建安工程费（元）</w:t>
            </w:r>
          </w:p>
        </w:tc>
        <w:tc>
          <w:tcPr>
            <w:tcW w:w="2484" w:type="dxa"/>
            <w:noWrap w:val="0"/>
            <w:vAlign w:val="center"/>
          </w:tcPr>
          <w:p w14:paraId="1F2F41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报价费率</w:t>
            </w:r>
          </w:p>
        </w:tc>
        <w:tc>
          <w:tcPr>
            <w:tcW w:w="1414" w:type="dxa"/>
            <w:noWrap w:val="0"/>
            <w:vAlign w:val="center"/>
          </w:tcPr>
          <w:p w14:paraId="65AE90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投标报价（元）</w:t>
            </w:r>
          </w:p>
        </w:tc>
        <w:tc>
          <w:tcPr>
            <w:tcW w:w="2206" w:type="dxa"/>
            <w:noWrap w:val="0"/>
            <w:vAlign w:val="center"/>
          </w:tcPr>
          <w:p w14:paraId="090B1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8EF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40" w:type="dxa"/>
            <w:noWrap w:val="0"/>
            <w:vAlign w:val="center"/>
          </w:tcPr>
          <w:p w14:paraId="4E2276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1271" w:type="dxa"/>
            <w:noWrap w:val="0"/>
            <w:vAlign w:val="center"/>
          </w:tcPr>
          <w:p w14:paraId="74D046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设计费</w:t>
            </w:r>
          </w:p>
        </w:tc>
        <w:tc>
          <w:tcPr>
            <w:tcW w:w="1742" w:type="dxa"/>
            <w:noWrap w:val="0"/>
            <w:vAlign w:val="center"/>
          </w:tcPr>
          <w:p w14:paraId="4EF4B9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77827300.00</w:t>
            </w:r>
          </w:p>
        </w:tc>
        <w:tc>
          <w:tcPr>
            <w:tcW w:w="2484" w:type="dxa"/>
            <w:noWrap w:val="0"/>
            <w:vAlign w:val="center"/>
          </w:tcPr>
          <w:p w14:paraId="5AEC35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设计费报价费率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c>
          <w:tcPr>
            <w:tcW w:w="1414" w:type="dxa"/>
            <w:noWrap w:val="0"/>
            <w:vAlign w:val="center"/>
          </w:tcPr>
          <w:p w14:paraId="49430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p>
        </w:tc>
        <w:tc>
          <w:tcPr>
            <w:tcW w:w="2206" w:type="dxa"/>
            <w:noWrap w:val="0"/>
            <w:vAlign w:val="center"/>
          </w:tcPr>
          <w:p w14:paraId="7D678B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16B67F9A">
      <w:pPr>
        <w:adjustRightInd w:val="0"/>
        <w:snapToGrid/>
        <w:spacing w:beforeAutospacing="0" w:afterAutospacing="0" w:line="360" w:lineRule="auto"/>
        <w:ind w:left="0" w:leftChars="0" w:right="0" w:rightChars="0" w:firstLine="480" w:firstLineChars="200"/>
        <w:jc w:val="left"/>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备注：</w:t>
      </w:r>
    </w:p>
    <w:p w14:paraId="2CD4846C">
      <w:pPr>
        <w:widowControl w:val="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Cs/>
          <w:snapToGrid w:val="0"/>
          <w:color w:val="auto"/>
          <w:kern w:val="0"/>
          <w:sz w:val="24"/>
          <w:szCs w:val="24"/>
          <w:lang w:val="en-US" w:eastAsia="zh-CN" w:bidi="ar-SA"/>
        </w:rPr>
      </w:pPr>
      <w:r>
        <w:rPr>
          <w:rFonts w:hint="eastAsia" w:ascii="宋体" w:hAnsi="宋体" w:eastAsia="宋体" w:cs="宋体"/>
          <w:bCs/>
          <w:snapToGrid w:val="0"/>
          <w:color w:val="auto"/>
          <w:kern w:val="0"/>
          <w:sz w:val="24"/>
          <w:szCs w:val="24"/>
          <w:lang w:val="en-US" w:eastAsia="zh-CN" w:bidi="ar-SA"/>
        </w:rPr>
        <w:t>1.投标人必须根据本招标文件第一章“9.最高投标限价的确定及投标报价的约定”中所列具体项目和备注说明编制本表。</w:t>
      </w:r>
    </w:p>
    <w:p w14:paraId="2310BFFC">
      <w:pPr>
        <w:widowControl w:val="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Cs/>
          <w:snapToGrid w:val="0"/>
          <w:color w:val="auto"/>
          <w:kern w:val="0"/>
          <w:sz w:val="24"/>
          <w:szCs w:val="24"/>
          <w:lang w:val="en-US" w:eastAsia="zh-CN" w:bidi="ar-SA"/>
        </w:rPr>
      </w:pPr>
      <w:r>
        <w:rPr>
          <w:rFonts w:hint="eastAsia" w:ascii="宋体" w:hAnsi="宋体" w:eastAsia="宋体" w:cs="宋体"/>
          <w:bCs/>
          <w:snapToGrid w:val="0"/>
          <w:color w:val="auto"/>
          <w:kern w:val="0"/>
          <w:sz w:val="24"/>
          <w:szCs w:val="24"/>
          <w:lang w:val="en-US" w:eastAsia="zh-CN" w:bidi="ar-SA"/>
        </w:rPr>
        <w:t>2.投标报价超过最高投标限价为无效报价。</w:t>
      </w:r>
    </w:p>
    <w:p w14:paraId="740DE0A2">
      <w:pPr>
        <w:widowControl w:val="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Cs/>
          <w:snapToGrid w:val="0"/>
          <w:color w:val="auto"/>
          <w:kern w:val="0"/>
          <w:sz w:val="24"/>
          <w:szCs w:val="24"/>
          <w:lang w:val="en-US" w:eastAsia="zh-CN" w:bidi="ar-SA"/>
        </w:rPr>
      </w:pPr>
      <w:r>
        <w:rPr>
          <w:rFonts w:hint="eastAsia" w:ascii="宋体" w:hAnsi="宋体" w:eastAsia="宋体" w:cs="宋体"/>
          <w:bCs/>
          <w:snapToGrid w:val="0"/>
          <w:color w:val="auto"/>
          <w:kern w:val="0"/>
          <w:sz w:val="24"/>
          <w:szCs w:val="24"/>
          <w:lang w:val="en-US" w:eastAsia="zh-CN" w:bidi="ar-SA"/>
        </w:rPr>
        <w:t>3.投标报价均按四舍五入保留两位小数；</w:t>
      </w:r>
      <w:r>
        <w:rPr>
          <w:rFonts w:hint="eastAsia" w:ascii="宋体" w:hAnsi="宋体" w:eastAsia="宋体" w:cs="宋体"/>
          <w:color w:val="auto"/>
          <w:kern w:val="0"/>
          <w:sz w:val="24"/>
          <w:szCs w:val="24"/>
          <w:lang w:val="en-US" w:eastAsia="zh-CN" w:bidi="ar-SA"/>
        </w:rPr>
        <w:t>报价</w:t>
      </w:r>
      <w:r>
        <w:rPr>
          <w:rFonts w:hint="eastAsia" w:ascii="宋体" w:hAnsi="宋体" w:eastAsia="宋体" w:cs="宋体"/>
          <w:bCs/>
          <w:snapToGrid w:val="0"/>
          <w:color w:val="auto"/>
          <w:kern w:val="0"/>
          <w:sz w:val="24"/>
          <w:szCs w:val="24"/>
          <w:lang w:val="en-US" w:eastAsia="zh-CN" w:bidi="ar-SA"/>
        </w:rPr>
        <w:t>费率按四舍五入保留至小数点后三位。</w:t>
      </w:r>
    </w:p>
    <w:p w14:paraId="5E7C4878">
      <w:pPr>
        <w:widowControl w:val="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Cs/>
          <w:snapToGrid w:val="0"/>
          <w:color w:val="auto"/>
          <w:kern w:val="0"/>
          <w:sz w:val="24"/>
          <w:szCs w:val="24"/>
          <w:lang w:val="en-US" w:eastAsia="zh-CN" w:bidi="ar-SA"/>
        </w:rPr>
      </w:pPr>
      <w:r>
        <w:rPr>
          <w:rFonts w:hint="eastAsia" w:ascii="宋体" w:hAnsi="宋体" w:eastAsia="宋体" w:cs="宋体"/>
          <w:bCs/>
          <w:snapToGrid w:val="0"/>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暂定建安工程费</w:t>
      </w:r>
      <w:r>
        <w:rPr>
          <w:rFonts w:hint="eastAsia" w:ascii="宋体" w:hAnsi="宋体" w:eastAsia="宋体" w:cs="宋体"/>
          <w:bCs/>
          <w:snapToGrid w:val="0"/>
          <w:color w:val="auto"/>
          <w:kern w:val="0"/>
          <w:sz w:val="24"/>
          <w:szCs w:val="24"/>
          <w:lang w:val="en-US" w:eastAsia="zh-CN" w:bidi="ar-SA"/>
        </w:rPr>
        <w:t>作为暂定额，不作为结算依据。</w:t>
      </w:r>
    </w:p>
    <w:p w14:paraId="775D2259">
      <w:pPr>
        <w:widowControl w:val="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Cs/>
          <w:snapToGrid w:val="0"/>
          <w:color w:val="auto"/>
          <w:kern w:val="0"/>
          <w:sz w:val="24"/>
          <w:szCs w:val="24"/>
          <w:lang w:val="en-US" w:eastAsia="zh-CN" w:bidi="ar-SA"/>
        </w:rPr>
      </w:pPr>
      <w:r>
        <w:rPr>
          <w:rFonts w:hint="eastAsia" w:ascii="宋体" w:hAnsi="宋体" w:eastAsia="宋体" w:cs="宋体"/>
          <w:bCs/>
          <w:snapToGrid w:val="0"/>
          <w:color w:val="auto"/>
          <w:kern w:val="0"/>
          <w:sz w:val="24"/>
          <w:szCs w:val="24"/>
          <w:lang w:val="en-US" w:eastAsia="zh-CN" w:bidi="ar-SA"/>
        </w:rPr>
        <w:t>5.投标人所报</w:t>
      </w:r>
      <w:r>
        <w:rPr>
          <w:rFonts w:hint="eastAsia" w:ascii="宋体" w:hAnsi="宋体" w:eastAsia="宋体" w:cs="宋体"/>
          <w:color w:val="auto"/>
          <w:kern w:val="0"/>
          <w:sz w:val="24"/>
          <w:szCs w:val="24"/>
          <w:lang w:val="en-US" w:eastAsia="zh-CN" w:bidi="ar-SA"/>
        </w:rPr>
        <w:t>报价</w:t>
      </w:r>
      <w:r>
        <w:rPr>
          <w:rFonts w:hint="eastAsia" w:ascii="宋体" w:hAnsi="宋体" w:eastAsia="宋体" w:cs="宋体"/>
          <w:bCs/>
          <w:snapToGrid w:val="0"/>
          <w:color w:val="auto"/>
          <w:kern w:val="0"/>
          <w:sz w:val="24"/>
          <w:szCs w:val="24"/>
          <w:lang w:val="en-US" w:eastAsia="zh-CN" w:bidi="ar-SA"/>
        </w:rPr>
        <w:t>费率作为结算依据，最高投标限价为限额设计工程造价，结算时任何情况下不能超过最高投标限价。</w:t>
      </w:r>
    </w:p>
    <w:p w14:paraId="5CF1E522">
      <w:pPr>
        <w:widowControl w:val="0"/>
        <w:wordWrap w:val="0"/>
        <w:adjustRightInd w:val="0"/>
        <w:snapToGrid/>
        <w:spacing w:beforeAutospacing="0" w:afterAutospacing="0" w:line="360" w:lineRule="auto"/>
        <w:ind w:left="0" w:leftChars="0" w:right="0" w:rightChars="0" w:firstLine="480" w:firstLineChars="200"/>
        <w:jc w:val="left"/>
        <w:rPr>
          <w:rFonts w:hint="eastAsia" w:ascii="宋体" w:hAnsi="宋体" w:eastAsia="宋体" w:cs="宋体"/>
          <w:b/>
          <w:snapToGrid w:val="0"/>
          <w:color w:val="auto"/>
          <w:kern w:val="0"/>
          <w:sz w:val="24"/>
          <w:szCs w:val="24"/>
          <w:lang w:val="en-US" w:eastAsia="zh-CN" w:bidi="ar-SA"/>
        </w:rPr>
      </w:pPr>
      <w:r>
        <w:rPr>
          <w:rFonts w:hint="eastAsia" w:ascii="宋体" w:hAnsi="宋体" w:eastAsia="宋体" w:cs="宋体"/>
          <w:bCs/>
          <w:snapToGrid w:val="0"/>
          <w:color w:val="auto"/>
          <w:kern w:val="0"/>
          <w:sz w:val="24"/>
          <w:szCs w:val="24"/>
          <w:lang w:val="en-US" w:eastAsia="zh-CN" w:bidi="ar-SA"/>
        </w:rPr>
        <w:t>6.以上报价均为含税报价（增值税）</w:t>
      </w:r>
      <w:r>
        <w:rPr>
          <w:rFonts w:hint="eastAsia" w:ascii="宋体" w:hAnsi="宋体" w:eastAsia="宋体" w:cs="宋体"/>
          <w:color w:val="auto"/>
          <w:kern w:val="0"/>
          <w:sz w:val="24"/>
          <w:szCs w:val="21"/>
          <w:lang w:val="en-US" w:eastAsia="zh-CN" w:bidi="ar-SA"/>
        </w:rPr>
        <w:t>。</w:t>
      </w:r>
    </w:p>
    <w:p w14:paraId="4B001E76">
      <w:pPr>
        <w:pStyle w:val="96"/>
        <w:widowControl w:val="0"/>
        <w:wordWrap w:val="0"/>
        <w:adjustRightInd w:val="0"/>
        <w:snapToGrid/>
        <w:spacing w:beforeAutospacing="0" w:afterAutospacing="0" w:line="360" w:lineRule="auto"/>
        <w:ind w:left="0" w:leftChars="0" w:right="0" w:rightChars="0" w:firstLine="482" w:firstLineChars="200"/>
        <w:jc w:val="left"/>
        <w:rPr>
          <w:rFonts w:hint="eastAsia" w:ascii="宋体" w:hAnsi="宋体" w:eastAsia="宋体" w:cs="宋体"/>
          <w:b/>
          <w:snapToGrid w:val="0"/>
          <w:color w:val="auto"/>
          <w:sz w:val="24"/>
          <w:szCs w:val="24"/>
          <w:highlight w:val="none"/>
        </w:rPr>
      </w:pPr>
    </w:p>
    <w:p w14:paraId="6D100DCD">
      <w:pPr>
        <w:wordWrap w:val="0"/>
        <w:adjustRightInd w:val="0"/>
        <w:snapToGrid/>
        <w:spacing w:beforeAutospacing="0" w:afterAutospacing="0" w:line="360" w:lineRule="auto"/>
        <w:ind w:left="0" w:leftChars="0" w:right="0" w:rightChars="0"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CDF932C">
      <w:pPr>
        <w:pStyle w:val="14"/>
        <w:snapToGrid/>
        <w:spacing w:beforeAutospacing="0" w:afterAutospacing="0" w:line="360" w:lineRule="auto"/>
        <w:ind w:left="0" w:leftChars="0" w:right="0" w:rightChars="0" w:firstLine="480" w:firstLineChars="200"/>
        <w:jc w:val="right"/>
        <w:rPr>
          <w:rFonts w:hint="eastAsia" w:ascii="宋体" w:hAnsi="宋体" w:eastAsia="宋体" w:cs="宋体"/>
          <w:color w:val="auto"/>
          <w:sz w:val="24"/>
          <w:highlight w:val="none"/>
        </w:rPr>
      </w:pPr>
    </w:p>
    <w:p w14:paraId="3709A0A5">
      <w:pPr>
        <w:wordWrap w:val="0"/>
        <w:adjustRightInd w:val="0"/>
        <w:snapToGrid/>
        <w:spacing w:beforeAutospacing="0" w:afterAutospacing="0" w:line="360" w:lineRule="auto"/>
        <w:ind w:left="0" w:leftChars="0" w:right="0" w:rightChars="0"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74305396">
      <w:pPr>
        <w:pStyle w:val="14"/>
        <w:snapToGrid/>
        <w:spacing w:beforeAutospacing="0" w:afterAutospacing="0" w:line="360" w:lineRule="auto"/>
        <w:ind w:left="0" w:leftChars="0" w:right="0" w:rightChars="0" w:firstLine="480" w:firstLineChars="200"/>
        <w:jc w:val="right"/>
        <w:rPr>
          <w:rFonts w:hint="eastAsia" w:ascii="宋体" w:hAnsi="宋体" w:eastAsia="宋体" w:cs="宋体"/>
          <w:color w:val="auto"/>
          <w:sz w:val="24"/>
          <w:highlight w:val="none"/>
        </w:rPr>
      </w:pPr>
    </w:p>
    <w:p w14:paraId="73537DFF">
      <w:pPr>
        <w:wordWrap w:val="0"/>
        <w:adjustRightInd w:val="0"/>
        <w:snapToGrid/>
        <w:spacing w:beforeAutospacing="0" w:afterAutospacing="0" w:line="360" w:lineRule="auto"/>
        <w:ind w:left="0" w:leftChars="0" w:right="0" w:rightChars="0"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2"/>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2E5CBF8">
      <w:pPr>
        <w:rPr>
          <w:rFonts w:hint="eastAsia" w:ascii="宋体" w:hAnsi="宋体" w:eastAsia="宋体" w:cs="宋体"/>
          <w:color w:val="auto"/>
          <w:sz w:val="24"/>
          <w:lang w:val="en-US" w:eastAsia="zh-CN"/>
        </w:rPr>
      </w:pPr>
      <w:bookmarkStart w:id="396" w:name="_Toc71811328"/>
      <w:bookmarkStart w:id="397" w:name="_Toc30990"/>
      <w:bookmarkStart w:id="398" w:name="_Toc71811195"/>
      <w:bookmarkStart w:id="399" w:name="_Toc71813718"/>
      <w:r>
        <w:rPr>
          <w:rFonts w:hint="eastAsia" w:ascii="宋体" w:hAnsi="宋体" w:eastAsia="宋体" w:cs="宋体"/>
          <w:color w:val="auto"/>
          <w:sz w:val="24"/>
          <w:lang w:val="en-US" w:eastAsia="zh-CN"/>
        </w:rPr>
        <w:br w:type="page"/>
      </w:r>
    </w:p>
    <w:p w14:paraId="698FEEB1">
      <w:pPr>
        <w:pStyle w:val="4"/>
        <w:bidi w:val="0"/>
        <w:snapToGrid/>
        <w:spacing w:before="0" w:beforeLines="0" w:beforeAutospacing="0" w:afterAutospacing="0" w:line="360" w:lineRule="auto"/>
        <w:ind w:left="0" w:leftChars="0" w:right="0" w:rightChars="0" w:firstLine="482" w:firstLineChars="200"/>
        <w:jc w:val="left"/>
        <w:rPr>
          <w:rFonts w:hint="eastAsia" w:ascii="宋体" w:hAnsi="宋体" w:eastAsia="宋体" w:cs="宋体"/>
          <w:color w:val="auto"/>
          <w:sz w:val="24"/>
        </w:rPr>
      </w:pPr>
      <w:bookmarkStart w:id="400" w:name="_Toc21014"/>
      <w:r>
        <w:rPr>
          <w:rFonts w:hint="eastAsia" w:ascii="宋体" w:hAnsi="宋体" w:eastAsia="宋体" w:cs="宋体"/>
          <w:color w:val="auto"/>
          <w:sz w:val="24"/>
          <w:lang w:val="en-US" w:eastAsia="zh-CN"/>
        </w:rPr>
        <w:t>格式</w:t>
      </w:r>
      <w:bookmarkEnd w:id="396"/>
      <w:bookmarkEnd w:id="397"/>
      <w:bookmarkEnd w:id="398"/>
      <w:bookmarkEnd w:id="399"/>
      <w:r>
        <w:rPr>
          <w:rFonts w:hint="eastAsia" w:ascii="宋体" w:hAnsi="宋体" w:eastAsia="宋体" w:cs="宋体"/>
          <w:color w:val="auto"/>
          <w:sz w:val="24"/>
          <w:lang w:val="en-US" w:eastAsia="zh-CN"/>
        </w:rPr>
        <w:t>四  各项承诺一览表</w:t>
      </w:r>
      <w:bookmarkEnd w:id="400"/>
    </w:p>
    <w:p w14:paraId="39FBB3D0">
      <w:pPr>
        <w:keepNext w:val="0"/>
        <w:keepLines w:val="0"/>
        <w:pageBreakBefore w:val="0"/>
        <w:widowControl w:val="0"/>
        <w:kinsoku/>
        <w:wordWrap/>
        <w:overflowPunct/>
        <w:topLinePunct w:val="0"/>
        <w:autoSpaceDE/>
        <w:autoSpaceDN/>
        <w:bidi w:val="0"/>
        <w:spacing w:before="100" w:after="100" w:line="38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各项承诺一览表</w:t>
      </w:r>
    </w:p>
    <w:tbl>
      <w:tblPr>
        <w:tblStyle w:val="34"/>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379"/>
        <w:gridCol w:w="3443"/>
        <w:gridCol w:w="4618"/>
      </w:tblGrid>
      <w:tr w14:paraId="6546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638" w:type="dxa"/>
            <w:noWrap w:val="0"/>
            <w:vAlign w:val="top"/>
          </w:tcPr>
          <w:p w14:paraId="59A9184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79" w:type="dxa"/>
            <w:noWrap w:val="0"/>
            <w:vAlign w:val="top"/>
          </w:tcPr>
          <w:p w14:paraId="0B5ECE7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承诺标题</w:t>
            </w:r>
          </w:p>
        </w:tc>
        <w:tc>
          <w:tcPr>
            <w:tcW w:w="3443" w:type="dxa"/>
            <w:noWrap w:val="0"/>
            <w:vAlign w:val="top"/>
          </w:tcPr>
          <w:p w14:paraId="09F26C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承诺内容</w:t>
            </w:r>
          </w:p>
        </w:tc>
        <w:tc>
          <w:tcPr>
            <w:tcW w:w="4618" w:type="dxa"/>
            <w:tcBorders>
              <w:bottom w:val="single" w:color="auto" w:sz="4" w:space="0"/>
            </w:tcBorders>
            <w:noWrap w:val="0"/>
            <w:vAlign w:val="top"/>
          </w:tcPr>
          <w:p w14:paraId="07F21EB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违约承诺</w:t>
            </w:r>
          </w:p>
        </w:tc>
      </w:tr>
      <w:tr w14:paraId="7CDA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638" w:type="dxa"/>
            <w:noWrap w:val="0"/>
            <w:vAlign w:val="center"/>
          </w:tcPr>
          <w:p w14:paraId="47A90EB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79" w:type="dxa"/>
            <w:noWrap w:val="0"/>
            <w:vAlign w:val="center"/>
          </w:tcPr>
          <w:p w14:paraId="56E2E560">
            <w:pPr>
              <w:pStyle w:val="12"/>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对招标文件条款自愿接受承诺</w:t>
            </w:r>
          </w:p>
        </w:tc>
        <w:tc>
          <w:tcPr>
            <w:tcW w:w="3443" w:type="dxa"/>
            <w:noWrap w:val="0"/>
            <w:vAlign w:val="center"/>
          </w:tcPr>
          <w:p w14:paraId="70F80F22">
            <w:pPr>
              <w:pStyle w:val="12"/>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我方保证接受招标文件的所有条款，响应招标文件的</w:t>
            </w:r>
            <w:bookmarkStart w:id="401" w:name="_Hlt66510765"/>
            <w:bookmarkEnd w:id="401"/>
            <w:r>
              <w:rPr>
                <w:rFonts w:hint="eastAsia" w:ascii="宋体" w:hAnsi="宋体" w:eastAsia="宋体" w:cs="宋体"/>
                <w:color w:val="auto"/>
                <w:sz w:val="21"/>
                <w:szCs w:val="21"/>
                <w:highlight w:val="none"/>
              </w:rPr>
              <w:t>所有要求。</w:t>
            </w:r>
          </w:p>
        </w:tc>
        <w:tc>
          <w:tcPr>
            <w:tcW w:w="4618" w:type="dxa"/>
            <w:tcBorders>
              <w:tr2bl w:val="single" w:color="auto" w:sz="4" w:space="0"/>
            </w:tcBorders>
            <w:noWrap w:val="0"/>
            <w:vAlign w:val="center"/>
          </w:tcPr>
          <w:p w14:paraId="210AA9F8">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p>
        </w:tc>
      </w:tr>
      <w:tr w14:paraId="0351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5" w:hRule="atLeast"/>
          <w:jc w:val="center"/>
        </w:trPr>
        <w:tc>
          <w:tcPr>
            <w:tcW w:w="638" w:type="dxa"/>
            <w:noWrap w:val="0"/>
            <w:vAlign w:val="center"/>
          </w:tcPr>
          <w:p w14:paraId="4CF9B17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79" w:type="dxa"/>
            <w:noWrap w:val="0"/>
            <w:vAlign w:val="center"/>
          </w:tcPr>
          <w:p w14:paraId="41A44856">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无禁止投标情形的承诺</w:t>
            </w:r>
          </w:p>
        </w:tc>
        <w:tc>
          <w:tcPr>
            <w:tcW w:w="3443" w:type="dxa"/>
            <w:noWrap w:val="0"/>
            <w:vAlign w:val="center"/>
          </w:tcPr>
          <w:p w14:paraId="7A403994">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我方不存在招标文件第一章第三节第4.4条“禁止投标条款”规定的任何一种情形。</w:t>
            </w:r>
          </w:p>
        </w:tc>
        <w:tc>
          <w:tcPr>
            <w:tcW w:w="4618" w:type="dxa"/>
            <w:noWrap w:val="0"/>
            <w:vAlign w:val="center"/>
          </w:tcPr>
          <w:p w14:paraId="298474F3">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有招标文件第一章第三节第4.4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1E80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5" w:hRule="atLeast"/>
          <w:jc w:val="center"/>
        </w:trPr>
        <w:tc>
          <w:tcPr>
            <w:tcW w:w="638" w:type="dxa"/>
            <w:noWrap w:val="0"/>
            <w:vAlign w:val="center"/>
          </w:tcPr>
          <w:p w14:paraId="4941FA0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79" w:type="dxa"/>
            <w:noWrap w:val="0"/>
            <w:vAlign w:val="center"/>
          </w:tcPr>
          <w:p w14:paraId="33A637F3">
            <w:pPr>
              <w:pStyle w:val="12"/>
              <w:adjustRightInd w:val="0"/>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履约保证承诺</w:t>
            </w:r>
          </w:p>
        </w:tc>
        <w:tc>
          <w:tcPr>
            <w:tcW w:w="3443" w:type="dxa"/>
            <w:noWrap w:val="0"/>
            <w:vAlign w:val="center"/>
          </w:tcPr>
          <w:p w14:paraId="00D0213F">
            <w:pPr>
              <w:pStyle w:val="12"/>
              <w:adjustRightInd w:val="0"/>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 xml:space="preserve">  我方保证按时缴纳全部履约保证。</w:t>
            </w:r>
          </w:p>
        </w:tc>
        <w:tc>
          <w:tcPr>
            <w:tcW w:w="4618" w:type="dxa"/>
            <w:noWrap w:val="0"/>
            <w:vAlign w:val="center"/>
          </w:tcPr>
          <w:p w14:paraId="7E9121D4">
            <w:pPr>
              <w:pStyle w:val="12"/>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6E0B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2" w:hRule="atLeast"/>
          <w:jc w:val="center"/>
        </w:trPr>
        <w:tc>
          <w:tcPr>
            <w:tcW w:w="638" w:type="dxa"/>
            <w:noWrap w:val="0"/>
            <w:vAlign w:val="center"/>
          </w:tcPr>
          <w:p w14:paraId="1ED8806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79" w:type="dxa"/>
            <w:noWrap w:val="0"/>
            <w:vAlign w:val="center"/>
          </w:tcPr>
          <w:p w14:paraId="1CEAA49D">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工期、进度承诺</w:t>
            </w:r>
          </w:p>
        </w:tc>
        <w:tc>
          <w:tcPr>
            <w:tcW w:w="3443" w:type="dxa"/>
            <w:noWrap w:val="0"/>
            <w:vAlign w:val="center"/>
          </w:tcPr>
          <w:p w14:paraId="053E5651">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我方保证在与招标人签定设计合同后壹天内开工，并在招标文件规定要求的设计工期内完成全部招标工程。</w:t>
            </w:r>
          </w:p>
          <w:p w14:paraId="3C4A5E1E">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我方保证按我方投标文件中的设计进度计划完成设计任务。</w:t>
            </w:r>
          </w:p>
        </w:tc>
        <w:tc>
          <w:tcPr>
            <w:tcW w:w="4618" w:type="dxa"/>
            <w:noWrap w:val="0"/>
            <w:vAlign w:val="center"/>
          </w:tcPr>
          <w:p w14:paraId="5857BCA4">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若因我方原因，设计没有按期完成时，我方须在逾期第壹天起每天按 合</w:t>
            </w:r>
            <w:r>
              <w:rPr>
                <w:rFonts w:hint="eastAsia" w:ascii="宋体" w:hAnsi="宋体" w:eastAsia="宋体" w:cs="宋体"/>
                <w:color w:val="auto"/>
                <w:sz w:val="21"/>
                <w:szCs w:val="21"/>
                <w:highlight w:val="none"/>
                <w:u w:val="none"/>
              </w:rPr>
              <w:t>同价款的</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向招标人返纳逾期违约金。</w:t>
            </w:r>
          </w:p>
          <w:p w14:paraId="4FB58907">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若因我方原因，设计的进度未能按我方投标文件中的设计进度计划完成设计任务，延期达到30日历天，招标人有权终止合同。我方愿意承担所有由此引起的责任及经济损失。</w:t>
            </w:r>
          </w:p>
        </w:tc>
      </w:tr>
      <w:tr w14:paraId="5F78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0" w:hRule="atLeast"/>
          <w:jc w:val="center"/>
        </w:trPr>
        <w:tc>
          <w:tcPr>
            <w:tcW w:w="638" w:type="dxa"/>
            <w:noWrap w:val="0"/>
            <w:vAlign w:val="center"/>
          </w:tcPr>
          <w:p w14:paraId="24FAFFF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79" w:type="dxa"/>
            <w:noWrap w:val="0"/>
            <w:vAlign w:val="center"/>
          </w:tcPr>
          <w:p w14:paraId="18F5E8C8">
            <w:pPr>
              <w:pStyle w:val="139"/>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设计承诺</w:t>
            </w:r>
          </w:p>
        </w:tc>
        <w:tc>
          <w:tcPr>
            <w:tcW w:w="3443" w:type="dxa"/>
            <w:noWrap w:val="0"/>
            <w:vAlign w:val="center"/>
          </w:tcPr>
          <w:p w14:paraId="4A09F3EC">
            <w:pPr>
              <w:pStyle w:val="156"/>
              <w:spacing w:line="440" w:lineRule="exact"/>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如我方中标，我方保证按设计规范及有关法律法规进行设计，并准时提供相应设计文件经审图机构审查通过。</w:t>
            </w:r>
          </w:p>
        </w:tc>
        <w:tc>
          <w:tcPr>
            <w:tcW w:w="4618" w:type="dxa"/>
            <w:noWrap w:val="0"/>
            <w:vAlign w:val="center"/>
          </w:tcPr>
          <w:p w14:paraId="4D586208">
            <w:pPr>
              <w:pStyle w:val="156"/>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56BEFFB8">
            <w:pPr>
              <w:pStyle w:val="156"/>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由于我方工作错误造成工程设计质量事故，根据责任情况，负责赔偿工程损失费，但最高不超过该项目应收设计费总额，负责采取补救措施。</w:t>
            </w:r>
          </w:p>
          <w:p w14:paraId="2B74852A">
            <w:pPr>
              <w:pStyle w:val="156"/>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施工期间除发包人要求或特殊地质原因外，因设计质量和深度不够的原因引起的工程返工或需要设计变更引起工程造价增加的，每次扣减设计合同价款中设计费的2％，扣完为止。</w:t>
            </w:r>
          </w:p>
        </w:tc>
      </w:tr>
      <w:tr w14:paraId="744C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638" w:type="dxa"/>
            <w:noWrap w:val="0"/>
            <w:vAlign w:val="center"/>
          </w:tcPr>
          <w:p w14:paraId="77D9F69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79" w:type="dxa"/>
            <w:noWrap w:val="0"/>
            <w:vAlign w:val="center"/>
          </w:tcPr>
          <w:p w14:paraId="55B86DA3">
            <w:pPr>
              <w:pStyle w:val="12"/>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账户承诺</w:t>
            </w:r>
          </w:p>
        </w:tc>
        <w:tc>
          <w:tcPr>
            <w:tcW w:w="3443" w:type="dxa"/>
            <w:noWrap w:val="0"/>
            <w:vAlign w:val="center"/>
          </w:tcPr>
          <w:p w14:paraId="5EEAE0C7">
            <w:pPr>
              <w:keepNext w:val="0"/>
              <w:keepLines w:val="0"/>
              <w:pageBreakBefore w:val="0"/>
              <w:widowControl w:val="0"/>
              <w:kinsoku/>
              <w:wordWrap/>
              <w:overflowPunct/>
              <w:topLinePunct w:val="0"/>
              <w:autoSpaceDE/>
              <w:autoSpaceDN/>
              <w:bidi w:val="0"/>
              <w:adjustRightInd w:val="0"/>
              <w:snapToGrid w:val="0"/>
              <w:spacing w:line="36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我方保证招标人的资金随时可划入合同中规定的我方账户。</w:t>
            </w:r>
          </w:p>
        </w:tc>
        <w:tc>
          <w:tcPr>
            <w:tcW w:w="4618" w:type="dxa"/>
            <w:noWrap w:val="0"/>
            <w:vAlign w:val="center"/>
          </w:tcPr>
          <w:p w14:paraId="01D521EB">
            <w:pPr>
              <w:pStyle w:val="12"/>
              <w:keepNext w:val="0"/>
              <w:keepLines w:val="0"/>
              <w:pageBreakBefore w:val="0"/>
              <w:widowControl w:val="0"/>
              <w:kinsoku/>
              <w:wordWrap/>
              <w:overflowPunct/>
              <w:topLinePunct w:val="0"/>
              <w:autoSpaceDE/>
              <w:autoSpaceDN/>
              <w:bidi w:val="0"/>
              <w:adjustRightInd w:val="0"/>
              <w:snapToGrid w:val="0"/>
              <w:spacing w:line="360" w:lineRule="exact"/>
              <w:ind w:firstLine="472"/>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若因我方原因造成招标人的资金无法划入合同中规定的我方账户，如时间达到30日历天，招标人有权终止合同。我方承担由此造成的所有责任及经济损失。</w:t>
            </w:r>
          </w:p>
        </w:tc>
      </w:tr>
      <w:tr w14:paraId="74D7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7" w:hRule="atLeast"/>
          <w:jc w:val="center"/>
        </w:trPr>
        <w:tc>
          <w:tcPr>
            <w:tcW w:w="638" w:type="dxa"/>
            <w:noWrap w:val="0"/>
            <w:vAlign w:val="center"/>
          </w:tcPr>
          <w:p w14:paraId="2FDFCBE1">
            <w:pPr>
              <w:adjustRightInd w:val="0"/>
              <w:snapToGrid w:val="0"/>
              <w:spacing w:line="41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lang w:val="en-US" w:eastAsia="zh-CN"/>
              </w:rPr>
              <w:t>7</w:t>
            </w:r>
          </w:p>
        </w:tc>
        <w:tc>
          <w:tcPr>
            <w:tcW w:w="1379" w:type="dxa"/>
            <w:noWrap w:val="0"/>
            <w:vAlign w:val="center"/>
          </w:tcPr>
          <w:p w14:paraId="5677D461">
            <w:pPr>
              <w:pStyle w:val="12"/>
              <w:adjustRightInd w:val="0"/>
              <w:snapToGrid w:val="0"/>
              <w:spacing w:line="41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工程的配合服务承诺</w:t>
            </w:r>
          </w:p>
        </w:tc>
        <w:tc>
          <w:tcPr>
            <w:tcW w:w="3443" w:type="dxa"/>
            <w:noWrap w:val="0"/>
            <w:vAlign w:val="center"/>
          </w:tcPr>
          <w:p w14:paraId="51060C7D">
            <w:pPr>
              <w:adjustRightInd w:val="0"/>
              <w:snapToGrid w:val="0"/>
              <w:spacing w:line="410" w:lineRule="exact"/>
              <w:ind w:firstLine="560" w:firstLineChars="0"/>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rPr>
              <w:t>我方保证安排各专业设计人员不定期到现场配合施工，并安排一名设计代表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4618" w:type="dxa"/>
            <w:noWrap w:val="0"/>
            <w:vAlign w:val="center"/>
          </w:tcPr>
          <w:p w14:paraId="15239F7A">
            <w:pPr>
              <w:pStyle w:val="12"/>
              <w:adjustRightInd w:val="0"/>
              <w:snapToGrid w:val="0"/>
              <w:spacing w:line="410" w:lineRule="exact"/>
              <w:ind w:firstLine="412"/>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若因我方原因，未及时配合与施工单位的工程施工，给招标人或施工单位造成损失的，我方承担所有的责任及经济损失。</w:t>
            </w:r>
          </w:p>
          <w:p w14:paraId="5CA146EE">
            <w:pPr>
              <w:pStyle w:val="12"/>
              <w:adjustRightInd w:val="0"/>
              <w:snapToGrid w:val="0"/>
              <w:spacing w:line="410" w:lineRule="exact"/>
              <w:ind w:firstLine="420" w:firstLineChars="200"/>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lang w:val="en-US" w:eastAsia="zh-CN"/>
              </w:rPr>
              <w:t>各专业安排施工现场的专职设计人员</w:t>
            </w:r>
            <w:r>
              <w:rPr>
                <w:rFonts w:hint="eastAsia" w:ascii="宋体" w:hAnsi="宋体" w:eastAsia="宋体" w:cs="宋体"/>
                <w:color w:val="auto"/>
                <w:spacing w:val="-2"/>
                <w:sz w:val="21"/>
                <w:szCs w:val="21"/>
                <w:lang w:val="en-US" w:eastAsia="zh-CN"/>
              </w:rPr>
              <w:t>未及时配合与施工单位的工程施工，每缺席一人次扣除1000元,缺席累计达10人次的，招标人有权终止合同。我方承担由此造成的所有责任及经济损失。</w:t>
            </w:r>
          </w:p>
        </w:tc>
      </w:tr>
      <w:tr w14:paraId="7E31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3" w:hRule="atLeast"/>
          <w:jc w:val="center"/>
        </w:trPr>
        <w:tc>
          <w:tcPr>
            <w:tcW w:w="638" w:type="dxa"/>
            <w:noWrap w:val="0"/>
            <w:vAlign w:val="center"/>
          </w:tcPr>
          <w:p w14:paraId="6F3D1CF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79" w:type="dxa"/>
            <w:noWrap w:val="0"/>
            <w:vAlign w:val="center"/>
          </w:tcPr>
          <w:p w14:paraId="038F6EC6">
            <w:pPr>
              <w:pStyle w:val="12"/>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项目管理班子人员承诺</w:t>
            </w:r>
          </w:p>
        </w:tc>
        <w:tc>
          <w:tcPr>
            <w:tcW w:w="3443" w:type="dxa"/>
            <w:noWrap w:val="0"/>
            <w:vAlign w:val="center"/>
          </w:tcPr>
          <w:p w14:paraId="0DF86FDE">
            <w:pPr>
              <w:keepNext w:val="0"/>
              <w:keepLines w:val="0"/>
              <w:pageBreakBefore w:val="0"/>
              <w:widowControl w:val="0"/>
              <w:kinsoku/>
              <w:wordWrap/>
              <w:overflowPunct/>
              <w:topLinePunct w:val="0"/>
              <w:autoSpaceDE/>
              <w:autoSpaceDN/>
              <w:bidi w:val="0"/>
              <w:adjustRightInd w:val="0"/>
              <w:snapToGrid w:val="0"/>
              <w:spacing w:line="360" w:lineRule="exact"/>
              <w:ind w:firstLine="56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我方保证投标文件中所拟派的</w:t>
            </w:r>
            <w:r>
              <w:rPr>
                <w:rFonts w:hint="eastAsia" w:ascii="宋体" w:hAnsi="宋体" w:eastAsia="宋体" w:cs="宋体"/>
                <w:color w:val="auto"/>
                <w:spacing w:val="-2"/>
                <w:szCs w:val="21"/>
                <w:highlight w:val="none"/>
                <w:u w:val="double"/>
                <w:lang w:val="en-US" w:eastAsia="zh-CN"/>
              </w:rPr>
              <w:t>各专业负责人</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，具有相对的资格证书。拟派人员全部到位，负责各自职责。</w:t>
            </w:r>
            <w:r>
              <w:rPr>
                <w:rFonts w:hint="eastAsia" w:ascii="宋体" w:hAnsi="宋体" w:eastAsia="宋体" w:cs="宋体"/>
                <w:color w:val="auto"/>
                <w:sz w:val="21"/>
                <w:szCs w:val="21"/>
                <w:highlight w:val="none"/>
              </w:rPr>
              <w:t>全部到位、各司其责。</w:t>
            </w:r>
          </w:p>
        </w:tc>
        <w:tc>
          <w:tcPr>
            <w:tcW w:w="4618" w:type="dxa"/>
            <w:noWrap w:val="0"/>
            <w:vAlign w:val="center"/>
          </w:tcPr>
          <w:p w14:paraId="1C5C3522">
            <w:pPr>
              <w:pStyle w:val="12"/>
              <w:keepNext w:val="0"/>
              <w:keepLines w:val="0"/>
              <w:pageBreakBefore w:val="0"/>
              <w:widowControl w:val="0"/>
              <w:kinsoku/>
              <w:wordWrap/>
              <w:overflowPunct/>
              <w:topLinePunct w:val="0"/>
              <w:autoSpaceDE/>
              <w:autoSpaceDN/>
              <w:bidi w:val="0"/>
              <w:adjustRightInd w:val="0"/>
              <w:snapToGrid w:val="0"/>
              <w:spacing w:line="360" w:lineRule="exact"/>
              <w:ind w:firstLine="472"/>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若我方中标后，各负责人未按时参加招标人要求出席的会议（包括图纸会审和技术交底等，具体以招标人书面通知为准），每缺席一人次扣5000元违约金。我方承担由此造成的所有责任及经济损失。</w:t>
            </w:r>
          </w:p>
        </w:tc>
      </w:tr>
      <w:tr w14:paraId="57AE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6" w:hRule="atLeast"/>
          <w:jc w:val="center"/>
        </w:trPr>
        <w:tc>
          <w:tcPr>
            <w:tcW w:w="638" w:type="dxa"/>
            <w:noWrap w:val="0"/>
            <w:vAlign w:val="center"/>
          </w:tcPr>
          <w:p w14:paraId="741C09A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379" w:type="dxa"/>
            <w:noWrap w:val="0"/>
            <w:vAlign w:val="center"/>
          </w:tcPr>
          <w:p w14:paraId="55A43E2B">
            <w:pPr>
              <w:pStyle w:val="12"/>
              <w:adjustRightInd w:val="0"/>
              <w:snapToGrid w:val="0"/>
              <w:spacing w:line="41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设计负责人承诺</w:t>
            </w:r>
          </w:p>
        </w:tc>
        <w:tc>
          <w:tcPr>
            <w:tcW w:w="3443" w:type="dxa"/>
            <w:noWrap w:val="0"/>
            <w:vAlign w:val="center"/>
          </w:tcPr>
          <w:p w14:paraId="135DFA60">
            <w:pPr>
              <w:pStyle w:val="12"/>
              <w:adjustRightInd w:val="0"/>
              <w:snapToGrid w:val="0"/>
              <w:spacing w:line="410" w:lineRule="exact"/>
              <w:ind w:firstLine="412" w:firstLineChars="20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lang w:val="en-US" w:eastAsia="zh-CN"/>
              </w:rPr>
              <w:t>我方保证投标文件中所拟派的设计负责人负责本项目设计全过程（包括初步设计评审、初步设计修编、施工图设计审查、施工图设计修编、图纸会审和技术交底）。</w:t>
            </w:r>
          </w:p>
        </w:tc>
        <w:tc>
          <w:tcPr>
            <w:tcW w:w="4618" w:type="dxa"/>
            <w:noWrap w:val="0"/>
            <w:vAlign w:val="center"/>
          </w:tcPr>
          <w:p w14:paraId="3D277E61">
            <w:pPr>
              <w:pStyle w:val="12"/>
              <w:adjustRightInd w:val="0"/>
              <w:snapToGrid w:val="0"/>
              <w:spacing w:line="410" w:lineRule="exact"/>
              <w:ind w:firstLine="412" w:firstLineChars="20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lang w:val="en-US" w:eastAsia="zh-CN"/>
              </w:rPr>
              <w:t>若因我方原因，设计负责人未准时参加本项目设计全过程（包括初步设计评审、初步设计修编、施工图设计审查、施工图设计修编、图纸会审和技术交底）的，每缺席一次扣500元（以发包人发出的违约通知为准）。</w:t>
            </w:r>
          </w:p>
        </w:tc>
      </w:tr>
      <w:tr w14:paraId="71E0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6" w:hRule="atLeast"/>
          <w:jc w:val="center"/>
        </w:trPr>
        <w:tc>
          <w:tcPr>
            <w:tcW w:w="638" w:type="dxa"/>
            <w:noWrap w:val="0"/>
            <w:vAlign w:val="center"/>
          </w:tcPr>
          <w:p w14:paraId="4C9BAD35">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p>
        </w:tc>
        <w:tc>
          <w:tcPr>
            <w:tcW w:w="1379" w:type="dxa"/>
            <w:noWrap w:val="0"/>
            <w:vAlign w:val="center"/>
          </w:tcPr>
          <w:p w14:paraId="651FC25B">
            <w:pPr>
              <w:pStyle w:val="12"/>
              <w:keepNext w:val="0"/>
              <w:keepLines w:val="0"/>
              <w:pageBreakBefore w:val="0"/>
              <w:kinsoku/>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w:t>
            </w:r>
          </w:p>
        </w:tc>
        <w:tc>
          <w:tcPr>
            <w:tcW w:w="3443" w:type="dxa"/>
            <w:noWrap w:val="0"/>
            <w:vAlign w:val="center"/>
          </w:tcPr>
          <w:p w14:paraId="5F7A5A1B">
            <w:pPr>
              <w:pStyle w:val="12"/>
              <w:keepNext w:val="0"/>
              <w:keepLines w:val="0"/>
              <w:pageBreakBefore w:val="0"/>
              <w:kinsoku/>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我方保证严格遵守有关法律法规及廉政规定。</w:t>
            </w:r>
          </w:p>
        </w:tc>
        <w:tc>
          <w:tcPr>
            <w:tcW w:w="4618" w:type="dxa"/>
            <w:noWrap w:val="0"/>
            <w:vAlign w:val="center"/>
          </w:tcPr>
          <w:p w14:paraId="05F25D91">
            <w:pPr>
              <w:keepNext w:val="0"/>
              <w:keepLines w:val="0"/>
              <w:pageBreakBefore w:val="0"/>
              <w:widowControl/>
              <w:kinsoku/>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如我单位及其工作人员违反本承诺规定的，愿接受党纪、政纪处理直至追究法律责任；给招标单位造成经济损失的，依法给予赔偿。</w:t>
            </w:r>
          </w:p>
        </w:tc>
      </w:tr>
      <w:tr w14:paraId="71C1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jc w:val="center"/>
        </w:trPr>
        <w:tc>
          <w:tcPr>
            <w:tcW w:w="638" w:type="dxa"/>
            <w:noWrap w:val="0"/>
            <w:vAlign w:val="center"/>
          </w:tcPr>
          <w:p w14:paraId="532CC148">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1379" w:type="dxa"/>
            <w:noWrap w:val="0"/>
            <w:vAlign w:val="center"/>
          </w:tcPr>
          <w:p w14:paraId="7B70D8D7">
            <w:pPr>
              <w:keepNext w:val="0"/>
              <w:keepLines w:val="0"/>
              <w:pageBreakBefore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投标文件信息公开承诺</w:t>
            </w:r>
          </w:p>
        </w:tc>
        <w:tc>
          <w:tcPr>
            <w:tcW w:w="3443" w:type="dxa"/>
            <w:noWrap w:val="0"/>
            <w:vAlign w:val="center"/>
          </w:tcPr>
          <w:p w14:paraId="766320F6">
            <w:pPr>
              <w:pStyle w:val="148"/>
              <w:keepNext w:val="0"/>
              <w:keepLines w:val="0"/>
              <w:pageBreakBefore w:val="0"/>
              <w:kinsoku/>
              <w:wordWrap w:val="0"/>
              <w:overflowPunct/>
              <w:topLinePunct w:val="0"/>
              <w:autoSpaceDE/>
              <w:autoSpaceDN/>
              <w:bidi w:val="0"/>
              <w:adjustRightInd w:val="0"/>
              <w:snapToGrid w:val="0"/>
              <w:spacing w:line="400" w:lineRule="exact"/>
              <w:ind w:left="0" w:leftChars="0" w:firstLine="210" w:firstLineChars="1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我方提供完整的电子文件。如果我方成为本项目中标候选人，我方同意并授权招标人在评标结果公示期内公开我方商务</w:t>
            </w:r>
            <w:r>
              <w:rPr>
                <w:rFonts w:hint="eastAsia" w:ascii="宋体" w:hAnsi="宋体" w:eastAsia="宋体" w:cs="宋体"/>
                <w:snapToGrid w:val="0"/>
                <w:color w:val="auto"/>
                <w:kern w:val="0"/>
                <w:sz w:val="21"/>
                <w:szCs w:val="21"/>
                <w:highlight w:val="none"/>
                <w:lang w:val="en-US" w:eastAsia="zh-CN"/>
              </w:rPr>
              <w:t>经济</w:t>
            </w:r>
            <w:r>
              <w:rPr>
                <w:rFonts w:hint="eastAsia" w:ascii="宋体" w:hAnsi="宋体" w:eastAsia="宋体" w:cs="宋体"/>
                <w:snapToGrid w:val="0"/>
                <w:color w:val="auto"/>
                <w:kern w:val="0"/>
                <w:sz w:val="21"/>
                <w:szCs w:val="21"/>
                <w:highlight w:val="none"/>
              </w:rPr>
              <w:t>标书的全部内容。</w:t>
            </w:r>
          </w:p>
        </w:tc>
        <w:tc>
          <w:tcPr>
            <w:tcW w:w="4618" w:type="dxa"/>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14:paraId="40989B2A">
            <w:pPr>
              <w:pStyle w:val="148"/>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mc:AlternateContent>
                <mc:Choice Requires="wpsCustomData">
                  <wpsCustomData:diagonalParaType/>
                </mc:Choice>
              </mc:AlternateConten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    </w:t>
            </w:r>
          </w:p>
          <w:p w14:paraId="1A9AD363">
            <w:pPr>
              <w:pStyle w:val="148"/>
              <w:keepNext w:val="0"/>
              <w:keepLines w:val="0"/>
              <w:pageBreakBefore w:val="0"/>
              <w:kinsoku/>
              <w:wordWrap w:val="0"/>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rPr>
            </w:pPr>
          </w:p>
        </w:tc>
      </w:tr>
    </w:tbl>
    <w:p w14:paraId="6F90ED03">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auto"/>
          <w:kern w:val="0"/>
          <w:sz w:val="24"/>
          <w:szCs w:val="24"/>
          <w:highlight w:val="none"/>
        </w:rPr>
      </w:pPr>
    </w:p>
    <w:p w14:paraId="758AC312">
      <w:pPr>
        <w:keepNext w:val="0"/>
        <w:keepLines w:val="0"/>
        <w:pageBreakBefore w:val="0"/>
        <w:kinsoku/>
        <w:wordWrap w:val="0"/>
        <w:overflowPunct/>
        <w:topLinePunct w:val="0"/>
        <w:autoSpaceDE/>
        <w:autoSpaceDN/>
        <w:bidi w:val="0"/>
        <w:adjustRightInd w:val="0"/>
        <w:snapToGrid w:val="0"/>
        <w:spacing w:line="400" w:lineRule="exact"/>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7E6E28E9">
      <w:pPr>
        <w:keepNext w:val="0"/>
        <w:keepLines w:val="0"/>
        <w:pageBreakBefore w:val="0"/>
        <w:kinsoku/>
        <w:wordWrap w:val="0"/>
        <w:overflowPunct/>
        <w:topLinePunct w:val="0"/>
        <w:autoSpaceDE/>
        <w:autoSpaceDN/>
        <w:bidi w:val="0"/>
        <w:adjustRightInd w:val="0"/>
        <w:snapToGrid w:val="0"/>
        <w:spacing w:line="400" w:lineRule="exact"/>
        <w:ind w:firstLine="480" w:firstLineChars="200"/>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36C9EE70">
      <w:pPr>
        <w:keepNext w:val="0"/>
        <w:keepLines w:val="0"/>
        <w:pageBreakBefore w:val="0"/>
        <w:kinsoku/>
        <w:wordWrap w:val="0"/>
        <w:overflowPunct/>
        <w:topLinePunct w:val="0"/>
        <w:autoSpaceDE/>
        <w:autoSpaceDN/>
        <w:bidi w:val="0"/>
        <w:adjustRightInd w:val="0"/>
        <w:snapToGrid w:val="0"/>
        <w:spacing w:line="400" w:lineRule="exact"/>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BB8D56E">
      <w:pPr>
        <w:pStyle w:val="10"/>
        <w:rPr>
          <w:rFonts w:hint="eastAsia" w:ascii="宋体" w:hAnsi="宋体" w:eastAsia="宋体" w:cs="宋体"/>
          <w:snapToGrid w:val="0"/>
          <w:color w:val="auto"/>
          <w:kern w:val="0"/>
          <w:sz w:val="24"/>
          <w:szCs w:val="24"/>
          <w:highlight w:val="none"/>
        </w:rPr>
      </w:pPr>
    </w:p>
    <w:p w14:paraId="106E1A11">
      <w:pPr>
        <w:pStyle w:val="4"/>
        <w:bidi w:val="0"/>
        <w:rPr>
          <w:rStyle w:val="48"/>
          <w:rFonts w:hint="eastAsia" w:ascii="宋体" w:hAnsi="宋体" w:eastAsia="宋体" w:cs="宋体"/>
          <w:b/>
          <w:color w:val="auto"/>
        </w:rPr>
      </w:pPr>
      <w:r>
        <w:rPr>
          <w:rStyle w:val="48"/>
          <w:rFonts w:hint="eastAsia" w:ascii="宋体" w:hAnsi="宋体" w:eastAsia="宋体" w:cs="宋体"/>
          <w:b/>
          <w:bCs/>
          <w:color w:val="auto"/>
          <w:sz w:val="24"/>
          <w:szCs w:val="24"/>
          <w:highlight w:val="none"/>
        </w:rPr>
        <w:br w:type="page"/>
      </w:r>
      <w:bookmarkStart w:id="402" w:name="_Toc30909"/>
      <w:r>
        <w:rPr>
          <w:rStyle w:val="48"/>
          <w:rFonts w:hint="eastAsia" w:ascii="宋体" w:hAnsi="宋体" w:eastAsia="宋体" w:cs="宋体"/>
          <w:b/>
          <w:bCs/>
          <w:color w:val="auto"/>
          <w:sz w:val="24"/>
          <w:szCs w:val="24"/>
          <w:highlight w:val="none"/>
        </w:rPr>
        <w:t>格式</w:t>
      </w:r>
      <w:r>
        <w:rPr>
          <w:rStyle w:val="48"/>
          <w:rFonts w:hint="eastAsia" w:ascii="宋体" w:hAnsi="宋体" w:eastAsia="宋体" w:cs="宋体"/>
          <w:b/>
          <w:bCs/>
          <w:color w:val="auto"/>
          <w:sz w:val="24"/>
          <w:szCs w:val="24"/>
          <w:highlight w:val="none"/>
          <w:lang w:val="en-US" w:eastAsia="zh-CN"/>
        </w:rPr>
        <w:t>五</w:t>
      </w:r>
      <w:r>
        <w:rPr>
          <w:rStyle w:val="48"/>
          <w:rFonts w:hint="eastAsia" w:ascii="宋体" w:hAnsi="宋体" w:eastAsia="宋体" w:cs="宋体"/>
          <w:b/>
          <w:bCs/>
          <w:color w:val="auto"/>
          <w:sz w:val="24"/>
          <w:szCs w:val="24"/>
          <w:highlight w:val="none"/>
        </w:rPr>
        <w:t xml:space="preserve"> 法定代表人身份证明</w:t>
      </w:r>
      <w:bookmarkEnd w:id="402"/>
      <w:r>
        <w:rPr>
          <w:rStyle w:val="48"/>
          <w:rFonts w:hint="eastAsia" w:ascii="宋体" w:hAnsi="宋体" w:eastAsia="宋体" w:cs="宋体"/>
          <w:b/>
          <w:bCs/>
          <w:color w:val="auto"/>
          <w:sz w:val="24"/>
          <w:szCs w:val="24"/>
          <w:highlight w:val="none"/>
        </w:rPr>
        <w:t xml:space="preserve">   </w:t>
      </w:r>
      <w:r>
        <w:rPr>
          <w:rStyle w:val="48"/>
          <w:rFonts w:hint="eastAsia" w:ascii="宋体" w:hAnsi="宋体" w:eastAsia="宋体" w:cs="宋体"/>
          <w:b/>
          <w:color w:val="auto"/>
        </w:rPr>
        <w:t xml:space="preserve">                      </w:t>
      </w:r>
    </w:p>
    <w:p w14:paraId="5CDBE97E">
      <w:pPr>
        <w:wordWrap w:val="0"/>
        <w:adjustRightInd w:val="0"/>
        <w:snapToGrid w:val="0"/>
        <w:spacing w:before="260" w:after="260" w:line="440" w:lineRule="exact"/>
        <w:jc w:val="center"/>
        <w:rPr>
          <w:rFonts w:hint="eastAsia" w:ascii="宋体" w:hAnsi="宋体" w:eastAsia="宋体" w:cs="宋体"/>
          <w:b/>
          <w:snapToGrid w:val="0"/>
          <w:color w:val="auto"/>
          <w:kern w:val="0"/>
          <w:sz w:val="20"/>
          <w:szCs w:val="18"/>
        </w:rPr>
      </w:pPr>
      <w:r>
        <w:rPr>
          <w:rFonts w:hint="eastAsia" w:ascii="宋体" w:hAnsi="宋体" w:eastAsia="宋体" w:cs="宋体"/>
          <w:b/>
          <w:snapToGrid w:val="0"/>
          <w:color w:val="auto"/>
          <w:kern w:val="0"/>
          <w:sz w:val="28"/>
          <w:szCs w:val="18"/>
        </w:rPr>
        <w:t>法定代表人身份证明</w:t>
      </w:r>
    </w:p>
    <w:p w14:paraId="78DE0B8E">
      <w:pPr>
        <w:wordWrap w:val="0"/>
        <w:adjustRightInd w:val="0"/>
        <w:snapToGrid w:val="0"/>
        <w:spacing w:line="440" w:lineRule="exact"/>
        <w:rPr>
          <w:rFonts w:hint="eastAsia" w:ascii="宋体" w:hAnsi="宋体" w:eastAsia="宋体" w:cs="宋体"/>
          <w:snapToGrid w:val="0"/>
          <w:color w:val="auto"/>
          <w:kern w:val="0"/>
          <w:szCs w:val="21"/>
        </w:rPr>
      </w:pPr>
    </w:p>
    <w:p w14:paraId="7B78CFB1">
      <w:pPr>
        <w:wordWrap w:val="0"/>
        <w:adjustRightInd w:val="0"/>
        <w:snapToGrid w:val="0"/>
        <w:spacing w:line="360" w:lineRule="auto"/>
        <w:rPr>
          <w:rFonts w:hint="eastAsia" w:ascii="宋体" w:hAnsi="宋体" w:eastAsia="宋体" w:cs="宋体"/>
          <w:snapToGrid w:val="0"/>
          <w:color w:val="auto"/>
          <w:kern w:val="0"/>
          <w:sz w:val="24"/>
          <w:szCs w:val="24"/>
          <w:u w:val="single"/>
        </w:rPr>
      </w:pPr>
      <w:r>
        <w:rPr>
          <w:rFonts w:hint="eastAsia" w:ascii="宋体" w:hAnsi="宋体" w:eastAsia="宋体" w:cs="宋体"/>
          <w:snapToGrid w:val="0"/>
          <w:color w:val="auto"/>
          <w:kern w:val="0"/>
          <w:sz w:val="24"/>
          <w:szCs w:val="24"/>
        </w:rPr>
        <w:t>投标人名称：</w:t>
      </w:r>
      <w:r>
        <w:rPr>
          <w:rFonts w:hint="eastAsia" w:ascii="宋体" w:hAnsi="宋体" w:eastAsia="宋体" w:cs="宋体"/>
          <w:snapToGrid w:val="0"/>
          <w:color w:val="auto"/>
          <w:kern w:val="0"/>
          <w:sz w:val="24"/>
          <w:szCs w:val="24"/>
          <w:u w:val="single"/>
        </w:rPr>
        <w:t xml:space="preserve">                  </w:t>
      </w:r>
    </w:p>
    <w:p w14:paraId="24D1918F">
      <w:pPr>
        <w:wordWrap w:val="0"/>
        <w:adjustRightInd w:val="0"/>
        <w:snapToGrid w:val="0"/>
        <w:spacing w:line="360" w:lineRule="auto"/>
        <w:rPr>
          <w:rFonts w:hint="eastAsia" w:ascii="宋体" w:hAnsi="宋体" w:eastAsia="宋体" w:cs="宋体"/>
          <w:snapToGrid w:val="0"/>
          <w:color w:val="auto"/>
          <w:kern w:val="0"/>
          <w:sz w:val="24"/>
          <w:szCs w:val="24"/>
          <w:u w:val="single"/>
        </w:rPr>
      </w:pPr>
      <w:r>
        <w:rPr>
          <w:rFonts w:hint="eastAsia" w:ascii="宋体" w:hAnsi="宋体" w:eastAsia="宋体" w:cs="宋体"/>
          <w:snapToGrid w:val="0"/>
          <w:color w:val="auto"/>
          <w:kern w:val="0"/>
          <w:sz w:val="24"/>
          <w:szCs w:val="24"/>
        </w:rPr>
        <w:t>姓名：</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性别：</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年龄：</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职务：</w:t>
      </w:r>
      <w:r>
        <w:rPr>
          <w:rFonts w:hint="eastAsia" w:ascii="宋体" w:hAnsi="宋体" w:eastAsia="宋体" w:cs="宋体"/>
          <w:snapToGrid w:val="0"/>
          <w:color w:val="auto"/>
          <w:kern w:val="0"/>
          <w:sz w:val="24"/>
          <w:szCs w:val="24"/>
          <w:u w:val="single"/>
        </w:rPr>
        <w:t xml:space="preserve">           </w:t>
      </w:r>
    </w:p>
    <w:p w14:paraId="7DEB7064">
      <w:pPr>
        <w:wordWrap w:val="0"/>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（投标人名称）的法定代表人。</w:t>
      </w:r>
    </w:p>
    <w:p w14:paraId="4E669CC6">
      <w:pPr>
        <w:wordWrap w:val="0"/>
        <w:adjustRightInd w:val="0"/>
        <w:snapToGrid w:val="0"/>
        <w:spacing w:line="36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特此证明。</w:t>
      </w:r>
    </w:p>
    <w:p w14:paraId="1046D0AE">
      <w:pPr>
        <w:wordWrap w:val="0"/>
        <w:adjustRightInd w:val="0"/>
        <w:snapToGrid w:val="0"/>
        <w:spacing w:line="440" w:lineRule="exact"/>
        <w:rPr>
          <w:rFonts w:hint="eastAsia" w:ascii="宋体" w:hAnsi="宋体" w:eastAsia="宋体" w:cs="宋体"/>
          <w:snapToGrid w:val="0"/>
          <w:color w:val="auto"/>
          <w:kern w:val="0"/>
          <w:sz w:val="24"/>
          <w:szCs w:val="24"/>
        </w:rPr>
      </w:pPr>
    </w:p>
    <w:p w14:paraId="028A19E7">
      <w:pPr>
        <w:wordWrap w:val="0"/>
        <w:adjustRightInd w:val="0"/>
        <w:snapToGrid w:val="0"/>
        <w:spacing w:line="440" w:lineRule="exact"/>
        <w:rPr>
          <w:rFonts w:hint="eastAsia" w:ascii="宋体" w:hAnsi="宋体" w:eastAsia="宋体" w:cs="宋体"/>
          <w:snapToGrid w:val="0"/>
          <w:color w:val="auto"/>
          <w:kern w:val="0"/>
          <w:sz w:val="24"/>
          <w:szCs w:val="24"/>
        </w:rPr>
      </w:pPr>
    </w:p>
    <w:p w14:paraId="344BC5DD">
      <w:pPr>
        <w:wordWrap w:val="0"/>
        <w:adjustRightInd w:val="0"/>
        <w:snapToGrid w:val="0"/>
        <w:spacing w:line="440" w:lineRule="exact"/>
        <w:rPr>
          <w:rFonts w:hint="eastAsia" w:ascii="宋体" w:hAnsi="宋体" w:eastAsia="宋体" w:cs="宋体"/>
          <w:snapToGrid w:val="0"/>
          <w:color w:val="auto"/>
          <w:kern w:val="0"/>
          <w:sz w:val="24"/>
          <w:szCs w:val="24"/>
        </w:rPr>
      </w:pPr>
    </w:p>
    <w:p w14:paraId="2A1FFD5A">
      <w:pPr>
        <w:wordWrap w:val="0"/>
        <w:adjustRightInd w:val="0"/>
        <w:snapToGrid w:val="0"/>
        <w:spacing w:line="440" w:lineRule="exact"/>
        <w:jc w:val="righ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投标人：</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（盖单位章）</w:t>
      </w:r>
    </w:p>
    <w:p w14:paraId="7835FB7A">
      <w:pPr>
        <w:wordWrap w:val="0"/>
        <w:adjustRightInd w:val="0"/>
        <w:snapToGrid w:val="0"/>
        <w:spacing w:line="440" w:lineRule="exact"/>
        <w:jc w:val="right"/>
        <w:rPr>
          <w:rFonts w:hint="eastAsia" w:ascii="宋体" w:hAnsi="宋体" w:eastAsia="宋体" w:cs="宋体"/>
          <w:snapToGrid w:val="0"/>
          <w:color w:val="auto"/>
          <w:kern w:val="0"/>
          <w:sz w:val="24"/>
          <w:szCs w:val="24"/>
        </w:rPr>
      </w:pPr>
    </w:p>
    <w:p w14:paraId="1949AAEE">
      <w:pPr>
        <w:wordWrap w:val="0"/>
        <w:adjustRightInd w:val="0"/>
        <w:snapToGrid w:val="0"/>
        <w:spacing w:line="440" w:lineRule="exact"/>
        <w:jc w:val="righ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法定代表人：</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（签字或盖章）</w:t>
      </w:r>
    </w:p>
    <w:p w14:paraId="4550B349">
      <w:pPr>
        <w:wordWrap w:val="0"/>
        <w:adjustRightInd w:val="0"/>
        <w:snapToGrid w:val="0"/>
        <w:spacing w:line="440" w:lineRule="exact"/>
        <w:jc w:val="righ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w:t>
      </w:r>
    </w:p>
    <w:p w14:paraId="271998B8">
      <w:pPr>
        <w:wordWrap w:val="0"/>
        <w:adjustRightInd w:val="0"/>
        <w:snapToGrid w:val="0"/>
        <w:spacing w:line="440" w:lineRule="exact"/>
        <w:jc w:val="righ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 xml:space="preserve">日       </w:t>
      </w:r>
    </w:p>
    <w:p w14:paraId="4AE935C2">
      <w:pPr>
        <w:wordWrap w:val="0"/>
        <w:adjustRightInd w:val="0"/>
        <w:snapToGrid w:val="0"/>
        <w:spacing w:line="440" w:lineRule="exact"/>
        <w:ind w:firstLine="210" w:firstLineChars="1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p>
    <w:p w14:paraId="07A6C891">
      <w:pPr>
        <w:bidi w:val="0"/>
        <w:rPr>
          <w:rFonts w:hint="eastAsia" w:ascii="宋体" w:hAnsi="宋体" w:eastAsia="宋体" w:cs="宋体"/>
          <w:color w:val="auto"/>
        </w:rPr>
      </w:pPr>
    </w:p>
    <w:p w14:paraId="010ECF73">
      <w:pPr>
        <w:bidi w:val="0"/>
        <w:rPr>
          <w:rFonts w:hint="eastAsia" w:ascii="宋体" w:hAnsi="宋体" w:eastAsia="宋体" w:cs="宋体"/>
          <w:color w:val="auto"/>
        </w:rPr>
      </w:pPr>
    </w:p>
    <w:p w14:paraId="20846E6E">
      <w:pPr>
        <w:bidi w:val="0"/>
        <w:rPr>
          <w:rFonts w:hint="eastAsia" w:ascii="宋体" w:hAnsi="宋体" w:eastAsia="宋体" w:cs="宋体"/>
          <w:color w:val="auto"/>
        </w:rPr>
      </w:pPr>
      <w:r>
        <w:rPr>
          <w:rFonts w:hint="eastAsia" w:ascii="宋体" w:hAnsi="宋体" w:eastAsia="宋体" w:cs="宋体"/>
          <w:color w:val="auto"/>
        </w:rPr>
        <w:t xml:space="preserve">   </w:t>
      </w:r>
    </w:p>
    <w:p w14:paraId="7D950272">
      <w:pPr>
        <w:bidi w:val="0"/>
        <w:rPr>
          <w:rFonts w:hint="eastAsia"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1"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98633D8">
                            <w:pPr>
                              <w:jc w:val="center"/>
                              <w:rPr>
                                <w:rFonts w:hint="eastAsia"/>
                                <w:szCs w:val="21"/>
                              </w:rPr>
                            </w:pPr>
                          </w:p>
                          <w:p w14:paraId="1F8913B0">
                            <w:pPr>
                              <w:jc w:val="center"/>
                              <w:rPr>
                                <w:rFonts w:hint="eastAsia"/>
                                <w:szCs w:val="21"/>
                              </w:rPr>
                            </w:pPr>
                          </w:p>
                          <w:p w14:paraId="2360C25F">
                            <w:pPr>
                              <w:jc w:val="center"/>
                              <w:rPr>
                                <w:rFonts w:hint="eastAsia"/>
                                <w:szCs w:val="21"/>
                              </w:rPr>
                            </w:pPr>
                          </w:p>
                          <w:p w14:paraId="5FD32B7D">
                            <w:pPr>
                              <w:jc w:val="center"/>
                              <w:rPr>
                                <w:sz w:val="24"/>
                                <w:szCs w:val="24"/>
                              </w:rPr>
                            </w:pPr>
                            <w:r>
                              <w:rPr>
                                <w:rFonts w:hint="eastAsia"/>
                                <w:sz w:val="24"/>
                                <w:szCs w:val="24"/>
                              </w:rPr>
                              <w:t>法定代表人身份证扫描件正、反面</w:t>
                            </w:r>
                          </w:p>
                        </w:txbxContent>
                      </wps:txbx>
                      <wps:bodyPr upright="1"/>
                    </wps:wsp>
                  </a:graphicData>
                </a:graphic>
              </wp:anchor>
            </w:drawing>
          </mc:Choice>
          <mc:Fallback>
            <w:pict>
              <v:shape id="自选图形 18" o:spid="_x0000_s1026" o:spt="176" type="#_x0000_t176" style="position:absolute;left:0pt;margin-left:127.5pt;margin-top:1.6pt;height:124.75pt;width:222.45pt;z-index:251660288;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4V1KbYAAAACQEA&#10;AA8AAAAAAAAAAQAgAAAAIgAAAGRycy9kb3ducmV2LnhtbFBLAQIUABQAAAAIAIdO4kBnrG0jGgIA&#10;AEYEAAAOAAAAAAAAAAEAIAAAACcBAABkcnMvZTJvRG9jLnhtbFBLBQYAAAAABgAGAFkBAACzBQAA&#10;AAA=&#10;">
                <v:fill on="t" focussize="0,0"/>
                <v:stroke color="#000000" joinstyle="miter"/>
                <v:imagedata o:title=""/>
                <o:lock v:ext="edit" aspectratio="f"/>
                <v:textbox>
                  <w:txbxContent>
                    <w:p w14:paraId="298633D8">
                      <w:pPr>
                        <w:jc w:val="center"/>
                        <w:rPr>
                          <w:rFonts w:hint="eastAsia"/>
                          <w:szCs w:val="21"/>
                        </w:rPr>
                      </w:pPr>
                    </w:p>
                    <w:p w14:paraId="1F8913B0">
                      <w:pPr>
                        <w:jc w:val="center"/>
                        <w:rPr>
                          <w:rFonts w:hint="eastAsia"/>
                          <w:szCs w:val="21"/>
                        </w:rPr>
                      </w:pPr>
                    </w:p>
                    <w:p w14:paraId="2360C25F">
                      <w:pPr>
                        <w:jc w:val="center"/>
                        <w:rPr>
                          <w:rFonts w:hint="eastAsia"/>
                          <w:szCs w:val="21"/>
                        </w:rPr>
                      </w:pPr>
                    </w:p>
                    <w:p w14:paraId="5FD32B7D">
                      <w:pPr>
                        <w:jc w:val="center"/>
                        <w:rPr>
                          <w:sz w:val="24"/>
                          <w:szCs w:val="24"/>
                        </w:rPr>
                      </w:pPr>
                      <w:r>
                        <w:rPr>
                          <w:rFonts w:hint="eastAsia"/>
                          <w:sz w:val="24"/>
                          <w:szCs w:val="24"/>
                        </w:rPr>
                        <w:t>法定代表人身份证扫描件正、反面</w:t>
                      </w:r>
                    </w:p>
                  </w:txbxContent>
                </v:textbox>
              </v:shape>
            </w:pict>
          </mc:Fallback>
        </mc:AlternateContent>
      </w:r>
    </w:p>
    <w:p w14:paraId="053B9207">
      <w:pPr>
        <w:bidi w:val="0"/>
        <w:rPr>
          <w:rFonts w:hint="eastAsia" w:ascii="宋体" w:hAnsi="宋体" w:eastAsia="宋体" w:cs="宋体"/>
          <w:color w:val="auto"/>
        </w:rPr>
      </w:pPr>
    </w:p>
    <w:p w14:paraId="740A22E3">
      <w:pPr>
        <w:bidi w:val="0"/>
        <w:rPr>
          <w:rFonts w:hint="eastAsia" w:ascii="宋体" w:hAnsi="宋体" w:eastAsia="宋体" w:cs="宋体"/>
          <w:color w:val="auto"/>
        </w:rPr>
      </w:pPr>
    </w:p>
    <w:p w14:paraId="042C03BE">
      <w:pPr>
        <w:bidi w:val="0"/>
        <w:rPr>
          <w:rFonts w:hint="eastAsia" w:ascii="宋体" w:hAnsi="宋体" w:eastAsia="宋体" w:cs="宋体"/>
          <w:color w:val="auto"/>
        </w:rPr>
      </w:pPr>
    </w:p>
    <w:p w14:paraId="7C296760">
      <w:pPr>
        <w:bidi w:val="0"/>
        <w:rPr>
          <w:rFonts w:hint="eastAsia" w:ascii="宋体" w:hAnsi="宋体" w:eastAsia="宋体" w:cs="宋体"/>
          <w:color w:val="auto"/>
        </w:rPr>
      </w:pPr>
    </w:p>
    <w:p w14:paraId="123B31CC">
      <w:pPr>
        <w:bidi w:val="0"/>
        <w:rPr>
          <w:rFonts w:hint="eastAsia" w:ascii="宋体" w:hAnsi="宋体" w:eastAsia="宋体" w:cs="宋体"/>
          <w:color w:val="auto"/>
        </w:rPr>
      </w:pPr>
    </w:p>
    <w:p w14:paraId="41A3EE64">
      <w:pPr>
        <w:bidi w:val="0"/>
        <w:rPr>
          <w:rFonts w:hint="eastAsia" w:ascii="宋体" w:hAnsi="宋体" w:eastAsia="宋体" w:cs="宋体"/>
          <w:color w:val="auto"/>
        </w:rPr>
      </w:pPr>
    </w:p>
    <w:p w14:paraId="35E6E2A4">
      <w:pPr>
        <w:bidi w:val="0"/>
        <w:rPr>
          <w:rFonts w:hint="eastAsia" w:ascii="宋体" w:hAnsi="宋体" w:eastAsia="宋体" w:cs="宋体"/>
          <w:color w:val="auto"/>
        </w:rPr>
      </w:pPr>
    </w:p>
    <w:p w14:paraId="2AE4F923">
      <w:pPr>
        <w:bidi w:val="0"/>
        <w:rPr>
          <w:rFonts w:hint="eastAsia" w:ascii="宋体" w:hAnsi="宋体" w:eastAsia="宋体" w:cs="宋体"/>
          <w:color w:val="auto"/>
        </w:rPr>
      </w:pPr>
    </w:p>
    <w:p w14:paraId="6D5A2962">
      <w:pPr>
        <w:bidi w:val="0"/>
        <w:rPr>
          <w:rFonts w:hint="eastAsia" w:ascii="宋体" w:hAnsi="宋体" w:eastAsia="宋体" w:cs="宋体"/>
          <w:color w:val="auto"/>
        </w:rPr>
      </w:pPr>
    </w:p>
    <w:p w14:paraId="22FFCEF4">
      <w:pPr>
        <w:bidi w:val="0"/>
        <w:rPr>
          <w:rFonts w:hint="eastAsia" w:ascii="宋体" w:hAnsi="宋体" w:eastAsia="宋体" w:cs="宋体"/>
          <w:color w:val="auto"/>
        </w:rPr>
      </w:pPr>
    </w:p>
    <w:p w14:paraId="4695C708">
      <w:pPr>
        <w:bidi w:val="0"/>
        <w:rPr>
          <w:rFonts w:hint="eastAsia" w:ascii="宋体" w:hAnsi="宋体" w:eastAsia="宋体" w:cs="宋体"/>
          <w:color w:val="auto"/>
        </w:rPr>
      </w:pPr>
    </w:p>
    <w:p w14:paraId="1FDA7451">
      <w:pPr>
        <w:bidi w:val="0"/>
        <w:rPr>
          <w:rFonts w:hint="eastAsia" w:ascii="宋体" w:hAnsi="宋体" w:eastAsia="宋体" w:cs="宋体"/>
          <w:color w:val="auto"/>
        </w:rPr>
      </w:pPr>
    </w:p>
    <w:p w14:paraId="77BA25DC">
      <w:pPr>
        <w:bidi w:val="0"/>
        <w:rPr>
          <w:rFonts w:hint="eastAsia" w:ascii="宋体" w:hAnsi="宋体" w:eastAsia="宋体" w:cs="宋体"/>
          <w:color w:val="auto"/>
        </w:rPr>
      </w:pPr>
    </w:p>
    <w:p w14:paraId="1F942D85">
      <w:pPr>
        <w:bidi w:val="0"/>
        <w:rPr>
          <w:rFonts w:hint="eastAsia" w:ascii="宋体" w:hAnsi="宋体" w:eastAsia="宋体" w:cs="宋体"/>
          <w:color w:val="auto"/>
        </w:rPr>
      </w:pPr>
    </w:p>
    <w:p w14:paraId="0D2C396C">
      <w:pPr>
        <w:bidi w:val="0"/>
        <w:rPr>
          <w:rFonts w:hint="eastAsia" w:ascii="宋体" w:hAnsi="宋体" w:eastAsia="宋体" w:cs="宋体"/>
          <w:color w:val="auto"/>
        </w:rPr>
      </w:pPr>
    </w:p>
    <w:p w14:paraId="33C9F2F1">
      <w:pPr>
        <w:bidi w:val="0"/>
        <w:rPr>
          <w:rFonts w:hint="eastAsia" w:ascii="宋体" w:hAnsi="宋体" w:eastAsia="宋体" w:cs="宋体"/>
          <w:color w:val="auto"/>
        </w:rPr>
      </w:pPr>
    </w:p>
    <w:p w14:paraId="37474F69">
      <w:pPr>
        <w:bidi w:val="0"/>
        <w:rPr>
          <w:rFonts w:hint="eastAsia" w:ascii="宋体" w:hAnsi="宋体" w:eastAsia="宋体" w:cs="宋体"/>
          <w:color w:val="auto"/>
        </w:rPr>
      </w:pPr>
    </w:p>
    <w:p w14:paraId="7924723C">
      <w:pPr>
        <w:pStyle w:val="10"/>
        <w:rPr>
          <w:rFonts w:hint="eastAsia" w:ascii="宋体" w:hAnsi="宋体" w:eastAsia="宋体" w:cs="宋体"/>
          <w:color w:val="auto"/>
        </w:rPr>
      </w:pPr>
    </w:p>
    <w:p w14:paraId="6163A688">
      <w:pPr>
        <w:rPr>
          <w:rFonts w:hint="eastAsia" w:ascii="宋体" w:hAnsi="宋体" w:eastAsia="宋体" w:cs="宋体"/>
          <w:color w:val="auto"/>
        </w:rPr>
      </w:pPr>
    </w:p>
    <w:p w14:paraId="78247E4D">
      <w:pPr>
        <w:bidi w:val="0"/>
        <w:rPr>
          <w:rFonts w:hint="eastAsia" w:ascii="宋体" w:hAnsi="宋体" w:eastAsia="宋体" w:cs="宋体"/>
          <w:color w:val="auto"/>
        </w:rPr>
      </w:pPr>
    </w:p>
    <w:p w14:paraId="37F29AA3">
      <w:pPr>
        <w:pStyle w:val="4"/>
        <w:bidi w:val="0"/>
        <w:rPr>
          <w:rFonts w:hint="eastAsia" w:ascii="宋体" w:hAnsi="宋体" w:eastAsia="宋体" w:cs="宋体"/>
          <w:color w:val="auto"/>
        </w:rPr>
      </w:pPr>
      <w:bookmarkStart w:id="403" w:name="_Toc17790"/>
      <w:bookmarkStart w:id="404" w:name="_Toc48547015"/>
      <w:bookmarkStart w:id="405" w:name="_Toc210101349"/>
      <w:bookmarkStart w:id="406" w:name="_Toc118541763"/>
      <w:bookmarkStart w:id="407" w:name="_Toc535300004"/>
      <w:r>
        <w:rPr>
          <w:rFonts w:hint="eastAsia" w:ascii="宋体" w:hAnsi="宋体" w:eastAsia="宋体" w:cs="宋体"/>
          <w:color w:val="auto"/>
        </w:rPr>
        <w:t>格式</w:t>
      </w:r>
      <w:r>
        <w:rPr>
          <w:rFonts w:hint="eastAsia" w:ascii="宋体" w:hAnsi="宋体" w:eastAsia="宋体" w:cs="宋体"/>
          <w:color w:val="auto"/>
          <w:lang w:val="en-US" w:eastAsia="zh-CN"/>
        </w:rPr>
        <w:t>六</w:t>
      </w:r>
      <w:r>
        <w:rPr>
          <w:rFonts w:hint="eastAsia" w:ascii="宋体" w:hAnsi="宋体" w:eastAsia="宋体" w:cs="宋体"/>
          <w:color w:val="auto"/>
        </w:rPr>
        <w:t xml:space="preserve"> 授权委托书</w:t>
      </w:r>
      <w:bookmarkEnd w:id="403"/>
      <w:r>
        <w:rPr>
          <w:rFonts w:hint="eastAsia" w:ascii="宋体" w:hAnsi="宋体" w:eastAsia="宋体" w:cs="宋体"/>
          <w:color w:val="auto"/>
        </w:rPr>
        <w:t xml:space="preserve">                           </w:t>
      </w:r>
    </w:p>
    <w:bookmarkEnd w:id="404"/>
    <w:bookmarkEnd w:id="405"/>
    <w:bookmarkEnd w:id="406"/>
    <w:bookmarkEnd w:id="407"/>
    <w:p w14:paraId="6A4A2021">
      <w:pPr>
        <w:snapToGrid w:val="0"/>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授权委托书</w:t>
      </w:r>
    </w:p>
    <w:p w14:paraId="3387E076">
      <w:pPr>
        <w:adjustRightInd w:val="0"/>
        <w:snapToGrid w:val="0"/>
        <w:spacing w:line="440" w:lineRule="exact"/>
        <w:rPr>
          <w:rFonts w:hint="eastAsia" w:ascii="宋体" w:hAnsi="宋体" w:eastAsia="宋体" w:cs="宋体"/>
          <w:color w:val="auto"/>
          <w:sz w:val="24"/>
          <w:szCs w:val="24"/>
          <w:highlight w:val="none"/>
        </w:rPr>
      </w:pPr>
    </w:p>
    <w:p w14:paraId="33FB23AD">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3EE5F06C">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不早于投标文件中标注的投标有效期截止时间</w:t>
      </w:r>
      <w:r>
        <w:rPr>
          <w:rFonts w:hint="eastAsia" w:ascii="宋体" w:hAnsi="宋体" w:eastAsia="宋体" w:cs="宋体"/>
          <w:color w:val="auto"/>
          <w:sz w:val="24"/>
          <w:szCs w:val="24"/>
          <w:highlight w:val="none"/>
        </w:rPr>
        <w:t xml:space="preserve"> 。</w:t>
      </w:r>
    </w:p>
    <w:p w14:paraId="44A0EBDC">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代理人无转委托权。</w:t>
      </w:r>
    </w:p>
    <w:p w14:paraId="15D7F2FD">
      <w:pPr>
        <w:snapToGrid w:val="0"/>
        <w:spacing w:line="440" w:lineRule="exact"/>
        <w:ind w:firstLine="480" w:firstLineChars="200"/>
        <w:rPr>
          <w:rFonts w:hint="eastAsia" w:ascii="宋体" w:hAnsi="宋体" w:eastAsia="宋体" w:cs="宋体"/>
          <w:color w:val="auto"/>
          <w:sz w:val="24"/>
          <w:szCs w:val="24"/>
          <w:highlight w:val="none"/>
        </w:rPr>
      </w:pPr>
    </w:p>
    <w:p w14:paraId="654F9213">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25876B2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31EA01F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0050996">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B3A3679">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61CB904C">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34A50D1">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CA62496">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0AC650D">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440CB0E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C193134">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92BE83E">
      <w:pPr>
        <w:snapToGrid w:val="0"/>
        <w:spacing w:line="440" w:lineRule="exact"/>
        <w:ind w:firstLine="480" w:firstLineChars="200"/>
        <w:rPr>
          <w:rFonts w:hint="eastAsia" w:ascii="宋体" w:hAnsi="宋体" w:eastAsia="宋体" w:cs="宋体"/>
          <w:color w:val="auto"/>
          <w:sz w:val="24"/>
          <w:szCs w:val="24"/>
          <w:highlight w:val="none"/>
        </w:rPr>
      </w:pPr>
    </w:p>
    <w:p w14:paraId="02F1A4D5">
      <w:pPr>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F21C6A5">
                            <w:pPr>
                              <w:jc w:val="center"/>
                              <w:rPr>
                                <w:rFonts w:hint="eastAsia"/>
                                <w:b/>
                                <w:bCs/>
                                <w:szCs w:val="21"/>
                              </w:rPr>
                            </w:pPr>
                          </w:p>
                          <w:p w14:paraId="417B19A6">
                            <w:pPr>
                              <w:jc w:val="center"/>
                              <w:rPr>
                                <w:rFonts w:hint="eastAsia"/>
                                <w:b/>
                                <w:bCs/>
                                <w:szCs w:val="21"/>
                              </w:rPr>
                            </w:pPr>
                          </w:p>
                          <w:p w14:paraId="5734CFE3">
                            <w:pPr>
                              <w:jc w:val="center"/>
                              <w:rPr>
                                <w:rFonts w:hint="eastAsia"/>
                                <w:b/>
                                <w:bCs/>
                                <w:szCs w:val="21"/>
                              </w:rPr>
                            </w:pPr>
                          </w:p>
                          <w:p w14:paraId="23BB1523">
                            <w:pPr>
                              <w:jc w:val="center"/>
                              <w:rPr>
                                <w:b/>
                                <w:bCs/>
                                <w:sz w:val="24"/>
                                <w:szCs w:val="24"/>
                              </w:rPr>
                            </w:pPr>
                            <w:r>
                              <w:rPr>
                                <w:rFonts w:hint="eastAsia"/>
                                <w:b/>
                                <w:bCs/>
                                <w:sz w:val="24"/>
                                <w:szCs w:val="24"/>
                              </w:rPr>
                              <w:t>委托代理人身份证</w:t>
                            </w:r>
                            <w:r>
                              <w:rPr>
                                <w:rFonts w:hint="eastAsia" w:ascii="宋体" w:hAnsi="宋体" w:eastAsia="宋体" w:cs="宋体"/>
                                <w:b/>
                                <w:bCs/>
                                <w:snapToGrid w:val="0"/>
                                <w:color w:val="auto"/>
                                <w:kern w:val="0"/>
                                <w:sz w:val="24"/>
                                <w:szCs w:val="24"/>
                                <w:highlight w:val="none"/>
                                <w:lang w:eastAsia="zh-CN"/>
                              </w:rPr>
                              <w:t>扫描件</w:t>
                            </w:r>
                            <w:r>
                              <w:rPr>
                                <w:rFonts w:hint="eastAsia"/>
                                <w:b/>
                                <w:bCs/>
                                <w:sz w:val="24"/>
                                <w:szCs w:val="24"/>
                              </w:rPr>
                              <w:t>正、反面</w:t>
                            </w:r>
                          </w:p>
                        </w:txbxContent>
                      </wps:txbx>
                      <wps:bodyPr upright="1"/>
                    </wps:wsp>
                  </a:graphicData>
                </a:graphic>
              </wp:anchor>
            </w:drawing>
          </mc:Choice>
          <mc:Fallback>
            <w:pict>
              <v:shape id="自选图形 19"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yfTrNgAAAAJ&#10;AQAADwAAAAAAAAABACAAAAAiAAAAZHJzL2Rvd25yZXYueG1sUEsBAhQAFAAAAAgAh07iQPMLNIoc&#10;AgAARgQAAA4AAAAAAAAAAQAgAAAAJwEAAGRycy9lMm9Eb2MueG1sUEsFBgAAAAAGAAYAWQEAALUF&#10;AAAAAA==&#10;">
                <v:fill on="t" focussize="0,0"/>
                <v:stroke color="#000000" joinstyle="miter"/>
                <v:imagedata o:title=""/>
                <o:lock v:ext="edit" aspectratio="f"/>
                <v:textbox>
                  <w:txbxContent>
                    <w:p w14:paraId="6F21C6A5">
                      <w:pPr>
                        <w:jc w:val="center"/>
                        <w:rPr>
                          <w:rFonts w:hint="eastAsia"/>
                          <w:b/>
                          <w:bCs/>
                          <w:szCs w:val="21"/>
                        </w:rPr>
                      </w:pPr>
                    </w:p>
                    <w:p w14:paraId="417B19A6">
                      <w:pPr>
                        <w:jc w:val="center"/>
                        <w:rPr>
                          <w:rFonts w:hint="eastAsia"/>
                          <w:b/>
                          <w:bCs/>
                          <w:szCs w:val="21"/>
                        </w:rPr>
                      </w:pPr>
                    </w:p>
                    <w:p w14:paraId="5734CFE3">
                      <w:pPr>
                        <w:jc w:val="center"/>
                        <w:rPr>
                          <w:rFonts w:hint="eastAsia"/>
                          <w:b/>
                          <w:bCs/>
                          <w:szCs w:val="21"/>
                        </w:rPr>
                      </w:pPr>
                    </w:p>
                    <w:p w14:paraId="23BB1523">
                      <w:pPr>
                        <w:jc w:val="center"/>
                        <w:rPr>
                          <w:b/>
                          <w:bCs/>
                          <w:sz w:val="24"/>
                          <w:szCs w:val="24"/>
                        </w:rPr>
                      </w:pPr>
                      <w:r>
                        <w:rPr>
                          <w:rFonts w:hint="eastAsia"/>
                          <w:b/>
                          <w:bCs/>
                          <w:sz w:val="24"/>
                          <w:szCs w:val="24"/>
                        </w:rPr>
                        <w:t>委托代理人身份证</w:t>
                      </w:r>
                      <w:r>
                        <w:rPr>
                          <w:rFonts w:hint="eastAsia" w:ascii="宋体" w:hAnsi="宋体" w:eastAsia="宋体" w:cs="宋体"/>
                          <w:b/>
                          <w:bCs/>
                          <w:snapToGrid w:val="0"/>
                          <w:color w:val="auto"/>
                          <w:kern w:val="0"/>
                          <w:sz w:val="24"/>
                          <w:szCs w:val="24"/>
                          <w:highlight w:val="none"/>
                          <w:lang w:eastAsia="zh-CN"/>
                        </w:rPr>
                        <w:t>扫描件</w:t>
                      </w:r>
                      <w:r>
                        <w:rPr>
                          <w:rFonts w:hint="eastAsia"/>
                          <w:b/>
                          <w:bCs/>
                          <w:sz w:val="24"/>
                          <w:szCs w:val="24"/>
                        </w:rPr>
                        <w:t>正、反面</w:t>
                      </w:r>
                    </w:p>
                  </w:txbxContent>
                </v:textbox>
              </v:shape>
            </w:pict>
          </mc:Fallback>
        </mc:AlternateContent>
      </w:r>
    </w:p>
    <w:p w14:paraId="6BA8525E">
      <w:pPr>
        <w:pStyle w:val="11"/>
        <w:rPr>
          <w:rFonts w:hint="eastAsia" w:ascii="宋体" w:hAnsi="宋体" w:eastAsia="宋体" w:cs="宋体"/>
          <w:color w:val="auto"/>
          <w:sz w:val="24"/>
          <w:szCs w:val="24"/>
          <w:highlight w:val="none"/>
        </w:rPr>
      </w:pPr>
    </w:p>
    <w:p w14:paraId="32DB84A2">
      <w:pPr>
        <w:rPr>
          <w:rFonts w:hint="eastAsia" w:ascii="宋体" w:hAnsi="宋体" w:eastAsia="宋体" w:cs="宋体"/>
          <w:color w:val="auto"/>
          <w:highlight w:val="none"/>
        </w:rPr>
      </w:pPr>
    </w:p>
    <w:p w14:paraId="75491D9B">
      <w:pPr>
        <w:rPr>
          <w:rFonts w:hint="eastAsia" w:ascii="宋体" w:hAnsi="宋体" w:eastAsia="宋体" w:cs="宋体"/>
          <w:color w:val="auto"/>
          <w:highlight w:val="none"/>
        </w:rPr>
      </w:pPr>
    </w:p>
    <w:p w14:paraId="2AD80CDE">
      <w:pPr>
        <w:pStyle w:val="14"/>
        <w:rPr>
          <w:rFonts w:hint="eastAsia" w:ascii="宋体" w:hAnsi="宋体" w:eastAsia="宋体" w:cs="宋体"/>
          <w:b/>
          <w:color w:val="auto"/>
          <w:sz w:val="24"/>
          <w:szCs w:val="24"/>
          <w:highlight w:val="none"/>
        </w:rPr>
      </w:pPr>
    </w:p>
    <w:p w14:paraId="4EA7E61D">
      <w:pPr>
        <w:pStyle w:val="14"/>
        <w:rPr>
          <w:rFonts w:hint="eastAsia" w:ascii="宋体" w:hAnsi="宋体" w:eastAsia="宋体" w:cs="宋体"/>
          <w:b/>
          <w:color w:val="auto"/>
          <w:sz w:val="24"/>
          <w:szCs w:val="24"/>
          <w:highlight w:val="none"/>
        </w:rPr>
      </w:pPr>
    </w:p>
    <w:p w14:paraId="1AEBACE8">
      <w:pPr>
        <w:pStyle w:val="14"/>
        <w:rPr>
          <w:rFonts w:hint="eastAsia" w:ascii="宋体" w:hAnsi="宋体" w:eastAsia="宋体" w:cs="宋体"/>
          <w:b/>
          <w:color w:val="auto"/>
          <w:sz w:val="24"/>
          <w:szCs w:val="24"/>
          <w:highlight w:val="none"/>
        </w:rPr>
      </w:pPr>
    </w:p>
    <w:p w14:paraId="7BC98756">
      <w:pPr>
        <w:bidi w:val="0"/>
        <w:rPr>
          <w:rFonts w:hint="eastAsia" w:ascii="宋体" w:hAnsi="宋体" w:eastAsia="宋体" w:cs="宋体"/>
          <w:color w:val="auto"/>
        </w:rPr>
      </w:pPr>
    </w:p>
    <w:p w14:paraId="7E938E10">
      <w:pPr>
        <w:pStyle w:val="4"/>
        <w:bidi w:val="0"/>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4"/>
          <w:szCs w:val="24"/>
          <w:highlight w:val="none"/>
        </w:rPr>
        <w:br w:type="page"/>
      </w:r>
      <w:bookmarkStart w:id="408" w:name="_Toc20618"/>
      <w:r>
        <w:rPr>
          <w:rStyle w:val="48"/>
          <w:rFonts w:hint="eastAsia" w:ascii="宋体" w:hAnsi="宋体" w:eastAsia="宋体" w:cs="宋体"/>
          <w:b/>
          <w:bCs/>
          <w:color w:val="auto"/>
          <w:highlight w:val="none"/>
        </w:rPr>
        <w:t>格式</w:t>
      </w:r>
      <w:r>
        <w:rPr>
          <w:rStyle w:val="48"/>
          <w:rFonts w:hint="eastAsia" w:ascii="宋体" w:hAnsi="宋体" w:eastAsia="宋体" w:cs="宋体"/>
          <w:b/>
          <w:bCs/>
          <w:color w:val="auto"/>
          <w:highlight w:val="none"/>
          <w:lang w:val="en-US" w:eastAsia="zh-CN"/>
        </w:rPr>
        <w:t>七</w:t>
      </w:r>
      <w:r>
        <w:rPr>
          <w:rStyle w:val="48"/>
          <w:rFonts w:hint="eastAsia" w:ascii="宋体" w:hAnsi="宋体" w:eastAsia="宋体" w:cs="宋体"/>
          <w:b/>
          <w:bCs/>
          <w:color w:val="auto"/>
          <w:highlight w:val="none"/>
        </w:rPr>
        <w:t xml:space="preserve"> 投标人基本情况表</w:t>
      </w:r>
      <w:bookmarkEnd w:id="408"/>
    </w:p>
    <w:p w14:paraId="4C734E60">
      <w:pPr>
        <w:wordWrap w:val="0"/>
        <w:adjustRightInd w:val="0"/>
        <w:snapToGrid w:val="0"/>
        <w:spacing w:line="440" w:lineRule="exact"/>
        <w:rPr>
          <w:rFonts w:hint="eastAsia" w:ascii="宋体" w:hAnsi="宋体" w:eastAsia="宋体" w:cs="宋体"/>
          <w:b/>
          <w:bCs/>
          <w:snapToGrid w:val="0"/>
          <w:color w:val="auto"/>
          <w:kern w:val="0"/>
          <w:sz w:val="24"/>
          <w:szCs w:val="24"/>
          <w:highlight w:val="none"/>
        </w:rPr>
      </w:pPr>
    </w:p>
    <w:p w14:paraId="67337B6E">
      <w:pPr>
        <w:pStyle w:val="96"/>
        <w:widowControl w:val="0"/>
        <w:wordWrap w:val="0"/>
        <w:adjustRightInd w:val="0"/>
        <w:snapToGrid w:val="0"/>
        <w:spacing w:line="400" w:lineRule="exact"/>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8"/>
          <w:szCs w:val="28"/>
          <w:highlight w:val="none"/>
        </w:rPr>
        <w:t>投标人基本情况表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14:paraId="0757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jc w:val="center"/>
        </w:trPr>
        <w:tc>
          <w:tcPr>
            <w:tcW w:w="1536" w:type="dxa"/>
            <w:noWrap w:val="0"/>
            <w:vAlign w:val="center"/>
          </w:tcPr>
          <w:p w14:paraId="23B401AA">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投标人名称</w:t>
            </w:r>
          </w:p>
        </w:tc>
        <w:tc>
          <w:tcPr>
            <w:tcW w:w="7263" w:type="dxa"/>
            <w:gridSpan w:val="8"/>
            <w:noWrap w:val="0"/>
            <w:vAlign w:val="center"/>
          </w:tcPr>
          <w:p w14:paraId="103486B6">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2493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24B75031">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注册地址</w:t>
            </w:r>
          </w:p>
        </w:tc>
        <w:tc>
          <w:tcPr>
            <w:tcW w:w="3506" w:type="dxa"/>
            <w:gridSpan w:val="3"/>
            <w:noWrap w:val="0"/>
            <w:vAlign w:val="center"/>
          </w:tcPr>
          <w:p w14:paraId="4AB4E21A">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14:paraId="4CA5EFB0">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p>
        </w:tc>
        <w:tc>
          <w:tcPr>
            <w:tcW w:w="2469" w:type="dxa"/>
            <w:gridSpan w:val="3"/>
            <w:noWrap w:val="0"/>
            <w:vAlign w:val="center"/>
          </w:tcPr>
          <w:p w14:paraId="3851E7FE">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64BA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noWrap w:val="0"/>
            <w:vAlign w:val="center"/>
          </w:tcPr>
          <w:p w14:paraId="5D158764">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联系方式</w:t>
            </w:r>
          </w:p>
        </w:tc>
        <w:tc>
          <w:tcPr>
            <w:tcW w:w="927" w:type="dxa"/>
            <w:noWrap w:val="0"/>
            <w:vAlign w:val="center"/>
          </w:tcPr>
          <w:p w14:paraId="05224D61">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联系人</w:t>
            </w:r>
          </w:p>
        </w:tc>
        <w:tc>
          <w:tcPr>
            <w:tcW w:w="2579" w:type="dxa"/>
            <w:gridSpan w:val="2"/>
            <w:noWrap w:val="0"/>
            <w:vAlign w:val="center"/>
          </w:tcPr>
          <w:p w14:paraId="1EE7048C">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14:paraId="625D699A">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p>
        </w:tc>
        <w:tc>
          <w:tcPr>
            <w:tcW w:w="2469" w:type="dxa"/>
            <w:gridSpan w:val="3"/>
            <w:noWrap w:val="0"/>
            <w:vAlign w:val="center"/>
          </w:tcPr>
          <w:p w14:paraId="0B42A791">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38CD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noWrap w:val="0"/>
            <w:vAlign w:val="center"/>
          </w:tcPr>
          <w:p w14:paraId="770199DF">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927" w:type="dxa"/>
            <w:noWrap w:val="0"/>
            <w:vAlign w:val="center"/>
          </w:tcPr>
          <w:p w14:paraId="1EA326EF">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p>
        </w:tc>
        <w:tc>
          <w:tcPr>
            <w:tcW w:w="2579" w:type="dxa"/>
            <w:gridSpan w:val="2"/>
            <w:noWrap w:val="0"/>
            <w:vAlign w:val="center"/>
          </w:tcPr>
          <w:p w14:paraId="51260040">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14:paraId="1574A4F9">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电子邮箱</w:t>
            </w:r>
          </w:p>
        </w:tc>
        <w:tc>
          <w:tcPr>
            <w:tcW w:w="2469" w:type="dxa"/>
            <w:gridSpan w:val="3"/>
            <w:noWrap w:val="0"/>
            <w:vAlign w:val="center"/>
          </w:tcPr>
          <w:p w14:paraId="013C3069">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4F1A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6F3DF12C">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单位性质</w:t>
            </w:r>
          </w:p>
        </w:tc>
        <w:tc>
          <w:tcPr>
            <w:tcW w:w="7263" w:type="dxa"/>
            <w:gridSpan w:val="8"/>
            <w:noWrap w:val="0"/>
            <w:vAlign w:val="center"/>
          </w:tcPr>
          <w:p w14:paraId="34743DE1">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0737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29EF8AE4">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p>
        </w:tc>
        <w:tc>
          <w:tcPr>
            <w:tcW w:w="927" w:type="dxa"/>
            <w:noWrap w:val="0"/>
            <w:vAlign w:val="center"/>
          </w:tcPr>
          <w:p w14:paraId="51E99C12">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746" w:type="dxa"/>
            <w:noWrap w:val="0"/>
            <w:vAlign w:val="center"/>
          </w:tcPr>
          <w:p w14:paraId="4DFDC056">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noWrap w:val="0"/>
            <w:vAlign w:val="center"/>
          </w:tcPr>
          <w:p w14:paraId="09EBCC8C">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262" w:type="dxa"/>
            <w:gridSpan w:val="2"/>
            <w:noWrap w:val="0"/>
            <w:vAlign w:val="center"/>
          </w:tcPr>
          <w:p w14:paraId="15D66099">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733" w:type="dxa"/>
            <w:noWrap w:val="0"/>
            <w:vAlign w:val="center"/>
          </w:tcPr>
          <w:p w14:paraId="1931E8D7">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69" w:type="dxa"/>
            <w:noWrap w:val="0"/>
            <w:vAlign w:val="center"/>
          </w:tcPr>
          <w:p w14:paraId="3F42B471">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06E5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133B908E">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成立时间</w:t>
            </w:r>
          </w:p>
        </w:tc>
        <w:tc>
          <w:tcPr>
            <w:tcW w:w="2673" w:type="dxa"/>
            <w:gridSpan w:val="2"/>
            <w:noWrap w:val="0"/>
            <w:vAlign w:val="center"/>
          </w:tcPr>
          <w:p w14:paraId="7D561134">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4590" w:type="dxa"/>
            <w:gridSpan w:val="6"/>
            <w:noWrap w:val="0"/>
            <w:vAlign w:val="center"/>
          </w:tcPr>
          <w:p w14:paraId="3BEEAE7F">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员工总人数（个）：</w:t>
            </w:r>
          </w:p>
        </w:tc>
      </w:tr>
      <w:tr w14:paraId="7195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03DEFF73">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企业资质等级</w:t>
            </w:r>
          </w:p>
        </w:tc>
        <w:tc>
          <w:tcPr>
            <w:tcW w:w="2673" w:type="dxa"/>
            <w:gridSpan w:val="2"/>
            <w:noWrap w:val="0"/>
            <w:vAlign w:val="center"/>
          </w:tcPr>
          <w:p w14:paraId="42F356B3">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restart"/>
            <w:noWrap w:val="0"/>
            <w:vAlign w:val="center"/>
          </w:tcPr>
          <w:p w14:paraId="2E34BD7E">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其中</w:t>
            </w:r>
          </w:p>
        </w:tc>
        <w:tc>
          <w:tcPr>
            <w:tcW w:w="1995" w:type="dxa"/>
            <w:gridSpan w:val="3"/>
            <w:noWrap w:val="0"/>
            <w:vAlign w:val="center"/>
          </w:tcPr>
          <w:p w14:paraId="53FDF0E4">
            <w:pPr>
              <w:pStyle w:val="142"/>
              <w:wordWrap w:val="0"/>
              <w:adjustRightInd w:val="0"/>
              <w:snapToGrid w:val="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项目经理</w:t>
            </w:r>
          </w:p>
        </w:tc>
        <w:tc>
          <w:tcPr>
            <w:tcW w:w="1469" w:type="dxa"/>
            <w:noWrap w:val="0"/>
            <w:vAlign w:val="center"/>
          </w:tcPr>
          <w:p w14:paraId="138738D5">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6B83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449A2853">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营业执照号</w:t>
            </w:r>
          </w:p>
        </w:tc>
        <w:tc>
          <w:tcPr>
            <w:tcW w:w="2673" w:type="dxa"/>
            <w:gridSpan w:val="2"/>
            <w:noWrap w:val="0"/>
            <w:vAlign w:val="center"/>
          </w:tcPr>
          <w:p w14:paraId="338958B8">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14:paraId="03A50360">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14:paraId="434A4C10">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高级职称人员</w:t>
            </w:r>
          </w:p>
        </w:tc>
        <w:tc>
          <w:tcPr>
            <w:tcW w:w="1469" w:type="dxa"/>
            <w:noWrap w:val="0"/>
            <w:vAlign w:val="center"/>
          </w:tcPr>
          <w:p w14:paraId="406CB715">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44B3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4A4DB6BF">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注册资金</w:t>
            </w:r>
          </w:p>
        </w:tc>
        <w:tc>
          <w:tcPr>
            <w:tcW w:w="2673" w:type="dxa"/>
            <w:gridSpan w:val="2"/>
            <w:noWrap w:val="0"/>
            <w:vAlign w:val="center"/>
          </w:tcPr>
          <w:p w14:paraId="7A8DA2AC">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14:paraId="39901892">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14:paraId="638A9167">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中级职称人员</w:t>
            </w:r>
          </w:p>
        </w:tc>
        <w:tc>
          <w:tcPr>
            <w:tcW w:w="1469" w:type="dxa"/>
            <w:noWrap w:val="0"/>
            <w:vAlign w:val="center"/>
          </w:tcPr>
          <w:p w14:paraId="5DCD4285">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7CBD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3CAFC81C">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开户银行</w:t>
            </w:r>
          </w:p>
        </w:tc>
        <w:tc>
          <w:tcPr>
            <w:tcW w:w="2673" w:type="dxa"/>
            <w:gridSpan w:val="2"/>
            <w:noWrap w:val="0"/>
            <w:vAlign w:val="center"/>
          </w:tcPr>
          <w:p w14:paraId="64484079">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14:paraId="5CEF8EC0">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14:paraId="3DFFA6FC">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初级职称人员</w:t>
            </w:r>
          </w:p>
        </w:tc>
        <w:tc>
          <w:tcPr>
            <w:tcW w:w="1469" w:type="dxa"/>
            <w:noWrap w:val="0"/>
            <w:vAlign w:val="center"/>
          </w:tcPr>
          <w:p w14:paraId="0B646A41">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574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4FCE2448">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账号</w:t>
            </w:r>
          </w:p>
        </w:tc>
        <w:tc>
          <w:tcPr>
            <w:tcW w:w="2673" w:type="dxa"/>
            <w:gridSpan w:val="2"/>
            <w:noWrap w:val="0"/>
            <w:vAlign w:val="center"/>
          </w:tcPr>
          <w:p w14:paraId="34046B3E">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14:paraId="14C7EF70">
            <w:pPr>
              <w:pStyle w:val="142"/>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14:paraId="5E608297">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技术员</w:t>
            </w:r>
          </w:p>
        </w:tc>
        <w:tc>
          <w:tcPr>
            <w:tcW w:w="1469" w:type="dxa"/>
            <w:noWrap w:val="0"/>
            <w:vAlign w:val="center"/>
          </w:tcPr>
          <w:p w14:paraId="44391442">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2BF3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noWrap w:val="0"/>
            <w:vAlign w:val="center"/>
          </w:tcPr>
          <w:p w14:paraId="0D42F7CC">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经营范围</w:t>
            </w:r>
          </w:p>
        </w:tc>
        <w:tc>
          <w:tcPr>
            <w:tcW w:w="7263" w:type="dxa"/>
            <w:gridSpan w:val="8"/>
            <w:noWrap w:val="0"/>
            <w:vAlign w:val="center"/>
          </w:tcPr>
          <w:p w14:paraId="166B14C4">
            <w:pPr>
              <w:pStyle w:val="142"/>
              <w:wordWrap w:val="0"/>
              <w:adjustRightInd w:val="0"/>
              <w:snapToGrid w:val="0"/>
              <w:jc w:val="center"/>
              <w:rPr>
                <w:rFonts w:hint="eastAsia" w:ascii="宋体" w:hAnsi="宋体" w:eastAsia="宋体" w:cs="宋体"/>
                <w:snapToGrid w:val="0"/>
                <w:color w:val="auto"/>
                <w:kern w:val="0"/>
                <w:szCs w:val="21"/>
                <w:highlight w:val="none"/>
              </w:rPr>
            </w:pPr>
          </w:p>
        </w:tc>
      </w:tr>
      <w:tr w14:paraId="0A9F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noWrap w:val="0"/>
            <w:vAlign w:val="center"/>
          </w:tcPr>
          <w:p w14:paraId="178E5590">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关联企业情况</w:t>
            </w:r>
          </w:p>
        </w:tc>
        <w:tc>
          <w:tcPr>
            <w:tcW w:w="7263" w:type="dxa"/>
            <w:gridSpan w:val="8"/>
            <w:noWrap w:val="0"/>
            <w:vAlign w:val="center"/>
          </w:tcPr>
          <w:p w14:paraId="0087162C">
            <w:pPr>
              <w:pStyle w:val="142"/>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包括但不限于与投标人存在以下关系的不同单位：</w:t>
            </w:r>
          </w:p>
          <w:p w14:paraId="7FFAA81A">
            <w:pPr>
              <w:pStyle w:val="142"/>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1．法定代表人为同一人的。</w:t>
            </w:r>
          </w:p>
          <w:p w14:paraId="7F28B0F3">
            <w:pPr>
              <w:pStyle w:val="142"/>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2．存在控股、管理关系的。</w:t>
            </w:r>
          </w:p>
          <w:p w14:paraId="37576D46">
            <w:pPr>
              <w:pStyle w:val="142"/>
              <w:wordWrap w:val="0"/>
              <w:adjustRightInd w:val="0"/>
              <w:snapToGrid w:val="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3．主要人员相互任职的。</w:t>
            </w:r>
          </w:p>
        </w:tc>
      </w:tr>
      <w:tr w14:paraId="3602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noWrap w:val="0"/>
            <w:vAlign w:val="center"/>
          </w:tcPr>
          <w:p w14:paraId="27A5EA3F">
            <w:pPr>
              <w:pStyle w:val="142"/>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7263" w:type="dxa"/>
            <w:gridSpan w:val="8"/>
            <w:noWrap w:val="0"/>
            <w:vAlign w:val="center"/>
          </w:tcPr>
          <w:p w14:paraId="3760403D">
            <w:pPr>
              <w:pStyle w:val="142"/>
              <w:wordWrap w:val="0"/>
              <w:adjustRightInd w:val="0"/>
              <w:snapToGrid w:val="0"/>
              <w:jc w:val="center"/>
              <w:rPr>
                <w:rFonts w:hint="eastAsia" w:ascii="宋体" w:hAnsi="宋体" w:eastAsia="宋体" w:cs="宋体"/>
                <w:snapToGrid w:val="0"/>
                <w:color w:val="auto"/>
                <w:kern w:val="0"/>
                <w:szCs w:val="21"/>
                <w:highlight w:val="none"/>
              </w:rPr>
            </w:pPr>
          </w:p>
        </w:tc>
      </w:tr>
    </w:tbl>
    <w:p w14:paraId="0E732C5F">
      <w:pPr>
        <w:pStyle w:val="142"/>
        <w:wordWrap w:val="0"/>
        <w:adjustRightInd w:val="0"/>
        <w:snapToGrid w:val="0"/>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说明：</w:t>
      </w:r>
    </w:p>
    <w:p w14:paraId="740A51DC">
      <w:pPr>
        <w:pStyle w:val="142"/>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1.《投标人基本情况表》后应附以下资料：</w:t>
      </w:r>
    </w:p>
    <w:p w14:paraId="6149A181">
      <w:pPr>
        <w:pStyle w:val="142"/>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（1）企业营业执照、资质证书的</w:t>
      </w:r>
      <w:r>
        <w:rPr>
          <w:rFonts w:hint="eastAsia" w:ascii="宋体" w:hAnsi="宋体" w:eastAsia="宋体" w:cs="宋体"/>
          <w:snapToGrid w:val="0"/>
          <w:color w:val="auto"/>
          <w:kern w:val="0"/>
          <w:szCs w:val="21"/>
        </w:rPr>
        <w:t>彩色</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1"/>
          <w:highlight w:val="none"/>
        </w:rPr>
        <w:t>（</w:t>
      </w:r>
      <w:r>
        <w:rPr>
          <w:rFonts w:hint="eastAsia" w:ascii="宋体" w:hAnsi="宋体" w:eastAsia="宋体" w:cs="宋体"/>
          <w:b/>
          <w:bCs/>
          <w:snapToGrid w:val="0"/>
          <w:color w:val="auto"/>
          <w:kern w:val="0"/>
          <w:szCs w:val="21"/>
          <w:highlight w:val="none"/>
        </w:rPr>
        <w:t>因推行电子证照，部分企业已不存在副本等纸质证书。可打印件营业执照、资质证书实时网页查询页）</w:t>
      </w:r>
      <w:r>
        <w:rPr>
          <w:rFonts w:hint="eastAsia" w:ascii="宋体" w:hAnsi="宋体" w:eastAsia="宋体" w:cs="宋体"/>
          <w:snapToGrid w:val="0"/>
          <w:color w:val="auto"/>
          <w:kern w:val="0"/>
          <w:szCs w:val="21"/>
          <w:highlight w:val="none"/>
        </w:rPr>
        <w:t>；</w:t>
      </w:r>
    </w:p>
    <w:p w14:paraId="70C0D3B9">
      <w:pPr>
        <w:pStyle w:val="142"/>
        <w:wordWrap w:val="0"/>
        <w:adjustRightInd w:val="0"/>
        <w:snapToGrid w:val="0"/>
        <w:spacing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highlight w:val="none"/>
        </w:rPr>
        <w:t>“进粤企业和人员诚信信息登记平台”企业信息情况打印页</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highlight w:val="none"/>
        </w:rPr>
        <w:t>。（适用于省外企业）</w:t>
      </w:r>
      <w:r>
        <w:rPr>
          <w:rFonts w:hint="eastAsia" w:ascii="宋体" w:hAnsi="宋体" w:eastAsia="宋体" w:cs="宋体"/>
          <w:snapToGrid w:val="0"/>
          <w:color w:val="auto"/>
          <w:kern w:val="0"/>
          <w:szCs w:val="21"/>
          <w:highlight w:val="none"/>
        </w:rPr>
        <w:t>；</w:t>
      </w:r>
    </w:p>
    <w:p w14:paraId="2389E783">
      <w:pPr>
        <w:pStyle w:val="142"/>
        <w:wordWrap w:val="0"/>
        <w:adjustRightInd w:val="0"/>
        <w:snapToGrid w:val="0"/>
        <w:spacing w:line="400" w:lineRule="exact"/>
        <w:ind w:firstLine="420" w:firstLineChars="20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r>
        <w:rPr>
          <w:rFonts w:hint="eastAsia" w:ascii="宋体" w:hAnsi="宋体" w:eastAsia="宋体" w:cs="宋体"/>
          <w:snapToGrid w:val="0"/>
          <w:color w:val="auto"/>
          <w:kern w:val="0"/>
          <w:highlight w:val="none"/>
          <w:lang w:val="en-US" w:eastAsia="zh-CN"/>
        </w:rPr>
        <w:t>《法人和非法人组织公共信用信息报告》(在“信用中国”网站企业查询界面中下载)</w:t>
      </w:r>
      <w:r>
        <w:rPr>
          <w:rFonts w:hint="eastAsia" w:ascii="宋体" w:hAnsi="宋体" w:eastAsia="宋体" w:cs="宋体"/>
          <w:snapToGrid w:val="0"/>
          <w:color w:val="auto"/>
          <w:kern w:val="0"/>
          <w:highlight w:val="none"/>
        </w:rPr>
        <w:t>。</w:t>
      </w:r>
    </w:p>
    <w:p w14:paraId="3A74575B">
      <w:pPr>
        <w:pStyle w:val="142"/>
        <w:wordWrap w:val="0"/>
        <w:adjustRightInd w:val="0"/>
        <w:snapToGrid w:val="0"/>
        <w:spacing w:line="400" w:lineRule="exact"/>
        <w:rPr>
          <w:rFonts w:hint="eastAsia" w:ascii="宋体" w:hAnsi="宋体" w:eastAsia="宋体" w:cs="宋体"/>
          <w:snapToGrid w:val="0"/>
          <w:color w:val="auto"/>
          <w:kern w:val="0"/>
          <w:highlight w:val="none"/>
          <w:lang w:eastAsia="zh-CN"/>
        </w:rPr>
      </w:pPr>
    </w:p>
    <w:p w14:paraId="18821B55">
      <w:pPr>
        <w:pStyle w:val="142"/>
        <w:wordWrap w:val="0"/>
        <w:adjustRightInd w:val="0"/>
        <w:snapToGrid w:val="0"/>
        <w:spacing w:line="400" w:lineRule="exact"/>
        <w:ind w:left="365" w:leftChars="174" w:firstLine="0" w:firstLineChars="0"/>
        <w:rPr>
          <w:rFonts w:hint="eastAsia" w:ascii="宋体" w:hAnsi="宋体" w:eastAsia="宋体" w:cs="宋体"/>
          <w:snapToGrid w:val="0"/>
          <w:color w:val="auto"/>
          <w:kern w:val="0"/>
          <w:highlight w:val="none"/>
          <w:lang w:eastAsia="zh-CN"/>
        </w:rPr>
        <w:sectPr>
          <w:footerReference r:id="rId4" w:type="default"/>
          <w:endnotePr>
            <w:numFmt w:val="decimal"/>
          </w:endnotePr>
          <w:pgSz w:w="11906" w:h="16838"/>
          <w:pgMar w:top="1157" w:right="1080" w:bottom="1157" w:left="1080" w:header="510" w:footer="510" w:gutter="0"/>
          <w:pgNumType w:fmt="decimal" w:start="1"/>
          <w:cols w:space="720" w:num="1"/>
          <w:docGrid w:linePitch="327" w:charSpace="0"/>
        </w:sectPr>
      </w:pPr>
    </w:p>
    <w:p w14:paraId="38DBEB24">
      <w:pPr>
        <w:pStyle w:val="4"/>
        <w:bidi w:val="0"/>
        <w:rPr>
          <w:rFonts w:hint="eastAsia" w:ascii="宋体" w:hAnsi="宋体" w:eastAsia="宋体" w:cs="宋体"/>
          <w:b/>
          <w:bCs/>
          <w:color w:val="auto"/>
          <w:sz w:val="24"/>
          <w:szCs w:val="24"/>
          <w:highlight w:val="none"/>
        </w:rPr>
      </w:pPr>
      <w:bookmarkStart w:id="409" w:name="_Toc302"/>
      <w:r>
        <w:rPr>
          <w:rFonts w:hint="eastAsia" w:ascii="宋体" w:hAnsi="宋体" w:eastAsia="宋体" w:cs="宋体"/>
          <w:b/>
          <w:bCs/>
          <w:color w:val="auto"/>
          <w:sz w:val="24"/>
          <w:szCs w:val="24"/>
          <w:highlight w:val="none"/>
        </w:rPr>
        <w:t>格式</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 xml:space="preserve"> 设计负责人简历表</w:t>
      </w:r>
      <w:bookmarkEnd w:id="409"/>
    </w:p>
    <w:p w14:paraId="0E6AF45F">
      <w:pPr>
        <w:bidi w:val="0"/>
        <w:jc w:val="center"/>
        <w:rPr>
          <w:rFonts w:hint="eastAsia" w:ascii="宋体" w:hAnsi="宋体" w:eastAsia="宋体" w:cs="宋体"/>
          <w:b/>
          <w:bCs/>
          <w:color w:val="auto"/>
          <w:sz w:val="28"/>
          <w:szCs w:val="24"/>
        </w:rPr>
      </w:pPr>
      <w:r>
        <w:rPr>
          <w:rFonts w:hint="eastAsia" w:ascii="宋体" w:hAnsi="宋体" w:eastAsia="宋体" w:cs="宋体"/>
          <w:b/>
          <w:bCs/>
          <w:color w:val="auto"/>
          <w:sz w:val="28"/>
          <w:szCs w:val="24"/>
        </w:rPr>
        <w:t>设计负责人简历表</w:t>
      </w: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399"/>
        <w:gridCol w:w="709"/>
        <w:gridCol w:w="1486"/>
        <w:gridCol w:w="929"/>
        <w:gridCol w:w="106"/>
        <w:gridCol w:w="1162"/>
        <w:gridCol w:w="742"/>
        <w:gridCol w:w="75"/>
        <w:gridCol w:w="1374"/>
      </w:tblGrid>
      <w:tr w14:paraId="2A4ED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20" w:type="dxa"/>
            <w:gridSpan w:val="10"/>
            <w:noWrap w:val="0"/>
            <w:vAlign w:val="center"/>
          </w:tcPr>
          <w:p w14:paraId="6D8799E0">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1.基本情况</w:t>
            </w:r>
          </w:p>
        </w:tc>
      </w:tr>
      <w:tr w14:paraId="191C8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38" w:type="dxa"/>
            <w:noWrap w:val="0"/>
            <w:vAlign w:val="center"/>
          </w:tcPr>
          <w:p w14:paraId="1C460550">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399" w:type="dxa"/>
            <w:noWrap w:val="0"/>
            <w:vAlign w:val="center"/>
          </w:tcPr>
          <w:p w14:paraId="65CE8EC5">
            <w:pPr>
              <w:spacing w:line="240" w:lineRule="auto"/>
              <w:jc w:val="center"/>
              <w:rPr>
                <w:rFonts w:hint="eastAsia" w:ascii="宋体" w:hAnsi="宋体" w:eastAsia="宋体" w:cs="宋体"/>
                <w:color w:val="auto"/>
                <w:highlight w:val="none"/>
              </w:rPr>
            </w:pPr>
          </w:p>
        </w:tc>
        <w:tc>
          <w:tcPr>
            <w:tcW w:w="709" w:type="dxa"/>
            <w:noWrap w:val="0"/>
            <w:vAlign w:val="center"/>
          </w:tcPr>
          <w:p w14:paraId="1B9E1C0B">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486" w:type="dxa"/>
            <w:noWrap w:val="0"/>
            <w:vAlign w:val="center"/>
          </w:tcPr>
          <w:p w14:paraId="28AFA2F1">
            <w:pPr>
              <w:spacing w:line="240" w:lineRule="auto"/>
              <w:jc w:val="center"/>
              <w:rPr>
                <w:rFonts w:hint="eastAsia" w:ascii="宋体" w:hAnsi="宋体" w:eastAsia="宋体" w:cs="宋体"/>
                <w:color w:val="auto"/>
                <w:highlight w:val="none"/>
              </w:rPr>
            </w:pPr>
          </w:p>
        </w:tc>
        <w:tc>
          <w:tcPr>
            <w:tcW w:w="929" w:type="dxa"/>
            <w:noWrap w:val="0"/>
            <w:vAlign w:val="center"/>
          </w:tcPr>
          <w:p w14:paraId="3221F42D">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268" w:type="dxa"/>
            <w:gridSpan w:val="2"/>
            <w:noWrap w:val="0"/>
            <w:vAlign w:val="center"/>
          </w:tcPr>
          <w:p w14:paraId="53A2803F">
            <w:pPr>
              <w:spacing w:line="240" w:lineRule="auto"/>
              <w:jc w:val="center"/>
              <w:rPr>
                <w:rFonts w:hint="eastAsia" w:ascii="宋体" w:hAnsi="宋体" w:eastAsia="宋体" w:cs="宋体"/>
                <w:color w:val="auto"/>
                <w:highlight w:val="none"/>
              </w:rPr>
            </w:pPr>
          </w:p>
        </w:tc>
        <w:tc>
          <w:tcPr>
            <w:tcW w:w="742" w:type="dxa"/>
            <w:noWrap w:val="0"/>
            <w:vAlign w:val="center"/>
          </w:tcPr>
          <w:p w14:paraId="2F19816D">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学位</w:t>
            </w:r>
          </w:p>
        </w:tc>
        <w:tc>
          <w:tcPr>
            <w:tcW w:w="1449" w:type="dxa"/>
            <w:gridSpan w:val="2"/>
            <w:noWrap w:val="0"/>
            <w:vAlign w:val="center"/>
          </w:tcPr>
          <w:p w14:paraId="40E5F95E">
            <w:pPr>
              <w:spacing w:line="240" w:lineRule="auto"/>
              <w:jc w:val="center"/>
              <w:rPr>
                <w:rFonts w:hint="eastAsia" w:ascii="宋体" w:hAnsi="宋体" w:eastAsia="宋体" w:cs="宋体"/>
                <w:color w:val="auto"/>
                <w:highlight w:val="none"/>
              </w:rPr>
            </w:pPr>
          </w:p>
        </w:tc>
      </w:tr>
      <w:tr w14:paraId="40142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38" w:type="dxa"/>
            <w:noWrap w:val="0"/>
            <w:vAlign w:val="center"/>
          </w:tcPr>
          <w:p w14:paraId="39F04CDD">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399" w:type="dxa"/>
            <w:noWrap w:val="0"/>
            <w:vAlign w:val="center"/>
          </w:tcPr>
          <w:p w14:paraId="51CDE735">
            <w:pPr>
              <w:spacing w:line="240" w:lineRule="auto"/>
              <w:jc w:val="center"/>
              <w:rPr>
                <w:rFonts w:hint="eastAsia" w:ascii="宋体" w:hAnsi="宋体" w:eastAsia="宋体" w:cs="宋体"/>
                <w:color w:val="auto"/>
                <w:highlight w:val="none"/>
              </w:rPr>
            </w:pPr>
          </w:p>
        </w:tc>
        <w:tc>
          <w:tcPr>
            <w:tcW w:w="2195" w:type="dxa"/>
            <w:gridSpan w:val="2"/>
            <w:noWrap w:val="0"/>
            <w:vAlign w:val="center"/>
          </w:tcPr>
          <w:p w14:paraId="6D41668A">
            <w:pPr>
              <w:spacing w:line="240" w:lineRule="auto"/>
              <w:jc w:val="center"/>
              <w:rPr>
                <w:rFonts w:hint="eastAsia" w:ascii="宋体" w:hAnsi="宋体" w:eastAsia="宋体" w:cs="宋体"/>
                <w:color w:val="auto"/>
                <w:highlight w:val="none"/>
              </w:rPr>
            </w:pPr>
            <w:r>
              <w:rPr>
                <w:rFonts w:hint="eastAsia" w:ascii="宋体" w:hAnsi="宋体" w:eastAsia="宋体" w:cs="宋体"/>
                <w:color w:val="auto"/>
                <w:spacing w:val="-12"/>
                <w:highlight w:val="none"/>
              </w:rPr>
              <w:t>为投标人服务时间</w:t>
            </w:r>
          </w:p>
        </w:tc>
        <w:tc>
          <w:tcPr>
            <w:tcW w:w="929" w:type="dxa"/>
            <w:noWrap w:val="0"/>
            <w:vAlign w:val="center"/>
          </w:tcPr>
          <w:p w14:paraId="45FBAC1C">
            <w:pPr>
              <w:spacing w:line="240" w:lineRule="auto"/>
              <w:jc w:val="center"/>
              <w:rPr>
                <w:rFonts w:hint="eastAsia" w:ascii="宋体" w:hAnsi="宋体" w:eastAsia="宋体" w:cs="宋体"/>
                <w:color w:val="auto"/>
                <w:highlight w:val="none"/>
              </w:rPr>
            </w:pPr>
          </w:p>
        </w:tc>
        <w:tc>
          <w:tcPr>
            <w:tcW w:w="2010" w:type="dxa"/>
            <w:gridSpan w:val="3"/>
            <w:noWrap w:val="0"/>
            <w:vAlign w:val="center"/>
          </w:tcPr>
          <w:p w14:paraId="38C14034">
            <w:pPr>
              <w:spacing w:line="240" w:lineRule="auto"/>
              <w:jc w:val="center"/>
              <w:rPr>
                <w:rFonts w:hint="eastAsia" w:ascii="宋体" w:hAnsi="宋体" w:eastAsia="宋体" w:cs="宋体"/>
                <w:color w:val="auto"/>
                <w:spacing w:val="-12"/>
                <w:highlight w:val="none"/>
              </w:rPr>
            </w:pPr>
            <w:r>
              <w:rPr>
                <w:rFonts w:hint="eastAsia" w:ascii="宋体" w:hAnsi="宋体" w:eastAsia="宋体" w:cs="宋体"/>
                <w:color w:val="auto"/>
                <w:highlight w:val="none"/>
              </w:rPr>
              <w:t>在本合同中拟任职</w:t>
            </w:r>
          </w:p>
        </w:tc>
        <w:tc>
          <w:tcPr>
            <w:tcW w:w="1449" w:type="dxa"/>
            <w:gridSpan w:val="2"/>
            <w:noWrap w:val="0"/>
            <w:vAlign w:val="center"/>
          </w:tcPr>
          <w:p w14:paraId="6D0307FB">
            <w:pPr>
              <w:spacing w:line="240" w:lineRule="auto"/>
              <w:jc w:val="center"/>
              <w:rPr>
                <w:rFonts w:hint="eastAsia" w:ascii="宋体" w:hAnsi="宋体" w:eastAsia="宋体" w:cs="宋体"/>
                <w:color w:val="auto"/>
                <w:highlight w:val="none"/>
              </w:rPr>
            </w:pPr>
          </w:p>
        </w:tc>
      </w:tr>
      <w:tr w14:paraId="7A0D00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38" w:type="dxa"/>
            <w:noWrap w:val="0"/>
            <w:vAlign w:val="center"/>
          </w:tcPr>
          <w:p w14:paraId="7C985EBC">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7982" w:type="dxa"/>
            <w:gridSpan w:val="9"/>
            <w:noWrap w:val="0"/>
            <w:vAlign w:val="center"/>
          </w:tcPr>
          <w:p w14:paraId="019B7847">
            <w:pPr>
              <w:spacing w:line="240" w:lineRule="auto"/>
              <w:ind w:firstLine="600"/>
              <w:jc w:val="center"/>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23E63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20" w:type="dxa"/>
            <w:gridSpan w:val="10"/>
            <w:noWrap w:val="0"/>
            <w:vAlign w:val="center"/>
          </w:tcPr>
          <w:p w14:paraId="3EDAF25E">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2.经历</w:t>
            </w:r>
          </w:p>
        </w:tc>
      </w:tr>
      <w:tr w14:paraId="276F7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38" w:type="dxa"/>
            <w:noWrap w:val="0"/>
            <w:vAlign w:val="center"/>
          </w:tcPr>
          <w:p w14:paraId="07D1CCAC">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4629" w:type="dxa"/>
            <w:gridSpan w:val="5"/>
            <w:noWrap w:val="0"/>
            <w:vAlign w:val="center"/>
          </w:tcPr>
          <w:p w14:paraId="6D559B48">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负责过的主要工程（类型和金额）</w:t>
            </w:r>
          </w:p>
        </w:tc>
        <w:tc>
          <w:tcPr>
            <w:tcW w:w="1979" w:type="dxa"/>
            <w:gridSpan w:val="3"/>
            <w:noWrap w:val="0"/>
            <w:vAlign w:val="center"/>
          </w:tcPr>
          <w:p w14:paraId="1631D74A">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该项目中任职</w:t>
            </w:r>
          </w:p>
        </w:tc>
        <w:tc>
          <w:tcPr>
            <w:tcW w:w="1374" w:type="dxa"/>
            <w:noWrap w:val="0"/>
            <w:vAlign w:val="center"/>
          </w:tcPr>
          <w:p w14:paraId="3CE3D7DF">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14:paraId="52329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8" w:type="dxa"/>
            <w:noWrap w:val="0"/>
            <w:vAlign w:val="center"/>
          </w:tcPr>
          <w:p w14:paraId="381B6F17">
            <w:pPr>
              <w:spacing w:line="240" w:lineRule="auto"/>
              <w:jc w:val="center"/>
              <w:rPr>
                <w:rFonts w:hint="eastAsia" w:ascii="宋体" w:hAnsi="宋体" w:eastAsia="宋体" w:cs="宋体"/>
                <w:color w:val="auto"/>
                <w:highlight w:val="none"/>
              </w:rPr>
            </w:pPr>
          </w:p>
        </w:tc>
        <w:tc>
          <w:tcPr>
            <w:tcW w:w="4629" w:type="dxa"/>
            <w:gridSpan w:val="5"/>
            <w:noWrap w:val="0"/>
            <w:vAlign w:val="center"/>
          </w:tcPr>
          <w:p w14:paraId="2E049C42">
            <w:pPr>
              <w:spacing w:line="240" w:lineRule="auto"/>
              <w:jc w:val="center"/>
              <w:rPr>
                <w:rFonts w:hint="eastAsia" w:ascii="宋体" w:hAnsi="宋体" w:eastAsia="宋体" w:cs="宋体"/>
                <w:color w:val="auto"/>
                <w:highlight w:val="none"/>
              </w:rPr>
            </w:pPr>
          </w:p>
        </w:tc>
        <w:tc>
          <w:tcPr>
            <w:tcW w:w="1979" w:type="dxa"/>
            <w:gridSpan w:val="3"/>
            <w:noWrap w:val="0"/>
            <w:vAlign w:val="center"/>
          </w:tcPr>
          <w:p w14:paraId="57041FA6">
            <w:pPr>
              <w:spacing w:line="240" w:lineRule="auto"/>
              <w:jc w:val="center"/>
              <w:rPr>
                <w:rFonts w:hint="eastAsia" w:ascii="宋体" w:hAnsi="宋体" w:eastAsia="宋体" w:cs="宋体"/>
                <w:color w:val="auto"/>
                <w:highlight w:val="none"/>
              </w:rPr>
            </w:pPr>
          </w:p>
        </w:tc>
        <w:tc>
          <w:tcPr>
            <w:tcW w:w="1374" w:type="dxa"/>
            <w:noWrap w:val="0"/>
            <w:vAlign w:val="center"/>
          </w:tcPr>
          <w:p w14:paraId="048C6583">
            <w:pPr>
              <w:spacing w:line="240" w:lineRule="auto"/>
              <w:jc w:val="center"/>
              <w:rPr>
                <w:rFonts w:hint="eastAsia" w:ascii="宋体" w:hAnsi="宋体" w:eastAsia="宋体" w:cs="宋体"/>
                <w:color w:val="auto"/>
                <w:highlight w:val="none"/>
              </w:rPr>
            </w:pPr>
          </w:p>
        </w:tc>
      </w:tr>
      <w:tr w14:paraId="57F73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8" w:type="dxa"/>
            <w:noWrap w:val="0"/>
            <w:vAlign w:val="center"/>
          </w:tcPr>
          <w:p w14:paraId="3A0E3FAB">
            <w:pPr>
              <w:spacing w:line="240" w:lineRule="auto"/>
              <w:jc w:val="center"/>
              <w:rPr>
                <w:rFonts w:hint="eastAsia" w:ascii="宋体" w:hAnsi="宋体" w:eastAsia="宋体" w:cs="宋体"/>
                <w:color w:val="auto"/>
                <w:highlight w:val="none"/>
              </w:rPr>
            </w:pPr>
          </w:p>
        </w:tc>
        <w:tc>
          <w:tcPr>
            <w:tcW w:w="4629" w:type="dxa"/>
            <w:gridSpan w:val="5"/>
            <w:noWrap w:val="0"/>
            <w:vAlign w:val="center"/>
          </w:tcPr>
          <w:p w14:paraId="66263DAE">
            <w:pPr>
              <w:spacing w:line="240" w:lineRule="auto"/>
              <w:jc w:val="center"/>
              <w:rPr>
                <w:rFonts w:hint="eastAsia" w:ascii="宋体" w:hAnsi="宋体" w:eastAsia="宋体" w:cs="宋体"/>
                <w:color w:val="auto"/>
                <w:highlight w:val="none"/>
              </w:rPr>
            </w:pPr>
          </w:p>
        </w:tc>
        <w:tc>
          <w:tcPr>
            <w:tcW w:w="1979" w:type="dxa"/>
            <w:gridSpan w:val="3"/>
            <w:noWrap w:val="0"/>
            <w:vAlign w:val="center"/>
          </w:tcPr>
          <w:p w14:paraId="0629ACE0">
            <w:pPr>
              <w:spacing w:line="240" w:lineRule="auto"/>
              <w:jc w:val="center"/>
              <w:rPr>
                <w:rFonts w:hint="eastAsia" w:ascii="宋体" w:hAnsi="宋体" w:eastAsia="宋体" w:cs="宋体"/>
                <w:color w:val="auto"/>
                <w:highlight w:val="none"/>
              </w:rPr>
            </w:pPr>
          </w:p>
        </w:tc>
        <w:tc>
          <w:tcPr>
            <w:tcW w:w="1374" w:type="dxa"/>
            <w:noWrap w:val="0"/>
            <w:vAlign w:val="center"/>
          </w:tcPr>
          <w:p w14:paraId="1E0B0651">
            <w:pPr>
              <w:spacing w:line="240" w:lineRule="auto"/>
              <w:jc w:val="center"/>
              <w:rPr>
                <w:rFonts w:hint="eastAsia" w:ascii="宋体" w:hAnsi="宋体" w:eastAsia="宋体" w:cs="宋体"/>
                <w:color w:val="auto"/>
                <w:highlight w:val="none"/>
              </w:rPr>
            </w:pPr>
          </w:p>
        </w:tc>
      </w:tr>
      <w:tr w14:paraId="74966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38" w:type="dxa"/>
            <w:noWrap w:val="0"/>
            <w:vAlign w:val="center"/>
          </w:tcPr>
          <w:p w14:paraId="7CA9C217">
            <w:pPr>
              <w:spacing w:line="240" w:lineRule="auto"/>
              <w:jc w:val="center"/>
              <w:rPr>
                <w:rFonts w:hint="eastAsia" w:ascii="宋体" w:hAnsi="宋体" w:eastAsia="宋体" w:cs="宋体"/>
                <w:color w:val="auto"/>
                <w:highlight w:val="none"/>
              </w:rPr>
            </w:pPr>
          </w:p>
        </w:tc>
        <w:tc>
          <w:tcPr>
            <w:tcW w:w="4629" w:type="dxa"/>
            <w:gridSpan w:val="5"/>
            <w:noWrap w:val="0"/>
            <w:vAlign w:val="center"/>
          </w:tcPr>
          <w:p w14:paraId="0AC60359">
            <w:pPr>
              <w:spacing w:line="240" w:lineRule="auto"/>
              <w:jc w:val="center"/>
              <w:rPr>
                <w:rFonts w:hint="eastAsia" w:ascii="宋体" w:hAnsi="宋体" w:eastAsia="宋体" w:cs="宋体"/>
                <w:color w:val="auto"/>
                <w:highlight w:val="none"/>
              </w:rPr>
            </w:pPr>
          </w:p>
        </w:tc>
        <w:tc>
          <w:tcPr>
            <w:tcW w:w="1979" w:type="dxa"/>
            <w:gridSpan w:val="3"/>
            <w:noWrap w:val="0"/>
            <w:vAlign w:val="center"/>
          </w:tcPr>
          <w:p w14:paraId="3C1B5FF4">
            <w:pPr>
              <w:spacing w:line="240" w:lineRule="auto"/>
              <w:jc w:val="center"/>
              <w:rPr>
                <w:rFonts w:hint="eastAsia" w:ascii="宋体" w:hAnsi="宋体" w:eastAsia="宋体" w:cs="宋体"/>
                <w:color w:val="auto"/>
                <w:highlight w:val="none"/>
              </w:rPr>
            </w:pPr>
          </w:p>
        </w:tc>
        <w:tc>
          <w:tcPr>
            <w:tcW w:w="1374" w:type="dxa"/>
            <w:noWrap w:val="0"/>
            <w:vAlign w:val="center"/>
          </w:tcPr>
          <w:p w14:paraId="1ED0EBF9">
            <w:pPr>
              <w:spacing w:line="240" w:lineRule="auto"/>
              <w:jc w:val="center"/>
              <w:rPr>
                <w:rFonts w:hint="eastAsia" w:ascii="宋体" w:hAnsi="宋体" w:eastAsia="宋体" w:cs="宋体"/>
                <w:color w:val="auto"/>
                <w:highlight w:val="none"/>
              </w:rPr>
            </w:pPr>
          </w:p>
        </w:tc>
      </w:tr>
      <w:tr w14:paraId="2122E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20" w:type="dxa"/>
            <w:gridSpan w:val="10"/>
            <w:noWrap w:val="0"/>
            <w:vAlign w:val="center"/>
          </w:tcPr>
          <w:p w14:paraId="4BE8CB56">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3.获奖情况（如有）</w:t>
            </w:r>
          </w:p>
        </w:tc>
      </w:tr>
      <w:tr w14:paraId="228D5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20" w:type="dxa"/>
            <w:gridSpan w:val="10"/>
            <w:noWrap w:val="0"/>
            <w:vAlign w:val="center"/>
          </w:tcPr>
          <w:p w14:paraId="1DC9F2A0">
            <w:pPr>
              <w:spacing w:line="240" w:lineRule="auto"/>
              <w:jc w:val="center"/>
              <w:rPr>
                <w:rFonts w:hint="eastAsia" w:ascii="宋体" w:hAnsi="宋体" w:eastAsia="宋体" w:cs="宋体"/>
                <w:color w:val="auto"/>
                <w:highlight w:val="none"/>
              </w:rPr>
            </w:pPr>
          </w:p>
        </w:tc>
      </w:tr>
      <w:tr w14:paraId="7D333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820" w:type="dxa"/>
            <w:gridSpan w:val="10"/>
            <w:noWrap w:val="0"/>
            <w:vAlign w:val="center"/>
          </w:tcPr>
          <w:p w14:paraId="09012EDA">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4.目前承担的任务</w:t>
            </w:r>
          </w:p>
        </w:tc>
      </w:tr>
      <w:tr w14:paraId="528B6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20" w:type="dxa"/>
            <w:gridSpan w:val="10"/>
            <w:noWrap w:val="0"/>
            <w:vAlign w:val="center"/>
          </w:tcPr>
          <w:p w14:paraId="3F4347F4">
            <w:pPr>
              <w:spacing w:line="240" w:lineRule="auto"/>
              <w:jc w:val="center"/>
              <w:rPr>
                <w:rFonts w:hint="eastAsia" w:ascii="宋体" w:hAnsi="宋体" w:eastAsia="宋体" w:cs="宋体"/>
                <w:color w:val="auto"/>
                <w:highlight w:val="none"/>
              </w:rPr>
            </w:pPr>
          </w:p>
        </w:tc>
      </w:tr>
    </w:tbl>
    <w:p w14:paraId="13759AEE">
      <w:pPr>
        <w:wordWrap w:val="0"/>
        <w:adjustRightInd w:val="0"/>
        <w:snapToGrid w:val="0"/>
        <w:spacing w:line="440" w:lineRule="exact"/>
        <w:ind w:firstLine="570"/>
        <w:jc w:val="righ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注：本表不够时自制</w:t>
      </w:r>
    </w:p>
    <w:p w14:paraId="5E949230">
      <w:pPr>
        <w:pStyle w:val="97"/>
        <w:wordWrap w:val="0"/>
        <w:adjustRightInd w:val="0"/>
        <w:snapToGrid w:val="0"/>
        <w:spacing w:line="440" w:lineRule="exact"/>
        <w:jc w:val="righ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val="en-US" w:eastAsia="zh-CN"/>
        </w:rPr>
        <w:t>设计</w:t>
      </w:r>
      <w:r>
        <w:rPr>
          <w:rFonts w:hint="eastAsia" w:ascii="宋体" w:hAnsi="宋体" w:eastAsia="宋体" w:cs="宋体"/>
          <w:snapToGrid w:val="0"/>
          <w:color w:val="auto"/>
          <w:kern w:val="0"/>
          <w:highlight w:val="none"/>
        </w:rPr>
        <w:t>负责人：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（签字）</w:t>
      </w:r>
    </w:p>
    <w:p w14:paraId="2E1FDBFF">
      <w:pPr>
        <w:pStyle w:val="97"/>
        <w:wordWrap w:val="0"/>
        <w:adjustRightInd w:val="0"/>
        <w:snapToGrid w:val="0"/>
        <w:spacing w:line="440" w:lineRule="exact"/>
        <w:jc w:val="right"/>
        <w:rPr>
          <w:rFonts w:hint="eastAsia" w:ascii="宋体" w:hAnsi="宋体" w:eastAsia="宋体" w:cs="宋体"/>
          <w:snapToGrid w:val="0"/>
          <w:color w:val="auto"/>
          <w:kern w:val="0"/>
          <w:highlight w:val="none"/>
        </w:rPr>
      </w:pPr>
    </w:p>
    <w:p w14:paraId="541E0727">
      <w:pPr>
        <w:pStyle w:val="97"/>
        <w:wordWrap w:val="0"/>
        <w:adjustRightInd w:val="0"/>
        <w:snapToGrid w:val="0"/>
        <w:spacing w:line="440" w:lineRule="exact"/>
        <w:jc w:val="right"/>
        <w:rPr>
          <w:rFonts w:hint="eastAsia" w:ascii="宋体" w:hAnsi="宋体" w:eastAsia="宋体" w:cs="宋体"/>
          <w:color w:val="auto"/>
        </w:r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w:t>
      </w:r>
    </w:p>
    <w:p w14:paraId="476D2983">
      <w:pPr>
        <w:pageBreakBefore w:val="0"/>
        <w:widowControl w:val="0"/>
        <w:kinsoku/>
        <w:wordWrap w:val="0"/>
        <w:overflowPunct/>
        <w:topLinePunct w:val="0"/>
        <w:autoSpaceDE/>
        <w:autoSpaceDN/>
        <w:bidi w:val="0"/>
        <w:adjustRightInd w:val="0"/>
        <w:snapToGrid w:val="0"/>
        <w:spacing w:line="288" w:lineRule="auto"/>
        <w:textAlignment w:val="auto"/>
        <w:rPr>
          <w:rFonts w:hint="eastAsia" w:ascii="宋体" w:hAnsi="宋体" w:eastAsia="宋体" w:cs="宋体"/>
          <w:snapToGrid w:val="0"/>
          <w:color w:val="auto"/>
          <w:kern w:val="0"/>
          <w:szCs w:val="28"/>
          <w:highlight w:val="none"/>
        </w:rPr>
      </w:pPr>
    </w:p>
    <w:p w14:paraId="3004A190">
      <w:pPr>
        <w:pageBreakBefore w:val="0"/>
        <w:widowControl w:val="0"/>
        <w:kinsoku/>
        <w:wordWrap w:val="0"/>
        <w:overflowPunct/>
        <w:topLinePunct w:val="0"/>
        <w:autoSpaceDE/>
        <w:autoSpaceDN/>
        <w:bidi w:val="0"/>
        <w:adjustRightInd w:val="0"/>
        <w:snapToGrid w:val="0"/>
        <w:spacing w:line="288" w:lineRule="auto"/>
        <w:textAlignment w:val="auto"/>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说明：《设计负责人简历表》后应附拟派设计负责人以下资料：：</w:t>
      </w:r>
    </w:p>
    <w:p w14:paraId="152A517E">
      <w:pPr>
        <w:pageBreakBefore w:val="0"/>
        <w:widowControl w:val="0"/>
        <w:kinsoku/>
        <w:wordWrap w:val="0"/>
        <w:overflowPunct/>
        <w:topLinePunct w:val="0"/>
        <w:autoSpaceDE/>
        <w:autoSpaceDN/>
        <w:bidi w:val="0"/>
        <w:adjustRightInd w:val="0"/>
        <w:snapToGrid w:val="0"/>
        <w:spacing w:line="288" w:lineRule="auto"/>
        <w:textAlignment w:val="auto"/>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1．身份证</w:t>
      </w:r>
      <w:r>
        <w:rPr>
          <w:rFonts w:hint="eastAsia" w:ascii="宋体" w:hAnsi="宋体" w:eastAsia="宋体" w:cs="宋体"/>
          <w:snapToGrid w:val="0"/>
          <w:color w:val="auto"/>
          <w:kern w:val="0"/>
          <w:szCs w:val="21"/>
        </w:rPr>
        <w:t>彩色</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71350DB5">
      <w:pPr>
        <w:pageBreakBefore w:val="0"/>
        <w:widowControl w:val="0"/>
        <w:kinsoku/>
        <w:wordWrap w:val="0"/>
        <w:overflowPunct/>
        <w:topLinePunct w:val="0"/>
        <w:autoSpaceDE/>
        <w:autoSpaceDN/>
        <w:bidi w:val="0"/>
        <w:adjustRightInd w:val="0"/>
        <w:snapToGrid w:val="0"/>
        <w:spacing w:line="288" w:lineRule="auto"/>
        <w:textAlignment w:val="auto"/>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2．注册证书（如需）、职称证（如需）</w:t>
      </w:r>
      <w:r>
        <w:rPr>
          <w:rFonts w:hint="eastAsia" w:ascii="宋体" w:hAnsi="宋体" w:eastAsia="宋体" w:cs="宋体"/>
          <w:snapToGrid w:val="0"/>
          <w:color w:val="auto"/>
          <w:kern w:val="0"/>
          <w:szCs w:val="21"/>
        </w:rPr>
        <w:t>彩色</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081EDCFF">
      <w:pPr>
        <w:pageBreakBefore w:val="0"/>
        <w:widowControl w:val="0"/>
        <w:kinsoku/>
        <w:wordWrap w:val="0"/>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3．在本单位缴纳社保的证明（至少3个月，其中必须有</w:t>
      </w:r>
      <w:r>
        <w:rPr>
          <w:rFonts w:hint="eastAsia" w:ascii="宋体" w:hAnsi="宋体" w:eastAsia="宋体" w:cs="宋体"/>
          <w:snapToGrid w:val="0"/>
          <w:color w:val="auto"/>
          <w:kern w:val="0"/>
          <w:szCs w:val="28"/>
          <w:highlight w:val="none"/>
          <w:lang w:eastAsia="zh-CN"/>
        </w:rPr>
        <w:t>2025年</w:t>
      </w:r>
      <w:r>
        <w:rPr>
          <w:rFonts w:hint="eastAsia" w:ascii="宋体" w:hAnsi="宋体" w:cs="宋体"/>
          <w:snapToGrid w:val="0"/>
          <w:color w:val="auto"/>
          <w:kern w:val="0"/>
          <w:szCs w:val="28"/>
          <w:highlight w:val="none"/>
          <w:lang w:val="en-US" w:eastAsia="zh-CN"/>
        </w:rPr>
        <w:t>2</w:t>
      </w:r>
      <w:r>
        <w:rPr>
          <w:rFonts w:hint="eastAsia" w:ascii="宋体" w:hAnsi="宋体" w:eastAsia="宋体" w:cs="宋体"/>
          <w:snapToGrid w:val="0"/>
          <w:color w:val="auto"/>
          <w:kern w:val="0"/>
          <w:szCs w:val="28"/>
          <w:highlight w:val="none"/>
          <w:lang w:eastAsia="zh-CN"/>
        </w:rPr>
        <w:t>月</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1"/>
        </w:rPr>
        <w:t>彩色</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（非独立法人分支机构出具社保，予以认可）；（若由上级事业单位统一缴纳的，必须提供上级事业单位出具的投标人在编人员社保在上级事业单位缴纳的证明文件及该人员在上级事业单位缴纳的社保证明。）</w:t>
      </w:r>
    </w:p>
    <w:p w14:paraId="349F113E">
      <w:pPr>
        <w:pageBreakBefore w:val="0"/>
        <w:widowControl w:val="0"/>
        <w:kinsoku/>
        <w:wordWrap w:val="0"/>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8"/>
          <w:highlight w:val="none"/>
        </w:rPr>
        <w:t>4.拟派设计负责人为退休返聘人员无法提供社保证明的，提供退休证和劳动合同/返聘证明</w:t>
      </w:r>
      <w:r>
        <w:rPr>
          <w:rFonts w:hint="eastAsia" w:ascii="宋体" w:hAnsi="宋体" w:eastAsia="宋体" w:cs="宋体"/>
          <w:snapToGrid w:val="0"/>
          <w:color w:val="auto"/>
          <w:kern w:val="0"/>
          <w:szCs w:val="21"/>
        </w:rPr>
        <w:t>彩色</w:t>
      </w:r>
      <w:r>
        <w:rPr>
          <w:rFonts w:hint="eastAsia" w:ascii="宋体" w:hAnsi="宋体" w:eastAsia="宋体" w:cs="宋体"/>
          <w:snapToGrid w:val="0"/>
          <w:color w:val="auto"/>
          <w:kern w:val="0"/>
          <w:szCs w:val="21"/>
          <w:highlight w:val="none"/>
          <w:lang w:eastAsia="zh-CN"/>
        </w:rPr>
        <w:t>扫描件。</w:t>
      </w:r>
    </w:p>
    <w:p w14:paraId="7FEC6C58">
      <w:pPr>
        <w:pageBreakBefore w:val="0"/>
        <w:widowControl w:val="0"/>
        <w:kinsoku/>
        <w:wordWrap w:val="0"/>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napToGrid w:val="0"/>
          <w:color w:val="auto"/>
          <w:kern w:val="0"/>
          <w:szCs w:val="28"/>
          <w:highlight w:val="none"/>
          <w:lang w:val="en-US" w:eastAsia="zh-CN"/>
        </w:rPr>
      </w:pPr>
      <w:r>
        <w:rPr>
          <w:rFonts w:hint="eastAsia" w:ascii="宋体" w:hAnsi="宋体" w:eastAsia="宋体" w:cs="宋体"/>
          <w:snapToGrid w:val="0"/>
          <w:color w:val="auto"/>
          <w:kern w:val="0"/>
          <w:szCs w:val="28"/>
          <w:highlight w:val="none"/>
          <w:lang w:val="en-US" w:eastAsia="zh-CN"/>
        </w:rPr>
        <w:t>5.“进粤企业和人员诚信信息登记平台”个人信息情况截图。（适用于省外建筑企业）</w:t>
      </w:r>
    </w:p>
    <w:p w14:paraId="6CDFAF9E">
      <w:pPr>
        <w:keepNext w:val="0"/>
        <w:keepLines w:val="0"/>
        <w:pageBreakBefore w:val="0"/>
        <w:widowControl w:val="0"/>
        <w:kinsoku/>
        <w:wordWrap w:val="0"/>
        <w:overflowPunct/>
        <w:topLinePunct w:val="0"/>
        <w:autoSpaceDE/>
        <w:autoSpaceDN/>
        <w:bidi w:val="0"/>
        <w:adjustRightInd w:val="0"/>
        <w:snapToGrid w:val="0"/>
        <w:spacing w:line="288" w:lineRule="auto"/>
        <w:textAlignment w:val="auto"/>
        <w:rPr>
          <w:rFonts w:hint="eastAsia" w:ascii="宋体" w:hAnsi="宋体" w:eastAsia="宋体" w:cs="宋体"/>
          <w:color w:val="auto"/>
          <w:lang w:val="en-US" w:eastAsia="zh-CN"/>
        </w:rPr>
      </w:pPr>
    </w:p>
    <w:p w14:paraId="398746AD">
      <w:pPr>
        <w:pStyle w:val="4"/>
        <w:bidi w:val="0"/>
        <w:rPr>
          <w:rFonts w:hint="eastAsia" w:ascii="宋体" w:hAnsi="宋体" w:eastAsia="宋体" w:cs="宋体"/>
          <w:color w:val="auto"/>
        </w:rPr>
      </w:pPr>
      <w:bookmarkStart w:id="410" w:name="_Toc18651"/>
      <w:r>
        <w:rPr>
          <w:rFonts w:hint="eastAsia" w:ascii="宋体" w:hAnsi="宋体" w:eastAsia="宋体" w:cs="宋体"/>
          <w:color w:val="auto"/>
        </w:rPr>
        <w:t>格式</w:t>
      </w:r>
      <w:r>
        <w:rPr>
          <w:rFonts w:hint="eastAsia" w:ascii="宋体" w:hAnsi="宋体" w:cs="宋体"/>
          <w:color w:val="auto"/>
          <w:lang w:val="en-US" w:eastAsia="zh-CN"/>
        </w:rPr>
        <w:t>九</w:t>
      </w:r>
      <w:r>
        <w:rPr>
          <w:rFonts w:hint="eastAsia" w:ascii="宋体" w:hAnsi="宋体" w:eastAsia="宋体" w:cs="宋体"/>
          <w:color w:val="auto"/>
        </w:rPr>
        <w:t xml:space="preserve"> 本项目拟投入的人员基本情况表</w:t>
      </w:r>
      <w:bookmarkEnd w:id="410"/>
    </w:p>
    <w:p w14:paraId="1A65820C">
      <w:pPr>
        <w:wordWrap w:val="0"/>
        <w:adjustRightInd w:val="0"/>
        <w:snapToGrid w:val="0"/>
        <w:spacing w:line="440" w:lineRule="exact"/>
        <w:jc w:val="left"/>
        <w:rPr>
          <w:rFonts w:hint="eastAsia" w:ascii="宋体" w:hAnsi="宋体" w:eastAsia="宋体" w:cs="宋体"/>
          <w:b/>
          <w:bCs/>
          <w:snapToGrid w:val="0"/>
          <w:color w:val="auto"/>
          <w:kern w:val="0"/>
          <w:szCs w:val="24"/>
          <w:highlight w:val="none"/>
        </w:rPr>
      </w:pPr>
    </w:p>
    <w:p w14:paraId="132AD1D4">
      <w:pPr>
        <w:wordWrap w:val="0"/>
        <w:adjustRightInd w:val="0"/>
        <w:snapToGrid w:val="0"/>
        <w:spacing w:line="440" w:lineRule="exact"/>
        <w:ind w:firstLine="570"/>
        <w:jc w:val="center"/>
        <w:rPr>
          <w:rFonts w:hint="eastAsia" w:ascii="宋体" w:hAnsi="宋体" w:eastAsia="宋体" w:cs="宋体"/>
          <w:snapToGrid w:val="0"/>
          <w:color w:val="auto"/>
          <w:kern w:val="0"/>
          <w:szCs w:val="28"/>
          <w:highlight w:val="none"/>
        </w:rPr>
      </w:pPr>
      <w:r>
        <w:rPr>
          <w:rFonts w:hint="eastAsia" w:ascii="宋体" w:hAnsi="宋体" w:eastAsia="宋体" w:cs="宋体"/>
          <w:b/>
          <w:snapToGrid w:val="0"/>
          <w:color w:val="auto"/>
          <w:kern w:val="0"/>
          <w:sz w:val="30"/>
          <w:highlight w:val="none"/>
        </w:rPr>
        <w:t>本项目拟投入的人员基本情况表</w:t>
      </w:r>
    </w:p>
    <w:p w14:paraId="75FC283D">
      <w:pPr>
        <w:pStyle w:val="97"/>
        <w:wordWrap w:val="0"/>
        <w:adjustRightInd w:val="0"/>
        <w:snapToGrid w:val="0"/>
        <w:spacing w:line="440" w:lineRule="exact"/>
        <w:jc w:val="right"/>
        <w:rPr>
          <w:rFonts w:hint="eastAsia" w:ascii="宋体" w:hAnsi="宋体" w:eastAsia="宋体" w:cs="宋体"/>
          <w:snapToGrid w:val="0"/>
          <w:color w:val="auto"/>
          <w:kern w:val="0"/>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14:paraId="7F16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noWrap w:val="0"/>
            <w:vAlign w:val="center"/>
          </w:tcPr>
          <w:p w14:paraId="44A26D44">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人员安排</w:t>
            </w:r>
          </w:p>
        </w:tc>
        <w:tc>
          <w:tcPr>
            <w:tcW w:w="1407" w:type="dxa"/>
            <w:noWrap w:val="0"/>
            <w:vAlign w:val="center"/>
          </w:tcPr>
          <w:p w14:paraId="6D0A80BD">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20" w:type="dxa"/>
            <w:noWrap w:val="0"/>
            <w:vAlign w:val="center"/>
          </w:tcPr>
          <w:p w14:paraId="3694C7D1">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3202" w:type="dxa"/>
            <w:noWrap w:val="0"/>
            <w:vAlign w:val="center"/>
          </w:tcPr>
          <w:p w14:paraId="16059FCA">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职称证或注册执业专业</w:t>
            </w:r>
          </w:p>
        </w:tc>
      </w:tr>
      <w:tr w14:paraId="4ED3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noWrap w:val="0"/>
            <w:vAlign w:val="center"/>
          </w:tcPr>
          <w:p w14:paraId="26F4131A">
            <w:pPr>
              <w:adjustRightInd w:val="0"/>
              <w:snapToGrid w:val="0"/>
              <w:spacing w:line="440" w:lineRule="exact"/>
              <w:rPr>
                <w:rFonts w:hint="eastAsia" w:ascii="宋体" w:hAnsi="宋体" w:eastAsia="宋体" w:cs="宋体"/>
                <w:b/>
                <w:color w:val="auto"/>
                <w:kern w:val="2"/>
                <w:sz w:val="21"/>
                <w:highlight w:val="none"/>
                <w:lang w:val="en-US" w:eastAsia="zh-CN" w:bidi="ar-SA"/>
              </w:rPr>
            </w:pPr>
            <w:r>
              <w:rPr>
                <w:rFonts w:hint="eastAsia" w:ascii="宋体" w:hAnsi="宋体" w:eastAsia="宋体" w:cs="宋体"/>
                <w:b/>
                <w:color w:val="auto"/>
                <w:highlight w:val="none"/>
                <w:lang w:val="en-US" w:eastAsia="zh-CN"/>
              </w:rPr>
              <w:t>设计</w:t>
            </w:r>
            <w:r>
              <w:rPr>
                <w:rFonts w:hint="eastAsia" w:ascii="宋体" w:hAnsi="宋体" w:eastAsia="宋体" w:cs="宋体"/>
                <w:b/>
                <w:color w:val="auto"/>
                <w:highlight w:val="none"/>
              </w:rPr>
              <w:t>负责人</w:t>
            </w:r>
          </w:p>
        </w:tc>
        <w:tc>
          <w:tcPr>
            <w:tcW w:w="1407" w:type="dxa"/>
            <w:noWrap w:val="0"/>
            <w:vAlign w:val="center"/>
          </w:tcPr>
          <w:p w14:paraId="195ED04C">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2EE2A7F1">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08C87B2E">
            <w:pPr>
              <w:adjustRightInd w:val="0"/>
              <w:snapToGrid w:val="0"/>
              <w:spacing w:line="440" w:lineRule="exact"/>
              <w:rPr>
                <w:rFonts w:hint="eastAsia" w:ascii="宋体" w:hAnsi="宋体" w:eastAsia="宋体" w:cs="宋体"/>
                <w:color w:val="auto"/>
                <w:highlight w:val="none"/>
              </w:rPr>
            </w:pPr>
          </w:p>
        </w:tc>
      </w:tr>
      <w:tr w14:paraId="337B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noWrap w:val="0"/>
            <w:vAlign w:val="center"/>
          </w:tcPr>
          <w:p w14:paraId="732AD9D6">
            <w:pPr>
              <w:adjustRightInd w:val="0"/>
              <w:snapToGrid w:val="0"/>
              <w:spacing w:line="440" w:lineRule="exact"/>
              <w:rPr>
                <w:rFonts w:hint="eastAsia" w:ascii="宋体" w:hAnsi="宋体" w:eastAsia="宋体" w:cs="宋体"/>
                <w:b/>
                <w:color w:val="auto"/>
                <w:kern w:val="2"/>
                <w:sz w:val="21"/>
                <w:highlight w:val="none"/>
                <w:lang w:val="en-US" w:eastAsia="zh-CN" w:bidi="ar-SA"/>
              </w:rPr>
            </w:pPr>
            <w:r>
              <w:rPr>
                <w:rFonts w:hint="eastAsia" w:ascii="宋体" w:hAnsi="宋体" w:eastAsia="宋体" w:cs="宋体"/>
                <w:b/>
                <w:color w:val="auto"/>
                <w:highlight w:val="none"/>
              </w:rPr>
              <w:t>....各专业负责人</w:t>
            </w:r>
          </w:p>
        </w:tc>
        <w:tc>
          <w:tcPr>
            <w:tcW w:w="1407" w:type="dxa"/>
            <w:noWrap w:val="0"/>
            <w:vAlign w:val="center"/>
          </w:tcPr>
          <w:p w14:paraId="5EDF45D5">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3DF39854">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0917281C">
            <w:pPr>
              <w:adjustRightInd w:val="0"/>
              <w:snapToGrid w:val="0"/>
              <w:spacing w:line="440" w:lineRule="exact"/>
              <w:rPr>
                <w:rFonts w:hint="eastAsia" w:ascii="宋体" w:hAnsi="宋体" w:eastAsia="宋体" w:cs="宋体"/>
                <w:color w:val="auto"/>
                <w:highlight w:val="none"/>
              </w:rPr>
            </w:pPr>
          </w:p>
        </w:tc>
      </w:tr>
      <w:tr w14:paraId="7F64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noWrap w:val="0"/>
            <w:vAlign w:val="center"/>
          </w:tcPr>
          <w:p w14:paraId="56D05F11">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65A63693">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3414CA91">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1BA71AEC">
            <w:pPr>
              <w:adjustRightInd w:val="0"/>
              <w:snapToGrid w:val="0"/>
              <w:spacing w:line="440" w:lineRule="exact"/>
              <w:rPr>
                <w:rFonts w:hint="eastAsia" w:ascii="宋体" w:hAnsi="宋体" w:eastAsia="宋体" w:cs="宋体"/>
                <w:color w:val="auto"/>
                <w:highlight w:val="none"/>
              </w:rPr>
            </w:pPr>
          </w:p>
        </w:tc>
      </w:tr>
      <w:tr w14:paraId="3F29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2247" w:type="dxa"/>
            <w:noWrap w:val="0"/>
            <w:vAlign w:val="center"/>
          </w:tcPr>
          <w:p w14:paraId="73EDE3B6">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33860EE4">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4F4830EE">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400D73F4">
            <w:pPr>
              <w:adjustRightInd w:val="0"/>
              <w:snapToGrid w:val="0"/>
              <w:spacing w:line="440" w:lineRule="exact"/>
              <w:rPr>
                <w:rFonts w:hint="eastAsia" w:ascii="宋体" w:hAnsi="宋体" w:eastAsia="宋体" w:cs="宋体"/>
                <w:color w:val="auto"/>
                <w:highlight w:val="none"/>
              </w:rPr>
            </w:pPr>
          </w:p>
        </w:tc>
      </w:tr>
      <w:tr w14:paraId="457A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noWrap w:val="0"/>
            <w:vAlign w:val="center"/>
          </w:tcPr>
          <w:p w14:paraId="322FC87C">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2696FCC7">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329F39F9">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17CBC071">
            <w:pPr>
              <w:adjustRightInd w:val="0"/>
              <w:snapToGrid w:val="0"/>
              <w:spacing w:line="440" w:lineRule="exact"/>
              <w:rPr>
                <w:rFonts w:hint="eastAsia" w:ascii="宋体" w:hAnsi="宋体" w:eastAsia="宋体" w:cs="宋体"/>
                <w:color w:val="auto"/>
                <w:highlight w:val="none"/>
              </w:rPr>
            </w:pPr>
          </w:p>
        </w:tc>
      </w:tr>
      <w:tr w14:paraId="2C43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noWrap w:val="0"/>
            <w:vAlign w:val="center"/>
          </w:tcPr>
          <w:p w14:paraId="1879BB1F">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66696DFF">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1F250E31">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529C64A3">
            <w:pPr>
              <w:adjustRightInd w:val="0"/>
              <w:snapToGrid w:val="0"/>
              <w:spacing w:line="440" w:lineRule="exact"/>
              <w:rPr>
                <w:rFonts w:hint="eastAsia" w:ascii="宋体" w:hAnsi="宋体" w:eastAsia="宋体" w:cs="宋体"/>
                <w:color w:val="auto"/>
                <w:highlight w:val="none"/>
              </w:rPr>
            </w:pPr>
          </w:p>
        </w:tc>
      </w:tr>
      <w:tr w14:paraId="2AB6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noWrap w:val="0"/>
            <w:vAlign w:val="center"/>
          </w:tcPr>
          <w:p w14:paraId="5D814D31">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4DFA0391">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3D5ECE06">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41DB80DA">
            <w:pPr>
              <w:adjustRightInd w:val="0"/>
              <w:snapToGrid w:val="0"/>
              <w:spacing w:line="440" w:lineRule="exact"/>
              <w:rPr>
                <w:rFonts w:hint="eastAsia" w:ascii="宋体" w:hAnsi="宋体" w:eastAsia="宋体" w:cs="宋体"/>
                <w:color w:val="auto"/>
                <w:highlight w:val="none"/>
              </w:rPr>
            </w:pPr>
          </w:p>
        </w:tc>
      </w:tr>
    </w:tbl>
    <w:p w14:paraId="5072F5E7">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说明：</w:t>
      </w:r>
    </w:p>
    <w:p w14:paraId="3102CB23">
      <w:pPr>
        <w:keepNext w:val="0"/>
        <w:keepLines w:val="0"/>
        <w:pageBreakBefore w:val="0"/>
        <w:widowControl w:val="0"/>
        <w:kinsoku/>
        <w:wordWrap w:val="0"/>
        <w:overflowPunct/>
        <w:topLinePunct w:val="0"/>
        <w:autoSpaceDE/>
        <w:autoSpaceDN/>
        <w:bidi w:val="0"/>
        <w:adjustRightInd w:val="0"/>
        <w:snapToGrid w:val="0"/>
        <w:spacing w:line="288" w:lineRule="auto"/>
        <w:ind w:firstLine="478" w:firstLineChars="228"/>
        <w:textAlignment w:val="auto"/>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1.《本项目拟投入的人员基本情况表》后应附拟派其他主要人员（设计负责人除外）以下资料：</w:t>
      </w:r>
    </w:p>
    <w:p w14:paraId="38D0F6D9">
      <w:pPr>
        <w:keepNext w:val="0"/>
        <w:keepLines w:val="0"/>
        <w:pageBreakBefore w:val="0"/>
        <w:widowControl w:val="0"/>
        <w:kinsoku/>
        <w:wordWrap w:val="0"/>
        <w:overflowPunct/>
        <w:topLinePunct w:val="0"/>
        <w:autoSpaceDE/>
        <w:autoSpaceDN/>
        <w:bidi w:val="0"/>
        <w:adjustRightInd w:val="0"/>
        <w:snapToGrid w:val="0"/>
        <w:spacing w:line="288" w:lineRule="auto"/>
        <w:ind w:firstLine="478" w:firstLineChars="228"/>
        <w:textAlignment w:val="auto"/>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（1）身份证</w:t>
      </w:r>
      <w:r>
        <w:rPr>
          <w:rFonts w:hint="eastAsia" w:ascii="宋体" w:hAnsi="宋体" w:eastAsia="宋体" w:cs="宋体"/>
          <w:snapToGrid w:val="0"/>
          <w:color w:val="auto"/>
          <w:kern w:val="0"/>
          <w:szCs w:val="21"/>
        </w:rPr>
        <w:t>彩色</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59CB53BA">
      <w:pPr>
        <w:keepNext w:val="0"/>
        <w:keepLines w:val="0"/>
        <w:pageBreakBefore w:val="0"/>
        <w:widowControl w:val="0"/>
        <w:kinsoku/>
        <w:wordWrap w:val="0"/>
        <w:overflowPunct/>
        <w:topLinePunct w:val="0"/>
        <w:autoSpaceDE/>
        <w:autoSpaceDN/>
        <w:bidi w:val="0"/>
        <w:adjustRightInd w:val="0"/>
        <w:snapToGrid w:val="0"/>
        <w:spacing w:line="288" w:lineRule="auto"/>
        <w:ind w:firstLine="478" w:firstLineChars="228"/>
        <w:textAlignment w:val="auto"/>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（2）毕业证（如需）、职称证（如需）、注册证书（如需）</w:t>
      </w:r>
      <w:r>
        <w:rPr>
          <w:rFonts w:hint="eastAsia" w:ascii="宋体" w:hAnsi="宋体" w:eastAsia="宋体" w:cs="宋体"/>
          <w:snapToGrid w:val="0"/>
          <w:color w:val="auto"/>
          <w:kern w:val="0"/>
          <w:szCs w:val="21"/>
        </w:rPr>
        <w:t>彩色</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（须</w:t>
      </w:r>
      <w:r>
        <w:rPr>
          <w:rFonts w:hint="eastAsia" w:ascii="宋体" w:hAnsi="宋体" w:eastAsia="宋体" w:cs="宋体"/>
          <w:snapToGrid w:val="0"/>
          <w:color w:val="auto"/>
          <w:kern w:val="0"/>
          <w:szCs w:val="21"/>
          <w:highlight w:val="none"/>
          <w:lang w:eastAsia="zh-CN"/>
        </w:rPr>
        <w:t>扫描</w:t>
      </w:r>
      <w:r>
        <w:rPr>
          <w:rFonts w:hint="eastAsia" w:ascii="宋体" w:hAnsi="宋体" w:eastAsia="宋体" w:cs="宋体"/>
          <w:snapToGrid w:val="0"/>
          <w:color w:val="auto"/>
          <w:kern w:val="0"/>
          <w:szCs w:val="28"/>
          <w:highlight w:val="none"/>
        </w:rPr>
        <w:t>变更注册栏）；</w:t>
      </w:r>
    </w:p>
    <w:p w14:paraId="33772F9F">
      <w:pPr>
        <w:keepNext w:val="0"/>
        <w:keepLines w:val="0"/>
        <w:pageBreakBefore w:val="0"/>
        <w:widowControl w:val="0"/>
        <w:kinsoku/>
        <w:wordWrap w:val="0"/>
        <w:overflowPunct/>
        <w:topLinePunct w:val="0"/>
        <w:autoSpaceDE/>
        <w:autoSpaceDN/>
        <w:bidi w:val="0"/>
        <w:adjustRightInd w:val="0"/>
        <w:snapToGrid w:val="0"/>
        <w:spacing w:line="288" w:lineRule="auto"/>
        <w:ind w:firstLine="478" w:firstLineChars="228"/>
        <w:textAlignment w:val="auto"/>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（3）在本单位缴纳社保的证明（至少3个月，其中必须有</w:t>
      </w:r>
      <w:r>
        <w:rPr>
          <w:rFonts w:hint="eastAsia" w:ascii="宋体" w:hAnsi="宋体" w:eastAsia="宋体" w:cs="宋体"/>
          <w:snapToGrid w:val="0"/>
          <w:color w:val="auto"/>
          <w:kern w:val="0"/>
          <w:szCs w:val="28"/>
          <w:highlight w:val="none"/>
          <w:lang w:eastAsia="zh-CN"/>
        </w:rPr>
        <w:t>2025年</w:t>
      </w:r>
      <w:r>
        <w:rPr>
          <w:rFonts w:hint="eastAsia" w:ascii="宋体" w:hAnsi="宋体" w:cs="宋体"/>
          <w:snapToGrid w:val="0"/>
          <w:color w:val="auto"/>
          <w:kern w:val="0"/>
          <w:szCs w:val="28"/>
          <w:highlight w:val="none"/>
          <w:lang w:val="en-US" w:eastAsia="zh-CN"/>
        </w:rPr>
        <w:t>2</w:t>
      </w:r>
      <w:r>
        <w:rPr>
          <w:rFonts w:hint="eastAsia" w:ascii="宋体" w:hAnsi="宋体" w:eastAsia="宋体" w:cs="宋体"/>
          <w:snapToGrid w:val="0"/>
          <w:color w:val="auto"/>
          <w:kern w:val="0"/>
          <w:szCs w:val="28"/>
          <w:highlight w:val="none"/>
          <w:lang w:eastAsia="zh-CN"/>
        </w:rPr>
        <w:t>月</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1"/>
        </w:rPr>
        <w:t>彩色</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。（非独立法人分支机构出具社保，予以认可）（若由上级事业单位统一缴纳的，必须提供上级事业单位出具的投标人在编人员社保在上级事业单位缴纳的证明文件及该人员在上级事业单位缴纳的社保证明。）</w:t>
      </w:r>
    </w:p>
    <w:p w14:paraId="0B0E946F">
      <w:pPr>
        <w:keepNext w:val="0"/>
        <w:keepLines w:val="0"/>
        <w:pageBreakBefore w:val="0"/>
        <w:widowControl w:val="0"/>
        <w:kinsoku/>
        <w:overflowPunct/>
        <w:topLinePunct w:val="0"/>
        <w:autoSpaceDE/>
        <w:autoSpaceDN/>
        <w:bidi w:val="0"/>
        <w:spacing w:line="288" w:lineRule="auto"/>
        <w:ind w:left="420" w:leftChars="200" w:firstLine="0" w:firstLineChars="0"/>
        <w:textAlignment w:val="auto"/>
        <w:rPr>
          <w:rFonts w:hint="eastAsia" w:ascii="宋体" w:hAnsi="宋体" w:eastAsia="宋体" w:cs="宋体"/>
          <w:color w:val="auto"/>
          <w:lang w:eastAsia="zh-CN"/>
        </w:rPr>
      </w:pPr>
      <w:r>
        <w:rPr>
          <w:rFonts w:hint="eastAsia" w:ascii="宋体" w:hAnsi="宋体" w:eastAsia="宋体" w:cs="宋体"/>
          <w:color w:val="auto"/>
        </w:rPr>
        <w:t>（4）拟派人员为退休返聘人员无法提供社保证明的，提供退休证和劳动合同/返聘证明</w:t>
      </w:r>
      <w:r>
        <w:rPr>
          <w:rFonts w:hint="eastAsia" w:ascii="宋体" w:hAnsi="宋体" w:eastAsia="宋体" w:cs="宋体"/>
          <w:snapToGrid w:val="0"/>
          <w:color w:val="auto"/>
          <w:kern w:val="0"/>
          <w:szCs w:val="21"/>
        </w:rPr>
        <w:t>彩色</w:t>
      </w:r>
      <w:r>
        <w:rPr>
          <w:rFonts w:hint="eastAsia" w:ascii="宋体" w:hAnsi="宋体" w:eastAsia="宋体" w:cs="宋体"/>
          <w:color w:val="auto"/>
          <w:lang w:eastAsia="zh-CN"/>
        </w:rPr>
        <w:t>扫描</w:t>
      </w:r>
      <w:r>
        <w:rPr>
          <w:rFonts w:hint="eastAsia" w:ascii="宋体" w:hAnsi="宋体" w:eastAsia="宋体" w:cs="宋体"/>
          <w:color w:val="auto"/>
          <w:lang w:val="en-US" w:eastAsia="zh-CN"/>
        </w:rPr>
        <w:t>件</w:t>
      </w:r>
      <w:r>
        <w:rPr>
          <w:rFonts w:hint="eastAsia" w:ascii="宋体" w:hAnsi="宋体" w:eastAsia="宋体" w:cs="宋体"/>
          <w:color w:val="auto"/>
          <w:lang w:eastAsia="zh-CN"/>
        </w:rPr>
        <w:t>；</w:t>
      </w:r>
    </w:p>
    <w:p w14:paraId="2F8424B8">
      <w:pPr>
        <w:keepNext w:val="0"/>
        <w:keepLines w:val="0"/>
        <w:pageBreakBefore w:val="0"/>
        <w:widowControl w:val="0"/>
        <w:kinsoku/>
        <w:overflowPunct/>
        <w:topLinePunct w:val="0"/>
        <w:autoSpaceDE/>
        <w:autoSpaceDN/>
        <w:bidi w:val="0"/>
        <w:spacing w:line="288" w:lineRule="auto"/>
        <w:ind w:left="420" w:leftChars="200" w:firstLine="0" w:firstLineChars="0"/>
        <w:textAlignment w:val="auto"/>
        <w:rPr>
          <w:rFonts w:hint="eastAsia" w:ascii="宋体" w:hAnsi="宋体" w:eastAsia="宋体" w:cs="宋体"/>
          <w:b/>
          <w:bCs/>
          <w:color w:val="auto"/>
        </w:rPr>
      </w:pPr>
      <w:r>
        <w:rPr>
          <w:rFonts w:hint="eastAsia" w:ascii="宋体" w:hAnsi="宋体" w:eastAsia="宋体" w:cs="宋体"/>
          <w:snapToGrid w:val="0"/>
          <w:color w:val="auto"/>
          <w:kern w:val="0"/>
          <w:szCs w:val="28"/>
          <w:highlight w:val="none"/>
          <w:lang w:eastAsia="zh-CN"/>
        </w:rPr>
        <w:t>（</w:t>
      </w:r>
      <w:r>
        <w:rPr>
          <w:rFonts w:hint="eastAsia" w:ascii="宋体" w:hAnsi="宋体" w:eastAsia="宋体" w:cs="宋体"/>
          <w:snapToGrid w:val="0"/>
          <w:color w:val="auto"/>
          <w:kern w:val="0"/>
          <w:szCs w:val="28"/>
          <w:highlight w:val="none"/>
          <w:lang w:val="en-US" w:eastAsia="zh-CN"/>
        </w:rPr>
        <w:t>5）</w:t>
      </w:r>
      <w:r>
        <w:rPr>
          <w:rFonts w:hint="eastAsia" w:ascii="宋体" w:hAnsi="宋体" w:eastAsia="宋体" w:cs="宋体"/>
          <w:snapToGrid w:val="0"/>
          <w:color w:val="auto"/>
          <w:kern w:val="0"/>
          <w:sz w:val="21"/>
        </w:rPr>
        <w:t>“进粤企业和人员诚信信息登记平台”个人信息情况截图。（适用于省外建筑企业）</w:t>
      </w:r>
    </w:p>
    <w:bookmarkEnd w:id="325"/>
    <w:p w14:paraId="7225A7C6">
      <w:pPr>
        <w:rPr>
          <w:rFonts w:hint="eastAsia" w:ascii="宋体" w:hAnsi="宋体" w:eastAsia="宋体" w:cs="宋体"/>
          <w:color w:val="auto"/>
        </w:rPr>
      </w:pPr>
      <w:bookmarkStart w:id="411" w:name="_Toc14387"/>
      <w:bookmarkStart w:id="412" w:name="_Toc36804690"/>
      <w:bookmarkStart w:id="413" w:name="_Toc12811"/>
      <w:r>
        <w:rPr>
          <w:rFonts w:hint="eastAsia" w:ascii="宋体" w:hAnsi="宋体" w:eastAsia="宋体" w:cs="宋体"/>
          <w:color w:val="auto"/>
        </w:rPr>
        <w:br w:type="page"/>
      </w:r>
    </w:p>
    <w:p w14:paraId="1BFA144F">
      <w:pPr>
        <w:pStyle w:val="4"/>
        <w:bidi w:val="0"/>
        <w:rPr>
          <w:rFonts w:hint="eastAsia" w:ascii="宋体" w:hAnsi="宋体" w:eastAsia="宋体" w:cs="宋体"/>
          <w:color w:val="auto"/>
        </w:rPr>
      </w:pPr>
      <w:r>
        <w:rPr>
          <w:rFonts w:hint="eastAsia" w:ascii="宋体" w:hAnsi="宋体" w:eastAsia="宋体" w:cs="宋体"/>
          <w:color w:val="auto"/>
        </w:rPr>
        <w:t>格式</w:t>
      </w:r>
      <w:r>
        <w:rPr>
          <w:rFonts w:hint="eastAsia" w:ascii="宋体" w:hAnsi="宋体" w:cs="宋体"/>
          <w:color w:val="auto"/>
          <w:lang w:val="en-US" w:eastAsia="zh-CN"/>
        </w:rPr>
        <w:t>十</w:t>
      </w:r>
      <w:r>
        <w:rPr>
          <w:rFonts w:hint="eastAsia" w:ascii="宋体" w:hAnsi="宋体" w:eastAsia="宋体" w:cs="宋体"/>
          <w:color w:val="auto"/>
        </w:rPr>
        <w:t xml:space="preserve"> 原件一览表</w:t>
      </w:r>
      <w:bookmarkEnd w:id="411"/>
      <w:bookmarkEnd w:id="412"/>
      <w:bookmarkEnd w:id="413"/>
    </w:p>
    <w:p w14:paraId="31D31BD9">
      <w:pPr>
        <w:spacing w:line="336" w:lineRule="auto"/>
        <w:contextualSpacing/>
        <w:jc w:val="left"/>
        <w:rPr>
          <w:rFonts w:hint="eastAsia" w:ascii="宋体" w:hAnsi="宋体" w:eastAsia="宋体" w:cs="宋体"/>
          <w:color w:val="auto"/>
        </w:rPr>
      </w:pPr>
    </w:p>
    <w:tbl>
      <w:tblPr>
        <w:tblStyle w:val="34"/>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14:paraId="5202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noWrap w:val="0"/>
            <w:tcMar>
              <w:left w:w="108" w:type="dxa"/>
              <w:right w:w="108" w:type="dxa"/>
            </w:tcMar>
            <w:vAlign w:val="center"/>
          </w:tcPr>
          <w:p w14:paraId="38335B18">
            <w:pPr>
              <w:jc w:val="center"/>
              <w:rPr>
                <w:rFonts w:hint="eastAsia" w:ascii="宋体" w:hAnsi="宋体" w:eastAsia="宋体" w:cs="宋体"/>
                <w:color w:val="auto"/>
              </w:rPr>
            </w:pPr>
            <w:r>
              <w:rPr>
                <w:rFonts w:hint="eastAsia" w:ascii="宋体" w:hAnsi="宋体" w:eastAsia="宋体" w:cs="宋体"/>
                <w:b/>
                <w:color w:val="auto"/>
              </w:rPr>
              <w:t>原件一览表</w:t>
            </w:r>
          </w:p>
        </w:tc>
      </w:tr>
      <w:tr w14:paraId="1A62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3C90F87A">
            <w:pPr>
              <w:jc w:val="center"/>
              <w:rPr>
                <w:rFonts w:hint="eastAsia" w:ascii="宋体" w:hAnsi="宋体" w:eastAsia="宋体" w:cs="宋体"/>
                <w:color w:val="auto"/>
                <w:sz w:val="20"/>
              </w:rPr>
            </w:pPr>
            <w:r>
              <w:rPr>
                <w:rFonts w:hint="eastAsia" w:ascii="宋体" w:hAnsi="宋体" w:eastAsia="宋体" w:cs="宋体"/>
                <w:color w:val="auto"/>
                <w:sz w:val="20"/>
              </w:rPr>
              <w:t>工程名称</w:t>
            </w:r>
          </w:p>
        </w:tc>
        <w:tc>
          <w:tcPr>
            <w:tcW w:w="6809" w:type="dxa"/>
            <w:gridSpan w:val="5"/>
            <w:shd w:val="clear" w:color="000000" w:fill="FFFFFF"/>
            <w:noWrap w:val="0"/>
            <w:tcMar>
              <w:left w:w="108" w:type="dxa"/>
              <w:right w:w="108" w:type="dxa"/>
            </w:tcMar>
            <w:vAlign w:val="center"/>
          </w:tcPr>
          <w:p w14:paraId="371BF1F8">
            <w:pPr>
              <w:jc w:val="center"/>
              <w:rPr>
                <w:rFonts w:hint="eastAsia" w:ascii="宋体" w:hAnsi="宋体" w:eastAsia="宋体" w:cs="宋体"/>
                <w:color w:val="auto"/>
                <w:sz w:val="20"/>
              </w:rPr>
            </w:pPr>
            <w:r>
              <w:rPr>
                <w:rFonts w:hint="eastAsia" w:ascii="宋体" w:hAnsi="宋体" w:eastAsia="宋体" w:cs="宋体"/>
                <w:color w:val="auto"/>
                <w:sz w:val="20"/>
              </w:rPr>
              <w:t xml:space="preserve"> </w:t>
            </w:r>
          </w:p>
        </w:tc>
      </w:tr>
      <w:tr w14:paraId="2B9D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65B16658">
            <w:pPr>
              <w:jc w:val="center"/>
              <w:rPr>
                <w:rFonts w:hint="eastAsia" w:ascii="宋体" w:hAnsi="宋体" w:eastAsia="宋体" w:cs="宋体"/>
                <w:color w:val="auto"/>
                <w:sz w:val="20"/>
              </w:rPr>
            </w:pPr>
            <w:r>
              <w:rPr>
                <w:rFonts w:hint="eastAsia" w:ascii="宋体" w:hAnsi="宋体" w:eastAsia="宋体" w:cs="宋体"/>
                <w:color w:val="auto"/>
                <w:sz w:val="20"/>
              </w:rPr>
              <w:t>投标人名称                (请务必填写单位全称)</w:t>
            </w:r>
          </w:p>
        </w:tc>
        <w:tc>
          <w:tcPr>
            <w:tcW w:w="6809" w:type="dxa"/>
            <w:gridSpan w:val="5"/>
            <w:shd w:val="clear" w:color="000000" w:fill="FFFFFF"/>
            <w:noWrap w:val="0"/>
            <w:tcMar>
              <w:left w:w="108" w:type="dxa"/>
              <w:right w:w="108" w:type="dxa"/>
            </w:tcMar>
            <w:vAlign w:val="center"/>
          </w:tcPr>
          <w:p w14:paraId="02779F5D">
            <w:pPr>
              <w:jc w:val="center"/>
              <w:rPr>
                <w:rFonts w:hint="eastAsia" w:ascii="宋体" w:hAnsi="宋体" w:eastAsia="宋体" w:cs="宋体"/>
                <w:color w:val="auto"/>
                <w:sz w:val="20"/>
              </w:rPr>
            </w:pPr>
            <w:r>
              <w:rPr>
                <w:rFonts w:hint="eastAsia" w:ascii="宋体" w:hAnsi="宋体" w:eastAsia="宋体" w:cs="宋体"/>
                <w:color w:val="auto"/>
                <w:sz w:val="20"/>
              </w:rPr>
              <w:t>　</w:t>
            </w:r>
          </w:p>
        </w:tc>
      </w:tr>
      <w:tr w14:paraId="0C02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2145D15E">
            <w:pPr>
              <w:jc w:val="center"/>
              <w:rPr>
                <w:rFonts w:hint="eastAsia" w:ascii="宋体" w:hAnsi="宋体" w:eastAsia="宋体" w:cs="宋体"/>
                <w:color w:val="auto"/>
                <w:sz w:val="20"/>
              </w:rPr>
            </w:pPr>
            <w:r>
              <w:rPr>
                <w:rFonts w:hint="eastAsia" w:ascii="宋体" w:hAnsi="宋体" w:eastAsia="宋体" w:cs="宋体"/>
                <w:color w:val="auto"/>
                <w:sz w:val="20"/>
              </w:rPr>
              <w:t>投标人法定代表人或其</w:t>
            </w:r>
          </w:p>
          <w:p w14:paraId="16C53C0A">
            <w:pPr>
              <w:jc w:val="center"/>
              <w:rPr>
                <w:rFonts w:hint="eastAsia" w:ascii="宋体" w:hAnsi="宋体" w:eastAsia="宋体" w:cs="宋体"/>
                <w:color w:val="auto"/>
                <w:sz w:val="20"/>
              </w:rPr>
            </w:pPr>
            <w:r>
              <w:rPr>
                <w:rFonts w:hint="eastAsia" w:ascii="宋体" w:hAnsi="宋体" w:eastAsia="宋体" w:cs="宋体"/>
                <w:color w:val="auto"/>
                <w:sz w:val="20"/>
              </w:rPr>
              <w:t>委托代理人签名</w:t>
            </w:r>
          </w:p>
        </w:tc>
        <w:tc>
          <w:tcPr>
            <w:tcW w:w="3527" w:type="dxa"/>
            <w:gridSpan w:val="2"/>
            <w:shd w:val="clear" w:color="000000" w:fill="FFFFFF"/>
            <w:noWrap w:val="0"/>
            <w:tcMar>
              <w:left w:w="108" w:type="dxa"/>
              <w:right w:w="108" w:type="dxa"/>
            </w:tcMar>
            <w:vAlign w:val="center"/>
          </w:tcPr>
          <w:p w14:paraId="0FDAE429">
            <w:pPr>
              <w:jc w:val="center"/>
              <w:rPr>
                <w:rFonts w:hint="eastAsia" w:ascii="宋体" w:hAnsi="宋体" w:eastAsia="宋体" w:cs="宋体"/>
                <w:color w:val="auto"/>
                <w:sz w:val="20"/>
              </w:rPr>
            </w:pPr>
            <w:r>
              <w:rPr>
                <w:rFonts w:hint="eastAsia" w:ascii="宋体" w:hAnsi="宋体" w:eastAsia="宋体" w:cs="宋体"/>
                <w:color w:val="auto"/>
                <w:sz w:val="20"/>
              </w:rPr>
              <w:t>　</w:t>
            </w:r>
          </w:p>
        </w:tc>
        <w:tc>
          <w:tcPr>
            <w:tcW w:w="754" w:type="dxa"/>
            <w:shd w:val="clear" w:color="000000" w:fill="FFFFFF"/>
            <w:noWrap w:val="0"/>
            <w:tcMar>
              <w:left w:w="108" w:type="dxa"/>
              <w:right w:w="108" w:type="dxa"/>
            </w:tcMar>
            <w:vAlign w:val="center"/>
          </w:tcPr>
          <w:p w14:paraId="72420EC3">
            <w:pPr>
              <w:jc w:val="center"/>
              <w:rPr>
                <w:rFonts w:hint="eastAsia" w:ascii="宋体" w:hAnsi="宋体" w:eastAsia="宋体" w:cs="宋体"/>
                <w:color w:val="auto"/>
                <w:sz w:val="20"/>
              </w:rPr>
            </w:pPr>
            <w:r>
              <w:rPr>
                <w:rFonts w:hint="eastAsia" w:ascii="宋体" w:hAnsi="宋体" w:eastAsia="宋体" w:cs="宋体"/>
                <w:color w:val="auto"/>
                <w:sz w:val="20"/>
              </w:rPr>
              <w:t>手机号码</w:t>
            </w:r>
          </w:p>
        </w:tc>
        <w:tc>
          <w:tcPr>
            <w:tcW w:w="2528" w:type="dxa"/>
            <w:gridSpan w:val="2"/>
            <w:shd w:val="clear" w:color="000000" w:fill="FFFFFF"/>
            <w:noWrap w:val="0"/>
            <w:tcMar>
              <w:left w:w="108" w:type="dxa"/>
              <w:right w:w="108" w:type="dxa"/>
            </w:tcMar>
            <w:vAlign w:val="center"/>
          </w:tcPr>
          <w:p w14:paraId="0E04E0C0">
            <w:pPr>
              <w:jc w:val="center"/>
              <w:rPr>
                <w:rFonts w:hint="eastAsia" w:ascii="宋体" w:hAnsi="宋体" w:eastAsia="宋体" w:cs="宋体"/>
                <w:color w:val="auto"/>
                <w:sz w:val="20"/>
              </w:rPr>
            </w:pPr>
            <w:r>
              <w:rPr>
                <w:rFonts w:hint="eastAsia" w:ascii="宋体" w:hAnsi="宋体" w:eastAsia="宋体" w:cs="宋体"/>
                <w:color w:val="auto"/>
                <w:sz w:val="20"/>
              </w:rPr>
              <w:t>　</w:t>
            </w:r>
          </w:p>
        </w:tc>
      </w:tr>
      <w:tr w14:paraId="5449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noWrap w:val="0"/>
            <w:tcMar>
              <w:left w:w="108" w:type="dxa"/>
              <w:right w:w="108" w:type="dxa"/>
            </w:tcMar>
            <w:vAlign w:val="center"/>
          </w:tcPr>
          <w:p w14:paraId="1AFAB3F7">
            <w:pPr>
              <w:jc w:val="center"/>
              <w:rPr>
                <w:rFonts w:hint="eastAsia" w:ascii="宋体" w:hAnsi="宋体" w:eastAsia="宋体" w:cs="宋体"/>
                <w:color w:val="auto"/>
                <w:sz w:val="20"/>
              </w:rPr>
            </w:pPr>
            <w:r>
              <w:rPr>
                <w:rFonts w:hint="eastAsia" w:ascii="宋体" w:hAnsi="宋体" w:eastAsia="宋体" w:cs="宋体"/>
                <w:color w:val="auto"/>
                <w:sz w:val="20"/>
              </w:rPr>
              <w:t>递交的证明材料原件如下：</w:t>
            </w:r>
          </w:p>
        </w:tc>
      </w:tr>
      <w:tr w14:paraId="428D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noWrap w:val="0"/>
            <w:tcMar>
              <w:left w:w="108" w:type="dxa"/>
              <w:right w:w="108" w:type="dxa"/>
            </w:tcMar>
            <w:vAlign w:val="center"/>
          </w:tcPr>
          <w:p w14:paraId="2BAC609C">
            <w:pPr>
              <w:jc w:val="center"/>
              <w:rPr>
                <w:rFonts w:hint="eastAsia" w:ascii="宋体" w:hAnsi="宋体" w:eastAsia="宋体" w:cs="宋体"/>
                <w:color w:val="auto"/>
                <w:sz w:val="20"/>
              </w:rPr>
            </w:pPr>
            <w:r>
              <w:rPr>
                <w:rFonts w:hint="eastAsia" w:ascii="宋体" w:hAnsi="宋体" w:eastAsia="宋体" w:cs="宋体"/>
                <w:color w:val="auto"/>
                <w:sz w:val="20"/>
              </w:rPr>
              <w:t>序号</w:t>
            </w:r>
          </w:p>
        </w:tc>
        <w:tc>
          <w:tcPr>
            <w:tcW w:w="5125" w:type="dxa"/>
            <w:gridSpan w:val="4"/>
            <w:shd w:val="clear" w:color="auto" w:fill="FFFFFF"/>
            <w:noWrap w:val="0"/>
            <w:tcMar>
              <w:left w:w="108" w:type="dxa"/>
              <w:right w:w="108" w:type="dxa"/>
            </w:tcMar>
            <w:vAlign w:val="center"/>
          </w:tcPr>
          <w:p w14:paraId="24B02F07">
            <w:pPr>
              <w:jc w:val="center"/>
              <w:rPr>
                <w:rFonts w:hint="eastAsia" w:ascii="宋体" w:hAnsi="宋体" w:eastAsia="宋体" w:cs="宋体"/>
                <w:color w:val="auto"/>
                <w:sz w:val="20"/>
              </w:rPr>
            </w:pPr>
            <w:r>
              <w:rPr>
                <w:rFonts w:hint="eastAsia" w:ascii="宋体" w:hAnsi="宋体" w:eastAsia="宋体" w:cs="宋体"/>
                <w:color w:val="auto"/>
                <w:sz w:val="20"/>
              </w:rPr>
              <w:t>证明材料原件名称</w:t>
            </w:r>
          </w:p>
        </w:tc>
        <w:tc>
          <w:tcPr>
            <w:tcW w:w="1712" w:type="dxa"/>
            <w:gridSpan w:val="2"/>
            <w:shd w:val="clear" w:color="auto" w:fill="FFFFFF"/>
            <w:noWrap w:val="0"/>
            <w:tcMar>
              <w:left w:w="108" w:type="dxa"/>
              <w:right w:w="108" w:type="dxa"/>
            </w:tcMar>
            <w:vAlign w:val="center"/>
          </w:tcPr>
          <w:p w14:paraId="4C016DA9">
            <w:pPr>
              <w:jc w:val="center"/>
              <w:rPr>
                <w:rFonts w:hint="eastAsia" w:ascii="宋体" w:hAnsi="宋体" w:eastAsia="宋体" w:cs="宋体"/>
                <w:color w:val="auto"/>
                <w:sz w:val="20"/>
              </w:rPr>
            </w:pPr>
            <w:r>
              <w:rPr>
                <w:rFonts w:hint="eastAsia" w:ascii="宋体" w:hAnsi="宋体" w:eastAsia="宋体" w:cs="宋体"/>
                <w:color w:val="auto"/>
                <w:sz w:val="20"/>
              </w:rPr>
              <w:t>单位</w:t>
            </w:r>
          </w:p>
        </w:tc>
        <w:tc>
          <w:tcPr>
            <w:tcW w:w="1570" w:type="dxa"/>
            <w:shd w:val="clear" w:color="auto" w:fill="FFFFFF"/>
            <w:noWrap w:val="0"/>
            <w:tcMar>
              <w:left w:w="108" w:type="dxa"/>
              <w:right w:w="108" w:type="dxa"/>
            </w:tcMar>
            <w:vAlign w:val="center"/>
          </w:tcPr>
          <w:p w14:paraId="433C30D9">
            <w:pPr>
              <w:jc w:val="center"/>
              <w:rPr>
                <w:rFonts w:hint="eastAsia" w:ascii="宋体" w:hAnsi="宋体" w:eastAsia="宋体" w:cs="宋体"/>
                <w:color w:val="auto"/>
                <w:sz w:val="20"/>
              </w:rPr>
            </w:pPr>
            <w:r>
              <w:rPr>
                <w:rFonts w:hint="eastAsia" w:ascii="宋体" w:hAnsi="宋体" w:eastAsia="宋体" w:cs="宋体"/>
                <w:color w:val="auto"/>
                <w:sz w:val="20"/>
              </w:rPr>
              <w:t>数量</w:t>
            </w:r>
          </w:p>
        </w:tc>
      </w:tr>
      <w:tr w14:paraId="5F16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486EE40B">
            <w:pPr>
              <w:jc w:val="center"/>
              <w:rPr>
                <w:rFonts w:hint="eastAsia" w:ascii="宋体" w:hAnsi="宋体" w:eastAsia="宋体" w:cs="宋体"/>
                <w:color w:val="auto"/>
              </w:rPr>
            </w:pPr>
            <w:r>
              <w:rPr>
                <w:rFonts w:hint="eastAsia" w:ascii="宋体" w:hAnsi="宋体" w:eastAsia="宋体" w:cs="宋体"/>
                <w:color w:val="auto"/>
              </w:rPr>
              <w:t>1</w:t>
            </w:r>
          </w:p>
        </w:tc>
        <w:tc>
          <w:tcPr>
            <w:tcW w:w="5125" w:type="dxa"/>
            <w:gridSpan w:val="4"/>
            <w:shd w:val="clear" w:color="000000" w:fill="FFFFFF"/>
            <w:noWrap w:val="0"/>
            <w:tcMar>
              <w:left w:w="108" w:type="dxa"/>
              <w:right w:w="108" w:type="dxa"/>
            </w:tcMar>
            <w:vAlign w:val="center"/>
          </w:tcPr>
          <w:p w14:paraId="706A1356">
            <w:pPr>
              <w:jc w:val="center"/>
              <w:rPr>
                <w:rFonts w:hint="eastAsia" w:ascii="宋体" w:hAnsi="宋体" w:eastAsia="宋体" w:cs="宋体"/>
                <w:color w:val="auto"/>
              </w:rPr>
            </w:pPr>
          </w:p>
        </w:tc>
        <w:tc>
          <w:tcPr>
            <w:tcW w:w="1712" w:type="dxa"/>
            <w:gridSpan w:val="2"/>
            <w:shd w:val="clear" w:color="000000" w:fill="FFFFFF"/>
            <w:noWrap w:val="0"/>
            <w:tcMar>
              <w:left w:w="108" w:type="dxa"/>
              <w:right w:w="108" w:type="dxa"/>
            </w:tcMar>
            <w:vAlign w:val="center"/>
          </w:tcPr>
          <w:p w14:paraId="63626E7A">
            <w:pPr>
              <w:jc w:val="center"/>
              <w:rPr>
                <w:rFonts w:hint="eastAsia" w:ascii="宋体" w:hAnsi="宋体" w:eastAsia="宋体" w:cs="宋体"/>
                <w:color w:val="auto"/>
              </w:rPr>
            </w:pPr>
          </w:p>
        </w:tc>
        <w:tc>
          <w:tcPr>
            <w:tcW w:w="1570" w:type="dxa"/>
            <w:shd w:val="clear" w:color="000000" w:fill="FFFFFF"/>
            <w:noWrap w:val="0"/>
            <w:tcMar>
              <w:left w:w="108" w:type="dxa"/>
              <w:right w:w="108" w:type="dxa"/>
            </w:tcMar>
            <w:vAlign w:val="center"/>
          </w:tcPr>
          <w:p w14:paraId="664B5F62">
            <w:pPr>
              <w:jc w:val="center"/>
              <w:rPr>
                <w:rFonts w:hint="eastAsia" w:ascii="宋体" w:hAnsi="宋体" w:eastAsia="宋体" w:cs="宋体"/>
                <w:color w:val="auto"/>
              </w:rPr>
            </w:pPr>
            <w:r>
              <w:rPr>
                <w:rFonts w:hint="eastAsia" w:ascii="宋体" w:hAnsi="宋体" w:eastAsia="宋体" w:cs="宋体"/>
                <w:color w:val="auto"/>
              </w:rPr>
              <w:t>　</w:t>
            </w:r>
          </w:p>
        </w:tc>
      </w:tr>
      <w:tr w14:paraId="0BBF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18986329">
            <w:pPr>
              <w:jc w:val="center"/>
              <w:rPr>
                <w:rFonts w:hint="eastAsia" w:ascii="宋体" w:hAnsi="宋体" w:eastAsia="宋体" w:cs="宋体"/>
                <w:color w:val="auto"/>
              </w:rPr>
            </w:pPr>
            <w:r>
              <w:rPr>
                <w:rFonts w:hint="eastAsia" w:ascii="宋体" w:hAnsi="宋体" w:eastAsia="宋体" w:cs="宋体"/>
                <w:color w:val="auto"/>
              </w:rPr>
              <w:t>2</w:t>
            </w:r>
          </w:p>
        </w:tc>
        <w:tc>
          <w:tcPr>
            <w:tcW w:w="5125" w:type="dxa"/>
            <w:gridSpan w:val="4"/>
            <w:shd w:val="clear" w:color="000000" w:fill="FFFFFF"/>
            <w:noWrap w:val="0"/>
            <w:tcMar>
              <w:left w:w="108" w:type="dxa"/>
              <w:right w:w="108" w:type="dxa"/>
            </w:tcMar>
            <w:vAlign w:val="center"/>
          </w:tcPr>
          <w:p w14:paraId="04B6009A">
            <w:pPr>
              <w:jc w:val="center"/>
              <w:rPr>
                <w:rFonts w:hint="eastAsia" w:ascii="宋体" w:hAnsi="宋体" w:eastAsia="宋体" w:cs="宋体"/>
                <w:color w:val="auto"/>
              </w:rPr>
            </w:pPr>
          </w:p>
        </w:tc>
        <w:tc>
          <w:tcPr>
            <w:tcW w:w="1712" w:type="dxa"/>
            <w:gridSpan w:val="2"/>
            <w:shd w:val="clear" w:color="000000" w:fill="FFFFFF"/>
            <w:noWrap w:val="0"/>
            <w:tcMar>
              <w:left w:w="108" w:type="dxa"/>
              <w:right w:w="108" w:type="dxa"/>
            </w:tcMar>
            <w:vAlign w:val="center"/>
          </w:tcPr>
          <w:p w14:paraId="37BEA4F3">
            <w:pPr>
              <w:jc w:val="center"/>
              <w:rPr>
                <w:rFonts w:hint="eastAsia" w:ascii="宋体" w:hAnsi="宋体" w:eastAsia="宋体" w:cs="宋体"/>
                <w:color w:val="auto"/>
              </w:rPr>
            </w:pPr>
          </w:p>
        </w:tc>
        <w:tc>
          <w:tcPr>
            <w:tcW w:w="1570" w:type="dxa"/>
            <w:shd w:val="clear" w:color="000000" w:fill="FFFFFF"/>
            <w:noWrap w:val="0"/>
            <w:tcMar>
              <w:left w:w="108" w:type="dxa"/>
              <w:right w:w="108" w:type="dxa"/>
            </w:tcMar>
            <w:vAlign w:val="center"/>
          </w:tcPr>
          <w:p w14:paraId="1E3AFA39">
            <w:pPr>
              <w:jc w:val="center"/>
              <w:rPr>
                <w:rFonts w:hint="eastAsia" w:ascii="宋体" w:hAnsi="宋体" w:eastAsia="宋体" w:cs="宋体"/>
                <w:color w:val="auto"/>
              </w:rPr>
            </w:pPr>
          </w:p>
        </w:tc>
      </w:tr>
      <w:tr w14:paraId="1AC0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343C3E90">
            <w:pPr>
              <w:jc w:val="center"/>
              <w:rPr>
                <w:rFonts w:hint="eastAsia" w:ascii="宋体" w:hAnsi="宋体" w:eastAsia="宋体" w:cs="宋体"/>
                <w:color w:val="auto"/>
              </w:rPr>
            </w:pPr>
            <w:r>
              <w:rPr>
                <w:rFonts w:hint="eastAsia" w:ascii="宋体" w:hAnsi="宋体" w:eastAsia="宋体" w:cs="宋体"/>
                <w:color w:val="auto"/>
              </w:rPr>
              <w:t>3</w:t>
            </w:r>
          </w:p>
        </w:tc>
        <w:tc>
          <w:tcPr>
            <w:tcW w:w="5125" w:type="dxa"/>
            <w:gridSpan w:val="4"/>
            <w:shd w:val="clear" w:color="000000" w:fill="FFFFFF"/>
            <w:noWrap w:val="0"/>
            <w:tcMar>
              <w:left w:w="108" w:type="dxa"/>
              <w:right w:w="108" w:type="dxa"/>
            </w:tcMar>
            <w:vAlign w:val="center"/>
          </w:tcPr>
          <w:p w14:paraId="55A5AD12">
            <w:pPr>
              <w:jc w:val="center"/>
              <w:rPr>
                <w:rFonts w:hint="eastAsia" w:ascii="宋体" w:hAnsi="宋体" w:eastAsia="宋体" w:cs="宋体"/>
                <w:color w:val="auto"/>
              </w:rPr>
            </w:pPr>
          </w:p>
        </w:tc>
        <w:tc>
          <w:tcPr>
            <w:tcW w:w="1712" w:type="dxa"/>
            <w:gridSpan w:val="2"/>
            <w:shd w:val="clear" w:color="000000" w:fill="FFFFFF"/>
            <w:noWrap w:val="0"/>
            <w:tcMar>
              <w:left w:w="108" w:type="dxa"/>
              <w:right w:w="108" w:type="dxa"/>
            </w:tcMar>
            <w:vAlign w:val="center"/>
          </w:tcPr>
          <w:p w14:paraId="08C4AAF8">
            <w:pPr>
              <w:jc w:val="center"/>
              <w:rPr>
                <w:rFonts w:hint="eastAsia" w:ascii="宋体" w:hAnsi="宋体" w:eastAsia="宋体" w:cs="宋体"/>
                <w:color w:val="auto"/>
              </w:rPr>
            </w:pPr>
          </w:p>
        </w:tc>
        <w:tc>
          <w:tcPr>
            <w:tcW w:w="1570" w:type="dxa"/>
            <w:shd w:val="clear" w:color="000000" w:fill="FFFFFF"/>
            <w:noWrap w:val="0"/>
            <w:tcMar>
              <w:left w:w="108" w:type="dxa"/>
              <w:right w:w="108" w:type="dxa"/>
            </w:tcMar>
            <w:vAlign w:val="center"/>
          </w:tcPr>
          <w:p w14:paraId="7FDD1DFC">
            <w:pPr>
              <w:jc w:val="center"/>
              <w:rPr>
                <w:rFonts w:hint="eastAsia" w:ascii="宋体" w:hAnsi="宋体" w:eastAsia="宋体" w:cs="宋体"/>
                <w:color w:val="auto"/>
              </w:rPr>
            </w:pPr>
          </w:p>
        </w:tc>
      </w:tr>
      <w:tr w14:paraId="197A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69864BED">
            <w:pPr>
              <w:jc w:val="center"/>
              <w:rPr>
                <w:rFonts w:hint="eastAsia" w:ascii="宋体" w:hAnsi="宋体" w:eastAsia="宋体" w:cs="宋体"/>
                <w:color w:val="auto"/>
              </w:rPr>
            </w:pPr>
            <w:r>
              <w:rPr>
                <w:rFonts w:hint="eastAsia" w:ascii="宋体" w:hAnsi="宋体" w:eastAsia="宋体" w:cs="宋体"/>
                <w:color w:val="auto"/>
              </w:rPr>
              <w:t>...</w:t>
            </w:r>
          </w:p>
        </w:tc>
        <w:tc>
          <w:tcPr>
            <w:tcW w:w="5125" w:type="dxa"/>
            <w:gridSpan w:val="4"/>
            <w:shd w:val="clear" w:color="000000" w:fill="FFFFFF"/>
            <w:noWrap w:val="0"/>
            <w:tcMar>
              <w:left w:w="108" w:type="dxa"/>
              <w:right w:w="108" w:type="dxa"/>
            </w:tcMar>
            <w:vAlign w:val="center"/>
          </w:tcPr>
          <w:p w14:paraId="22EDC2A7">
            <w:pPr>
              <w:jc w:val="center"/>
              <w:rPr>
                <w:rFonts w:hint="eastAsia" w:ascii="宋体" w:hAnsi="宋体" w:eastAsia="宋体" w:cs="宋体"/>
                <w:color w:val="auto"/>
              </w:rPr>
            </w:pPr>
          </w:p>
        </w:tc>
        <w:tc>
          <w:tcPr>
            <w:tcW w:w="1712" w:type="dxa"/>
            <w:gridSpan w:val="2"/>
            <w:shd w:val="clear" w:color="000000" w:fill="FFFFFF"/>
            <w:noWrap w:val="0"/>
            <w:tcMar>
              <w:left w:w="108" w:type="dxa"/>
              <w:right w:w="108" w:type="dxa"/>
            </w:tcMar>
            <w:vAlign w:val="center"/>
          </w:tcPr>
          <w:p w14:paraId="38B2489F">
            <w:pPr>
              <w:jc w:val="center"/>
              <w:rPr>
                <w:rFonts w:hint="eastAsia" w:ascii="宋体" w:hAnsi="宋体" w:eastAsia="宋体" w:cs="宋体"/>
                <w:color w:val="auto"/>
              </w:rPr>
            </w:pPr>
          </w:p>
        </w:tc>
        <w:tc>
          <w:tcPr>
            <w:tcW w:w="1570" w:type="dxa"/>
            <w:shd w:val="clear" w:color="000000" w:fill="FFFFFF"/>
            <w:noWrap w:val="0"/>
            <w:tcMar>
              <w:left w:w="108" w:type="dxa"/>
              <w:right w:w="108" w:type="dxa"/>
            </w:tcMar>
            <w:vAlign w:val="center"/>
          </w:tcPr>
          <w:p w14:paraId="67B241A9">
            <w:pPr>
              <w:jc w:val="center"/>
              <w:rPr>
                <w:rFonts w:hint="eastAsia" w:ascii="宋体" w:hAnsi="宋体" w:eastAsia="宋体" w:cs="宋体"/>
                <w:color w:val="auto"/>
              </w:rPr>
            </w:pPr>
            <w:r>
              <w:rPr>
                <w:rFonts w:hint="eastAsia" w:ascii="宋体" w:hAnsi="宋体" w:eastAsia="宋体" w:cs="宋体"/>
                <w:color w:val="auto"/>
              </w:rPr>
              <w:t>　</w:t>
            </w:r>
          </w:p>
        </w:tc>
      </w:tr>
      <w:tr w14:paraId="2DFB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noWrap w:val="0"/>
            <w:tcMar>
              <w:left w:w="108" w:type="dxa"/>
              <w:right w:w="108" w:type="dxa"/>
            </w:tcMar>
            <w:vAlign w:val="center"/>
          </w:tcPr>
          <w:p w14:paraId="69F29FB2">
            <w:pPr>
              <w:ind w:left="8" w:hanging="94"/>
              <w:jc w:val="center"/>
              <w:rPr>
                <w:rFonts w:hint="eastAsia" w:ascii="宋体" w:hAnsi="宋体" w:eastAsia="宋体" w:cs="宋体"/>
                <w:color w:val="auto"/>
                <w:sz w:val="20"/>
              </w:rPr>
            </w:pPr>
            <w:r>
              <w:rPr>
                <w:rFonts w:hint="eastAsia" w:ascii="宋体" w:hAnsi="宋体" w:eastAsia="宋体" w:cs="宋体"/>
                <w:color w:val="auto"/>
                <w:sz w:val="20"/>
              </w:rPr>
              <w:t>注意：</w:t>
            </w:r>
          </w:p>
        </w:tc>
        <w:tc>
          <w:tcPr>
            <w:tcW w:w="8407" w:type="dxa"/>
            <w:gridSpan w:val="7"/>
            <w:shd w:val="clear" w:color="auto" w:fill="FFFFFF"/>
            <w:noWrap w:val="0"/>
            <w:tcMar>
              <w:left w:w="108" w:type="dxa"/>
              <w:right w:w="108" w:type="dxa"/>
            </w:tcMar>
            <w:vAlign w:val="center"/>
          </w:tcPr>
          <w:p w14:paraId="509C4805">
            <w:pPr>
              <w:ind w:firstLine="480"/>
              <w:rPr>
                <w:rFonts w:hint="eastAsia" w:ascii="宋体" w:hAnsi="宋体" w:eastAsia="宋体" w:cs="宋体"/>
                <w:color w:val="auto"/>
                <w:sz w:val="20"/>
              </w:rPr>
            </w:pPr>
            <w:r>
              <w:rPr>
                <w:rFonts w:hint="eastAsia" w:ascii="宋体" w:hAnsi="宋体" w:eastAsia="宋体" w:cs="宋体"/>
                <w:color w:val="auto"/>
                <w:sz w:val="20"/>
              </w:rPr>
              <w:t>该表一式两份，两份表格投标人均需如实填写各项内容，两份表格的填写内容应一致。一份贴于装纳原件的文件袋（箱），一份在递交文件袋（箱）时由招标代理机构、投标人签字后</w:t>
            </w:r>
            <w:r>
              <w:rPr>
                <w:rFonts w:hint="eastAsia" w:ascii="宋体" w:hAnsi="宋体" w:eastAsia="宋体" w:cs="宋体"/>
                <w:color w:val="auto"/>
                <w:sz w:val="20"/>
                <w:lang w:val="en-US" w:eastAsia="zh-CN"/>
              </w:rPr>
              <w:t>作为签收及退回原件的凭证</w:t>
            </w:r>
            <w:r>
              <w:rPr>
                <w:rFonts w:hint="eastAsia" w:ascii="宋体" w:hAnsi="宋体" w:eastAsia="宋体" w:cs="宋体"/>
                <w:color w:val="auto"/>
                <w:sz w:val="20"/>
              </w:rPr>
              <w:t>。招标代理机构仅代签收装纳原件的文件袋（箱），而不对文件袋（箱）中资料的数量、内容及真实性负责。</w:t>
            </w:r>
          </w:p>
        </w:tc>
      </w:tr>
      <w:tr w14:paraId="4977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noWrap w:val="0"/>
            <w:tcMar>
              <w:left w:w="108" w:type="dxa"/>
              <w:right w:w="108" w:type="dxa"/>
            </w:tcMar>
            <w:vAlign w:val="center"/>
          </w:tcPr>
          <w:p w14:paraId="2029E89C">
            <w:pPr>
              <w:jc w:val="center"/>
              <w:rPr>
                <w:rFonts w:hint="eastAsia" w:ascii="宋体" w:hAnsi="宋体" w:eastAsia="宋体" w:cs="宋体"/>
                <w:color w:val="auto"/>
                <w:sz w:val="20"/>
              </w:rPr>
            </w:pPr>
          </w:p>
          <w:p w14:paraId="1F3D624C">
            <w:pPr>
              <w:jc w:val="center"/>
              <w:rPr>
                <w:rFonts w:hint="eastAsia" w:ascii="宋体" w:hAnsi="宋体" w:eastAsia="宋体" w:cs="宋体"/>
                <w:color w:val="auto"/>
                <w:sz w:val="20"/>
              </w:rPr>
            </w:pPr>
            <w:r>
              <w:rPr>
                <w:rFonts w:hint="eastAsia" w:ascii="宋体" w:hAnsi="宋体" w:eastAsia="宋体" w:cs="宋体"/>
                <w:color w:val="auto"/>
                <w:sz w:val="20"/>
              </w:rPr>
              <w:t>接收原件经办人(招标代理)：</w:t>
            </w:r>
          </w:p>
        </w:tc>
        <w:tc>
          <w:tcPr>
            <w:tcW w:w="1994" w:type="dxa"/>
            <w:gridSpan w:val="2"/>
            <w:shd w:val="clear" w:color="000000" w:fill="FFFFFF"/>
            <w:noWrap w:val="0"/>
            <w:tcMar>
              <w:left w:w="108" w:type="dxa"/>
              <w:right w:w="108" w:type="dxa"/>
            </w:tcMar>
            <w:vAlign w:val="center"/>
          </w:tcPr>
          <w:p w14:paraId="6BB9E5E5">
            <w:pPr>
              <w:jc w:val="center"/>
              <w:rPr>
                <w:rFonts w:hint="eastAsia" w:ascii="宋体" w:hAnsi="宋体" w:eastAsia="宋体" w:cs="宋体"/>
                <w:color w:val="auto"/>
                <w:sz w:val="20"/>
              </w:rPr>
            </w:pPr>
          </w:p>
        </w:tc>
        <w:tc>
          <w:tcPr>
            <w:tcW w:w="1625" w:type="dxa"/>
            <w:shd w:val="clear" w:color="000000" w:fill="FFFFFF"/>
            <w:noWrap w:val="0"/>
            <w:tcMar>
              <w:left w:w="108" w:type="dxa"/>
              <w:right w:w="108" w:type="dxa"/>
            </w:tcMar>
            <w:vAlign w:val="center"/>
          </w:tcPr>
          <w:p w14:paraId="03C5FB60">
            <w:pPr>
              <w:jc w:val="center"/>
              <w:rPr>
                <w:rFonts w:hint="eastAsia" w:ascii="宋体" w:hAnsi="宋体" w:eastAsia="宋体" w:cs="宋体"/>
                <w:color w:val="auto"/>
                <w:sz w:val="20"/>
              </w:rPr>
            </w:pPr>
            <w:r>
              <w:rPr>
                <w:rFonts w:hint="eastAsia" w:ascii="宋体" w:hAnsi="宋体" w:eastAsia="宋体" w:cs="宋体"/>
                <w:color w:val="auto"/>
                <w:sz w:val="20"/>
              </w:rPr>
              <w:t>接收时间：</w:t>
            </w:r>
          </w:p>
        </w:tc>
        <w:tc>
          <w:tcPr>
            <w:tcW w:w="3282" w:type="dxa"/>
            <w:gridSpan w:val="3"/>
            <w:shd w:val="clear" w:color="000000" w:fill="FFFFFF"/>
            <w:noWrap w:val="0"/>
            <w:tcMar>
              <w:left w:w="108" w:type="dxa"/>
              <w:right w:w="108" w:type="dxa"/>
            </w:tcMar>
            <w:vAlign w:val="center"/>
          </w:tcPr>
          <w:p w14:paraId="31F9BE75">
            <w:pPr>
              <w:ind w:firstLine="600" w:firstLineChars="300"/>
              <w:jc w:val="left"/>
              <w:rPr>
                <w:rFonts w:hint="eastAsia" w:ascii="宋体" w:hAnsi="宋体" w:eastAsia="宋体" w:cs="宋体"/>
                <w:color w:val="auto"/>
                <w:sz w:val="20"/>
              </w:rPr>
            </w:pPr>
            <w:r>
              <w:rPr>
                <w:rFonts w:hint="eastAsia" w:ascii="宋体" w:hAnsi="宋体" w:eastAsia="宋体" w:cs="宋体"/>
                <w:color w:val="auto"/>
                <w:sz w:val="20"/>
              </w:rPr>
              <w:t>年   月   日   时  分</w:t>
            </w:r>
          </w:p>
        </w:tc>
      </w:tr>
      <w:tr w14:paraId="7499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000000" w:fill="FFFFFF"/>
            <w:noWrap w:val="0"/>
            <w:tcMar>
              <w:left w:w="108" w:type="dxa"/>
              <w:right w:w="108" w:type="dxa"/>
            </w:tcMar>
            <w:vAlign w:val="center"/>
          </w:tcPr>
          <w:p w14:paraId="22D06386">
            <w:pPr>
              <w:jc w:val="center"/>
              <w:rPr>
                <w:rFonts w:hint="eastAsia" w:ascii="宋体" w:hAnsi="宋体" w:eastAsia="宋体" w:cs="宋体"/>
                <w:color w:val="auto"/>
                <w:sz w:val="20"/>
              </w:rPr>
            </w:pPr>
            <w:r>
              <w:rPr>
                <w:rFonts w:hint="eastAsia" w:ascii="宋体" w:hAnsi="宋体" w:eastAsia="宋体" w:cs="宋体"/>
                <w:color w:val="auto"/>
                <w:sz w:val="20"/>
              </w:rPr>
              <w:t>退还原件接收人(投标人)：</w:t>
            </w:r>
          </w:p>
        </w:tc>
        <w:tc>
          <w:tcPr>
            <w:tcW w:w="1994" w:type="dxa"/>
            <w:gridSpan w:val="2"/>
            <w:shd w:val="clear" w:color="000000" w:fill="FFFFFF"/>
            <w:noWrap w:val="0"/>
            <w:tcMar>
              <w:left w:w="108" w:type="dxa"/>
              <w:right w:w="108" w:type="dxa"/>
            </w:tcMar>
            <w:vAlign w:val="center"/>
          </w:tcPr>
          <w:p w14:paraId="7542545E">
            <w:pPr>
              <w:jc w:val="center"/>
              <w:rPr>
                <w:rFonts w:hint="eastAsia" w:ascii="宋体" w:hAnsi="宋体" w:eastAsia="宋体" w:cs="宋体"/>
                <w:color w:val="auto"/>
                <w:sz w:val="20"/>
              </w:rPr>
            </w:pPr>
          </w:p>
        </w:tc>
        <w:tc>
          <w:tcPr>
            <w:tcW w:w="1625" w:type="dxa"/>
            <w:shd w:val="clear" w:color="000000" w:fill="FFFFFF"/>
            <w:noWrap w:val="0"/>
            <w:tcMar>
              <w:left w:w="108" w:type="dxa"/>
              <w:right w:w="108" w:type="dxa"/>
            </w:tcMar>
            <w:vAlign w:val="center"/>
          </w:tcPr>
          <w:p w14:paraId="3ACFE9D1">
            <w:pPr>
              <w:jc w:val="center"/>
              <w:rPr>
                <w:rFonts w:hint="eastAsia" w:ascii="宋体" w:hAnsi="宋体" w:eastAsia="宋体" w:cs="宋体"/>
                <w:color w:val="auto"/>
                <w:sz w:val="20"/>
              </w:rPr>
            </w:pPr>
            <w:r>
              <w:rPr>
                <w:rFonts w:hint="eastAsia" w:ascii="宋体" w:hAnsi="宋体" w:eastAsia="宋体" w:cs="宋体"/>
                <w:color w:val="auto"/>
                <w:sz w:val="20"/>
              </w:rPr>
              <w:t>退还时间：</w:t>
            </w:r>
          </w:p>
        </w:tc>
        <w:tc>
          <w:tcPr>
            <w:tcW w:w="3282" w:type="dxa"/>
            <w:gridSpan w:val="3"/>
            <w:shd w:val="clear" w:color="000000" w:fill="FFFFFF"/>
            <w:noWrap w:val="0"/>
            <w:tcMar>
              <w:left w:w="108" w:type="dxa"/>
              <w:right w:w="108" w:type="dxa"/>
            </w:tcMar>
            <w:vAlign w:val="center"/>
          </w:tcPr>
          <w:p w14:paraId="0EF0003A">
            <w:pPr>
              <w:ind w:firstLine="600" w:firstLineChars="300"/>
              <w:jc w:val="left"/>
              <w:rPr>
                <w:rFonts w:hint="eastAsia" w:ascii="宋体" w:hAnsi="宋体" w:eastAsia="宋体" w:cs="宋体"/>
                <w:color w:val="auto"/>
                <w:sz w:val="20"/>
              </w:rPr>
            </w:pPr>
            <w:r>
              <w:rPr>
                <w:rFonts w:hint="eastAsia" w:ascii="宋体" w:hAnsi="宋体" w:eastAsia="宋体" w:cs="宋体"/>
                <w:color w:val="auto"/>
                <w:sz w:val="20"/>
              </w:rPr>
              <w:t>年   月   日   时   分</w:t>
            </w:r>
          </w:p>
        </w:tc>
      </w:tr>
    </w:tbl>
    <w:p w14:paraId="4CE0F2BF">
      <w:pPr>
        <w:pStyle w:val="96"/>
        <w:widowControl w:val="0"/>
        <w:wordWrap w:val="0"/>
        <w:adjustRightInd w:val="0"/>
        <w:snapToGrid w:val="0"/>
        <w:spacing w:line="440" w:lineRule="exact"/>
        <w:ind w:left="0" w:leftChars="0" w:firstLine="0" w:firstLineChars="0"/>
        <w:rPr>
          <w:rFonts w:hint="eastAsia" w:ascii="宋体" w:hAnsi="宋体" w:eastAsia="宋体" w:cs="宋体"/>
          <w:snapToGrid w:val="0"/>
          <w:color w:val="auto"/>
          <w:sz w:val="24"/>
          <w:szCs w:val="24"/>
          <w:highlight w:val="none"/>
          <w:lang w:eastAsia="zh-CN"/>
        </w:rPr>
      </w:pPr>
    </w:p>
    <w:p w14:paraId="03C4BA98">
      <w:pPr>
        <w:pStyle w:val="96"/>
        <w:widowControl w:val="0"/>
        <w:wordWrap w:val="0"/>
        <w:adjustRightInd w:val="0"/>
        <w:snapToGrid w:val="0"/>
        <w:spacing w:line="440" w:lineRule="exact"/>
        <w:ind w:left="0" w:leftChars="0" w:firstLine="0" w:firstLineChars="0"/>
        <w:rPr>
          <w:rFonts w:hint="eastAsia" w:ascii="宋体" w:hAnsi="宋体" w:eastAsia="宋体" w:cs="宋体"/>
          <w:snapToGrid w:val="0"/>
          <w:color w:val="auto"/>
          <w:sz w:val="24"/>
          <w:szCs w:val="24"/>
          <w:highlight w:val="none"/>
          <w:lang w:eastAsia="zh-CN"/>
        </w:rPr>
      </w:pPr>
    </w:p>
    <w:p w14:paraId="58EB5737">
      <w:pPr>
        <w:pStyle w:val="3"/>
        <w:keepNext/>
        <w:keepLines/>
        <w:tabs>
          <w:tab w:val="left" w:pos="885"/>
        </w:tabs>
        <w:spacing w:line="400" w:lineRule="exact"/>
        <w:ind w:left="885" w:hanging="885"/>
        <w:jc w:val="center"/>
        <w:rPr>
          <w:rFonts w:hint="eastAsia" w:ascii="宋体" w:hAnsi="宋体" w:eastAsia="宋体" w:cs="宋体"/>
          <w:b/>
          <w:color w:val="auto"/>
          <w:kern w:val="44"/>
          <w:sz w:val="28"/>
          <w:szCs w:val="28"/>
          <w:highlight w:val="none"/>
        </w:rPr>
      </w:pPr>
      <w:bookmarkStart w:id="414" w:name="_Toc23935"/>
      <w:bookmarkStart w:id="415" w:name="_Toc1357"/>
      <w:bookmarkStart w:id="416" w:name="_Toc12546"/>
      <w:r>
        <w:rPr>
          <w:rFonts w:hint="eastAsia" w:ascii="宋体" w:hAnsi="宋体" w:eastAsia="宋体" w:cs="宋体"/>
          <w:b/>
          <w:color w:val="auto"/>
          <w:kern w:val="44"/>
          <w:sz w:val="28"/>
          <w:szCs w:val="28"/>
          <w:highlight w:val="none"/>
        </w:rPr>
        <w:t>第</w:t>
      </w:r>
      <w:r>
        <w:rPr>
          <w:rFonts w:hint="eastAsia" w:ascii="宋体" w:hAnsi="宋体" w:eastAsia="宋体" w:cs="宋体"/>
          <w:b/>
          <w:color w:val="auto"/>
          <w:kern w:val="44"/>
          <w:sz w:val="28"/>
          <w:szCs w:val="28"/>
          <w:highlight w:val="none"/>
          <w:lang w:eastAsia="zh-CN"/>
        </w:rPr>
        <w:t>六</w:t>
      </w:r>
      <w:r>
        <w:rPr>
          <w:rFonts w:hint="eastAsia" w:ascii="宋体" w:hAnsi="宋体" w:eastAsia="宋体" w:cs="宋体"/>
          <w:b/>
          <w:color w:val="auto"/>
          <w:kern w:val="44"/>
          <w:sz w:val="28"/>
          <w:szCs w:val="28"/>
          <w:highlight w:val="none"/>
        </w:rPr>
        <w:t>章 设计任务书</w:t>
      </w:r>
      <w:bookmarkEnd w:id="414"/>
      <w:bookmarkEnd w:id="415"/>
      <w:bookmarkEnd w:id="416"/>
    </w:p>
    <w:p w14:paraId="6A798FBD">
      <w:pPr>
        <w:pStyle w:val="209"/>
        <w:spacing w:line="600" w:lineRule="auto"/>
        <w:jc w:val="center"/>
        <w:rPr>
          <w:rFonts w:hint="eastAsia" w:ascii="宋体" w:hAnsi="宋体" w:eastAsia="宋体" w:cs="宋体"/>
          <w:b/>
          <w:bCs/>
          <w:color w:val="auto"/>
          <w:position w:val="-1"/>
          <w:sz w:val="48"/>
          <w:szCs w:val="48"/>
          <w:highlight w:val="none"/>
          <w:lang w:val="en-US" w:eastAsia="zh-CN"/>
        </w:rPr>
      </w:pPr>
    </w:p>
    <w:p w14:paraId="06D8ED7D">
      <w:pPr>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1BF8ADB1">
      <w:pPr>
        <w:spacing w:line="48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建设项目名称：</w:t>
      </w:r>
      <w:r>
        <w:rPr>
          <w:rFonts w:hint="eastAsia" w:ascii="宋体" w:hAnsi="宋体" w:cs="宋体"/>
          <w:snapToGrid w:val="0"/>
          <w:color w:val="auto"/>
          <w:kern w:val="0"/>
          <w:sz w:val="24"/>
          <w:szCs w:val="24"/>
          <w:highlight w:val="none"/>
          <w:lang w:eastAsia="zh-CN"/>
        </w:rPr>
        <w:t>韶关市武江区城市地下综合管廊建设工程（一期）项目</w:t>
      </w:r>
      <w:r>
        <w:rPr>
          <w:rFonts w:hint="eastAsia" w:ascii="宋体" w:hAnsi="宋体" w:eastAsia="宋体" w:cs="宋体"/>
          <w:snapToGrid w:val="0"/>
          <w:color w:val="auto"/>
          <w:kern w:val="0"/>
          <w:sz w:val="24"/>
          <w:szCs w:val="24"/>
          <w:highlight w:val="none"/>
          <w:lang w:eastAsia="zh-CN"/>
        </w:rPr>
        <w:t>设计</w:t>
      </w:r>
    </w:p>
    <w:p w14:paraId="09286839">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韶关市武江区城市管理和综合执法局</w:t>
      </w:r>
    </w:p>
    <w:p w14:paraId="14BE992B">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项目位置：</w:t>
      </w:r>
      <w:r>
        <w:rPr>
          <w:rFonts w:hint="eastAsia" w:ascii="宋体" w:hAnsi="宋体" w:eastAsia="宋体" w:cs="宋体"/>
          <w:color w:val="auto"/>
          <w:sz w:val="24"/>
          <w:szCs w:val="24"/>
          <w:highlight w:val="none"/>
          <w:lang w:val="en-US" w:eastAsia="zh-CN"/>
        </w:rPr>
        <w:t>韶关市武江区</w:t>
      </w:r>
    </w:p>
    <w:p w14:paraId="1358201D">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4.建设内容与规模 </w:t>
      </w:r>
    </w:p>
    <w:p w14:paraId="6E1EAFD5">
      <w:pPr>
        <w:spacing w:line="48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主要包括韶关市武江区的韶州公园周边片区、芙蓉北片区等主要交通主、次干道以及支路。新建缆线管廊总长约8131m，断面尺寸2.1-2.4m×1.6-2.4m，改造排水管道约8362m。</w:t>
      </w:r>
    </w:p>
    <w:p w14:paraId="35943AB4">
      <w:pPr>
        <w:ind w:firstLine="480"/>
        <w:rPr>
          <w:rFonts w:hint="eastAsia" w:ascii="宋体" w:hAnsi="宋体" w:eastAsia="宋体" w:cs="宋体"/>
          <w:b/>
          <w:bCs/>
          <w:color w:val="auto"/>
          <w:kern w:val="0"/>
          <w:sz w:val="24"/>
          <w:szCs w:val="22"/>
        </w:rPr>
      </w:pPr>
      <w:r>
        <w:rPr>
          <w:rFonts w:hint="eastAsia" w:ascii="宋体" w:hAnsi="宋体" w:cs="宋体"/>
          <w:b/>
          <w:bCs/>
          <w:color w:val="auto"/>
          <w:kern w:val="0"/>
          <w:sz w:val="24"/>
          <w:szCs w:val="22"/>
          <w:lang w:val="en-US" w:eastAsia="zh-CN"/>
        </w:rPr>
        <w:t>5</w:t>
      </w:r>
      <w:r>
        <w:rPr>
          <w:rFonts w:hint="eastAsia" w:ascii="宋体" w:hAnsi="宋体" w:eastAsia="宋体" w:cs="宋体"/>
          <w:b/>
          <w:bCs/>
          <w:color w:val="auto"/>
          <w:kern w:val="0"/>
          <w:sz w:val="24"/>
          <w:szCs w:val="22"/>
        </w:rPr>
        <w:t>.设计依据</w:t>
      </w:r>
    </w:p>
    <w:p w14:paraId="4ABA2E84">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w:t>
      </w:r>
      <w:r>
        <w:rPr>
          <w:rFonts w:hint="eastAsia" w:ascii="宋体" w:hAnsi="宋体" w:eastAsia="宋体" w:cs="宋体"/>
          <w:color w:val="auto"/>
          <w:sz w:val="24"/>
          <w:szCs w:val="32"/>
        </w:rPr>
        <w:t>《中华人民共和国环境保护法》2014版</w:t>
      </w:r>
    </w:p>
    <w:p w14:paraId="04E30B17">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（2）</w:t>
      </w:r>
      <w:r>
        <w:rPr>
          <w:rFonts w:hint="eastAsia" w:ascii="宋体" w:hAnsi="宋体" w:eastAsia="宋体" w:cs="宋体"/>
          <w:color w:val="auto"/>
          <w:sz w:val="24"/>
          <w:szCs w:val="32"/>
        </w:rPr>
        <w:t>《中华人民共和国水法》（2002.10）</w:t>
      </w:r>
    </w:p>
    <w:p w14:paraId="243132B6">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（3）</w:t>
      </w:r>
      <w:r>
        <w:rPr>
          <w:rFonts w:hint="eastAsia" w:ascii="宋体" w:hAnsi="宋体" w:eastAsia="宋体" w:cs="宋体"/>
          <w:color w:val="auto"/>
          <w:sz w:val="24"/>
          <w:szCs w:val="32"/>
        </w:rPr>
        <w:t>《中华人民共和国水污染防治法》（1996.05（2017版））</w:t>
      </w:r>
    </w:p>
    <w:p w14:paraId="4C62E1AC">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（4）</w:t>
      </w:r>
      <w:r>
        <w:rPr>
          <w:rFonts w:hint="eastAsia" w:ascii="宋体" w:hAnsi="宋体" w:eastAsia="宋体" w:cs="宋体"/>
          <w:color w:val="auto"/>
          <w:sz w:val="24"/>
          <w:szCs w:val="32"/>
        </w:rPr>
        <w:t>《中华人民共和国水污染防治法实施细则》（2000.03）</w:t>
      </w:r>
    </w:p>
    <w:p w14:paraId="7CD94CD1">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（5）</w:t>
      </w:r>
      <w:r>
        <w:rPr>
          <w:rFonts w:hint="eastAsia" w:ascii="宋体" w:hAnsi="宋体" w:eastAsia="宋体" w:cs="宋体"/>
          <w:color w:val="auto"/>
          <w:sz w:val="24"/>
          <w:szCs w:val="32"/>
        </w:rPr>
        <w:t>《饮用水水源保护区污染防治管理规定》（1989.07）</w:t>
      </w:r>
    </w:p>
    <w:p w14:paraId="1620EC53">
      <w:pPr>
        <w:numPr>
          <w:ilvl w:val="0"/>
          <w:numId w:val="0"/>
        </w:numPr>
        <w:ind w:firstLine="480" w:firstLineChars="0"/>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（6）</w:t>
      </w:r>
      <w:r>
        <w:rPr>
          <w:rFonts w:hint="eastAsia" w:ascii="宋体" w:hAnsi="宋体" w:eastAsia="宋体" w:cs="宋体"/>
          <w:color w:val="auto"/>
          <w:kern w:val="2"/>
          <w:sz w:val="24"/>
          <w:szCs w:val="32"/>
          <w:lang w:val="en-US" w:eastAsia="zh-CN" w:bidi="ar-SA"/>
        </w:rPr>
        <w:t>《韶关市城市排水（雨水）防涝详细规划（2015-2030）》</w:t>
      </w:r>
    </w:p>
    <w:p w14:paraId="1699472C">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（7）</w:t>
      </w:r>
      <w:r>
        <w:rPr>
          <w:rFonts w:hint="eastAsia" w:ascii="宋体" w:hAnsi="宋体" w:eastAsia="宋体" w:cs="宋体"/>
          <w:color w:val="auto"/>
          <w:sz w:val="24"/>
          <w:szCs w:val="32"/>
        </w:rPr>
        <w:t>《地表水环境质量标准》（GB3838-2002）</w:t>
      </w:r>
    </w:p>
    <w:p w14:paraId="6B948C0B">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（8）</w:t>
      </w:r>
      <w:r>
        <w:rPr>
          <w:rFonts w:hint="eastAsia" w:ascii="宋体" w:hAnsi="宋体" w:eastAsia="宋体" w:cs="宋体"/>
          <w:color w:val="auto"/>
          <w:sz w:val="24"/>
          <w:szCs w:val="32"/>
        </w:rPr>
        <w:t>《地下水质量标准》（GB/T14848-2017）</w:t>
      </w:r>
    </w:p>
    <w:p w14:paraId="56A7C462">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（9）</w:t>
      </w:r>
      <w:r>
        <w:rPr>
          <w:rFonts w:hint="eastAsia" w:ascii="宋体" w:hAnsi="宋体" w:eastAsia="宋体" w:cs="宋体"/>
          <w:color w:val="auto"/>
          <w:sz w:val="24"/>
          <w:szCs w:val="32"/>
        </w:rPr>
        <w:t>《土壤环境质量 建设用地土壤污染风险管制标准》（GB36600-2018）</w:t>
      </w:r>
    </w:p>
    <w:p w14:paraId="3D185A18">
      <w:pPr>
        <w:numPr>
          <w:ilvl w:val="0"/>
          <w:numId w:val="0"/>
        </w:numPr>
        <w:ind w:firstLine="480" w:firstLineChars="0"/>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（10）</w:t>
      </w:r>
      <w:r>
        <w:rPr>
          <w:rFonts w:hint="eastAsia" w:ascii="宋体" w:hAnsi="宋体" w:eastAsia="宋体" w:cs="宋体"/>
          <w:color w:val="auto"/>
          <w:kern w:val="2"/>
          <w:sz w:val="24"/>
          <w:szCs w:val="32"/>
          <w:lang w:val="en-US" w:eastAsia="zh-CN" w:bidi="ar-SA"/>
        </w:rPr>
        <w:t>《韶关市国土空间总体规划（2021-2035年）》</w:t>
      </w:r>
    </w:p>
    <w:p w14:paraId="3CAC0349">
      <w:pPr>
        <w:numPr>
          <w:ilvl w:val="0"/>
          <w:numId w:val="0"/>
        </w:numPr>
        <w:ind w:firstLine="480" w:firstLineChars="0"/>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（11）</w:t>
      </w:r>
      <w:r>
        <w:rPr>
          <w:rFonts w:hint="eastAsia" w:ascii="宋体" w:hAnsi="宋体" w:eastAsia="宋体" w:cs="宋体"/>
          <w:color w:val="auto"/>
          <w:kern w:val="2"/>
          <w:sz w:val="24"/>
          <w:szCs w:val="32"/>
          <w:lang w:val="en-US" w:eastAsia="zh-CN" w:bidi="ar-SA"/>
        </w:rPr>
        <w:t>《韶关市中心城区给水专项规划（2017-2035）》</w:t>
      </w:r>
    </w:p>
    <w:p w14:paraId="641119EC">
      <w:pPr>
        <w:numPr>
          <w:ilvl w:val="0"/>
          <w:numId w:val="0"/>
        </w:numPr>
        <w:ind w:firstLine="480" w:firstLineChars="0"/>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（12）</w:t>
      </w:r>
      <w:r>
        <w:rPr>
          <w:rFonts w:hint="eastAsia" w:ascii="宋体" w:hAnsi="宋体" w:eastAsia="宋体" w:cs="宋体"/>
          <w:color w:val="auto"/>
          <w:kern w:val="2"/>
          <w:sz w:val="24"/>
          <w:szCs w:val="32"/>
          <w:lang w:val="en-US" w:eastAsia="zh-CN" w:bidi="ar-SA"/>
        </w:rPr>
        <w:t>《韶关市中心城区污水专项规划（2017-2035）》</w:t>
      </w:r>
    </w:p>
    <w:p w14:paraId="11E522E5">
      <w:pPr>
        <w:ind w:firstLine="480"/>
        <w:rPr>
          <w:rFonts w:hint="eastAsia" w:ascii="宋体" w:hAnsi="宋体" w:eastAsia="宋体" w:cs="宋体"/>
          <w:b/>
          <w:bCs/>
          <w:color w:val="auto"/>
          <w:kern w:val="0"/>
          <w:sz w:val="24"/>
          <w:szCs w:val="22"/>
        </w:rPr>
      </w:pPr>
      <w:r>
        <w:rPr>
          <w:rFonts w:hint="eastAsia" w:ascii="宋体" w:hAnsi="宋体" w:cs="宋体"/>
          <w:b/>
          <w:bCs/>
          <w:color w:val="auto"/>
          <w:kern w:val="0"/>
          <w:sz w:val="24"/>
          <w:szCs w:val="22"/>
          <w:lang w:val="en-US" w:eastAsia="zh-CN"/>
        </w:rPr>
        <w:t>6.</w:t>
      </w:r>
      <w:r>
        <w:rPr>
          <w:rFonts w:hint="eastAsia" w:ascii="宋体" w:hAnsi="宋体" w:eastAsia="宋体" w:cs="宋体"/>
          <w:b/>
          <w:bCs/>
          <w:color w:val="auto"/>
          <w:kern w:val="0"/>
          <w:sz w:val="24"/>
          <w:szCs w:val="22"/>
        </w:rPr>
        <w:t>相关规范、标准</w:t>
      </w:r>
    </w:p>
    <w:p w14:paraId="3863991E">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w:t>
      </w:r>
      <w:r>
        <w:rPr>
          <w:rFonts w:hint="eastAsia" w:ascii="宋体" w:hAnsi="宋体" w:eastAsia="宋体" w:cs="宋体"/>
          <w:color w:val="auto"/>
          <w:sz w:val="24"/>
          <w:szCs w:val="32"/>
        </w:rPr>
        <w:t xml:space="preserve">《城镇给水排水技术规范》（GB50788-2012） </w:t>
      </w:r>
    </w:p>
    <w:p w14:paraId="45CA1501">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（2）</w:t>
      </w:r>
      <w:r>
        <w:rPr>
          <w:rFonts w:hint="eastAsia" w:ascii="宋体" w:hAnsi="宋体" w:eastAsia="宋体" w:cs="宋体"/>
          <w:color w:val="auto"/>
          <w:sz w:val="24"/>
          <w:szCs w:val="32"/>
        </w:rPr>
        <w:t>《室外排水设计标准》 （GB50014-2021）</w:t>
      </w:r>
    </w:p>
    <w:p w14:paraId="1F189BD8">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（3）</w:t>
      </w:r>
      <w:r>
        <w:rPr>
          <w:rFonts w:hint="eastAsia" w:ascii="宋体" w:hAnsi="宋体" w:eastAsia="宋体" w:cs="宋体"/>
          <w:color w:val="auto"/>
          <w:sz w:val="24"/>
          <w:szCs w:val="32"/>
        </w:rPr>
        <w:t>《城市给水工程规划规范》（GB50282-2016）</w:t>
      </w:r>
    </w:p>
    <w:p w14:paraId="7C1FD436">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（4）</w:t>
      </w:r>
      <w:r>
        <w:rPr>
          <w:rFonts w:hint="eastAsia" w:ascii="宋体" w:hAnsi="宋体" w:eastAsia="宋体" w:cs="宋体"/>
          <w:color w:val="auto"/>
          <w:sz w:val="24"/>
          <w:szCs w:val="32"/>
        </w:rPr>
        <w:t xml:space="preserve">《城市排水工程规划规范》(GB50318-2017)  </w:t>
      </w:r>
    </w:p>
    <w:p w14:paraId="5744A273">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（5）</w:t>
      </w:r>
      <w:r>
        <w:rPr>
          <w:rFonts w:hint="eastAsia" w:ascii="宋体" w:hAnsi="宋体" w:eastAsia="宋体" w:cs="宋体"/>
          <w:color w:val="auto"/>
          <w:sz w:val="24"/>
          <w:szCs w:val="32"/>
        </w:rPr>
        <w:t>《城市污水处理工程项目建设标准》建标（2001）77 号</w:t>
      </w:r>
    </w:p>
    <w:p w14:paraId="275633FA">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（6）</w:t>
      </w:r>
      <w:r>
        <w:rPr>
          <w:rFonts w:hint="eastAsia" w:ascii="宋体" w:hAnsi="宋体" w:eastAsia="宋体" w:cs="宋体"/>
          <w:color w:val="auto"/>
          <w:sz w:val="24"/>
          <w:szCs w:val="32"/>
        </w:rPr>
        <w:t xml:space="preserve">《地表水环境质量标准》（GB3838-2002） </w:t>
      </w:r>
    </w:p>
    <w:p w14:paraId="64CFFF59">
      <w:pPr>
        <w:numPr>
          <w:ilvl w:val="0"/>
          <w:numId w:val="0"/>
        </w:numPr>
        <w:ind w:firstLine="480" w:firstLineChars="0"/>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（7）</w:t>
      </w:r>
      <w:r>
        <w:rPr>
          <w:rFonts w:hint="eastAsia" w:ascii="宋体" w:hAnsi="宋体" w:eastAsia="宋体" w:cs="宋体"/>
          <w:color w:val="auto"/>
          <w:kern w:val="2"/>
          <w:sz w:val="24"/>
          <w:szCs w:val="32"/>
          <w:lang w:val="en-US" w:eastAsia="zh-CN" w:bidi="ar-SA"/>
        </w:rPr>
        <w:t>《地下工程防水技术规范》GB 50108-2008</w:t>
      </w:r>
    </w:p>
    <w:p w14:paraId="0A10F8AD">
      <w:pPr>
        <w:numPr>
          <w:ilvl w:val="0"/>
          <w:numId w:val="0"/>
        </w:numPr>
        <w:ind w:firstLine="480" w:firstLineChars="0"/>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（8）</w:t>
      </w:r>
      <w:r>
        <w:rPr>
          <w:rFonts w:hint="eastAsia" w:ascii="宋体" w:hAnsi="宋体" w:eastAsia="宋体" w:cs="宋体"/>
          <w:color w:val="auto"/>
          <w:kern w:val="2"/>
          <w:sz w:val="24"/>
          <w:szCs w:val="32"/>
          <w:lang w:val="en-US" w:eastAsia="zh-CN" w:bidi="ar-SA"/>
        </w:rPr>
        <w:t>《城市缆线管廊工程技术规范》GB50838-2015</w:t>
      </w:r>
    </w:p>
    <w:p w14:paraId="1EF55BCA">
      <w:pPr>
        <w:numPr>
          <w:ilvl w:val="0"/>
          <w:numId w:val="0"/>
        </w:numPr>
        <w:ind w:firstLine="480" w:firstLineChars="0"/>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（9）</w:t>
      </w:r>
      <w:r>
        <w:rPr>
          <w:rFonts w:hint="eastAsia" w:ascii="宋体" w:hAnsi="宋体" w:eastAsia="宋体" w:cs="宋体"/>
          <w:color w:val="auto"/>
          <w:kern w:val="2"/>
          <w:sz w:val="24"/>
          <w:szCs w:val="32"/>
          <w:lang w:val="en-US" w:eastAsia="zh-CN" w:bidi="ar-SA"/>
        </w:rPr>
        <w:t>《城市地下空间开发利用规划与设计技术规程》DBJ/T15-64-2009</w:t>
      </w:r>
    </w:p>
    <w:p w14:paraId="32D6A52E">
      <w:pPr>
        <w:numPr>
          <w:ilvl w:val="0"/>
          <w:numId w:val="0"/>
        </w:numPr>
        <w:ind w:firstLine="480" w:firstLineChars="0"/>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（10）</w:t>
      </w:r>
      <w:r>
        <w:rPr>
          <w:rFonts w:hint="eastAsia" w:ascii="宋体" w:hAnsi="宋体" w:eastAsia="宋体" w:cs="宋体"/>
          <w:color w:val="auto"/>
          <w:kern w:val="2"/>
          <w:sz w:val="24"/>
          <w:szCs w:val="32"/>
          <w:lang w:val="en-US" w:eastAsia="zh-CN" w:bidi="ar-SA"/>
        </w:rPr>
        <w:t>《广东省城市地下综合管廊建设实施方案》(粤府办〔2016〕54号</w:t>
      </w:r>
    </w:p>
    <w:p w14:paraId="4C3D2F85">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（11）</w:t>
      </w:r>
      <w:r>
        <w:rPr>
          <w:rFonts w:hint="eastAsia" w:ascii="宋体" w:hAnsi="宋体" w:eastAsia="宋体" w:cs="宋体"/>
          <w:color w:val="auto"/>
          <w:sz w:val="24"/>
          <w:szCs w:val="32"/>
        </w:rPr>
        <w:t xml:space="preserve">《城市工程管线综合规划规范》（GB50289-2016） </w:t>
      </w:r>
    </w:p>
    <w:p w14:paraId="65F44DA3">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（12）</w:t>
      </w:r>
      <w:r>
        <w:rPr>
          <w:rFonts w:hint="eastAsia" w:ascii="宋体" w:hAnsi="宋体" w:eastAsia="宋体" w:cs="宋体"/>
          <w:color w:val="auto"/>
          <w:sz w:val="24"/>
          <w:szCs w:val="32"/>
        </w:rPr>
        <w:t xml:space="preserve">《埋地用聚乙烯（PE）结构壁管道系统 第1部分：聚乙烯双壁波纹管材》（GB/T 19472.1-2019） </w:t>
      </w:r>
    </w:p>
    <w:p w14:paraId="6E53ED8C">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（13）</w:t>
      </w:r>
      <w:r>
        <w:rPr>
          <w:rFonts w:hint="eastAsia" w:ascii="宋体" w:hAnsi="宋体" w:eastAsia="宋体" w:cs="宋体"/>
          <w:color w:val="auto"/>
          <w:sz w:val="24"/>
          <w:szCs w:val="32"/>
        </w:rPr>
        <w:t xml:space="preserve">《埋地聚乙烯排水管管道工程技术规程》（CECS164:2004） </w:t>
      </w:r>
    </w:p>
    <w:p w14:paraId="670EBA7A">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（14）</w:t>
      </w:r>
      <w:r>
        <w:rPr>
          <w:rFonts w:hint="eastAsia" w:ascii="宋体" w:hAnsi="宋体" w:eastAsia="宋体" w:cs="宋体"/>
          <w:color w:val="auto"/>
          <w:sz w:val="24"/>
          <w:szCs w:val="32"/>
        </w:rPr>
        <w:t xml:space="preserve">《给水排水管道工程施工及验收规范》（GB50268-2008） </w:t>
      </w:r>
    </w:p>
    <w:p w14:paraId="08905F9C">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（15）</w:t>
      </w:r>
      <w:r>
        <w:rPr>
          <w:rFonts w:hint="eastAsia" w:ascii="宋体" w:hAnsi="宋体" w:eastAsia="宋体" w:cs="宋体"/>
          <w:color w:val="auto"/>
          <w:sz w:val="24"/>
          <w:szCs w:val="32"/>
        </w:rPr>
        <w:t xml:space="preserve">《建筑给水排水制图标准》（GB/T50106-2010） </w:t>
      </w:r>
    </w:p>
    <w:p w14:paraId="60269D4F">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（16）</w:t>
      </w:r>
      <w:r>
        <w:rPr>
          <w:rFonts w:hint="eastAsia" w:ascii="宋体" w:hAnsi="宋体" w:eastAsia="宋体" w:cs="宋体"/>
          <w:color w:val="auto"/>
          <w:sz w:val="24"/>
          <w:szCs w:val="32"/>
        </w:rPr>
        <w:t xml:space="preserve">《建筑地基基础设计规范》（GB50007-2011） </w:t>
      </w:r>
    </w:p>
    <w:p w14:paraId="34A74C46">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（17）</w:t>
      </w:r>
      <w:r>
        <w:rPr>
          <w:rFonts w:hint="eastAsia" w:ascii="宋体" w:hAnsi="宋体" w:eastAsia="宋体" w:cs="宋体"/>
          <w:color w:val="auto"/>
          <w:sz w:val="24"/>
          <w:szCs w:val="32"/>
        </w:rPr>
        <w:t xml:space="preserve">《给水排水工程构筑物结构设计规范》（GB50069-2002） </w:t>
      </w:r>
    </w:p>
    <w:p w14:paraId="14C7161F">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（18）</w:t>
      </w:r>
      <w:r>
        <w:rPr>
          <w:rFonts w:hint="eastAsia" w:ascii="宋体" w:hAnsi="宋体" w:eastAsia="宋体" w:cs="宋体"/>
          <w:color w:val="auto"/>
          <w:sz w:val="24"/>
          <w:szCs w:val="32"/>
        </w:rPr>
        <w:t xml:space="preserve">《城镇排水管道检测与评估技术规程》（CJJ181-2012） </w:t>
      </w:r>
    </w:p>
    <w:p w14:paraId="5475DAEE">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（19）</w:t>
      </w:r>
      <w:r>
        <w:rPr>
          <w:rFonts w:hint="eastAsia" w:ascii="宋体" w:hAnsi="宋体" w:eastAsia="宋体" w:cs="宋体"/>
          <w:color w:val="auto"/>
          <w:sz w:val="24"/>
          <w:szCs w:val="32"/>
        </w:rPr>
        <w:t xml:space="preserve">《城市防洪工程设计规范》（GB/T50805-2012） </w:t>
      </w:r>
    </w:p>
    <w:p w14:paraId="19C62CB2">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（20）</w:t>
      </w:r>
      <w:r>
        <w:rPr>
          <w:rFonts w:hint="eastAsia" w:ascii="宋体" w:hAnsi="宋体" w:eastAsia="宋体" w:cs="宋体"/>
          <w:color w:val="auto"/>
          <w:sz w:val="24"/>
          <w:szCs w:val="32"/>
        </w:rPr>
        <w:t>《雨水控制与利用工程设计规范》（DB11/685-2013）</w:t>
      </w:r>
    </w:p>
    <w:p w14:paraId="7E275ED3">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（21）</w:t>
      </w:r>
      <w:r>
        <w:rPr>
          <w:rFonts w:hint="eastAsia" w:ascii="宋体" w:hAnsi="宋体" w:eastAsia="宋体" w:cs="宋体"/>
          <w:color w:val="auto"/>
          <w:sz w:val="24"/>
          <w:szCs w:val="32"/>
        </w:rPr>
        <w:t xml:space="preserve">《海绵城市建设技术指南 ——低影响开发雨水系统构建》（2014 年 10月） </w:t>
      </w:r>
    </w:p>
    <w:p w14:paraId="35E6821C">
      <w:pPr>
        <w:numPr>
          <w:ilvl w:val="0"/>
          <w:numId w:val="0"/>
        </w:numPr>
        <w:ind w:firstLine="480" w:firstLineChars="0"/>
        <w:rPr>
          <w:rFonts w:hint="eastAsia" w:ascii="宋体" w:hAnsi="宋体" w:eastAsia="宋体" w:cs="宋体"/>
          <w:color w:val="auto"/>
          <w:sz w:val="24"/>
          <w:szCs w:val="32"/>
        </w:rPr>
      </w:pPr>
      <w:r>
        <w:rPr>
          <w:rFonts w:hint="eastAsia" w:ascii="宋体" w:hAnsi="宋体" w:cs="宋体"/>
          <w:color w:val="auto"/>
          <w:kern w:val="2"/>
          <w:sz w:val="24"/>
          <w:szCs w:val="32"/>
          <w:lang w:val="en-US" w:eastAsia="zh-CN" w:bidi="ar-SA"/>
        </w:rPr>
        <w:t>（22）</w:t>
      </w:r>
      <w:r>
        <w:rPr>
          <w:rFonts w:hint="eastAsia" w:ascii="宋体" w:hAnsi="宋体" w:eastAsia="宋体" w:cs="宋体"/>
          <w:color w:val="auto"/>
          <w:sz w:val="24"/>
          <w:szCs w:val="32"/>
        </w:rPr>
        <w:t xml:space="preserve">《广东省水文图集(2003 版)》 </w:t>
      </w:r>
    </w:p>
    <w:p w14:paraId="6DD168CA">
      <w:pPr>
        <w:rPr>
          <w:rFonts w:hint="eastAsia" w:ascii="宋体" w:hAnsi="宋体" w:eastAsia="宋体" w:cs="宋体"/>
          <w:b/>
          <w:color w:val="auto"/>
          <w:sz w:val="24"/>
          <w:szCs w:val="24"/>
        </w:rPr>
      </w:pPr>
      <w:r>
        <w:rPr>
          <w:rFonts w:hint="eastAsia" w:ascii="宋体" w:hAnsi="宋体" w:eastAsia="宋体" w:cs="宋体"/>
          <w:b/>
          <w:bCs/>
          <w:color w:val="auto"/>
          <w:sz w:val="24"/>
          <w:szCs w:val="24"/>
        </w:rPr>
        <w:t>二、设计内容及要求</w:t>
      </w:r>
    </w:p>
    <w:p w14:paraId="206399A6">
      <w:pPr>
        <w:ind w:firstLine="480"/>
        <w:rPr>
          <w:rFonts w:hint="eastAsia" w:ascii="宋体" w:hAnsi="宋体" w:eastAsia="宋体" w:cs="宋体"/>
          <w:b/>
          <w:bCs/>
          <w:color w:val="auto"/>
          <w:kern w:val="0"/>
          <w:sz w:val="24"/>
          <w:szCs w:val="24"/>
        </w:rPr>
      </w:pP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rPr>
        <w:t>.1施工图设计部分的要求</w:t>
      </w:r>
    </w:p>
    <w:p w14:paraId="11E06E6B">
      <w:pPr>
        <w:ind w:firstLine="48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管廊</w:t>
      </w:r>
      <w:r>
        <w:rPr>
          <w:rFonts w:hint="eastAsia" w:ascii="宋体" w:hAnsi="宋体" w:eastAsia="宋体" w:cs="宋体"/>
          <w:color w:val="auto"/>
          <w:kern w:val="0"/>
          <w:sz w:val="24"/>
          <w:szCs w:val="24"/>
        </w:rPr>
        <w:t>工程</w:t>
      </w:r>
    </w:p>
    <w:p w14:paraId="48D9607F">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管廊</w:t>
      </w:r>
      <w:r>
        <w:rPr>
          <w:rFonts w:hint="eastAsia" w:ascii="宋体" w:hAnsi="宋体" w:eastAsia="宋体" w:cs="宋体"/>
          <w:color w:val="auto"/>
          <w:kern w:val="0"/>
          <w:sz w:val="24"/>
          <w:szCs w:val="24"/>
        </w:rPr>
        <w:t>工程设计包括但不限于以下内容：</w:t>
      </w:r>
    </w:p>
    <w:p w14:paraId="071E3FBE">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管廊</w:t>
      </w:r>
      <w:r>
        <w:rPr>
          <w:rFonts w:hint="eastAsia" w:ascii="宋体" w:hAnsi="宋体" w:eastAsia="宋体" w:cs="宋体"/>
          <w:color w:val="auto"/>
          <w:kern w:val="0"/>
          <w:sz w:val="24"/>
          <w:szCs w:val="24"/>
        </w:rPr>
        <w:t>设计标准及技术指标</w:t>
      </w:r>
    </w:p>
    <w:p w14:paraId="2AE1D256">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管廊</w:t>
      </w:r>
      <w:r>
        <w:rPr>
          <w:rFonts w:hint="eastAsia" w:ascii="宋体" w:hAnsi="宋体" w:eastAsia="宋体" w:cs="宋体"/>
          <w:color w:val="auto"/>
          <w:kern w:val="0"/>
          <w:sz w:val="24"/>
          <w:szCs w:val="24"/>
        </w:rPr>
        <w:t>平面设计</w:t>
      </w:r>
    </w:p>
    <w:p w14:paraId="740461D1">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管廊</w:t>
      </w:r>
      <w:r>
        <w:rPr>
          <w:rFonts w:hint="eastAsia" w:ascii="宋体" w:hAnsi="宋体" w:eastAsia="宋体" w:cs="宋体"/>
          <w:color w:val="auto"/>
          <w:kern w:val="0"/>
          <w:sz w:val="24"/>
          <w:szCs w:val="24"/>
        </w:rPr>
        <w:t>开挖回填等大样相关设计</w:t>
      </w:r>
    </w:p>
    <w:p w14:paraId="4ACD0E5D">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管廊</w:t>
      </w:r>
      <w:r>
        <w:rPr>
          <w:rFonts w:hint="eastAsia" w:ascii="宋体" w:hAnsi="宋体" w:eastAsia="宋体" w:cs="宋体"/>
          <w:color w:val="auto"/>
          <w:kern w:val="0"/>
          <w:sz w:val="24"/>
          <w:szCs w:val="24"/>
        </w:rPr>
        <w:t>支护等结构设计</w:t>
      </w:r>
    </w:p>
    <w:p w14:paraId="329AB24F">
      <w:pPr>
        <w:ind w:firstLine="48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排水工程</w:t>
      </w:r>
    </w:p>
    <w:p w14:paraId="4143E718">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排水工程设计包括但不限于以下内容：</w:t>
      </w:r>
    </w:p>
    <w:p w14:paraId="3A7D539A">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（1）排水设计标准及技术指标</w:t>
      </w:r>
    </w:p>
    <w:p w14:paraId="73483E6F">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（2）排水平面及纵断面设计</w:t>
      </w:r>
    </w:p>
    <w:p w14:paraId="7F6ABCD4">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（3）排水管道开挖回填等大样相关设计</w:t>
      </w:r>
    </w:p>
    <w:p w14:paraId="7AE62FF1">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（4）排水管沟支护等结构设计</w:t>
      </w:r>
    </w:p>
    <w:p w14:paraId="09A4FD36">
      <w:pPr>
        <w:ind w:firstLine="48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 xml:space="preserve"> 道路破除修复工程</w:t>
      </w:r>
    </w:p>
    <w:p w14:paraId="0042ABEE">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道路破除修复工程设计包括但不限于以下内容：</w:t>
      </w:r>
    </w:p>
    <w:p w14:paraId="1BB1A7E1">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（1）道路设计标准及要求；</w:t>
      </w:r>
    </w:p>
    <w:p w14:paraId="430B1AF2">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（2）道路路面开挖修复范围及结构层设计等</w:t>
      </w:r>
    </w:p>
    <w:p w14:paraId="42FAF181">
      <w:pPr>
        <w:ind w:firstLine="48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4排水渠</w:t>
      </w:r>
      <w:r>
        <w:rPr>
          <w:rFonts w:hint="eastAsia" w:ascii="宋体" w:hAnsi="宋体" w:eastAsia="宋体" w:cs="宋体"/>
          <w:color w:val="auto"/>
          <w:kern w:val="0"/>
          <w:sz w:val="24"/>
          <w:szCs w:val="24"/>
        </w:rPr>
        <w:t>工程</w:t>
      </w:r>
    </w:p>
    <w:p w14:paraId="53713D7A">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排水渠</w:t>
      </w:r>
      <w:r>
        <w:rPr>
          <w:rFonts w:hint="eastAsia" w:ascii="宋体" w:hAnsi="宋体" w:eastAsia="宋体" w:cs="宋体"/>
          <w:color w:val="auto"/>
          <w:kern w:val="0"/>
          <w:sz w:val="24"/>
          <w:szCs w:val="24"/>
        </w:rPr>
        <w:t>工程设计包括但不限于以下内容：</w:t>
      </w:r>
    </w:p>
    <w:p w14:paraId="117F5C73">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排水渠标高及路由</w:t>
      </w:r>
      <w:r>
        <w:rPr>
          <w:rFonts w:hint="eastAsia" w:ascii="宋体" w:hAnsi="宋体" w:eastAsia="宋体" w:cs="宋体"/>
          <w:color w:val="auto"/>
          <w:kern w:val="0"/>
          <w:sz w:val="24"/>
          <w:szCs w:val="24"/>
        </w:rPr>
        <w:t>设计</w:t>
      </w:r>
    </w:p>
    <w:p w14:paraId="45138D2B">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排水渠</w:t>
      </w:r>
      <w:r>
        <w:rPr>
          <w:rFonts w:hint="eastAsia" w:ascii="宋体" w:hAnsi="宋体" w:eastAsia="宋体" w:cs="宋体"/>
          <w:color w:val="auto"/>
          <w:kern w:val="0"/>
          <w:sz w:val="24"/>
          <w:szCs w:val="24"/>
        </w:rPr>
        <w:t>结构设计。</w:t>
      </w:r>
    </w:p>
    <w:p w14:paraId="6C0B28BC">
      <w:pPr>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w:t>
      </w:r>
      <w:r>
        <w:rPr>
          <w:rFonts w:hint="eastAsia" w:ascii="宋体" w:hAnsi="宋体" w:cs="宋体"/>
          <w:b/>
          <w:bCs/>
          <w:color w:val="auto"/>
          <w:kern w:val="0"/>
          <w:sz w:val="24"/>
          <w:szCs w:val="24"/>
          <w:lang w:val="en-US" w:eastAsia="zh-CN"/>
        </w:rPr>
        <w:t>1</w:t>
      </w:r>
      <w:r>
        <w:rPr>
          <w:rFonts w:hint="eastAsia" w:ascii="宋体" w:hAnsi="宋体" w:eastAsia="宋体" w:cs="宋体"/>
          <w:b/>
          <w:bCs/>
          <w:color w:val="auto"/>
          <w:kern w:val="0"/>
          <w:sz w:val="24"/>
          <w:szCs w:val="24"/>
        </w:rPr>
        <w:t>施工图设计文件深度要求</w:t>
      </w:r>
    </w:p>
    <w:p w14:paraId="74BA45E4">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设计成果包括但不限于以下要求：</w:t>
      </w:r>
    </w:p>
    <w:p w14:paraId="38F7BE05">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.1设计说明</w:t>
      </w:r>
    </w:p>
    <w:p w14:paraId="03A73364">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（1）概述</w:t>
      </w:r>
    </w:p>
    <w:p w14:paraId="3CF4E528">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（2）设计依据</w:t>
      </w:r>
    </w:p>
    <w:p w14:paraId="676AADE8">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（3）设计内容</w:t>
      </w:r>
    </w:p>
    <w:p w14:paraId="2534E1CC">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（4）施工图注意事项</w:t>
      </w:r>
    </w:p>
    <w:p w14:paraId="7B1870B3">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.2工程数量及材料用量表</w:t>
      </w:r>
    </w:p>
    <w:p w14:paraId="49AA7E92">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.3设计图纸：</w:t>
      </w:r>
    </w:p>
    <w:p w14:paraId="0FC701B7">
      <w:pPr>
        <w:ind w:firstLine="48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管廊</w:t>
      </w:r>
      <w:r>
        <w:rPr>
          <w:rFonts w:hint="eastAsia" w:ascii="宋体" w:hAnsi="宋体" w:eastAsia="宋体" w:cs="宋体"/>
          <w:color w:val="auto"/>
          <w:kern w:val="0"/>
          <w:sz w:val="24"/>
          <w:szCs w:val="24"/>
        </w:rPr>
        <w:t>工程：平横、管道回填、管道支护设计等。</w:t>
      </w:r>
    </w:p>
    <w:p w14:paraId="3CF79A66">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）排水工程：平纵横、管道回填、管道支护设计等。</w:t>
      </w:r>
    </w:p>
    <w:p w14:paraId="153CC5C2">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）道路破除修复工程：破除修复道路路面结构层设计等。</w:t>
      </w:r>
    </w:p>
    <w:p w14:paraId="6E429A81">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排水渠</w:t>
      </w:r>
      <w:r>
        <w:rPr>
          <w:rFonts w:hint="eastAsia" w:ascii="宋体" w:hAnsi="宋体" w:eastAsia="宋体" w:cs="宋体"/>
          <w:color w:val="auto"/>
          <w:kern w:val="0"/>
          <w:sz w:val="24"/>
          <w:szCs w:val="24"/>
        </w:rPr>
        <w:t>工程：</w:t>
      </w:r>
      <w:r>
        <w:rPr>
          <w:rFonts w:hint="eastAsia" w:ascii="宋体" w:hAnsi="宋体" w:eastAsia="宋体" w:cs="宋体"/>
          <w:color w:val="auto"/>
          <w:kern w:val="0"/>
          <w:sz w:val="24"/>
          <w:szCs w:val="24"/>
          <w:lang w:val="en-US" w:eastAsia="zh-CN"/>
        </w:rPr>
        <w:t>渠道</w:t>
      </w:r>
      <w:r>
        <w:rPr>
          <w:rFonts w:hint="eastAsia" w:ascii="宋体" w:hAnsi="宋体" w:eastAsia="宋体" w:cs="宋体"/>
          <w:color w:val="auto"/>
          <w:kern w:val="0"/>
          <w:sz w:val="24"/>
          <w:szCs w:val="24"/>
        </w:rPr>
        <w:t>平面、结构设计等。</w:t>
      </w:r>
    </w:p>
    <w:p w14:paraId="5CE8C508">
      <w:pPr>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w:t>
      </w:r>
      <w:r>
        <w:rPr>
          <w:rFonts w:hint="eastAsia" w:ascii="宋体" w:hAnsi="宋体" w:cs="宋体"/>
          <w:b/>
          <w:bCs/>
          <w:color w:val="auto"/>
          <w:kern w:val="0"/>
          <w:sz w:val="24"/>
          <w:szCs w:val="24"/>
          <w:lang w:val="en-US" w:eastAsia="zh-CN"/>
        </w:rPr>
        <w:t>2</w:t>
      </w:r>
      <w:r>
        <w:rPr>
          <w:rFonts w:hint="eastAsia" w:ascii="宋体" w:hAnsi="宋体" w:eastAsia="宋体" w:cs="宋体"/>
          <w:b/>
          <w:bCs/>
          <w:color w:val="auto"/>
          <w:kern w:val="0"/>
          <w:sz w:val="24"/>
          <w:szCs w:val="24"/>
        </w:rPr>
        <w:t>施工图设计文件成果要求</w:t>
      </w:r>
    </w:p>
    <w:p w14:paraId="635D1109">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设计单位提交的施工图设计成果文件必须齐全、完整，文字说明、图纸线条要准确清晰，内容、深度必须符合规定中华人民共和国建设部颁发的《市政公用工程设计文件编制深度规定（2013年版）》等的要求。</w:t>
      </w:r>
    </w:p>
    <w:p w14:paraId="297FC02E">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设计单位提交的所有纸质文件均要提供相应的电子文件。</w:t>
      </w:r>
    </w:p>
    <w:p w14:paraId="5E8D79C7">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各专业设计应同步进行，涉及单位应指定总体设计人统筹布局，做好各项设施的协调和衔接、位置预留，不得留待施工中临时变更。</w:t>
      </w:r>
    </w:p>
    <w:p w14:paraId="20C02D0E">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对技术复杂或造价、规模较大的主要分项工程应作方案比较。</w:t>
      </w:r>
    </w:p>
    <w:p w14:paraId="094958FC">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施工图设计文件的深度，应当满足编制施工招标文件，主要设备材料订货、征地拆迁的需要。</w:t>
      </w:r>
    </w:p>
    <w:p w14:paraId="42AA1008">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施工图设计文件的深度，应当满足设备材料采购，非标准设备制作和施工的需要，并注明建设工程合理使用年限。</w:t>
      </w:r>
    </w:p>
    <w:p w14:paraId="4928F8B8">
      <w:pPr>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施工图设计文件应考虑交通维护、临时施工便道、对周边建筑物的影响等因素，并提供相应的设计方案，以指导现场施工及过程评审。</w:t>
      </w:r>
    </w:p>
    <w:p w14:paraId="0CBE25F2">
      <w:pPr>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w:t>
      </w:r>
      <w:r>
        <w:rPr>
          <w:rFonts w:hint="eastAsia" w:ascii="宋体" w:hAnsi="宋体" w:cs="宋体"/>
          <w:b/>
          <w:bCs/>
          <w:color w:val="auto"/>
          <w:kern w:val="0"/>
          <w:sz w:val="24"/>
          <w:szCs w:val="24"/>
          <w:lang w:val="en-US" w:eastAsia="zh-CN"/>
        </w:rPr>
        <w:t>3</w:t>
      </w:r>
      <w:r>
        <w:rPr>
          <w:rFonts w:hint="eastAsia" w:ascii="宋体" w:hAnsi="宋体" w:eastAsia="宋体" w:cs="宋体"/>
          <w:b/>
          <w:bCs/>
          <w:color w:val="auto"/>
          <w:kern w:val="0"/>
          <w:sz w:val="24"/>
          <w:szCs w:val="24"/>
        </w:rPr>
        <w:t>设计周期要求</w:t>
      </w:r>
    </w:p>
    <w:p w14:paraId="75D8F221">
      <w:pPr>
        <w:wordWrap w:val="0"/>
        <w:adjustRightInd w:val="0"/>
        <w:snapToGrid w:val="0"/>
        <w:spacing w:line="440" w:lineRule="exact"/>
        <w:rPr>
          <w:rFonts w:hint="eastAsia" w:ascii="宋体" w:hAnsi="宋体" w:eastAsia="宋体" w:cs="宋体"/>
          <w:snapToGrid w:val="0"/>
          <w:color w:val="auto"/>
          <w:kern w:val="0"/>
        </w:rPr>
      </w:pPr>
      <w:r>
        <w:rPr>
          <w:rFonts w:hint="eastAsia" w:ascii="宋体" w:hAnsi="宋体" w:eastAsia="宋体" w:cs="宋体"/>
          <w:color w:val="auto"/>
          <w:kern w:val="0"/>
          <w:sz w:val="24"/>
          <w:szCs w:val="24"/>
        </w:rPr>
        <w:t>本项目设计总工期为</w:t>
      </w:r>
      <w:r>
        <w:rPr>
          <w:rFonts w:hint="eastAsia" w:ascii="宋体" w:hAnsi="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日历天</w:t>
      </w:r>
      <w:r>
        <w:rPr>
          <w:rFonts w:hint="eastAsia" w:ascii="宋体" w:hAnsi="宋体" w:eastAsia="宋体" w:cs="宋体"/>
          <w:color w:val="auto"/>
          <w:kern w:val="0"/>
          <w:sz w:val="24"/>
          <w:szCs w:val="24"/>
        </w:rPr>
        <w:t>，具体进度计划表详见招标文件条文要求。</w:t>
      </w:r>
    </w:p>
    <w:p w14:paraId="5C4A175C">
      <w:pPr>
        <w:rPr>
          <w:rFonts w:hint="eastAsia" w:ascii="宋体" w:hAnsi="宋体" w:eastAsia="宋体" w:cs="宋体"/>
          <w:color w:val="auto"/>
          <w:highlight w:val="none"/>
        </w:rPr>
      </w:pPr>
    </w:p>
    <w:p w14:paraId="0D13BC99">
      <w:pPr>
        <w:bidi w:val="0"/>
        <w:rPr>
          <w:rFonts w:hint="eastAsia" w:ascii="宋体" w:hAnsi="宋体" w:eastAsia="宋体" w:cs="宋体"/>
          <w:color w:val="auto"/>
          <w:highlight w:val="none"/>
        </w:rPr>
      </w:pPr>
    </w:p>
    <w:p w14:paraId="674DFF64">
      <w:pPr>
        <w:pStyle w:val="96"/>
        <w:widowControl w:val="0"/>
        <w:numPr>
          <w:ilvl w:val="0"/>
          <w:numId w:val="0"/>
        </w:numPr>
        <w:adjustRightInd w:val="0"/>
        <w:snapToGrid w:val="0"/>
        <w:spacing w:line="360" w:lineRule="auto"/>
        <w:ind w:leftChars="0"/>
        <w:jc w:val="both"/>
        <w:rPr>
          <w:rFonts w:hint="eastAsia" w:ascii="宋体" w:hAnsi="宋体" w:eastAsia="宋体" w:cs="宋体"/>
          <w:b w:val="0"/>
          <w:bCs w:val="0"/>
          <w:snapToGrid w:val="0"/>
          <w:color w:val="auto"/>
          <w:sz w:val="24"/>
          <w:szCs w:val="24"/>
          <w:highlight w:val="none"/>
          <w:lang w:val="en-US" w:eastAsia="zh-CN"/>
        </w:rPr>
      </w:pPr>
    </w:p>
    <w:sectPr>
      <w:headerReference r:id="rId5" w:type="default"/>
      <w:footerReference r:id="rId6" w:type="default"/>
      <w:endnotePr>
        <w:numFmt w:val="decimal"/>
      </w:endnotePr>
      <w:pgSz w:w="11907" w:h="16840"/>
      <w:pgMar w:top="1417" w:right="1417" w:bottom="1417" w:left="1417"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192E">
    <w:pPr>
      <w:pStyle w:val="144"/>
      <w:pBdr>
        <w:between w:val="none" w:color="auto" w:sz="0" w:space="0"/>
      </w:pBdr>
      <w:tabs>
        <w:tab w:val="left" w:pos="4803"/>
        <w:tab w:val="clear" w:pos="4153"/>
      </w:tabs>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7D0D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87D0D3">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0C79C98D">
    <w:pPr>
      <w:pStyle w:val="144"/>
      <w:pBdr>
        <w:between w:val="none" w:color="auto" w:sz="0" w:space="0"/>
      </w:pBd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D3963">
    <w:pPr>
      <w:pStyle w:val="144"/>
      <w:pBdr>
        <w:between w:val="none" w:color="auto" w:sz="0" w:space="0"/>
      </w:pBdr>
      <w:tabs>
        <w:tab w:val="left" w:pos="4803"/>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EEB0E">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1EEB0E">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7036A7BC">
    <w:pPr>
      <w:pStyle w:val="144"/>
      <w:pBdr>
        <w:between w:val="none" w:color="auto" w:sz="0" w:space="0"/>
      </w:pBd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9F6F">
    <w:pPr>
      <w:pStyle w:val="19"/>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B1DEA">
                          <w:pPr>
                            <w:pStyle w:val="1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7B1DEA">
                    <w:pPr>
                      <w:pStyle w:val="1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472AB">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D4B3E"/>
    <w:multiLevelType w:val="singleLevel"/>
    <w:tmpl w:val="917D4B3E"/>
    <w:lvl w:ilvl="0" w:tentative="0">
      <w:start w:val="1"/>
      <w:numFmt w:val="decimal"/>
      <w:lvlText w:val="%1."/>
      <w:lvlJc w:val="left"/>
      <w:pPr>
        <w:tabs>
          <w:tab w:val="left" w:pos="312"/>
        </w:tabs>
      </w:pPr>
    </w:lvl>
  </w:abstractNum>
  <w:abstractNum w:abstractNumId="1">
    <w:nsid w:val="BDA4391C"/>
    <w:multiLevelType w:val="singleLevel"/>
    <w:tmpl w:val="BDA4391C"/>
    <w:lvl w:ilvl="0" w:tentative="0">
      <w:start w:val="2"/>
      <w:numFmt w:val="chineseCounting"/>
      <w:suff w:val="space"/>
      <w:lvlText w:val="第%1节"/>
      <w:lvlJc w:val="left"/>
      <w:rPr>
        <w:rFonts w:hint="eastAsia"/>
      </w:rPr>
    </w:lvl>
  </w:abstractNum>
  <w:abstractNum w:abstractNumId="2">
    <w:nsid w:val="7B5E1CD6"/>
    <w:multiLevelType w:val="multilevel"/>
    <w:tmpl w:val="7B5E1CD6"/>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85" w:firstLine="0"/>
      </w:pPr>
      <w:rPr>
        <w:rFonts w:hint="eastAsia"/>
      </w:rPr>
    </w:lvl>
    <w:lvl w:ilvl="2" w:tentative="0">
      <w:start w:val="1"/>
      <w:numFmt w:val="decimal"/>
      <w:isLgl/>
      <w:suff w:val="space"/>
      <w:lvlText w:val="%1.%2.%3"/>
      <w:lvlJc w:val="left"/>
      <w:pPr>
        <w:ind w:left="170" w:firstLine="0"/>
      </w:pPr>
      <w:rPr>
        <w:rFonts w:hint="eastAsia"/>
      </w:rPr>
    </w:lvl>
    <w:lvl w:ilvl="3" w:tentative="0">
      <w:start w:val="1"/>
      <w:numFmt w:val="decimal"/>
      <w:pStyle w:val="210"/>
      <w:isLgl/>
      <w:suff w:val="space"/>
      <w:lvlText w:val="（%4）"/>
      <w:lvlJc w:val="left"/>
      <w:pPr>
        <w:ind w:left="255" w:firstLine="0"/>
      </w:pPr>
      <w:rPr>
        <w:rFonts w:hint="eastAsia"/>
      </w:rPr>
    </w:lvl>
    <w:lvl w:ilvl="4" w:tentative="0">
      <w:start w:val="1"/>
      <w:numFmt w:val="decimal"/>
      <w:suff w:val="space"/>
      <w:lvlText w:val="%5）"/>
      <w:lvlJc w:val="left"/>
      <w:pPr>
        <w:ind w:left="567" w:firstLine="0"/>
      </w:pPr>
      <w:rPr>
        <w:rFonts w:hint="eastAsia"/>
      </w:rPr>
    </w:lvl>
    <w:lvl w:ilvl="5" w:tentative="0">
      <w:start w:val="1"/>
      <w:numFmt w:val="decimal"/>
      <w:lvlText w:val="%1.%2.%3.%4.%5.%6"/>
      <w:lvlJc w:val="left"/>
      <w:pPr>
        <w:ind w:left="425" w:firstLine="0"/>
      </w:pPr>
      <w:rPr>
        <w:rFonts w:hint="eastAsia"/>
      </w:rPr>
    </w:lvl>
    <w:lvl w:ilvl="6" w:tentative="0">
      <w:start w:val="1"/>
      <w:numFmt w:val="decimal"/>
      <w:lvlText w:val="%1.%2.%3.%4.%5.%6.%7"/>
      <w:lvlJc w:val="left"/>
      <w:pPr>
        <w:ind w:left="510" w:firstLine="0"/>
      </w:pPr>
      <w:rPr>
        <w:rFonts w:hint="eastAsia"/>
      </w:rPr>
    </w:lvl>
    <w:lvl w:ilvl="7" w:tentative="0">
      <w:start w:val="1"/>
      <w:numFmt w:val="decimal"/>
      <w:lvlText w:val="%1.%2.%3.%4.%5.%6.%7.%8"/>
      <w:lvlJc w:val="left"/>
      <w:pPr>
        <w:ind w:left="595" w:firstLine="0"/>
      </w:pPr>
      <w:rPr>
        <w:rFonts w:hint="eastAsia"/>
      </w:rPr>
    </w:lvl>
    <w:lvl w:ilvl="8" w:tentative="0">
      <w:start w:val="1"/>
      <w:numFmt w:val="decimal"/>
      <w:lvlText w:val="%1.%2.%3.%4.%5.%6.%7.%8.%9"/>
      <w:lvlJc w:val="left"/>
      <w:pPr>
        <w:ind w:left="68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OGQ2ZjlhM2JlYzI3NTY0ZWM4ZGRiMDFhZDQ4MDAifQ=="/>
  </w:docVars>
  <w:rsids>
    <w:rsidRoot w:val="00172A27"/>
    <w:rsid w:val="0000710A"/>
    <w:rsid w:val="0001416E"/>
    <w:rsid w:val="00021A19"/>
    <w:rsid w:val="00084253"/>
    <w:rsid w:val="000D1566"/>
    <w:rsid w:val="0010310E"/>
    <w:rsid w:val="00106301"/>
    <w:rsid w:val="001A2FB7"/>
    <w:rsid w:val="001C3D1C"/>
    <w:rsid w:val="00286752"/>
    <w:rsid w:val="002F2625"/>
    <w:rsid w:val="00327414"/>
    <w:rsid w:val="00351550"/>
    <w:rsid w:val="00374796"/>
    <w:rsid w:val="00390AEA"/>
    <w:rsid w:val="00416146"/>
    <w:rsid w:val="0042502B"/>
    <w:rsid w:val="00473EA4"/>
    <w:rsid w:val="00494F61"/>
    <w:rsid w:val="004B0EAC"/>
    <w:rsid w:val="004C2699"/>
    <w:rsid w:val="0052074E"/>
    <w:rsid w:val="0055397E"/>
    <w:rsid w:val="005768A2"/>
    <w:rsid w:val="00576B14"/>
    <w:rsid w:val="00580761"/>
    <w:rsid w:val="005D4EC9"/>
    <w:rsid w:val="006D6F3B"/>
    <w:rsid w:val="00740F39"/>
    <w:rsid w:val="00760C6F"/>
    <w:rsid w:val="00782CDD"/>
    <w:rsid w:val="007B7B1D"/>
    <w:rsid w:val="00860B1D"/>
    <w:rsid w:val="00881332"/>
    <w:rsid w:val="008D28C7"/>
    <w:rsid w:val="009827A2"/>
    <w:rsid w:val="009A0D43"/>
    <w:rsid w:val="009E2134"/>
    <w:rsid w:val="009E3B38"/>
    <w:rsid w:val="00A11426"/>
    <w:rsid w:val="00A144D6"/>
    <w:rsid w:val="00A15974"/>
    <w:rsid w:val="00B15DD7"/>
    <w:rsid w:val="00B269F2"/>
    <w:rsid w:val="00B8536E"/>
    <w:rsid w:val="00BD1EAB"/>
    <w:rsid w:val="00C06FA4"/>
    <w:rsid w:val="00C41BBB"/>
    <w:rsid w:val="00C67B8F"/>
    <w:rsid w:val="00CA6D9D"/>
    <w:rsid w:val="00CD5C14"/>
    <w:rsid w:val="00D138D5"/>
    <w:rsid w:val="00D26D9F"/>
    <w:rsid w:val="00DB3920"/>
    <w:rsid w:val="00E5202C"/>
    <w:rsid w:val="00EE438A"/>
    <w:rsid w:val="00EF0AEA"/>
    <w:rsid w:val="00EF6EAC"/>
    <w:rsid w:val="00F61FEF"/>
    <w:rsid w:val="00F62BBD"/>
    <w:rsid w:val="00F82376"/>
    <w:rsid w:val="00FB2E3C"/>
    <w:rsid w:val="00FB383A"/>
    <w:rsid w:val="00FB52A4"/>
    <w:rsid w:val="00FC1865"/>
    <w:rsid w:val="011562D2"/>
    <w:rsid w:val="011937D7"/>
    <w:rsid w:val="01487061"/>
    <w:rsid w:val="01523E0F"/>
    <w:rsid w:val="01603061"/>
    <w:rsid w:val="01686804"/>
    <w:rsid w:val="016909CD"/>
    <w:rsid w:val="017D726E"/>
    <w:rsid w:val="01852063"/>
    <w:rsid w:val="01964270"/>
    <w:rsid w:val="01BB7EC1"/>
    <w:rsid w:val="01CF7782"/>
    <w:rsid w:val="01DB1C83"/>
    <w:rsid w:val="01E847CE"/>
    <w:rsid w:val="021420B8"/>
    <w:rsid w:val="021D302E"/>
    <w:rsid w:val="022C46D0"/>
    <w:rsid w:val="025B329E"/>
    <w:rsid w:val="025F3A30"/>
    <w:rsid w:val="02603343"/>
    <w:rsid w:val="02646A5E"/>
    <w:rsid w:val="026E3A37"/>
    <w:rsid w:val="027F7A07"/>
    <w:rsid w:val="02856339"/>
    <w:rsid w:val="028916DF"/>
    <w:rsid w:val="028B36A9"/>
    <w:rsid w:val="029375B9"/>
    <w:rsid w:val="029562D6"/>
    <w:rsid w:val="029B3978"/>
    <w:rsid w:val="029D33DC"/>
    <w:rsid w:val="02AE5D6F"/>
    <w:rsid w:val="02B349AE"/>
    <w:rsid w:val="02BD60E9"/>
    <w:rsid w:val="02C22538"/>
    <w:rsid w:val="02C35681"/>
    <w:rsid w:val="02E5159B"/>
    <w:rsid w:val="02EB239A"/>
    <w:rsid w:val="02EC0AEB"/>
    <w:rsid w:val="02EF3948"/>
    <w:rsid w:val="02FB0D7A"/>
    <w:rsid w:val="03077ED0"/>
    <w:rsid w:val="030D117B"/>
    <w:rsid w:val="03115D87"/>
    <w:rsid w:val="032420A3"/>
    <w:rsid w:val="03461C7A"/>
    <w:rsid w:val="03506D4D"/>
    <w:rsid w:val="035107A6"/>
    <w:rsid w:val="03515DE6"/>
    <w:rsid w:val="03592F99"/>
    <w:rsid w:val="03682398"/>
    <w:rsid w:val="038A68D7"/>
    <w:rsid w:val="0390197C"/>
    <w:rsid w:val="03952CA3"/>
    <w:rsid w:val="03977511"/>
    <w:rsid w:val="039A01F5"/>
    <w:rsid w:val="039E6F5E"/>
    <w:rsid w:val="03B423AD"/>
    <w:rsid w:val="03BA02FA"/>
    <w:rsid w:val="03C2134C"/>
    <w:rsid w:val="03F30C00"/>
    <w:rsid w:val="04050048"/>
    <w:rsid w:val="04185410"/>
    <w:rsid w:val="041A581C"/>
    <w:rsid w:val="04260956"/>
    <w:rsid w:val="042C2C6A"/>
    <w:rsid w:val="042E65AA"/>
    <w:rsid w:val="043153AE"/>
    <w:rsid w:val="04460227"/>
    <w:rsid w:val="04503405"/>
    <w:rsid w:val="045F0C31"/>
    <w:rsid w:val="04646852"/>
    <w:rsid w:val="047563BF"/>
    <w:rsid w:val="049A5B85"/>
    <w:rsid w:val="049F343C"/>
    <w:rsid w:val="04A2697C"/>
    <w:rsid w:val="04A320AD"/>
    <w:rsid w:val="04B048B3"/>
    <w:rsid w:val="04B50EB1"/>
    <w:rsid w:val="04B72E12"/>
    <w:rsid w:val="04B86044"/>
    <w:rsid w:val="04C85836"/>
    <w:rsid w:val="04D4495A"/>
    <w:rsid w:val="04DD3F64"/>
    <w:rsid w:val="04E5321D"/>
    <w:rsid w:val="04EA0381"/>
    <w:rsid w:val="04F361E1"/>
    <w:rsid w:val="04FA4B16"/>
    <w:rsid w:val="05005F4F"/>
    <w:rsid w:val="05026B36"/>
    <w:rsid w:val="05127E26"/>
    <w:rsid w:val="051A3BCD"/>
    <w:rsid w:val="052043CA"/>
    <w:rsid w:val="052962AD"/>
    <w:rsid w:val="05296E8F"/>
    <w:rsid w:val="052D0291"/>
    <w:rsid w:val="0532748F"/>
    <w:rsid w:val="054F6C10"/>
    <w:rsid w:val="055A5241"/>
    <w:rsid w:val="05727421"/>
    <w:rsid w:val="057523EE"/>
    <w:rsid w:val="057A0FAE"/>
    <w:rsid w:val="057A1AE4"/>
    <w:rsid w:val="059540A5"/>
    <w:rsid w:val="05997B94"/>
    <w:rsid w:val="059A5033"/>
    <w:rsid w:val="05A66132"/>
    <w:rsid w:val="05A9017D"/>
    <w:rsid w:val="05AD7DDA"/>
    <w:rsid w:val="05B116E5"/>
    <w:rsid w:val="05B20F4D"/>
    <w:rsid w:val="05E10B74"/>
    <w:rsid w:val="05E30616"/>
    <w:rsid w:val="05FB1A5F"/>
    <w:rsid w:val="05FE7ABE"/>
    <w:rsid w:val="06075215"/>
    <w:rsid w:val="06184F8C"/>
    <w:rsid w:val="064D52BF"/>
    <w:rsid w:val="06545C68"/>
    <w:rsid w:val="06562C09"/>
    <w:rsid w:val="0676781A"/>
    <w:rsid w:val="067A7CBC"/>
    <w:rsid w:val="067F3525"/>
    <w:rsid w:val="06916E64"/>
    <w:rsid w:val="069410ED"/>
    <w:rsid w:val="069A369F"/>
    <w:rsid w:val="069A65B0"/>
    <w:rsid w:val="06A05249"/>
    <w:rsid w:val="06A27213"/>
    <w:rsid w:val="06BA3B7F"/>
    <w:rsid w:val="06C62F02"/>
    <w:rsid w:val="06E57B0D"/>
    <w:rsid w:val="06F50FDA"/>
    <w:rsid w:val="06FF4665"/>
    <w:rsid w:val="070E2AFA"/>
    <w:rsid w:val="071764D1"/>
    <w:rsid w:val="07466193"/>
    <w:rsid w:val="074B78AB"/>
    <w:rsid w:val="07582DB5"/>
    <w:rsid w:val="0775278B"/>
    <w:rsid w:val="07954B6E"/>
    <w:rsid w:val="07B32E6E"/>
    <w:rsid w:val="07C8264D"/>
    <w:rsid w:val="07CC1D83"/>
    <w:rsid w:val="07D47631"/>
    <w:rsid w:val="07DE071F"/>
    <w:rsid w:val="07ED2A15"/>
    <w:rsid w:val="07FC77CB"/>
    <w:rsid w:val="080C55F5"/>
    <w:rsid w:val="081D2FF5"/>
    <w:rsid w:val="082322B0"/>
    <w:rsid w:val="0830442A"/>
    <w:rsid w:val="085836AE"/>
    <w:rsid w:val="086C7FD5"/>
    <w:rsid w:val="08793FA4"/>
    <w:rsid w:val="088017D6"/>
    <w:rsid w:val="088A5FA2"/>
    <w:rsid w:val="088D2719"/>
    <w:rsid w:val="08987EF8"/>
    <w:rsid w:val="08A146D0"/>
    <w:rsid w:val="08A84BF4"/>
    <w:rsid w:val="08B53929"/>
    <w:rsid w:val="08B61918"/>
    <w:rsid w:val="08CA4B1E"/>
    <w:rsid w:val="08D232AA"/>
    <w:rsid w:val="08D52ABF"/>
    <w:rsid w:val="08EC554C"/>
    <w:rsid w:val="08EE4992"/>
    <w:rsid w:val="08F875BE"/>
    <w:rsid w:val="08F95F04"/>
    <w:rsid w:val="08FB0FE8"/>
    <w:rsid w:val="08FF1663"/>
    <w:rsid w:val="09002522"/>
    <w:rsid w:val="09031D95"/>
    <w:rsid w:val="09190A28"/>
    <w:rsid w:val="091D0DD3"/>
    <w:rsid w:val="09395569"/>
    <w:rsid w:val="095B08F6"/>
    <w:rsid w:val="096C00F5"/>
    <w:rsid w:val="097A4477"/>
    <w:rsid w:val="097D7547"/>
    <w:rsid w:val="098453A1"/>
    <w:rsid w:val="098B5CEC"/>
    <w:rsid w:val="098C15CF"/>
    <w:rsid w:val="099F7A3A"/>
    <w:rsid w:val="09A00519"/>
    <w:rsid w:val="09A07D6B"/>
    <w:rsid w:val="09A45050"/>
    <w:rsid w:val="09B4328A"/>
    <w:rsid w:val="09CB5D9C"/>
    <w:rsid w:val="09D41DD9"/>
    <w:rsid w:val="09D92F9D"/>
    <w:rsid w:val="09E0252C"/>
    <w:rsid w:val="09E94260"/>
    <w:rsid w:val="09EE01BB"/>
    <w:rsid w:val="09F907FD"/>
    <w:rsid w:val="0A0271D7"/>
    <w:rsid w:val="0A173A74"/>
    <w:rsid w:val="0A221267"/>
    <w:rsid w:val="0A594D65"/>
    <w:rsid w:val="0A6B6B19"/>
    <w:rsid w:val="0A742D50"/>
    <w:rsid w:val="0A746D01"/>
    <w:rsid w:val="0A771D5D"/>
    <w:rsid w:val="0A777D83"/>
    <w:rsid w:val="0A8111C0"/>
    <w:rsid w:val="0A93124E"/>
    <w:rsid w:val="0A95274F"/>
    <w:rsid w:val="0AAA0D0D"/>
    <w:rsid w:val="0AB87DA1"/>
    <w:rsid w:val="0ACA2D1F"/>
    <w:rsid w:val="0ACD76E7"/>
    <w:rsid w:val="0AD24798"/>
    <w:rsid w:val="0AD27FA7"/>
    <w:rsid w:val="0AD82B2D"/>
    <w:rsid w:val="0ADA1B70"/>
    <w:rsid w:val="0ADD2955"/>
    <w:rsid w:val="0ADE752C"/>
    <w:rsid w:val="0AE3428C"/>
    <w:rsid w:val="0AEE6ECB"/>
    <w:rsid w:val="0AFF054C"/>
    <w:rsid w:val="0AFF4C34"/>
    <w:rsid w:val="0B0A5636"/>
    <w:rsid w:val="0B0B07B8"/>
    <w:rsid w:val="0B0B35D9"/>
    <w:rsid w:val="0B0E781A"/>
    <w:rsid w:val="0B287211"/>
    <w:rsid w:val="0B3E647F"/>
    <w:rsid w:val="0B3F7726"/>
    <w:rsid w:val="0B414D89"/>
    <w:rsid w:val="0B56686D"/>
    <w:rsid w:val="0B57681E"/>
    <w:rsid w:val="0B584344"/>
    <w:rsid w:val="0B585459"/>
    <w:rsid w:val="0B697370"/>
    <w:rsid w:val="0B711B60"/>
    <w:rsid w:val="0B737F05"/>
    <w:rsid w:val="0B743182"/>
    <w:rsid w:val="0B80322F"/>
    <w:rsid w:val="0B8E2115"/>
    <w:rsid w:val="0B980BE5"/>
    <w:rsid w:val="0BA21003"/>
    <w:rsid w:val="0BA26247"/>
    <w:rsid w:val="0BBB5953"/>
    <w:rsid w:val="0BCF0AAA"/>
    <w:rsid w:val="0BDA2FA5"/>
    <w:rsid w:val="0BE121AC"/>
    <w:rsid w:val="0BE12E8D"/>
    <w:rsid w:val="0BF361EA"/>
    <w:rsid w:val="0BF40349"/>
    <w:rsid w:val="0BF53750"/>
    <w:rsid w:val="0C004AAC"/>
    <w:rsid w:val="0C045D9E"/>
    <w:rsid w:val="0C0913A5"/>
    <w:rsid w:val="0C0A0C3E"/>
    <w:rsid w:val="0C0E76EB"/>
    <w:rsid w:val="0C1337D7"/>
    <w:rsid w:val="0C150F74"/>
    <w:rsid w:val="0C166753"/>
    <w:rsid w:val="0C1E7F11"/>
    <w:rsid w:val="0C2A299A"/>
    <w:rsid w:val="0C2A69A2"/>
    <w:rsid w:val="0C3504B5"/>
    <w:rsid w:val="0C390F2B"/>
    <w:rsid w:val="0C3E6B99"/>
    <w:rsid w:val="0C47011A"/>
    <w:rsid w:val="0C4832BA"/>
    <w:rsid w:val="0C4B64CA"/>
    <w:rsid w:val="0C4E0F6F"/>
    <w:rsid w:val="0C501260"/>
    <w:rsid w:val="0C612223"/>
    <w:rsid w:val="0C767178"/>
    <w:rsid w:val="0C806D00"/>
    <w:rsid w:val="0C8A39F0"/>
    <w:rsid w:val="0C8A49D1"/>
    <w:rsid w:val="0C8D16BA"/>
    <w:rsid w:val="0C9F1477"/>
    <w:rsid w:val="0CAE3939"/>
    <w:rsid w:val="0CBE1D97"/>
    <w:rsid w:val="0CCA3F2A"/>
    <w:rsid w:val="0CD8573D"/>
    <w:rsid w:val="0CDE5118"/>
    <w:rsid w:val="0CF12CA2"/>
    <w:rsid w:val="0CF433B4"/>
    <w:rsid w:val="0CF574CA"/>
    <w:rsid w:val="0D0621B3"/>
    <w:rsid w:val="0D090E1B"/>
    <w:rsid w:val="0D281556"/>
    <w:rsid w:val="0D2A368D"/>
    <w:rsid w:val="0D2E10AB"/>
    <w:rsid w:val="0D2E35AF"/>
    <w:rsid w:val="0D2E6299"/>
    <w:rsid w:val="0D336A7B"/>
    <w:rsid w:val="0D507F73"/>
    <w:rsid w:val="0D627B73"/>
    <w:rsid w:val="0D6831E4"/>
    <w:rsid w:val="0D6C2329"/>
    <w:rsid w:val="0D725B91"/>
    <w:rsid w:val="0D7C4CE4"/>
    <w:rsid w:val="0D7D1ADB"/>
    <w:rsid w:val="0D850B0B"/>
    <w:rsid w:val="0D884E45"/>
    <w:rsid w:val="0D97753E"/>
    <w:rsid w:val="0D9F1D0B"/>
    <w:rsid w:val="0DA63A8D"/>
    <w:rsid w:val="0DA87805"/>
    <w:rsid w:val="0DB77A48"/>
    <w:rsid w:val="0DBE2B84"/>
    <w:rsid w:val="0DC3445B"/>
    <w:rsid w:val="0DCD2B82"/>
    <w:rsid w:val="0DCE6B40"/>
    <w:rsid w:val="0DD70945"/>
    <w:rsid w:val="0DDE394C"/>
    <w:rsid w:val="0DE60D47"/>
    <w:rsid w:val="0E0E48D3"/>
    <w:rsid w:val="0E193695"/>
    <w:rsid w:val="0E1B5B8D"/>
    <w:rsid w:val="0E367427"/>
    <w:rsid w:val="0E3735DB"/>
    <w:rsid w:val="0E3A34DA"/>
    <w:rsid w:val="0E4C1F50"/>
    <w:rsid w:val="0E5E712A"/>
    <w:rsid w:val="0E6D6359"/>
    <w:rsid w:val="0E6F10C7"/>
    <w:rsid w:val="0E9A5A47"/>
    <w:rsid w:val="0F014B1F"/>
    <w:rsid w:val="0F042EE4"/>
    <w:rsid w:val="0F050025"/>
    <w:rsid w:val="0F104080"/>
    <w:rsid w:val="0F270CBB"/>
    <w:rsid w:val="0F3F1A59"/>
    <w:rsid w:val="0F51370F"/>
    <w:rsid w:val="0F6C63F9"/>
    <w:rsid w:val="0F7732EC"/>
    <w:rsid w:val="0F931DEF"/>
    <w:rsid w:val="0F9943C0"/>
    <w:rsid w:val="0F9B2863"/>
    <w:rsid w:val="0FA71E9B"/>
    <w:rsid w:val="0FB52CD8"/>
    <w:rsid w:val="0FC5326F"/>
    <w:rsid w:val="0FD81B47"/>
    <w:rsid w:val="0FDE2D7D"/>
    <w:rsid w:val="0FE26025"/>
    <w:rsid w:val="0FE73EE9"/>
    <w:rsid w:val="0FED63A0"/>
    <w:rsid w:val="0FF16BDD"/>
    <w:rsid w:val="10001035"/>
    <w:rsid w:val="100424FA"/>
    <w:rsid w:val="100D557C"/>
    <w:rsid w:val="10341D3A"/>
    <w:rsid w:val="103709CC"/>
    <w:rsid w:val="1039622F"/>
    <w:rsid w:val="10444FAD"/>
    <w:rsid w:val="10560184"/>
    <w:rsid w:val="106B68C8"/>
    <w:rsid w:val="108E62E8"/>
    <w:rsid w:val="1091537A"/>
    <w:rsid w:val="10A20F7A"/>
    <w:rsid w:val="10A32505"/>
    <w:rsid w:val="10A40B54"/>
    <w:rsid w:val="10AD0C8E"/>
    <w:rsid w:val="10B169D0"/>
    <w:rsid w:val="10B3388A"/>
    <w:rsid w:val="10BD35C7"/>
    <w:rsid w:val="10C1473A"/>
    <w:rsid w:val="10D5315C"/>
    <w:rsid w:val="10D95ADE"/>
    <w:rsid w:val="10E55C9B"/>
    <w:rsid w:val="11060C2B"/>
    <w:rsid w:val="110C4158"/>
    <w:rsid w:val="11161C63"/>
    <w:rsid w:val="112E6273"/>
    <w:rsid w:val="113F7FDE"/>
    <w:rsid w:val="114D2E05"/>
    <w:rsid w:val="114E09AD"/>
    <w:rsid w:val="115D5282"/>
    <w:rsid w:val="11612F89"/>
    <w:rsid w:val="11715BBF"/>
    <w:rsid w:val="11742E1C"/>
    <w:rsid w:val="1176557F"/>
    <w:rsid w:val="11876062"/>
    <w:rsid w:val="11901BEE"/>
    <w:rsid w:val="11920C12"/>
    <w:rsid w:val="11982CE3"/>
    <w:rsid w:val="11AE2FA7"/>
    <w:rsid w:val="11BA2020"/>
    <w:rsid w:val="11C56EB6"/>
    <w:rsid w:val="11DA20E1"/>
    <w:rsid w:val="11DB545B"/>
    <w:rsid w:val="11E05F17"/>
    <w:rsid w:val="122F6810"/>
    <w:rsid w:val="123D3A6E"/>
    <w:rsid w:val="123F59A6"/>
    <w:rsid w:val="12521669"/>
    <w:rsid w:val="12657FA7"/>
    <w:rsid w:val="126A63FD"/>
    <w:rsid w:val="1272218F"/>
    <w:rsid w:val="12761509"/>
    <w:rsid w:val="129F4701"/>
    <w:rsid w:val="12AC4134"/>
    <w:rsid w:val="12C86253"/>
    <w:rsid w:val="12D329EE"/>
    <w:rsid w:val="12D45B03"/>
    <w:rsid w:val="12EA56F7"/>
    <w:rsid w:val="12FC318B"/>
    <w:rsid w:val="13001549"/>
    <w:rsid w:val="13093C25"/>
    <w:rsid w:val="131C20FB"/>
    <w:rsid w:val="13200D57"/>
    <w:rsid w:val="13405E41"/>
    <w:rsid w:val="13415633"/>
    <w:rsid w:val="134B0802"/>
    <w:rsid w:val="134D32E9"/>
    <w:rsid w:val="13500532"/>
    <w:rsid w:val="135565CA"/>
    <w:rsid w:val="135C48CC"/>
    <w:rsid w:val="135E662D"/>
    <w:rsid w:val="13644406"/>
    <w:rsid w:val="1379760B"/>
    <w:rsid w:val="13A34E02"/>
    <w:rsid w:val="13C61970"/>
    <w:rsid w:val="13D33C74"/>
    <w:rsid w:val="13DA3309"/>
    <w:rsid w:val="13EB21F9"/>
    <w:rsid w:val="13EE5846"/>
    <w:rsid w:val="14082317"/>
    <w:rsid w:val="14137AA5"/>
    <w:rsid w:val="141624E1"/>
    <w:rsid w:val="141B43A5"/>
    <w:rsid w:val="141E213A"/>
    <w:rsid w:val="14300282"/>
    <w:rsid w:val="14330140"/>
    <w:rsid w:val="14383090"/>
    <w:rsid w:val="14510F9F"/>
    <w:rsid w:val="14531E16"/>
    <w:rsid w:val="145537B7"/>
    <w:rsid w:val="14872E01"/>
    <w:rsid w:val="14A4678E"/>
    <w:rsid w:val="14AE457A"/>
    <w:rsid w:val="14B95E54"/>
    <w:rsid w:val="14C6698B"/>
    <w:rsid w:val="14CE0788"/>
    <w:rsid w:val="14D6539B"/>
    <w:rsid w:val="14FE1CCF"/>
    <w:rsid w:val="15015A4D"/>
    <w:rsid w:val="15097A8D"/>
    <w:rsid w:val="150B5E25"/>
    <w:rsid w:val="150D43F1"/>
    <w:rsid w:val="15237771"/>
    <w:rsid w:val="152711FD"/>
    <w:rsid w:val="15332448"/>
    <w:rsid w:val="153D3E2D"/>
    <w:rsid w:val="154010ED"/>
    <w:rsid w:val="15405318"/>
    <w:rsid w:val="154B4238"/>
    <w:rsid w:val="155342D7"/>
    <w:rsid w:val="156A35F2"/>
    <w:rsid w:val="15870BBF"/>
    <w:rsid w:val="15993FFB"/>
    <w:rsid w:val="159B4BE9"/>
    <w:rsid w:val="159D073C"/>
    <w:rsid w:val="15A14628"/>
    <w:rsid w:val="15AC2ADB"/>
    <w:rsid w:val="15CB63D3"/>
    <w:rsid w:val="16133C89"/>
    <w:rsid w:val="1618573C"/>
    <w:rsid w:val="161C62F4"/>
    <w:rsid w:val="162821A7"/>
    <w:rsid w:val="163258CA"/>
    <w:rsid w:val="163634D4"/>
    <w:rsid w:val="16377978"/>
    <w:rsid w:val="1638098B"/>
    <w:rsid w:val="163A42C1"/>
    <w:rsid w:val="1649051E"/>
    <w:rsid w:val="165446C6"/>
    <w:rsid w:val="166242C9"/>
    <w:rsid w:val="166B7D5E"/>
    <w:rsid w:val="1678206D"/>
    <w:rsid w:val="167B3DAA"/>
    <w:rsid w:val="168A14A8"/>
    <w:rsid w:val="168B3820"/>
    <w:rsid w:val="1697415B"/>
    <w:rsid w:val="169E686A"/>
    <w:rsid w:val="16AC7A20"/>
    <w:rsid w:val="16B45F60"/>
    <w:rsid w:val="16B61523"/>
    <w:rsid w:val="16BE67D9"/>
    <w:rsid w:val="16C62AAA"/>
    <w:rsid w:val="16D61FC6"/>
    <w:rsid w:val="16D8469D"/>
    <w:rsid w:val="16DA6325"/>
    <w:rsid w:val="16E605C5"/>
    <w:rsid w:val="16E7723A"/>
    <w:rsid w:val="16EA49EA"/>
    <w:rsid w:val="16FD323B"/>
    <w:rsid w:val="170202EC"/>
    <w:rsid w:val="17027577"/>
    <w:rsid w:val="17106100"/>
    <w:rsid w:val="172123D6"/>
    <w:rsid w:val="173E4D36"/>
    <w:rsid w:val="17577BA6"/>
    <w:rsid w:val="17664D86"/>
    <w:rsid w:val="17693D82"/>
    <w:rsid w:val="176A78D9"/>
    <w:rsid w:val="176E42D0"/>
    <w:rsid w:val="176F4EEF"/>
    <w:rsid w:val="17785390"/>
    <w:rsid w:val="177C7932"/>
    <w:rsid w:val="177D585E"/>
    <w:rsid w:val="1787048B"/>
    <w:rsid w:val="178A4A5E"/>
    <w:rsid w:val="178C2F5E"/>
    <w:rsid w:val="17A4093A"/>
    <w:rsid w:val="17C638D7"/>
    <w:rsid w:val="17CE11B0"/>
    <w:rsid w:val="17D23939"/>
    <w:rsid w:val="17D7560C"/>
    <w:rsid w:val="17FD2638"/>
    <w:rsid w:val="180C0990"/>
    <w:rsid w:val="181345CD"/>
    <w:rsid w:val="181D77E2"/>
    <w:rsid w:val="18260AC0"/>
    <w:rsid w:val="18295170"/>
    <w:rsid w:val="182B5FDF"/>
    <w:rsid w:val="1838742C"/>
    <w:rsid w:val="1842764A"/>
    <w:rsid w:val="187E0A4D"/>
    <w:rsid w:val="18932E60"/>
    <w:rsid w:val="18A76F29"/>
    <w:rsid w:val="18BA03EC"/>
    <w:rsid w:val="18BE1E07"/>
    <w:rsid w:val="18C965DB"/>
    <w:rsid w:val="18CA14AF"/>
    <w:rsid w:val="18DC2F1F"/>
    <w:rsid w:val="18E13BCB"/>
    <w:rsid w:val="18EF44BD"/>
    <w:rsid w:val="19103EB7"/>
    <w:rsid w:val="19120228"/>
    <w:rsid w:val="192341E3"/>
    <w:rsid w:val="19445F08"/>
    <w:rsid w:val="19616FAF"/>
    <w:rsid w:val="19686C2E"/>
    <w:rsid w:val="196B16E7"/>
    <w:rsid w:val="196B6714"/>
    <w:rsid w:val="196D53A9"/>
    <w:rsid w:val="197F7F5E"/>
    <w:rsid w:val="19A000ED"/>
    <w:rsid w:val="19BB3783"/>
    <w:rsid w:val="19C22803"/>
    <w:rsid w:val="19C41271"/>
    <w:rsid w:val="19C55C5D"/>
    <w:rsid w:val="19CB2B36"/>
    <w:rsid w:val="19CD7DB6"/>
    <w:rsid w:val="19CF1C75"/>
    <w:rsid w:val="19D26C09"/>
    <w:rsid w:val="19D43730"/>
    <w:rsid w:val="19E82D37"/>
    <w:rsid w:val="19EA6AAF"/>
    <w:rsid w:val="19F36A08"/>
    <w:rsid w:val="19FA5745"/>
    <w:rsid w:val="19FC79C1"/>
    <w:rsid w:val="1A1C69E7"/>
    <w:rsid w:val="1A291FEB"/>
    <w:rsid w:val="1A29728D"/>
    <w:rsid w:val="1A424B3D"/>
    <w:rsid w:val="1A475B59"/>
    <w:rsid w:val="1A484717"/>
    <w:rsid w:val="1A501008"/>
    <w:rsid w:val="1A567C36"/>
    <w:rsid w:val="1A613215"/>
    <w:rsid w:val="1A615927"/>
    <w:rsid w:val="1A6920CA"/>
    <w:rsid w:val="1A7B7AFA"/>
    <w:rsid w:val="1A9F46AF"/>
    <w:rsid w:val="1AA11D87"/>
    <w:rsid w:val="1AA44EB0"/>
    <w:rsid w:val="1AAF0FA5"/>
    <w:rsid w:val="1AB501F3"/>
    <w:rsid w:val="1AB6762A"/>
    <w:rsid w:val="1AEE09C5"/>
    <w:rsid w:val="1AF53044"/>
    <w:rsid w:val="1B083C66"/>
    <w:rsid w:val="1B0921C1"/>
    <w:rsid w:val="1B2A5DD3"/>
    <w:rsid w:val="1B2C4F18"/>
    <w:rsid w:val="1B3077F5"/>
    <w:rsid w:val="1B3721C8"/>
    <w:rsid w:val="1B376E54"/>
    <w:rsid w:val="1B397509"/>
    <w:rsid w:val="1B3E5821"/>
    <w:rsid w:val="1B46065D"/>
    <w:rsid w:val="1B494A24"/>
    <w:rsid w:val="1B4A15F4"/>
    <w:rsid w:val="1B530684"/>
    <w:rsid w:val="1B5E1B59"/>
    <w:rsid w:val="1B650AE3"/>
    <w:rsid w:val="1B8D02C4"/>
    <w:rsid w:val="1B9F5147"/>
    <w:rsid w:val="1BBB0703"/>
    <w:rsid w:val="1BBE25E0"/>
    <w:rsid w:val="1BC73F72"/>
    <w:rsid w:val="1C100A68"/>
    <w:rsid w:val="1C175D02"/>
    <w:rsid w:val="1C1B5646"/>
    <w:rsid w:val="1C214E4B"/>
    <w:rsid w:val="1C22105F"/>
    <w:rsid w:val="1C23795C"/>
    <w:rsid w:val="1C3265E3"/>
    <w:rsid w:val="1C392331"/>
    <w:rsid w:val="1C416DFD"/>
    <w:rsid w:val="1C5C6846"/>
    <w:rsid w:val="1C5D1482"/>
    <w:rsid w:val="1C605A37"/>
    <w:rsid w:val="1C6C3060"/>
    <w:rsid w:val="1C803F58"/>
    <w:rsid w:val="1C8B74DB"/>
    <w:rsid w:val="1C9E3FCC"/>
    <w:rsid w:val="1CC62F6D"/>
    <w:rsid w:val="1CD8771A"/>
    <w:rsid w:val="1CDB6D44"/>
    <w:rsid w:val="1D270D16"/>
    <w:rsid w:val="1D304B53"/>
    <w:rsid w:val="1D3B79BC"/>
    <w:rsid w:val="1D413C15"/>
    <w:rsid w:val="1D421B74"/>
    <w:rsid w:val="1D4A3A50"/>
    <w:rsid w:val="1D5D59DD"/>
    <w:rsid w:val="1D5F733B"/>
    <w:rsid w:val="1D5F77B4"/>
    <w:rsid w:val="1D7E0AE7"/>
    <w:rsid w:val="1D840FC9"/>
    <w:rsid w:val="1DB45D52"/>
    <w:rsid w:val="1DB61761"/>
    <w:rsid w:val="1DBC0D48"/>
    <w:rsid w:val="1DC85C18"/>
    <w:rsid w:val="1DD42BFF"/>
    <w:rsid w:val="1DE26213"/>
    <w:rsid w:val="1DED76E4"/>
    <w:rsid w:val="1DF54B06"/>
    <w:rsid w:val="1E001154"/>
    <w:rsid w:val="1E0523E4"/>
    <w:rsid w:val="1E065386"/>
    <w:rsid w:val="1E124EC2"/>
    <w:rsid w:val="1E2E0DC7"/>
    <w:rsid w:val="1E2F7187"/>
    <w:rsid w:val="1E3A01D5"/>
    <w:rsid w:val="1E3E73CA"/>
    <w:rsid w:val="1E4D3BBF"/>
    <w:rsid w:val="1E554444"/>
    <w:rsid w:val="1E621C38"/>
    <w:rsid w:val="1E6358B6"/>
    <w:rsid w:val="1E67331A"/>
    <w:rsid w:val="1E756669"/>
    <w:rsid w:val="1E8374C0"/>
    <w:rsid w:val="1E8D4319"/>
    <w:rsid w:val="1E9935E2"/>
    <w:rsid w:val="1EA90595"/>
    <w:rsid w:val="1EC3067E"/>
    <w:rsid w:val="1EE46F23"/>
    <w:rsid w:val="1F206585"/>
    <w:rsid w:val="1F3B0068"/>
    <w:rsid w:val="1F3D1B7A"/>
    <w:rsid w:val="1F56031B"/>
    <w:rsid w:val="1F7172F1"/>
    <w:rsid w:val="1F7A7BF4"/>
    <w:rsid w:val="1F7F0774"/>
    <w:rsid w:val="1F890B18"/>
    <w:rsid w:val="1F8D77EF"/>
    <w:rsid w:val="1F911354"/>
    <w:rsid w:val="1F986CD2"/>
    <w:rsid w:val="1FB039BC"/>
    <w:rsid w:val="1FBE47D0"/>
    <w:rsid w:val="1FC40A2F"/>
    <w:rsid w:val="1FC97E21"/>
    <w:rsid w:val="1FD2426D"/>
    <w:rsid w:val="20052895"/>
    <w:rsid w:val="20063E98"/>
    <w:rsid w:val="202D0051"/>
    <w:rsid w:val="202E32ED"/>
    <w:rsid w:val="20315D0E"/>
    <w:rsid w:val="205D6275"/>
    <w:rsid w:val="2067013F"/>
    <w:rsid w:val="207374E9"/>
    <w:rsid w:val="20812FE9"/>
    <w:rsid w:val="20860DA1"/>
    <w:rsid w:val="20AA660B"/>
    <w:rsid w:val="20C95670"/>
    <w:rsid w:val="20D15D35"/>
    <w:rsid w:val="20EC5803"/>
    <w:rsid w:val="20EF03A0"/>
    <w:rsid w:val="20F321A8"/>
    <w:rsid w:val="21005017"/>
    <w:rsid w:val="210D6546"/>
    <w:rsid w:val="211F7986"/>
    <w:rsid w:val="21342F91"/>
    <w:rsid w:val="21376DAE"/>
    <w:rsid w:val="213B1415"/>
    <w:rsid w:val="214C004F"/>
    <w:rsid w:val="216D6B54"/>
    <w:rsid w:val="21902291"/>
    <w:rsid w:val="2192686F"/>
    <w:rsid w:val="21B52099"/>
    <w:rsid w:val="21B728BC"/>
    <w:rsid w:val="21BD6CA3"/>
    <w:rsid w:val="21D5652A"/>
    <w:rsid w:val="21F7445F"/>
    <w:rsid w:val="220678ED"/>
    <w:rsid w:val="22384371"/>
    <w:rsid w:val="224B3DC3"/>
    <w:rsid w:val="224D37D0"/>
    <w:rsid w:val="22677287"/>
    <w:rsid w:val="226C6A74"/>
    <w:rsid w:val="22765167"/>
    <w:rsid w:val="22766CA1"/>
    <w:rsid w:val="227B0386"/>
    <w:rsid w:val="22C3252A"/>
    <w:rsid w:val="22CA7293"/>
    <w:rsid w:val="22CE2893"/>
    <w:rsid w:val="22FE020A"/>
    <w:rsid w:val="230324D5"/>
    <w:rsid w:val="230E380E"/>
    <w:rsid w:val="230E7CB2"/>
    <w:rsid w:val="231177A3"/>
    <w:rsid w:val="231352C9"/>
    <w:rsid w:val="231B08E0"/>
    <w:rsid w:val="233F7E6C"/>
    <w:rsid w:val="23457918"/>
    <w:rsid w:val="234C4337"/>
    <w:rsid w:val="23502CAF"/>
    <w:rsid w:val="237008C4"/>
    <w:rsid w:val="23812232"/>
    <w:rsid w:val="2383253C"/>
    <w:rsid w:val="23867849"/>
    <w:rsid w:val="238A110E"/>
    <w:rsid w:val="23A653CF"/>
    <w:rsid w:val="23A83C63"/>
    <w:rsid w:val="23AA0497"/>
    <w:rsid w:val="23D50FD6"/>
    <w:rsid w:val="23D5104D"/>
    <w:rsid w:val="23DE15E8"/>
    <w:rsid w:val="23EE2E51"/>
    <w:rsid w:val="23F009BB"/>
    <w:rsid w:val="23FE163F"/>
    <w:rsid w:val="24091071"/>
    <w:rsid w:val="240C6E87"/>
    <w:rsid w:val="242377C2"/>
    <w:rsid w:val="2426102C"/>
    <w:rsid w:val="24424696"/>
    <w:rsid w:val="24507581"/>
    <w:rsid w:val="245D1079"/>
    <w:rsid w:val="246A4EEA"/>
    <w:rsid w:val="247946B4"/>
    <w:rsid w:val="247953C5"/>
    <w:rsid w:val="248A4636"/>
    <w:rsid w:val="24974735"/>
    <w:rsid w:val="249B3770"/>
    <w:rsid w:val="24AE5664"/>
    <w:rsid w:val="24B96AE1"/>
    <w:rsid w:val="24CD76F9"/>
    <w:rsid w:val="24EB66B5"/>
    <w:rsid w:val="24EE3193"/>
    <w:rsid w:val="24FD3A97"/>
    <w:rsid w:val="250052D6"/>
    <w:rsid w:val="250E36B7"/>
    <w:rsid w:val="251C6096"/>
    <w:rsid w:val="251D5F8B"/>
    <w:rsid w:val="252656AD"/>
    <w:rsid w:val="252B77EB"/>
    <w:rsid w:val="252D117E"/>
    <w:rsid w:val="254556A5"/>
    <w:rsid w:val="254A0D4A"/>
    <w:rsid w:val="2559428A"/>
    <w:rsid w:val="255D1714"/>
    <w:rsid w:val="25877303"/>
    <w:rsid w:val="258D504F"/>
    <w:rsid w:val="25AC730F"/>
    <w:rsid w:val="25B41248"/>
    <w:rsid w:val="25C83030"/>
    <w:rsid w:val="25D31324"/>
    <w:rsid w:val="25D94EBD"/>
    <w:rsid w:val="25DD4AD6"/>
    <w:rsid w:val="25F56F08"/>
    <w:rsid w:val="260F4F05"/>
    <w:rsid w:val="2612425B"/>
    <w:rsid w:val="26377424"/>
    <w:rsid w:val="264947BA"/>
    <w:rsid w:val="264A6022"/>
    <w:rsid w:val="264C2107"/>
    <w:rsid w:val="267267AA"/>
    <w:rsid w:val="268A58A2"/>
    <w:rsid w:val="26A32D39"/>
    <w:rsid w:val="26A7674B"/>
    <w:rsid w:val="26BE01D1"/>
    <w:rsid w:val="26C02DFC"/>
    <w:rsid w:val="26C62116"/>
    <w:rsid w:val="26CB123C"/>
    <w:rsid w:val="26D92385"/>
    <w:rsid w:val="26E63077"/>
    <w:rsid w:val="26FC7E22"/>
    <w:rsid w:val="26FD510C"/>
    <w:rsid w:val="26FE3B9A"/>
    <w:rsid w:val="270159E8"/>
    <w:rsid w:val="270311B0"/>
    <w:rsid w:val="271512A4"/>
    <w:rsid w:val="27223A04"/>
    <w:rsid w:val="27257379"/>
    <w:rsid w:val="273F44ED"/>
    <w:rsid w:val="274C4F1B"/>
    <w:rsid w:val="275358FE"/>
    <w:rsid w:val="27574DCA"/>
    <w:rsid w:val="27654312"/>
    <w:rsid w:val="27657B3A"/>
    <w:rsid w:val="276854B7"/>
    <w:rsid w:val="276C5CB3"/>
    <w:rsid w:val="276F6846"/>
    <w:rsid w:val="27750300"/>
    <w:rsid w:val="2785728F"/>
    <w:rsid w:val="278A1672"/>
    <w:rsid w:val="279938C3"/>
    <w:rsid w:val="279C0061"/>
    <w:rsid w:val="279C3655"/>
    <w:rsid w:val="27A63ADE"/>
    <w:rsid w:val="27CA4388"/>
    <w:rsid w:val="27CE6258"/>
    <w:rsid w:val="27D80806"/>
    <w:rsid w:val="27EB7D23"/>
    <w:rsid w:val="28070D37"/>
    <w:rsid w:val="2815563F"/>
    <w:rsid w:val="28155D95"/>
    <w:rsid w:val="28172636"/>
    <w:rsid w:val="28197776"/>
    <w:rsid w:val="281D59D2"/>
    <w:rsid w:val="28495AD5"/>
    <w:rsid w:val="284B2C9E"/>
    <w:rsid w:val="284E62B7"/>
    <w:rsid w:val="285717B4"/>
    <w:rsid w:val="28591640"/>
    <w:rsid w:val="285F2D5E"/>
    <w:rsid w:val="28601ADA"/>
    <w:rsid w:val="28666D4B"/>
    <w:rsid w:val="286A3D5A"/>
    <w:rsid w:val="28762FF9"/>
    <w:rsid w:val="28935284"/>
    <w:rsid w:val="28956780"/>
    <w:rsid w:val="289C7FDA"/>
    <w:rsid w:val="28A36429"/>
    <w:rsid w:val="28A92DDA"/>
    <w:rsid w:val="28A95D87"/>
    <w:rsid w:val="28BB5D28"/>
    <w:rsid w:val="28EF41A5"/>
    <w:rsid w:val="28FA2948"/>
    <w:rsid w:val="29057462"/>
    <w:rsid w:val="29073DF2"/>
    <w:rsid w:val="291D0EC5"/>
    <w:rsid w:val="291F1FEF"/>
    <w:rsid w:val="292A336C"/>
    <w:rsid w:val="2934056D"/>
    <w:rsid w:val="29344A5D"/>
    <w:rsid w:val="29345F99"/>
    <w:rsid w:val="2939535D"/>
    <w:rsid w:val="293D1A4A"/>
    <w:rsid w:val="29411A4D"/>
    <w:rsid w:val="294146A0"/>
    <w:rsid w:val="29523730"/>
    <w:rsid w:val="295E0603"/>
    <w:rsid w:val="296C0F50"/>
    <w:rsid w:val="297005F7"/>
    <w:rsid w:val="29712625"/>
    <w:rsid w:val="298011DE"/>
    <w:rsid w:val="298567F4"/>
    <w:rsid w:val="29937D3F"/>
    <w:rsid w:val="299D092B"/>
    <w:rsid w:val="29A46C7B"/>
    <w:rsid w:val="29A7338E"/>
    <w:rsid w:val="29C16A0B"/>
    <w:rsid w:val="29C332B0"/>
    <w:rsid w:val="29CF181E"/>
    <w:rsid w:val="29D05400"/>
    <w:rsid w:val="29D2640A"/>
    <w:rsid w:val="29DC64F5"/>
    <w:rsid w:val="29DE3D0C"/>
    <w:rsid w:val="29E03A2B"/>
    <w:rsid w:val="29FB2613"/>
    <w:rsid w:val="2A0A3F1D"/>
    <w:rsid w:val="2A1D1D28"/>
    <w:rsid w:val="2A2210D2"/>
    <w:rsid w:val="2A273408"/>
    <w:rsid w:val="2A3D2C2B"/>
    <w:rsid w:val="2A443B41"/>
    <w:rsid w:val="2A675D1D"/>
    <w:rsid w:val="2A6F2533"/>
    <w:rsid w:val="2A8379A8"/>
    <w:rsid w:val="2A8C5763"/>
    <w:rsid w:val="2A9A1E2C"/>
    <w:rsid w:val="2AC74D46"/>
    <w:rsid w:val="2AE2508E"/>
    <w:rsid w:val="2AF91248"/>
    <w:rsid w:val="2B053749"/>
    <w:rsid w:val="2B182CEE"/>
    <w:rsid w:val="2B1971F4"/>
    <w:rsid w:val="2B1C4789"/>
    <w:rsid w:val="2B1C6CE5"/>
    <w:rsid w:val="2B231DC1"/>
    <w:rsid w:val="2B2E7456"/>
    <w:rsid w:val="2B3109E2"/>
    <w:rsid w:val="2B391EB6"/>
    <w:rsid w:val="2B5B04A2"/>
    <w:rsid w:val="2B5D5BAC"/>
    <w:rsid w:val="2B6D714A"/>
    <w:rsid w:val="2B7C45EA"/>
    <w:rsid w:val="2B7E06E4"/>
    <w:rsid w:val="2B9D01D1"/>
    <w:rsid w:val="2BB35200"/>
    <w:rsid w:val="2BB411F5"/>
    <w:rsid w:val="2BBC360E"/>
    <w:rsid w:val="2BDC5957"/>
    <w:rsid w:val="2BE5716D"/>
    <w:rsid w:val="2BEE70CB"/>
    <w:rsid w:val="2BF06C39"/>
    <w:rsid w:val="2BFE1C90"/>
    <w:rsid w:val="2C0145D6"/>
    <w:rsid w:val="2C1026AE"/>
    <w:rsid w:val="2C110821"/>
    <w:rsid w:val="2C163734"/>
    <w:rsid w:val="2C3818FC"/>
    <w:rsid w:val="2C3879D4"/>
    <w:rsid w:val="2C3B100C"/>
    <w:rsid w:val="2C3F712F"/>
    <w:rsid w:val="2C555779"/>
    <w:rsid w:val="2C6B39DD"/>
    <w:rsid w:val="2C7A4197"/>
    <w:rsid w:val="2C906044"/>
    <w:rsid w:val="2CAA608D"/>
    <w:rsid w:val="2CAF0B48"/>
    <w:rsid w:val="2CC01497"/>
    <w:rsid w:val="2CC15D95"/>
    <w:rsid w:val="2CC325BA"/>
    <w:rsid w:val="2CC366EF"/>
    <w:rsid w:val="2CC93688"/>
    <w:rsid w:val="2CD51841"/>
    <w:rsid w:val="2CDA29B3"/>
    <w:rsid w:val="2CDF067A"/>
    <w:rsid w:val="2CE81574"/>
    <w:rsid w:val="2D174547"/>
    <w:rsid w:val="2D284168"/>
    <w:rsid w:val="2D286362"/>
    <w:rsid w:val="2D3447B9"/>
    <w:rsid w:val="2D3D6649"/>
    <w:rsid w:val="2D3E7B17"/>
    <w:rsid w:val="2D4D2BC7"/>
    <w:rsid w:val="2D4E6789"/>
    <w:rsid w:val="2D613355"/>
    <w:rsid w:val="2D727090"/>
    <w:rsid w:val="2D7706C4"/>
    <w:rsid w:val="2D7F601F"/>
    <w:rsid w:val="2D8C0171"/>
    <w:rsid w:val="2D9F45BA"/>
    <w:rsid w:val="2DA21723"/>
    <w:rsid w:val="2DB63420"/>
    <w:rsid w:val="2DB667C0"/>
    <w:rsid w:val="2DBB71E7"/>
    <w:rsid w:val="2DC30C55"/>
    <w:rsid w:val="2DCA4EAD"/>
    <w:rsid w:val="2DD53B93"/>
    <w:rsid w:val="2DF7327F"/>
    <w:rsid w:val="2E043EC1"/>
    <w:rsid w:val="2E144F84"/>
    <w:rsid w:val="2E16591C"/>
    <w:rsid w:val="2E250F78"/>
    <w:rsid w:val="2E26165D"/>
    <w:rsid w:val="2E2C1D7D"/>
    <w:rsid w:val="2E307063"/>
    <w:rsid w:val="2E6D730E"/>
    <w:rsid w:val="2E702F5E"/>
    <w:rsid w:val="2E71047E"/>
    <w:rsid w:val="2E715136"/>
    <w:rsid w:val="2E8004E0"/>
    <w:rsid w:val="2E8647D5"/>
    <w:rsid w:val="2E9B579F"/>
    <w:rsid w:val="2E9D7722"/>
    <w:rsid w:val="2E9E3ECA"/>
    <w:rsid w:val="2EA878B3"/>
    <w:rsid w:val="2EB23334"/>
    <w:rsid w:val="2EBD433B"/>
    <w:rsid w:val="2EE309CE"/>
    <w:rsid w:val="2EF1054D"/>
    <w:rsid w:val="2EF273D6"/>
    <w:rsid w:val="2EFC24BA"/>
    <w:rsid w:val="2F100566"/>
    <w:rsid w:val="2F17369A"/>
    <w:rsid w:val="2F230642"/>
    <w:rsid w:val="2F247F31"/>
    <w:rsid w:val="2F3565C7"/>
    <w:rsid w:val="2F37730B"/>
    <w:rsid w:val="2F40539D"/>
    <w:rsid w:val="2F422672"/>
    <w:rsid w:val="2F4A2072"/>
    <w:rsid w:val="2F4C2A75"/>
    <w:rsid w:val="2F507944"/>
    <w:rsid w:val="2F54787E"/>
    <w:rsid w:val="2F574929"/>
    <w:rsid w:val="2F587873"/>
    <w:rsid w:val="2F7357C9"/>
    <w:rsid w:val="2F794705"/>
    <w:rsid w:val="2F7B222C"/>
    <w:rsid w:val="2F81665D"/>
    <w:rsid w:val="2F855811"/>
    <w:rsid w:val="2FA24D14"/>
    <w:rsid w:val="2FA32884"/>
    <w:rsid w:val="2FA54B6D"/>
    <w:rsid w:val="2FAD3C4C"/>
    <w:rsid w:val="2FB11689"/>
    <w:rsid w:val="2FC11AFC"/>
    <w:rsid w:val="2FC24A43"/>
    <w:rsid w:val="2FC637C4"/>
    <w:rsid w:val="2FCC5473"/>
    <w:rsid w:val="2FD31D5A"/>
    <w:rsid w:val="2FD4085F"/>
    <w:rsid w:val="2FDB5252"/>
    <w:rsid w:val="2FFC3E4A"/>
    <w:rsid w:val="30025F22"/>
    <w:rsid w:val="300903D3"/>
    <w:rsid w:val="303C338D"/>
    <w:rsid w:val="305B3E0B"/>
    <w:rsid w:val="30603F54"/>
    <w:rsid w:val="30654DE3"/>
    <w:rsid w:val="306E3B3E"/>
    <w:rsid w:val="3078676B"/>
    <w:rsid w:val="309D537A"/>
    <w:rsid w:val="30A532D8"/>
    <w:rsid w:val="30B0741D"/>
    <w:rsid w:val="30B84E2F"/>
    <w:rsid w:val="30D74A46"/>
    <w:rsid w:val="30E402A4"/>
    <w:rsid w:val="30E45881"/>
    <w:rsid w:val="30E7770A"/>
    <w:rsid w:val="30E947AF"/>
    <w:rsid w:val="30F009F7"/>
    <w:rsid w:val="313A6116"/>
    <w:rsid w:val="3143389E"/>
    <w:rsid w:val="31477752"/>
    <w:rsid w:val="314D3E18"/>
    <w:rsid w:val="31523460"/>
    <w:rsid w:val="31564CAF"/>
    <w:rsid w:val="31613E75"/>
    <w:rsid w:val="31801811"/>
    <w:rsid w:val="31BF02DE"/>
    <w:rsid w:val="31C034B8"/>
    <w:rsid w:val="31C62418"/>
    <w:rsid w:val="31CD7146"/>
    <w:rsid w:val="31D85C80"/>
    <w:rsid w:val="31DD1ED5"/>
    <w:rsid w:val="32123B7C"/>
    <w:rsid w:val="32127FC3"/>
    <w:rsid w:val="32163D42"/>
    <w:rsid w:val="32170199"/>
    <w:rsid w:val="32187A23"/>
    <w:rsid w:val="321C4ABE"/>
    <w:rsid w:val="321D0CF7"/>
    <w:rsid w:val="32225021"/>
    <w:rsid w:val="322568B9"/>
    <w:rsid w:val="32376DBB"/>
    <w:rsid w:val="323963CE"/>
    <w:rsid w:val="324646FE"/>
    <w:rsid w:val="325B2FFB"/>
    <w:rsid w:val="32863FA2"/>
    <w:rsid w:val="32A2793C"/>
    <w:rsid w:val="32A939A4"/>
    <w:rsid w:val="32AE6EC0"/>
    <w:rsid w:val="32C27B06"/>
    <w:rsid w:val="32C674BA"/>
    <w:rsid w:val="32D45A8D"/>
    <w:rsid w:val="32E34817"/>
    <w:rsid w:val="32E441A5"/>
    <w:rsid w:val="32E65787"/>
    <w:rsid w:val="32F07CD0"/>
    <w:rsid w:val="32FA191D"/>
    <w:rsid w:val="332156F8"/>
    <w:rsid w:val="33290122"/>
    <w:rsid w:val="332E5807"/>
    <w:rsid w:val="333F6A58"/>
    <w:rsid w:val="335014CF"/>
    <w:rsid w:val="3350577D"/>
    <w:rsid w:val="335E433E"/>
    <w:rsid w:val="335F1E64"/>
    <w:rsid w:val="33651CA7"/>
    <w:rsid w:val="336F3761"/>
    <w:rsid w:val="33786840"/>
    <w:rsid w:val="337E33C2"/>
    <w:rsid w:val="33A245F3"/>
    <w:rsid w:val="33BA3F0E"/>
    <w:rsid w:val="33C26121"/>
    <w:rsid w:val="33E12879"/>
    <w:rsid w:val="33E5326A"/>
    <w:rsid w:val="33F255E2"/>
    <w:rsid w:val="342B24EA"/>
    <w:rsid w:val="343E1A7A"/>
    <w:rsid w:val="344A0004"/>
    <w:rsid w:val="345F3B06"/>
    <w:rsid w:val="34814AD7"/>
    <w:rsid w:val="3491097A"/>
    <w:rsid w:val="34932400"/>
    <w:rsid w:val="34957D8E"/>
    <w:rsid w:val="349800B3"/>
    <w:rsid w:val="34A32532"/>
    <w:rsid w:val="34D901EC"/>
    <w:rsid w:val="34E722E6"/>
    <w:rsid w:val="34F854DE"/>
    <w:rsid w:val="3507532F"/>
    <w:rsid w:val="3519606C"/>
    <w:rsid w:val="351C4B52"/>
    <w:rsid w:val="351D3D85"/>
    <w:rsid w:val="35241607"/>
    <w:rsid w:val="352820B5"/>
    <w:rsid w:val="35301D0A"/>
    <w:rsid w:val="356A107A"/>
    <w:rsid w:val="356C2617"/>
    <w:rsid w:val="357240D1"/>
    <w:rsid w:val="35807E88"/>
    <w:rsid w:val="358C136B"/>
    <w:rsid w:val="359A2AB4"/>
    <w:rsid w:val="359E6AD2"/>
    <w:rsid w:val="35A2317E"/>
    <w:rsid w:val="35A40895"/>
    <w:rsid w:val="35AD3C4E"/>
    <w:rsid w:val="35D4177E"/>
    <w:rsid w:val="35F14F32"/>
    <w:rsid w:val="35F35464"/>
    <w:rsid w:val="36201DE9"/>
    <w:rsid w:val="364D069A"/>
    <w:rsid w:val="365E2595"/>
    <w:rsid w:val="366065C0"/>
    <w:rsid w:val="36721F9F"/>
    <w:rsid w:val="369C656A"/>
    <w:rsid w:val="369F1F52"/>
    <w:rsid w:val="36B71405"/>
    <w:rsid w:val="36D8249B"/>
    <w:rsid w:val="36DA311F"/>
    <w:rsid w:val="36EF3E0D"/>
    <w:rsid w:val="36F17277"/>
    <w:rsid w:val="36F974DE"/>
    <w:rsid w:val="36FB00F6"/>
    <w:rsid w:val="371B12D5"/>
    <w:rsid w:val="37270786"/>
    <w:rsid w:val="372D77C8"/>
    <w:rsid w:val="37465815"/>
    <w:rsid w:val="375005BE"/>
    <w:rsid w:val="37557806"/>
    <w:rsid w:val="375A0BBB"/>
    <w:rsid w:val="37616336"/>
    <w:rsid w:val="3778164F"/>
    <w:rsid w:val="37873738"/>
    <w:rsid w:val="37955393"/>
    <w:rsid w:val="379A644B"/>
    <w:rsid w:val="379F3DEB"/>
    <w:rsid w:val="37A17350"/>
    <w:rsid w:val="37A463C5"/>
    <w:rsid w:val="37A56BB4"/>
    <w:rsid w:val="37CB1C4F"/>
    <w:rsid w:val="37DE5A4E"/>
    <w:rsid w:val="37E1109A"/>
    <w:rsid w:val="37F21986"/>
    <w:rsid w:val="380D1E57"/>
    <w:rsid w:val="38181614"/>
    <w:rsid w:val="381A01C6"/>
    <w:rsid w:val="3828676A"/>
    <w:rsid w:val="38293D99"/>
    <w:rsid w:val="382A10B6"/>
    <w:rsid w:val="382B0567"/>
    <w:rsid w:val="383E38E8"/>
    <w:rsid w:val="383E3BD4"/>
    <w:rsid w:val="38476878"/>
    <w:rsid w:val="38507FCD"/>
    <w:rsid w:val="385D1B58"/>
    <w:rsid w:val="38630F50"/>
    <w:rsid w:val="38681882"/>
    <w:rsid w:val="386941EF"/>
    <w:rsid w:val="386969A4"/>
    <w:rsid w:val="3872138D"/>
    <w:rsid w:val="38926846"/>
    <w:rsid w:val="389600D6"/>
    <w:rsid w:val="389C41B5"/>
    <w:rsid w:val="389E1F40"/>
    <w:rsid w:val="38A81BB8"/>
    <w:rsid w:val="38B15DBE"/>
    <w:rsid w:val="38B5074F"/>
    <w:rsid w:val="38BA5DF1"/>
    <w:rsid w:val="38C3791A"/>
    <w:rsid w:val="38C42100"/>
    <w:rsid w:val="38C84008"/>
    <w:rsid w:val="38C91991"/>
    <w:rsid w:val="38D0023D"/>
    <w:rsid w:val="38DF6970"/>
    <w:rsid w:val="38EA6674"/>
    <w:rsid w:val="38EB35D9"/>
    <w:rsid w:val="38EF1306"/>
    <w:rsid w:val="38FC4DCB"/>
    <w:rsid w:val="39202BDF"/>
    <w:rsid w:val="39225E0E"/>
    <w:rsid w:val="394836C2"/>
    <w:rsid w:val="394E7C29"/>
    <w:rsid w:val="39592738"/>
    <w:rsid w:val="399D2302"/>
    <w:rsid w:val="39A5557C"/>
    <w:rsid w:val="39AD3FFB"/>
    <w:rsid w:val="39B51BB1"/>
    <w:rsid w:val="39C81445"/>
    <w:rsid w:val="39CB3D50"/>
    <w:rsid w:val="39F75C98"/>
    <w:rsid w:val="3A1A6AE5"/>
    <w:rsid w:val="3A480BD6"/>
    <w:rsid w:val="3A4B4FBC"/>
    <w:rsid w:val="3A536829"/>
    <w:rsid w:val="3A611BB7"/>
    <w:rsid w:val="3A612966"/>
    <w:rsid w:val="3A684532"/>
    <w:rsid w:val="3A690131"/>
    <w:rsid w:val="3A6A1AF4"/>
    <w:rsid w:val="3A707606"/>
    <w:rsid w:val="3A8613FF"/>
    <w:rsid w:val="3A8B1791"/>
    <w:rsid w:val="3A9C5C5F"/>
    <w:rsid w:val="3AA765CB"/>
    <w:rsid w:val="3AAE6BB0"/>
    <w:rsid w:val="3AB70679"/>
    <w:rsid w:val="3ABD615B"/>
    <w:rsid w:val="3AC1698E"/>
    <w:rsid w:val="3AC362F8"/>
    <w:rsid w:val="3ACB058F"/>
    <w:rsid w:val="3AD45851"/>
    <w:rsid w:val="3AD5069F"/>
    <w:rsid w:val="3AE150D1"/>
    <w:rsid w:val="3AF03D2B"/>
    <w:rsid w:val="3AFA3EA4"/>
    <w:rsid w:val="3B002A20"/>
    <w:rsid w:val="3B271CCA"/>
    <w:rsid w:val="3B524634"/>
    <w:rsid w:val="3B6224F2"/>
    <w:rsid w:val="3B6A75F8"/>
    <w:rsid w:val="3B7A596E"/>
    <w:rsid w:val="3B7C7A57"/>
    <w:rsid w:val="3B905FB8"/>
    <w:rsid w:val="3BA41CDA"/>
    <w:rsid w:val="3BBC4322"/>
    <w:rsid w:val="3BC36985"/>
    <w:rsid w:val="3BC53A7B"/>
    <w:rsid w:val="3BD04FEB"/>
    <w:rsid w:val="3BDD1B00"/>
    <w:rsid w:val="3BE60A4F"/>
    <w:rsid w:val="3BF57404"/>
    <w:rsid w:val="3C016052"/>
    <w:rsid w:val="3C122A8F"/>
    <w:rsid w:val="3C1617B3"/>
    <w:rsid w:val="3C243C4B"/>
    <w:rsid w:val="3C2A5888"/>
    <w:rsid w:val="3C2E0828"/>
    <w:rsid w:val="3C2F2485"/>
    <w:rsid w:val="3C3245BA"/>
    <w:rsid w:val="3C3C0F95"/>
    <w:rsid w:val="3C3C2D43"/>
    <w:rsid w:val="3C4542ED"/>
    <w:rsid w:val="3C4F3659"/>
    <w:rsid w:val="3C6600A4"/>
    <w:rsid w:val="3C697005"/>
    <w:rsid w:val="3C6B7A4C"/>
    <w:rsid w:val="3C7A386B"/>
    <w:rsid w:val="3C7D76BD"/>
    <w:rsid w:val="3C8C0008"/>
    <w:rsid w:val="3C8F2858"/>
    <w:rsid w:val="3C976B5F"/>
    <w:rsid w:val="3CDD24E6"/>
    <w:rsid w:val="3CE03707"/>
    <w:rsid w:val="3CE82ECA"/>
    <w:rsid w:val="3CFD6292"/>
    <w:rsid w:val="3D0777F5"/>
    <w:rsid w:val="3D316BD6"/>
    <w:rsid w:val="3D4855E8"/>
    <w:rsid w:val="3D7C3859"/>
    <w:rsid w:val="3D820E64"/>
    <w:rsid w:val="3DAE7C70"/>
    <w:rsid w:val="3DB5650C"/>
    <w:rsid w:val="3DBE2A4D"/>
    <w:rsid w:val="3DD220B1"/>
    <w:rsid w:val="3DE300C8"/>
    <w:rsid w:val="3DE80438"/>
    <w:rsid w:val="3DEE62BF"/>
    <w:rsid w:val="3DF53AF1"/>
    <w:rsid w:val="3DFC4E7F"/>
    <w:rsid w:val="3E1118CF"/>
    <w:rsid w:val="3E25559B"/>
    <w:rsid w:val="3E2C4CB0"/>
    <w:rsid w:val="3E2F677D"/>
    <w:rsid w:val="3E2F6BEF"/>
    <w:rsid w:val="3E3143FD"/>
    <w:rsid w:val="3E3A175F"/>
    <w:rsid w:val="3E444102"/>
    <w:rsid w:val="3E46434D"/>
    <w:rsid w:val="3E4947F6"/>
    <w:rsid w:val="3E6F0041"/>
    <w:rsid w:val="3E75648E"/>
    <w:rsid w:val="3E795988"/>
    <w:rsid w:val="3E933110"/>
    <w:rsid w:val="3E950710"/>
    <w:rsid w:val="3E97040F"/>
    <w:rsid w:val="3E9845D8"/>
    <w:rsid w:val="3E9926CE"/>
    <w:rsid w:val="3E9931B6"/>
    <w:rsid w:val="3E9A61BC"/>
    <w:rsid w:val="3E9A6808"/>
    <w:rsid w:val="3E9B7C1B"/>
    <w:rsid w:val="3E9E6B6F"/>
    <w:rsid w:val="3EB22527"/>
    <w:rsid w:val="3EB9443D"/>
    <w:rsid w:val="3EBA43F3"/>
    <w:rsid w:val="3ECB7D53"/>
    <w:rsid w:val="3EF943D8"/>
    <w:rsid w:val="3F050B15"/>
    <w:rsid w:val="3F43263A"/>
    <w:rsid w:val="3F62215E"/>
    <w:rsid w:val="3F7E26D8"/>
    <w:rsid w:val="3F9236EA"/>
    <w:rsid w:val="3F964E60"/>
    <w:rsid w:val="3F9B4224"/>
    <w:rsid w:val="3F9E1164"/>
    <w:rsid w:val="3FA62879"/>
    <w:rsid w:val="3FAB67E3"/>
    <w:rsid w:val="3FBC32C7"/>
    <w:rsid w:val="3FBD0608"/>
    <w:rsid w:val="3FD17C46"/>
    <w:rsid w:val="3FD44734"/>
    <w:rsid w:val="3FD576E7"/>
    <w:rsid w:val="3FDC2D64"/>
    <w:rsid w:val="3FDD56C2"/>
    <w:rsid w:val="3FE03B95"/>
    <w:rsid w:val="3FEA4B54"/>
    <w:rsid w:val="3FFF5178"/>
    <w:rsid w:val="40116B29"/>
    <w:rsid w:val="401A131B"/>
    <w:rsid w:val="402931A2"/>
    <w:rsid w:val="402F0E5C"/>
    <w:rsid w:val="40302CA3"/>
    <w:rsid w:val="403420DF"/>
    <w:rsid w:val="4034295E"/>
    <w:rsid w:val="40490124"/>
    <w:rsid w:val="404928CE"/>
    <w:rsid w:val="404A2D44"/>
    <w:rsid w:val="404E4E30"/>
    <w:rsid w:val="406E0720"/>
    <w:rsid w:val="407231D7"/>
    <w:rsid w:val="407F58F4"/>
    <w:rsid w:val="409273D5"/>
    <w:rsid w:val="40944994"/>
    <w:rsid w:val="409B3295"/>
    <w:rsid w:val="40A11D0E"/>
    <w:rsid w:val="40DE4C22"/>
    <w:rsid w:val="40ED1807"/>
    <w:rsid w:val="40F214B7"/>
    <w:rsid w:val="40F736DC"/>
    <w:rsid w:val="40FC7377"/>
    <w:rsid w:val="40FD4B69"/>
    <w:rsid w:val="410215D7"/>
    <w:rsid w:val="41095C4A"/>
    <w:rsid w:val="410E398E"/>
    <w:rsid w:val="41100491"/>
    <w:rsid w:val="4125237A"/>
    <w:rsid w:val="41254209"/>
    <w:rsid w:val="41362EAC"/>
    <w:rsid w:val="414145CA"/>
    <w:rsid w:val="41485D92"/>
    <w:rsid w:val="415959F4"/>
    <w:rsid w:val="417879A9"/>
    <w:rsid w:val="417E3DFD"/>
    <w:rsid w:val="41961100"/>
    <w:rsid w:val="419966ED"/>
    <w:rsid w:val="41A110DE"/>
    <w:rsid w:val="41B64DFE"/>
    <w:rsid w:val="41B8417E"/>
    <w:rsid w:val="41C470D5"/>
    <w:rsid w:val="41FF2584"/>
    <w:rsid w:val="4206177E"/>
    <w:rsid w:val="42113249"/>
    <w:rsid w:val="421F738E"/>
    <w:rsid w:val="423E4CDF"/>
    <w:rsid w:val="424B1E5B"/>
    <w:rsid w:val="42530915"/>
    <w:rsid w:val="42537038"/>
    <w:rsid w:val="42705245"/>
    <w:rsid w:val="427D40B5"/>
    <w:rsid w:val="42817701"/>
    <w:rsid w:val="429571BA"/>
    <w:rsid w:val="42A044DE"/>
    <w:rsid w:val="42A6013F"/>
    <w:rsid w:val="42AD096B"/>
    <w:rsid w:val="42C25B7D"/>
    <w:rsid w:val="42C96BE6"/>
    <w:rsid w:val="42CA0E3E"/>
    <w:rsid w:val="42CC763B"/>
    <w:rsid w:val="42D918D2"/>
    <w:rsid w:val="42E04496"/>
    <w:rsid w:val="42E82D9C"/>
    <w:rsid w:val="42ED1B42"/>
    <w:rsid w:val="42FE6E87"/>
    <w:rsid w:val="430B346F"/>
    <w:rsid w:val="43172AD6"/>
    <w:rsid w:val="4320610A"/>
    <w:rsid w:val="43410D90"/>
    <w:rsid w:val="43446488"/>
    <w:rsid w:val="4354336D"/>
    <w:rsid w:val="43780183"/>
    <w:rsid w:val="43895241"/>
    <w:rsid w:val="4389681C"/>
    <w:rsid w:val="438F2E78"/>
    <w:rsid w:val="439F0E1A"/>
    <w:rsid w:val="43A72D42"/>
    <w:rsid w:val="43B256D5"/>
    <w:rsid w:val="43BC25A9"/>
    <w:rsid w:val="43C875B2"/>
    <w:rsid w:val="43D11656"/>
    <w:rsid w:val="43E40D36"/>
    <w:rsid w:val="43E74616"/>
    <w:rsid w:val="43E91A02"/>
    <w:rsid w:val="43F636FF"/>
    <w:rsid w:val="43F86B22"/>
    <w:rsid w:val="44227757"/>
    <w:rsid w:val="44282F9B"/>
    <w:rsid w:val="442B40D0"/>
    <w:rsid w:val="442E4283"/>
    <w:rsid w:val="443E1AC5"/>
    <w:rsid w:val="444D2FD0"/>
    <w:rsid w:val="44640E69"/>
    <w:rsid w:val="4467556E"/>
    <w:rsid w:val="44690083"/>
    <w:rsid w:val="447A7DBC"/>
    <w:rsid w:val="44817E8C"/>
    <w:rsid w:val="448C5F9C"/>
    <w:rsid w:val="449B69D0"/>
    <w:rsid w:val="44B51B10"/>
    <w:rsid w:val="44C91833"/>
    <w:rsid w:val="44CC35B2"/>
    <w:rsid w:val="44D10102"/>
    <w:rsid w:val="44D73F50"/>
    <w:rsid w:val="44E12D11"/>
    <w:rsid w:val="45014B29"/>
    <w:rsid w:val="450E44DC"/>
    <w:rsid w:val="45372F60"/>
    <w:rsid w:val="45375033"/>
    <w:rsid w:val="45375C70"/>
    <w:rsid w:val="45393F4C"/>
    <w:rsid w:val="453E7601"/>
    <w:rsid w:val="45433394"/>
    <w:rsid w:val="45442C68"/>
    <w:rsid w:val="455F2A4B"/>
    <w:rsid w:val="45616DE1"/>
    <w:rsid w:val="45647845"/>
    <w:rsid w:val="456766AD"/>
    <w:rsid w:val="4572682B"/>
    <w:rsid w:val="45BA077C"/>
    <w:rsid w:val="45E143DF"/>
    <w:rsid w:val="45E26209"/>
    <w:rsid w:val="45F12DF0"/>
    <w:rsid w:val="45F90257"/>
    <w:rsid w:val="4605093B"/>
    <w:rsid w:val="460A2104"/>
    <w:rsid w:val="461309BF"/>
    <w:rsid w:val="461B1C1B"/>
    <w:rsid w:val="461F4288"/>
    <w:rsid w:val="46211F0A"/>
    <w:rsid w:val="462E5DF2"/>
    <w:rsid w:val="46347950"/>
    <w:rsid w:val="463B5EBB"/>
    <w:rsid w:val="464506DD"/>
    <w:rsid w:val="46455393"/>
    <w:rsid w:val="464C2158"/>
    <w:rsid w:val="46560EA5"/>
    <w:rsid w:val="46661A18"/>
    <w:rsid w:val="466F7C85"/>
    <w:rsid w:val="4678706D"/>
    <w:rsid w:val="467B212D"/>
    <w:rsid w:val="46823ED7"/>
    <w:rsid w:val="46853C85"/>
    <w:rsid w:val="468F7945"/>
    <w:rsid w:val="46A2233C"/>
    <w:rsid w:val="46A25129"/>
    <w:rsid w:val="46A41C10"/>
    <w:rsid w:val="46A90896"/>
    <w:rsid w:val="46AF11EE"/>
    <w:rsid w:val="46B51AF9"/>
    <w:rsid w:val="46C640E7"/>
    <w:rsid w:val="46D63D94"/>
    <w:rsid w:val="46E97443"/>
    <w:rsid w:val="46EB7055"/>
    <w:rsid w:val="46F43517"/>
    <w:rsid w:val="46F87D23"/>
    <w:rsid w:val="470A78C6"/>
    <w:rsid w:val="471A6376"/>
    <w:rsid w:val="47325D2A"/>
    <w:rsid w:val="47343C1B"/>
    <w:rsid w:val="47357E62"/>
    <w:rsid w:val="47451645"/>
    <w:rsid w:val="47580E59"/>
    <w:rsid w:val="47594596"/>
    <w:rsid w:val="475A6205"/>
    <w:rsid w:val="476D7132"/>
    <w:rsid w:val="4775799F"/>
    <w:rsid w:val="47774690"/>
    <w:rsid w:val="47833EFA"/>
    <w:rsid w:val="47BE4F54"/>
    <w:rsid w:val="47C45EEA"/>
    <w:rsid w:val="47D14C87"/>
    <w:rsid w:val="47D507E1"/>
    <w:rsid w:val="47D63C21"/>
    <w:rsid w:val="47E17348"/>
    <w:rsid w:val="47E57A30"/>
    <w:rsid w:val="47EE5F1B"/>
    <w:rsid w:val="47FA4574"/>
    <w:rsid w:val="480E4C1F"/>
    <w:rsid w:val="482E0F48"/>
    <w:rsid w:val="482F19AD"/>
    <w:rsid w:val="48300FD1"/>
    <w:rsid w:val="48331DEF"/>
    <w:rsid w:val="48452BB5"/>
    <w:rsid w:val="4856518C"/>
    <w:rsid w:val="48583E7E"/>
    <w:rsid w:val="485F6A76"/>
    <w:rsid w:val="4875049A"/>
    <w:rsid w:val="48814981"/>
    <w:rsid w:val="48856527"/>
    <w:rsid w:val="488937B4"/>
    <w:rsid w:val="48996585"/>
    <w:rsid w:val="48A27589"/>
    <w:rsid w:val="48A71E8C"/>
    <w:rsid w:val="48AF68B3"/>
    <w:rsid w:val="48B1559F"/>
    <w:rsid w:val="48BA0B51"/>
    <w:rsid w:val="48C150D9"/>
    <w:rsid w:val="48C67D19"/>
    <w:rsid w:val="48CE02E5"/>
    <w:rsid w:val="48D32C81"/>
    <w:rsid w:val="48D83DF3"/>
    <w:rsid w:val="48E20F8B"/>
    <w:rsid w:val="48E32DAC"/>
    <w:rsid w:val="48EF45ED"/>
    <w:rsid w:val="48FB1DB1"/>
    <w:rsid w:val="48FF06EF"/>
    <w:rsid w:val="491804C3"/>
    <w:rsid w:val="49296D45"/>
    <w:rsid w:val="492B486B"/>
    <w:rsid w:val="492C3F14"/>
    <w:rsid w:val="49311755"/>
    <w:rsid w:val="49456486"/>
    <w:rsid w:val="494906D9"/>
    <w:rsid w:val="49520E7A"/>
    <w:rsid w:val="496F1A7D"/>
    <w:rsid w:val="497151E2"/>
    <w:rsid w:val="49743A75"/>
    <w:rsid w:val="4981763E"/>
    <w:rsid w:val="49867CF3"/>
    <w:rsid w:val="49973E03"/>
    <w:rsid w:val="49B21224"/>
    <w:rsid w:val="49B66980"/>
    <w:rsid w:val="49C820BA"/>
    <w:rsid w:val="49CA4084"/>
    <w:rsid w:val="49DE23C0"/>
    <w:rsid w:val="49DE3ABD"/>
    <w:rsid w:val="49E15068"/>
    <w:rsid w:val="49F25E55"/>
    <w:rsid w:val="49F31362"/>
    <w:rsid w:val="4A274F46"/>
    <w:rsid w:val="4A300F83"/>
    <w:rsid w:val="4A3941F9"/>
    <w:rsid w:val="4A5A7206"/>
    <w:rsid w:val="4A5C6AAC"/>
    <w:rsid w:val="4A800418"/>
    <w:rsid w:val="4A867813"/>
    <w:rsid w:val="4A8F234C"/>
    <w:rsid w:val="4AA73ED8"/>
    <w:rsid w:val="4AAA7A11"/>
    <w:rsid w:val="4AB6751C"/>
    <w:rsid w:val="4AB7035B"/>
    <w:rsid w:val="4AC37D95"/>
    <w:rsid w:val="4ACE3700"/>
    <w:rsid w:val="4AD47351"/>
    <w:rsid w:val="4ADA0F76"/>
    <w:rsid w:val="4AEE78FE"/>
    <w:rsid w:val="4AF50D47"/>
    <w:rsid w:val="4AF76C13"/>
    <w:rsid w:val="4B07250F"/>
    <w:rsid w:val="4B0E61F2"/>
    <w:rsid w:val="4B146144"/>
    <w:rsid w:val="4B176736"/>
    <w:rsid w:val="4B7A5635"/>
    <w:rsid w:val="4B871C83"/>
    <w:rsid w:val="4B8E46F5"/>
    <w:rsid w:val="4B9366F7"/>
    <w:rsid w:val="4B995BE6"/>
    <w:rsid w:val="4BA31E68"/>
    <w:rsid w:val="4BA440B0"/>
    <w:rsid w:val="4BC62629"/>
    <w:rsid w:val="4BCB7B6B"/>
    <w:rsid w:val="4BCE319F"/>
    <w:rsid w:val="4BD7329D"/>
    <w:rsid w:val="4BF930BB"/>
    <w:rsid w:val="4C043151"/>
    <w:rsid w:val="4C067519"/>
    <w:rsid w:val="4C15710C"/>
    <w:rsid w:val="4C480FB2"/>
    <w:rsid w:val="4C547C35"/>
    <w:rsid w:val="4C7D2B1A"/>
    <w:rsid w:val="4C7F1958"/>
    <w:rsid w:val="4C853456"/>
    <w:rsid w:val="4CA071DE"/>
    <w:rsid w:val="4CAE6394"/>
    <w:rsid w:val="4CBC0F2B"/>
    <w:rsid w:val="4CC76658"/>
    <w:rsid w:val="4CD40000"/>
    <w:rsid w:val="4CDA1BDA"/>
    <w:rsid w:val="4CF13B19"/>
    <w:rsid w:val="4D010672"/>
    <w:rsid w:val="4D055B17"/>
    <w:rsid w:val="4D0D7563"/>
    <w:rsid w:val="4D113D78"/>
    <w:rsid w:val="4D260FE9"/>
    <w:rsid w:val="4D2748EF"/>
    <w:rsid w:val="4D2B34E9"/>
    <w:rsid w:val="4D2D0027"/>
    <w:rsid w:val="4D467EC5"/>
    <w:rsid w:val="4D573E80"/>
    <w:rsid w:val="4D693F3A"/>
    <w:rsid w:val="4D8B6C9C"/>
    <w:rsid w:val="4D8F12D1"/>
    <w:rsid w:val="4D956DE8"/>
    <w:rsid w:val="4D9D0C4D"/>
    <w:rsid w:val="4DA1334D"/>
    <w:rsid w:val="4DAB0942"/>
    <w:rsid w:val="4DC332C4"/>
    <w:rsid w:val="4DC62DB4"/>
    <w:rsid w:val="4DE17BEE"/>
    <w:rsid w:val="4DE33556"/>
    <w:rsid w:val="4DF50813"/>
    <w:rsid w:val="4DF8603A"/>
    <w:rsid w:val="4E0D2791"/>
    <w:rsid w:val="4E1119F8"/>
    <w:rsid w:val="4E335FFF"/>
    <w:rsid w:val="4E466B47"/>
    <w:rsid w:val="4E4C75D0"/>
    <w:rsid w:val="4E4D0CCA"/>
    <w:rsid w:val="4E5C2AFA"/>
    <w:rsid w:val="4E643432"/>
    <w:rsid w:val="4E6A1991"/>
    <w:rsid w:val="4E854A1D"/>
    <w:rsid w:val="4E8E134B"/>
    <w:rsid w:val="4EAE3E03"/>
    <w:rsid w:val="4EB166F4"/>
    <w:rsid w:val="4EB470B0"/>
    <w:rsid w:val="4EB726FD"/>
    <w:rsid w:val="4EBE7E3F"/>
    <w:rsid w:val="4ECE5195"/>
    <w:rsid w:val="4ED31EAC"/>
    <w:rsid w:val="4EE549FD"/>
    <w:rsid w:val="4EF37BD9"/>
    <w:rsid w:val="4F012BF9"/>
    <w:rsid w:val="4F0F1BE6"/>
    <w:rsid w:val="4F195C8C"/>
    <w:rsid w:val="4F245FE4"/>
    <w:rsid w:val="4F251D5C"/>
    <w:rsid w:val="4F31765B"/>
    <w:rsid w:val="4F3B1580"/>
    <w:rsid w:val="4F4A5B2E"/>
    <w:rsid w:val="4F4B5F4A"/>
    <w:rsid w:val="4F5D32A4"/>
    <w:rsid w:val="4F7D1600"/>
    <w:rsid w:val="4F7E30BB"/>
    <w:rsid w:val="4F8606E7"/>
    <w:rsid w:val="4F900A0B"/>
    <w:rsid w:val="4F902856"/>
    <w:rsid w:val="4FA56078"/>
    <w:rsid w:val="4FB20A21"/>
    <w:rsid w:val="4FB92250"/>
    <w:rsid w:val="4FC05BE0"/>
    <w:rsid w:val="4FC647A1"/>
    <w:rsid w:val="4FDA4DA4"/>
    <w:rsid w:val="4FDC6B19"/>
    <w:rsid w:val="4FE956E2"/>
    <w:rsid w:val="4FEF1F54"/>
    <w:rsid w:val="4FFF6109"/>
    <w:rsid w:val="5003775F"/>
    <w:rsid w:val="50144F89"/>
    <w:rsid w:val="501E1E4A"/>
    <w:rsid w:val="50245B70"/>
    <w:rsid w:val="504467EA"/>
    <w:rsid w:val="50502E09"/>
    <w:rsid w:val="505A77E4"/>
    <w:rsid w:val="507D4C94"/>
    <w:rsid w:val="50844624"/>
    <w:rsid w:val="50AB7E0E"/>
    <w:rsid w:val="50B272A0"/>
    <w:rsid w:val="50C54780"/>
    <w:rsid w:val="50C83311"/>
    <w:rsid w:val="50CF3D2E"/>
    <w:rsid w:val="50D372FC"/>
    <w:rsid w:val="50F9524E"/>
    <w:rsid w:val="50FB13B1"/>
    <w:rsid w:val="50FC752C"/>
    <w:rsid w:val="50FE3538"/>
    <w:rsid w:val="51002ECA"/>
    <w:rsid w:val="510231D8"/>
    <w:rsid w:val="510A2FB8"/>
    <w:rsid w:val="512C23A9"/>
    <w:rsid w:val="51351F88"/>
    <w:rsid w:val="513E5FF6"/>
    <w:rsid w:val="5145527C"/>
    <w:rsid w:val="51612F33"/>
    <w:rsid w:val="5164091A"/>
    <w:rsid w:val="51643BFE"/>
    <w:rsid w:val="516855F2"/>
    <w:rsid w:val="517D19DC"/>
    <w:rsid w:val="518613B5"/>
    <w:rsid w:val="51945F03"/>
    <w:rsid w:val="51956D25"/>
    <w:rsid w:val="51AC22C1"/>
    <w:rsid w:val="51B178D7"/>
    <w:rsid w:val="51BC3290"/>
    <w:rsid w:val="51DC639F"/>
    <w:rsid w:val="51F7432A"/>
    <w:rsid w:val="51F8480D"/>
    <w:rsid w:val="520367FE"/>
    <w:rsid w:val="520432E5"/>
    <w:rsid w:val="52195BA8"/>
    <w:rsid w:val="521D4F6D"/>
    <w:rsid w:val="52200AA8"/>
    <w:rsid w:val="523574FF"/>
    <w:rsid w:val="5237783C"/>
    <w:rsid w:val="525C3CE7"/>
    <w:rsid w:val="52716521"/>
    <w:rsid w:val="527A416D"/>
    <w:rsid w:val="52B70F1D"/>
    <w:rsid w:val="52C0392A"/>
    <w:rsid w:val="52CD6E44"/>
    <w:rsid w:val="52CE4611"/>
    <w:rsid w:val="52CE46B1"/>
    <w:rsid w:val="52D555E6"/>
    <w:rsid w:val="52D81B05"/>
    <w:rsid w:val="52E37F64"/>
    <w:rsid w:val="52F65E25"/>
    <w:rsid w:val="52FB705C"/>
    <w:rsid w:val="52FE71AD"/>
    <w:rsid w:val="53073C53"/>
    <w:rsid w:val="53112440"/>
    <w:rsid w:val="531225F7"/>
    <w:rsid w:val="532A5B93"/>
    <w:rsid w:val="5336421B"/>
    <w:rsid w:val="53503497"/>
    <w:rsid w:val="535C18DD"/>
    <w:rsid w:val="535F71B0"/>
    <w:rsid w:val="53660F92"/>
    <w:rsid w:val="5398690D"/>
    <w:rsid w:val="539B439B"/>
    <w:rsid w:val="539C1BF4"/>
    <w:rsid w:val="53A9470E"/>
    <w:rsid w:val="53CE621C"/>
    <w:rsid w:val="53CF251A"/>
    <w:rsid w:val="53DA13AB"/>
    <w:rsid w:val="53E06252"/>
    <w:rsid w:val="53E76315"/>
    <w:rsid w:val="53F00AD8"/>
    <w:rsid w:val="540A48F5"/>
    <w:rsid w:val="54101A38"/>
    <w:rsid w:val="54171C6F"/>
    <w:rsid w:val="542A4E69"/>
    <w:rsid w:val="54327411"/>
    <w:rsid w:val="54347790"/>
    <w:rsid w:val="54372316"/>
    <w:rsid w:val="54385510"/>
    <w:rsid w:val="543C5B7E"/>
    <w:rsid w:val="5444038B"/>
    <w:rsid w:val="544A0F60"/>
    <w:rsid w:val="544D308A"/>
    <w:rsid w:val="544D59D8"/>
    <w:rsid w:val="545128D7"/>
    <w:rsid w:val="54523F56"/>
    <w:rsid w:val="545E428C"/>
    <w:rsid w:val="5463135D"/>
    <w:rsid w:val="54745318"/>
    <w:rsid w:val="547E7F44"/>
    <w:rsid w:val="54837309"/>
    <w:rsid w:val="54862736"/>
    <w:rsid w:val="54907299"/>
    <w:rsid w:val="54977258"/>
    <w:rsid w:val="549F610D"/>
    <w:rsid w:val="54A13C33"/>
    <w:rsid w:val="54B24092"/>
    <w:rsid w:val="54CF6FAC"/>
    <w:rsid w:val="54D71CAC"/>
    <w:rsid w:val="54DB2AD1"/>
    <w:rsid w:val="54E6161F"/>
    <w:rsid w:val="54F4517B"/>
    <w:rsid w:val="54F93C92"/>
    <w:rsid w:val="55050D6F"/>
    <w:rsid w:val="550C19B3"/>
    <w:rsid w:val="551B1EA3"/>
    <w:rsid w:val="551C289E"/>
    <w:rsid w:val="553D7E00"/>
    <w:rsid w:val="554D5EDF"/>
    <w:rsid w:val="555B1C8F"/>
    <w:rsid w:val="555E1B24"/>
    <w:rsid w:val="556D2D0D"/>
    <w:rsid w:val="556E2F16"/>
    <w:rsid w:val="55770BF1"/>
    <w:rsid w:val="55806F35"/>
    <w:rsid w:val="558A46C7"/>
    <w:rsid w:val="558C48E3"/>
    <w:rsid w:val="55951E37"/>
    <w:rsid w:val="559E632D"/>
    <w:rsid w:val="55B143AF"/>
    <w:rsid w:val="55B654BC"/>
    <w:rsid w:val="55CA71B9"/>
    <w:rsid w:val="55E53FF3"/>
    <w:rsid w:val="56004989"/>
    <w:rsid w:val="560B1CAC"/>
    <w:rsid w:val="56127C71"/>
    <w:rsid w:val="561E5DC8"/>
    <w:rsid w:val="5628716E"/>
    <w:rsid w:val="562C39D0"/>
    <w:rsid w:val="56301712"/>
    <w:rsid w:val="5633106F"/>
    <w:rsid w:val="563A4EC2"/>
    <w:rsid w:val="56490A60"/>
    <w:rsid w:val="564D364D"/>
    <w:rsid w:val="564F6360"/>
    <w:rsid w:val="565509E2"/>
    <w:rsid w:val="567333AD"/>
    <w:rsid w:val="567D5FA1"/>
    <w:rsid w:val="568D4760"/>
    <w:rsid w:val="56912F80"/>
    <w:rsid w:val="5693494A"/>
    <w:rsid w:val="56A15DAF"/>
    <w:rsid w:val="56B040AF"/>
    <w:rsid w:val="56B51CDC"/>
    <w:rsid w:val="56BE6488"/>
    <w:rsid w:val="56C27360"/>
    <w:rsid w:val="56D06A51"/>
    <w:rsid w:val="56E532E7"/>
    <w:rsid w:val="56F641C0"/>
    <w:rsid w:val="57007679"/>
    <w:rsid w:val="57154464"/>
    <w:rsid w:val="571C1C97"/>
    <w:rsid w:val="571C6B19"/>
    <w:rsid w:val="572052E3"/>
    <w:rsid w:val="5737715C"/>
    <w:rsid w:val="573878F3"/>
    <w:rsid w:val="57472C70"/>
    <w:rsid w:val="57636C91"/>
    <w:rsid w:val="57676C87"/>
    <w:rsid w:val="576E5213"/>
    <w:rsid w:val="576F1DC6"/>
    <w:rsid w:val="578277DD"/>
    <w:rsid w:val="578313D3"/>
    <w:rsid w:val="5789077C"/>
    <w:rsid w:val="579637F7"/>
    <w:rsid w:val="57B91294"/>
    <w:rsid w:val="57BC0799"/>
    <w:rsid w:val="57C1661C"/>
    <w:rsid w:val="57C81D75"/>
    <w:rsid w:val="57DB54E4"/>
    <w:rsid w:val="57E64A34"/>
    <w:rsid w:val="58034F78"/>
    <w:rsid w:val="580469B3"/>
    <w:rsid w:val="58093FC9"/>
    <w:rsid w:val="580C7B2F"/>
    <w:rsid w:val="581666E6"/>
    <w:rsid w:val="581F15FC"/>
    <w:rsid w:val="582726A1"/>
    <w:rsid w:val="582C330E"/>
    <w:rsid w:val="584D612F"/>
    <w:rsid w:val="584F6A12"/>
    <w:rsid w:val="58505261"/>
    <w:rsid w:val="585E768A"/>
    <w:rsid w:val="586176DE"/>
    <w:rsid w:val="58643F16"/>
    <w:rsid w:val="58746EE7"/>
    <w:rsid w:val="58777462"/>
    <w:rsid w:val="587B2287"/>
    <w:rsid w:val="587B6878"/>
    <w:rsid w:val="58926A23"/>
    <w:rsid w:val="58A03D79"/>
    <w:rsid w:val="58AB0A25"/>
    <w:rsid w:val="58B41ED8"/>
    <w:rsid w:val="58BA4EAF"/>
    <w:rsid w:val="58BD5EB2"/>
    <w:rsid w:val="58DA1B7D"/>
    <w:rsid w:val="58FF045A"/>
    <w:rsid w:val="590C1AB3"/>
    <w:rsid w:val="59111892"/>
    <w:rsid w:val="59183D8F"/>
    <w:rsid w:val="592C1356"/>
    <w:rsid w:val="593E7CA2"/>
    <w:rsid w:val="594231E8"/>
    <w:rsid w:val="594B1120"/>
    <w:rsid w:val="59537495"/>
    <w:rsid w:val="59567C22"/>
    <w:rsid w:val="595B0854"/>
    <w:rsid w:val="596C7680"/>
    <w:rsid w:val="597C2766"/>
    <w:rsid w:val="59883A46"/>
    <w:rsid w:val="599A7EFB"/>
    <w:rsid w:val="599D59DF"/>
    <w:rsid w:val="59A51080"/>
    <w:rsid w:val="59AD307A"/>
    <w:rsid w:val="59B27167"/>
    <w:rsid w:val="59CD1026"/>
    <w:rsid w:val="59D0652D"/>
    <w:rsid w:val="59D64850"/>
    <w:rsid w:val="59E878FB"/>
    <w:rsid w:val="5A065CDE"/>
    <w:rsid w:val="5A0710A7"/>
    <w:rsid w:val="5A2279A0"/>
    <w:rsid w:val="5A250E62"/>
    <w:rsid w:val="5A3572F7"/>
    <w:rsid w:val="5A40750D"/>
    <w:rsid w:val="5A4E3D02"/>
    <w:rsid w:val="5A6F59BB"/>
    <w:rsid w:val="5A78633D"/>
    <w:rsid w:val="5A817D88"/>
    <w:rsid w:val="5AAA6E1A"/>
    <w:rsid w:val="5AD76E92"/>
    <w:rsid w:val="5AEB62B8"/>
    <w:rsid w:val="5AED36B0"/>
    <w:rsid w:val="5AEF5AE4"/>
    <w:rsid w:val="5AF83E19"/>
    <w:rsid w:val="5B0970D2"/>
    <w:rsid w:val="5B1556C7"/>
    <w:rsid w:val="5B2C26E2"/>
    <w:rsid w:val="5B2F01EA"/>
    <w:rsid w:val="5B4058E3"/>
    <w:rsid w:val="5B425B78"/>
    <w:rsid w:val="5B440AC5"/>
    <w:rsid w:val="5B4B7DD1"/>
    <w:rsid w:val="5B544766"/>
    <w:rsid w:val="5B586F2D"/>
    <w:rsid w:val="5B716904"/>
    <w:rsid w:val="5B742292"/>
    <w:rsid w:val="5B981AAF"/>
    <w:rsid w:val="5BA43402"/>
    <w:rsid w:val="5BAA44A9"/>
    <w:rsid w:val="5BBD095F"/>
    <w:rsid w:val="5BC36B85"/>
    <w:rsid w:val="5BD52813"/>
    <w:rsid w:val="5BD92EDD"/>
    <w:rsid w:val="5BFD00BB"/>
    <w:rsid w:val="5C2F421A"/>
    <w:rsid w:val="5C38462F"/>
    <w:rsid w:val="5C3A37FB"/>
    <w:rsid w:val="5C45621E"/>
    <w:rsid w:val="5C51268C"/>
    <w:rsid w:val="5C537F09"/>
    <w:rsid w:val="5C5D6807"/>
    <w:rsid w:val="5C62639E"/>
    <w:rsid w:val="5C8005D2"/>
    <w:rsid w:val="5C803BB7"/>
    <w:rsid w:val="5C8E7193"/>
    <w:rsid w:val="5C956AFA"/>
    <w:rsid w:val="5C9D2F32"/>
    <w:rsid w:val="5CA25359"/>
    <w:rsid w:val="5CA32E98"/>
    <w:rsid w:val="5CA342F9"/>
    <w:rsid w:val="5CA40764"/>
    <w:rsid w:val="5CA52605"/>
    <w:rsid w:val="5CAB0D19"/>
    <w:rsid w:val="5CAB1AF3"/>
    <w:rsid w:val="5CAE1689"/>
    <w:rsid w:val="5CB158EA"/>
    <w:rsid w:val="5CBF1E80"/>
    <w:rsid w:val="5CC606D0"/>
    <w:rsid w:val="5CDC6150"/>
    <w:rsid w:val="5CDD77D2"/>
    <w:rsid w:val="5CE93577"/>
    <w:rsid w:val="5CF00DD0"/>
    <w:rsid w:val="5CFD6159"/>
    <w:rsid w:val="5D375D96"/>
    <w:rsid w:val="5D4B0D6A"/>
    <w:rsid w:val="5D564B75"/>
    <w:rsid w:val="5D6D6DA8"/>
    <w:rsid w:val="5D6E3870"/>
    <w:rsid w:val="5D6E48CE"/>
    <w:rsid w:val="5D8660BC"/>
    <w:rsid w:val="5D953C94"/>
    <w:rsid w:val="5D962F27"/>
    <w:rsid w:val="5DB6074F"/>
    <w:rsid w:val="5DBC6178"/>
    <w:rsid w:val="5DBE20FA"/>
    <w:rsid w:val="5DBE641F"/>
    <w:rsid w:val="5DEE439B"/>
    <w:rsid w:val="5DFD4F07"/>
    <w:rsid w:val="5E141065"/>
    <w:rsid w:val="5E4F64AE"/>
    <w:rsid w:val="5E61260E"/>
    <w:rsid w:val="5E64051C"/>
    <w:rsid w:val="5E675E31"/>
    <w:rsid w:val="5E7110B5"/>
    <w:rsid w:val="5E75023D"/>
    <w:rsid w:val="5E9C24F3"/>
    <w:rsid w:val="5EA1718D"/>
    <w:rsid w:val="5EA902B4"/>
    <w:rsid w:val="5EAD700F"/>
    <w:rsid w:val="5EC24ED2"/>
    <w:rsid w:val="5ED370DF"/>
    <w:rsid w:val="5EE32563"/>
    <w:rsid w:val="5EF7171B"/>
    <w:rsid w:val="5F011E9E"/>
    <w:rsid w:val="5F015F42"/>
    <w:rsid w:val="5F03339C"/>
    <w:rsid w:val="5F04373C"/>
    <w:rsid w:val="5F1414C0"/>
    <w:rsid w:val="5F2715C2"/>
    <w:rsid w:val="5F2B45DC"/>
    <w:rsid w:val="5F2D5C10"/>
    <w:rsid w:val="5F311287"/>
    <w:rsid w:val="5F4C7161"/>
    <w:rsid w:val="5F4F2418"/>
    <w:rsid w:val="5F5F391A"/>
    <w:rsid w:val="5F677827"/>
    <w:rsid w:val="5F6B2DFC"/>
    <w:rsid w:val="5F6F24C5"/>
    <w:rsid w:val="5F7D0F9F"/>
    <w:rsid w:val="5F8325E0"/>
    <w:rsid w:val="5F8D3732"/>
    <w:rsid w:val="5F9245DB"/>
    <w:rsid w:val="5F937EE8"/>
    <w:rsid w:val="5FA033D2"/>
    <w:rsid w:val="5FB27537"/>
    <w:rsid w:val="5FBA3DFB"/>
    <w:rsid w:val="5FBC4304"/>
    <w:rsid w:val="5FCF78A6"/>
    <w:rsid w:val="5FD11B2A"/>
    <w:rsid w:val="5FDD2AF7"/>
    <w:rsid w:val="5FE1426D"/>
    <w:rsid w:val="5FE90490"/>
    <w:rsid w:val="5FEF45F4"/>
    <w:rsid w:val="5FFA55D0"/>
    <w:rsid w:val="5FFB282F"/>
    <w:rsid w:val="5FFE6BF5"/>
    <w:rsid w:val="5FFE7AB3"/>
    <w:rsid w:val="60096975"/>
    <w:rsid w:val="601074FD"/>
    <w:rsid w:val="601328FB"/>
    <w:rsid w:val="60142302"/>
    <w:rsid w:val="60285168"/>
    <w:rsid w:val="6035429B"/>
    <w:rsid w:val="603B3A3A"/>
    <w:rsid w:val="603E03CA"/>
    <w:rsid w:val="604C0F27"/>
    <w:rsid w:val="605F4298"/>
    <w:rsid w:val="607C4F7E"/>
    <w:rsid w:val="608823CC"/>
    <w:rsid w:val="60940D5F"/>
    <w:rsid w:val="60CC21D5"/>
    <w:rsid w:val="60D158A0"/>
    <w:rsid w:val="60D26956"/>
    <w:rsid w:val="60DB1A37"/>
    <w:rsid w:val="60E2708F"/>
    <w:rsid w:val="60F90953"/>
    <w:rsid w:val="61135EB8"/>
    <w:rsid w:val="612E2638"/>
    <w:rsid w:val="61365030"/>
    <w:rsid w:val="613C0D6E"/>
    <w:rsid w:val="61451319"/>
    <w:rsid w:val="614D4307"/>
    <w:rsid w:val="61522551"/>
    <w:rsid w:val="61571345"/>
    <w:rsid w:val="61597DA5"/>
    <w:rsid w:val="61734BA9"/>
    <w:rsid w:val="617D5EF1"/>
    <w:rsid w:val="61904685"/>
    <w:rsid w:val="619B4D59"/>
    <w:rsid w:val="619C11D5"/>
    <w:rsid w:val="619E175B"/>
    <w:rsid w:val="61AB6973"/>
    <w:rsid w:val="61B04B98"/>
    <w:rsid w:val="61B2778B"/>
    <w:rsid w:val="61BC0D56"/>
    <w:rsid w:val="61CB104D"/>
    <w:rsid w:val="61D0693E"/>
    <w:rsid w:val="61D072B2"/>
    <w:rsid w:val="61D15FA6"/>
    <w:rsid w:val="61ED2602"/>
    <w:rsid w:val="620F48D2"/>
    <w:rsid w:val="621974FF"/>
    <w:rsid w:val="622B376B"/>
    <w:rsid w:val="622F287E"/>
    <w:rsid w:val="62386365"/>
    <w:rsid w:val="62467BC8"/>
    <w:rsid w:val="624A13D6"/>
    <w:rsid w:val="624B49A9"/>
    <w:rsid w:val="62511346"/>
    <w:rsid w:val="62614A02"/>
    <w:rsid w:val="626A4A0E"/>
    <w:rsid w:val="62764951"/>
    <w:rsid w:val="62827D49"/>
    <w:rsid w:val="628520D9"/>
    <w:rsid w:val="629B7F14"/>
    <w:rsid w:val="62A46B26"/>
    <w:rsid w:val="62AF6C36"/>
    <w:rsid w:val="62B02D63"/>
    <w:rsid w:val="62C05BCC"/>
    <w:rsid w:val="62CD0FAB"/>
    <w:rsid w:val="62DB608D"/>
    <w:rsid w:val="62E11030"/>
    <w:rsid w:val="62E33669"/>
    <w:rsid w:val="62E53885"/>
    <w:rsid w:val="62F56D26"/>
    <w:rsid w:val="62FB76E3"/>
    <w:rsid w:val="630B1CE3"/>
    <w:rsid w:val="63283CC7"/>
    <w:rsid w:val="632932ED"/>
    <w:rsid w:val="632A40DA"/>
    <w:rsid w:val="63313CF1"/>
    <w:rsid w:val="63366A5D"/>
    <w:rsid w:val="633D2603"/>
    <w:rsid w:val="634700BB"/>
    <w:rsid w:val="635031E7"/>
    <w:rsid w:val="63513B80"/>
    <w:rsid w:val="63601ED7"/>
    <w:rsid w:val="63636DBE"/>
    <w:rsid w:val="636833BA"/>
    <w:rsid w:val="638135AD"/>
    <w:rsid w:val="638623F7"/>
    <w:rsid w:val="63901A42"/>
    <w:rsid w:val="639332E3"/>
    <w:rsid w:val="639E47F1"/>
    <w:rsid w:val="63AE3AA0"/>
    <w:rsid w:val="63B514A9"/>
    <w:rsid w:val="63CC375B"/>
    <w:rsid w:val="63DA4380"/>
    <w:rsid w:val="63E853DA"/>
    <w:rsid w:val="63EE0D15"/>
    <w:rsid w:val="63F23C78"/>
    <w:rsid w:val="63F43D7F"/>
    <w:rsid w:val="63F7386F"/>
    <w:rsid w:val="64016176"/>
    <w:rsid w:val="64027633"/>
    <w:rsid w:val="64155273"/>
    <w:rsid w:val="64336278"/>
    <w:rsid w:val="6445282D"/>
    <w:rsid w:val="6448156A"/>
    <w:rsid w:val="64584FCA"/>
    <w:rsid w:val="6469244C"/>
    <w:rsid w:val="64696A5B"/>
    <w:rsid w:val="646B7CF1"/>
    <w:rsid w:val="648A46E4"/>
    <w:rsid w:val="64A13D83"/>
    <w:rsid w:val="64A61985"/>
    <w:rsid w:val="64AA6B34"/>
    <w:rsid w:val="64B9521C"/>
    <w:rsid w:val="64BE79CE"/>
    <w:rsid w:val="64C97161"/>
    <w:rsid w:val="64CC7D82"/>
    <w:rsid w:val="64D5577D"/>
    <w:rsid w:val="64DD2F78"/>
    <w:rsid w:val="64E9765C"/>
    <w:rsid w:val="64F90C4E"/>
    <w:rsid w:val="64FA08F8"/>
    <w:rsid w:val="64FE23A0"/>
    <w:rsid w:val="64FE29DC"/>
    <w:rsid w:val="65013380"/>
    <w:rsid w:val="65134DC6"/>
    <w:rsid w:val="65272E71"/>
    <w:rsid w:val="653D3AED"/>
    <w:rsid w:val="65407423"/>
    <w:rsid w:val="65427C5F"/>
    <w:rsid w:val="65497187"/>
    <w:rsid w:val="654B3E73"/>
    <w:rsid w:val="655553D6"/>
    <w:rsid w:val="655619E5"/>
    <w:rsid w:val="65583040"/>
    <w:rsid w:val="655F49B8"/>
    <w:rsid w:val="658253BB"/>
    <w:rsid w:val="65904E44"/>
    <w:rsid w:val="65974F16"/>
    <w:rsid w:val="65A557EB"/>
    <w:rsid w:val="65B4112B"/>
    <w:rsid w:val="65C15BA4"/>
    <w:rsid w:val="65C9251A"/>
    <w:rsid w:val="65CC03E0"/>
    <w:rsid w:val="65D0539F"/>
    <w:rsid w:val="65D939B7"/>
    <w:rsid w:val="65DC6139"/>
    <w:rsid w:val="65E52CF3"/>
    <w:rsid w:val="65F8693F"/>
    <w:rsid w:val="66061AD4"/>
    <w:rsid w:val="661A1A97"/>
    <w:rsid w:val="661E3335"/>
    <w:rsid w:val="66391F1D"/>
    <w:rsid w:val="663F130D"/>
    <w:rsid w:val="663F19B6"/>
    <w:rsid w:val="663F28D8"/>
    <w:rsid w:val="6645354D"/>
    <w:rsid w:val="6645479C"/>
    <w:rsid w:val="6656698A"/>
    <w:rsid w:val="66652657"/>
    <w:rsid w:val="6673297D"/>
    <w:rsid w:val="66A7404A"/>
    <w:rsid w:val="66B051A7"/>
    <w:rsid w:val="66E31E89"/>
    <w:rsid w:val="66E75F6F"/>
    <w:rsid w:val="66EE3542"/>
    <w:rsid w:val="670E33AA"/>
    <w:rsid w:val="67136BF0"/>
    <w:rsid w:val="671D539B"/>
    <w:rsid w:val="67606C70"/>
    <w:rsid w:val="676E2EED"/>
    <w:rsid w:val="678B2239"/>
    <w:rsid w:val="678C445C"/>
    <w:rsid w:val="67970A99"/>
    <w:rsid w:val="679A2E90"/>
    <w:rsid w:val="67AC6919"/>
    <w:rsid w:val="67BF0C45"/>
    <w:rsid w:val="67D544F4"/>
    <w:rsid w:val="67EB5499"/>
    <w:rsid w:val="67F65D6D"/>
    <w:rsid w:val="67FD2073"/>
    <w:rsid w:val="67FE5A5B"/>
    <w:rsid w:val="67FF7197"/>
    <w:rsid w:val="680D3662"/>
    <w:rsid w:val="68112A26"/>
    <w:rsid w:val="68224C33"/>
    <w:rsid w:val="683651C6"/>
    <w:rsid w:val="683C0F6A"/>
    <w:rsid w:val="683D4129"/>
    <w:rsid w:val="684D4FDA"/>
    <w:rsid w:val="68547B97"/>
    <w:rsid w:val="68612AD5"/>
    <w:rsid w:val="68642991"/>
    <w:rsid w:val="68662D72"/>
    <w:rsid w:val="686B27ED"/>
    <w:rsid w:val="686E74B7"/>
    <w:rsid w:val="68715CE9"/>
    <w:rsid w:val="6874548F"/>
    <w:rsid w:val="687A54CA"/>
    <w:rsid w:val="688B4064"/>
    <w:rsid w:val="689D21D0"/>
    <w:rsid w:val="68AB69D7"/>
    <w:rsid w:val="68AC74FD"/>
    <w:rsid w:val="68AD274F"/>
    <w:rsid w:val="68AF6965"/>
    <w:rsid w:val="68B33A45"/>
    <w:rsid w:val="68B64115"/>
    <w:rsid w:val="68BA4E6C"/>
    <w:rsid w:val="68BE476E"/>
    <w:rsid w:val="68C05960"/>
    <w:rsid w:val="68C331BD"/>
    <w:rsid w:val="68CE0721"/>
    <w:rsid w:val="68D67E24"/>
    <w:rsid w:val="68EE2FED"/>
    <w:rsid w:val="690161F9"/>
    <w:rsid w:val="69036F0A"/>
    <w:rsid w:val="690E3778"/>
    <w:rsid w:val="69177F52"/>
    <w:rsid w:val="691F29AF"/>
    <w:rsid w:val="6922234E"/>
    <w:rsid w:val="694C2446"/>
    <w:rsid w:val="69547463"/>
    <w:rsid w:val="696E6058"/>
    <w:rsid w:val="69707823"/>
    <w:rsid w:val="697123F4"/>
    <w:rsid w:val="69734D4C"/>
    <w:rsid w:val="697C0F04"/>
    <w:rsid w:val="697C53C4"/>
    <w:rsid w:val="697D5E14"/>
    <w:rsid w:val="697E65A5"/>
    <w:rsid w:val="698108D9"/>
    <w:rsid w:val="69881641"/>
    <w:rsid w:val="69A4491A"/>
    <w:rsid w:val="69C759E7"/>
    <w:rsid w:val="69C954EA"/>
    <w:rsid w:val="69CA184C"/>
    <w:rsid w:val="69DD1324"/>
    <w:rsid w:val="69DD4D63"/>
    <w:rsid w:val="69E3184F"/>
    <w:rsid w:val="69E40345"/>
    <w:rsid w:val="69ED2C37"/>
    <w:rsid w:val="69EF1796"/>
    <w:rsid w:val="69F917C6"/>
    <w:rsid w:val="69FB15F8"/>
    <w:rsid w:val="6A082304"/>
    <w:rsid w:val="6A0B1334"/>
    <w:rsid w:val="6A0F3036"/>
    <w:rsid w:val="6A1B7B8C"/>
    <w:rsid w:val="6A3D5D54"/>
    <w:rsid w:val="6A3F7D1E"/>
    <w:rsid w:val="6A4849BC"/>
    <w:rsid w:val="6A570995"/>
    <w:rsid w:val="6A683732"/>
    <w:rsid w:val="6A72492A"/>
    <w:rsid w:val="6A7D3D9C"/>
    <w:rsid w:val="6AA162E3"/>
    <w:rsid w:val="6AB56951"/>
    <w:rsid w:val="6AB803B0"/>
    <w:rsid w:val="6AB83120"/>
    <w:rsid w:val="6AD9464F"/>
    <w:rsid w:val="6AE87417"/>
    <w:rsid w:val="6AED5247"/>
    <w:rsid w:val="6AF51AD0"/>
    <w:rsid w:val="6B070BD1"/>
    <w:rsid w:val="6B0B19AE"/>
    <w:rsid w:val="6B1F602C"/>
    <w:rsid w:val="6B3421A1"/>
    <w:rsid w:val="6B5F6511"/>
    <w:rsid w:val="6B7846F6"/>
    <w:rsid w:val="6B7B67C6"/>
    <w:rsid w:val="6B7B7ED8"/>
    <w:rsid w:val="6B7D28AC"/>
    <w:rsid w:val="6B857660"/>
    <w:rsid w:val="6BB84FEC"/>
    <w:rsid w:val="6BC95638"/>
    <w:rsid w:val="6BD10E4A"/>
    <w:rsid w:val="6BF113CB"/>
    <w:rsid w:val="6BF11E03"/>
    <w:rsid w:val="6C1F43D9"/>
    <w:rsid w:val="6C416C00"/>
    <w:rsid w:val="6C5A32BC"/>
    <w:rsid w:val="6C5F0204"/>
    <w:rsid w:val="6C635654"/>
    <w:rsid w:val="6C691082"/>
    <w:rsid w:val="6C692E30"/>
    <w:rsid w:val="6C6E6C0B"/>
    <w:rsid w:val="6C6F27D8"/>
    <w:rsid w:val="6C7B57C3"/>
    <w:rsid w:val="6C91165A"/>
    <w:rsid w:val="6C9F2CF6"/>
    <w:rsid w:val="6CDF0228"/>
    <w:rsid w:val="6CEB7CE9"/>
    <w:rsid w:val="6CEC0DCE"/>
    <w:rsid w:val="6CFB55E2"/>
    <w:rsid w:val="6D0772D6"/>
    <w:rsid w:val="6D102048"/>
    <w:rsid w:val="6D2079CB"/>
    <w:rsid w:val="6D232605"/>
    <w:rsid w:val="6D292FB5"/>
    <w:rsid w:val="6D2E1FA8"/>
    <w:rsid w:val="6D3B0410"/>
    <w:rsid w:val="6D3B6503"/>
    <w:rsid w:val="6D5121C9"/>
    <w:rsid w:val="6D5C52D3"/>
    <w:rsid w:val="6D77160F"/>
    <w:rsid w:val="6D9379EC"/>
    <w:rsid w:val="6D9660F0"/>
    <w:rsid w:val="6D9C7802"/>
    <w:rsid w:val="6DAA5F16"/>
    <w:rsid w:val="6DD662A4"/>
    <w:rsid w:val="6DDF7DF7"/>
    <w:rsid w:val="6DFF3D7C"/>
    <w:rsid w:val="6E036ABA"/>
    <w:rsid w:val="6E18298E"/>
    <w:rsid w:val="6E39280B"/>
    <w:rsid w:val="6E645FA5"/>
    <w:rsid w:val="6E680EDE"/>
    <w:rsid w:val="6E6E2980"/>
    <w:rsid w:val="6E6E472E"/>
    <w:rsid w:val="6E747E3C"/>
    <w:rsid w:val="6E833271"/>
    <w:rsid w:val="6E95648F"/>
    <w:rsid w:val="6E993134"/>
    <w:rsid w:val="6E9A3775"/>
    <w:rsid w:val="6E9B0577"/>
    <w:rsid w:val="6EA21226"/>
    <w:rsid w:val="6EAB3D09"/>
    <w:rsid w:val="6EB4196B"/>
    <w:rsid w:val="6EB86382"/>
    <w:rsid w:val="6EBC5389"/>
    <w:rsid w:val="6EC633C8"/>
    <w:rsid w:val="6ECB2339"/>
    <w:rsid w:val="6EE01F2C"/>
    <w:rsid w:val="6EF02AC2"/>
    <w:rsid w:val="6EFD47BC"/>
    <w:rsid w:val="6F106A8F"/>
    <w:rsid w:val="6F1165C9"/>
    <w:rsid w:val="6F234C70"/>
    <w:rsid w:val="6F24015F"/>
    <w:rsid w:val="6F251085"/>
    <w:rsid w:val="6F4A519B"/>
    <w:rsid w:val="6F62357A"/>
    <w:rsid w:val="6F685621"/>
    <w:rsid w:val="6F7406BD"/>
    <w:rsid w:val="6F7E3097"/>
    <w:rsid w:val="6F810491"/>
    <w:rsid w:val="6F901925"/>
    <w:rsid w:val="6F916182"/>
    <w:rsid w:val="6F96218E"/>
    <w:rsid w:val="6FB3629F"/>
    <w:rsid w:val="6FC54822"/>
    <w:rsid w:val="6FD06234"/>
    <w:rsid w:val="6FDD00E5"/>
    <w:rsid w:val="70020367"/>
    <w:rsid w:val="7007308C"/>
    <w:rsid w:val="700C2451"/>
    <w:rsid w:val="701337DF"/>
    <w:rsid w:val="701B3287"/>
    <w:rsid w:val="702D0CD7"/>
    <w:rsid w:val="702E23C7"/>
    <w:rsid w:val="703904F0"/>
    <w:rsid w:val="70397EB5"/>
    <w:rsid w:val="703D6AAE"/>
    <w:rsid w:val="70433A93"/>
    <w:rsid w:val="70481D1E"/>
    <w:rsid w:val="705A7660"/>
    <w:rsid w:val="706758D9"/>
    <w:rsid w:val="708C263B"/>
    <w:rsid w:val="709972E4"/>
    <w:rsid w:val="709F32C5"/>
    <w:rsid w:val="70AA0E2C"/>
    <w:rsid w:val="70AF6D48"/>
    <w:rsid w:val="70B02DA9"/>
    <w:rsid w:val="70B52540"/>
    <w:rsid w:val="70CD6F49"/>
    <w:rsid w:val="70D13AEF"/>
    <w:rsid w:val="70D70CB1"/>
    <w:rsid w:val="70E55CF9"/>
    <w:rsid w:val="71066EA0"/>
    <w:rsid w:val="710E253D"/>
    <w:rsid w:val="711128A7"/>
    <w:rsid w:val="711B2FBA"/>
    <w:rsid w:val="712B2CEC"/>
    <w:rsid w:val="713954C7"/>
    <w:rsid w:val="713A123F"/>
    <w:rsid w:val="71456942"/>
    <w:rsid w:val="714F08A6"/>
    <w:rsid w:val="715B6F1D"/>
    <w:rsid w:val="715C6278"/>
    <w:rsid w:val="717377C5"/>
    <w:rsid w:val="717A3C13"/>
    <w:rsid w:val="717E2EDA"/>
    <w:rsid w:val="71881FAB"/>
    <w:rsid w:val="718C1B45"/>
    <w:rsid w:val="718F1A3C"/>
    <w:rsid w:val="71902C0D"/>
    <w:rsid w:val="71B059FE"/>
    <w:rsid w:val="71B21A2D"/>
    <w:rsid w:val="71B34351"/>
    <w:rsid w:val="71B7722E"/>
    <w:rsid w:val="71C07F2C"/>
    <w:rsid w:val="71C8684B"/>
    <w:rsid w:val="71CE6BE5"/>
    <w:rsid w:val="71D96DB1"/>
    <w:rsid w:val="71EA4A14"/>
    <w:rsid w:val="71EE1250"/>
    <w:rsid w:val="71F77495"/>
    <w:rsid w:val="72004F7C"/>
    <w:rsid w:val="72041482"/>
    <w:rsid w:val="720D184D"/>
    <w:rsid w:val="72200435"/>
    <w:rsid w:val="72291C70"/>
    <w:rsid w:val="72464FAC"/>
    <w:rsid w:val="72565C05"/>
    <w:rsid w:val="725974A3"/>
    <w:rsid w:val="72633843"/>
    <w:rsid w:val="72677E12"/>
    <w:rsid w:val="726D4EF3"/>
    <w:rsid w:val="727F6B17"/>
    <w:rsid w:val="72A27EA1"/>
    <w:rsid w:val="72B65B1B"/>
    <w:rsid w:val="72C25F8A"/>
    <w:rsid w:val="72D00517"/>
    <w:rsid w:val="72E077CA"/>
    <w:rsid w:val="72E1548E"/>
    <w:rsid w:val="72F376E8"/>
    <w:rsid w:val="72F378F8"/>
    <w:rsid w:val="72F614B0"/>
    <w:rsid w:val="72FE0315"/>
    <w:rsid w:val="73042059"/>
    <w:rsid w:val="7309151C"/>
    <w:rsid w:val="73257538"/>
    <w:rsid w:val="732E7AA3"/>
    <w:rsid w:val="7330146C"/>
    <w:rsid w:val="73535E93"/>
    <w:rsid w:val="736B40B4"/>
    <w:rsid w:val="737215F8"/>
    <w:rsid w:val="737722D7"/>
    <w:rsid w:val="737B4125"/>
    <w:rsid w:val="738450B0"/>
    <w:rsid w:val="7386747B"/>
    <w:rsid w:val="73897853"/>
    <w:rsid w:val="738A025C"/>
    <w:rsid w:val="738A0FF9"/>
    <w:rsid w:val="7390347D"/>
    <w:rsid w:val="739F35DC"/>
    <w:rsid w:val="73A30D3E"/>
    <w:rsid w:val="73CD639B"/>
    <w:rsid w:val="73E174B1"/>
    <w:rsid w:val="73EA2AA9"/>
    <w:rsid w:val="740E3197"/>
    <w:rsid w:val="741528FF"/>
    <w:rsid w:val="741D3B1E"/>
    <w:rsid w:val="74255EC4"/>
    <w:rsid w:val="742D1E74"/>
    <w:rsid w:val="74420FDF"/>
    <w:rsid w:val="744A156B"/>
    <w:rsid w:val="744C72C0"/>
    <w:rsid w:val="745A1573"/>
    <w:rsid w:val="749B5A83"/>
    <w:rsid w:val="74A177F8"/>
    <w:rsid w:val="74C652C4"/>
    <w:rsid w:val="74D24E9E"/>
    <w:rsid w:val="74D73C58"/>
    <w:rsid w:val="74DB38ED"/>
    <w:rsid w:val="74E751A2"/>
    <w:rsid w:val="75010AE3"/>
    <w:rsid w:val="75024930"/>
    <w:rsid w:val="75112FFE"/>
    <w:rsid w:val="75152D6F"/>
    <w:rsid w:val="7520166A"/>
    <w:rsid w:val="752B3379"/>
    <w:rsid w:val="753171A0"/>
    <w:rsid w:val="7540002D"/>
    <w:rsid w:val="75417908"/>
    <w:rsid w:val="75583E99"/>
    <w:rsid w:val="757401F5"/>
    <w:rsid w:val="75861AB1"/>
    <w:rsid w:val="758F3F41"/>
    <w:rsid w:val="75A1464A"/>
    <w:rsid w:val="75A364A9"/>
    <w:rsid w:val="75A60120"/>
    <w:rsid w:val="75BE301B"/>
    <w:rsid w:val="75D035E3"/>
    <w:rsid w:val="75D03739"/>
    <w:rsid w:val="75D92DD5"/>
    <w:rsid w:val="75DB2DCC"/>
    <w:rsid w:val="75DE3079"/>
    <w:rsid w:val="75E207CF"/>
    <w:rsid w:val="75E579CC"/>
    <w:rsid w:val="75F031E4"/>
    <w:rsid w:val="75FD398F"/>
    <w:rsid w:val="760342F6"/>
    <w:rsid w:val="76076F40"/>
    <w:rsid w:val="76172A46"/>
    <w:rsid w:val="7625426C"/>
    <w:rsid w:val="762570D2"/>
    <w:rsid w:val="76320737"/>
    <w:rsid w:val="76437003"/>
    <w:rsid w:val="764531E9"/>
    <w:rsid w:val="768C2B5F"/>
    <w:rsid w:val="768C6170"/>
    <w:rsid w:val="768F5928"/>
    <w:rsid w:val="76964A7C"/>
    <w:rsid w:val="76A0108A"/>
    <w:rsid w:val="76A349B1"/>
    <w:rsid w:val="76C355DA"/>
    <w:rsid w:val="76D55E4D"/>
    <w:rsid w:val="76D85277"/>
    <w:rsid w:val="771F2A69"/>
    <w:rsid w:val="7726192C"/>
    <w:rsid w:val="772938E8"/>
    <w:rsid w:val="77373011"/>
    <w:rsid w:val="773E1FEF"/>
    <w:rsid w:val="775F75BD"/>
    <w:rsid w:val="77716D7E"/>
    <w:rsid w:val="778760F8"/>
    <w:rsid w:val="778B4D6C"/>
    <w:rsid w:val="77903967"/>
    <w:rsid w:val="77983CC0"/>
    <w:rsid w:val="779D6301"/>
    <w:rsid w:val="779F004E"/>
    <w:rsid w:val="77A967D7"/>
    <w:rsid w:val="77B02F14"/>
    <w:rsid w:val="77B61FDD"/>
    <w:rsid w:val="77C33D3D"/>
    <w:rsid w:val="77DD3761"/>
    <w:rsid w:val="77EF68E0"/>
    <w:rsid w:val="77F754D4"/>
    <w:rsid w:val="780B3D48"/>
    <w:rsid w:val="78183C24"/>
    <w:rsid w:val="781C0B3D"/>
    <w:rsid w:val="782D11B6"/>
    <w:rsid w:val="783D48B9"/>
    <w:rsid w:val="786731BB"/>
    <w:rsid w:val="787222E6"/>
    <w:rsid w:val="7881061D"/>
    <w:rsid w:val="78912056"/>
    <w:rsid w:val="7892370F"/>
    <w:rsid w:val="78A90F77"/>
    <w:rsid w:val="78B50321"/>
    <w:rsid w:val="78BB3C7E"/>
    <w:rsid w:val="78CD20BD"/>
    <w:rsid w:val="78E36009"/>
    <w:rsid w:val="78EF290F"/>
    <w:rsid w:val="78F826E1"/>
    <w:rsid w:val="78F83896"/>
    <w:rsid w:val="78FC577C"/>
    <w:rsid w:val="790C7366"/>
    <w:rsid w:val="791A5BDE"/>
    <w:rsid w:val="79201025"/>
    <w:rsid w:val="79215E5D"/>
    <w:rsid w:val="79222CE5"/>
    <w:rsid w:val="7928674B"/>
    <w:rsid w:val="794657DE"/>
    <w:rsid w:val="794D2D86"/>
    <w:rsid w:val="7961360D"/>
    <w:rsid w:val="797E3D41"/>
    <w:rsid w:val="79935991"/>
    <w:rsid w:val="79AD214E"/>
    <w:rsid w:val="79D94F16"/>
    <w:rsid w:val="79EB1329"/>
    <w:rsid w:val="79EE0E19"/>
    <w:rsid w:val="79F44681"/>
    <w:rsid w:val="79FC000A"/>
    <w:rsid w:val="79FC7528"/>
    <w:rsid w:val="7A0209C6"/>
    <w:rsid w:val="7A086AC6"/>
    <w:rsid w:val="7A133170"/>
    <w:rsid w:val="7A195E96"/>
    <w:rsid w:val="7A1C4745"/>
    <w:rsid w:val="7A1D69B9"/>
    <w:rsid w:val="7A283826"/>
    <w:rsid w:val="7A3525A4"/>
    <w:rsid w:val="7A3C5519"/>
    <w:rsid w:val="7A431165"/>
    <w:rsid w:val="7A4E5D19"/>
    <w:rsid w:val="7A4E6CFB"/>
    <w:rsid w:val="7A503A69"/>
    <w:rsid w:val="7A594721"/>
    <w:rsid w:val="7A5A79B0"/>
    <w:rsid w:val="7A5B57AA"/>
    <w:rsid w:val="7A5E5F9F"/>
    <w:rsid w:val="7A6329EB"/>
    <w:rsid w:val="7A6F7522"/>
    <w:rsid w:val="7A702637"/>
    <w:rsid w:val="7A7A445B"/>
    <w:rsid w:val="7A831561"/>
    <w:rsid w:val="7A89709D"/>
    <w:rsid w:val="7A9058E9"/>
    <w:rsid w:val="7A9C310A"/>
    <w:rsid w:val="7AB874D3"/>
    <w:rsid w:val="7ABD59E5"/>
    <w:rsid w:val="7AC202DC"/>
    <w:rsid w:val="7AD34D02"/>
    <w:rsid w:val="7AD57572"/>
    <w:rsid w:val="7AEC23EF"/>
    <w:rsid w:val="7B1B75B1"/>
    <w:rsid w:val="7B3125B1"/>
    <w:rsid w:val="7B3A7659"/>
    <w:rsid w:val="7B4547B2"/>
    <w:rsid w:val="7B482DBF"/>
    <w:rsid w:val="7B4A3049"/>
    <w:rsid w:val="7B652CCA"/>
    <w:rsid w:val="7B6C7864"/>
    <w:rsid w:val="7B713AB0"/>
    <w:rsid w:val="7B836E21"/>
    <w:rsid w:val="7B8958EB"/>
    <w:rsid w:val="7B916D87"/>
    <w:rsid w:val="7B9E735A"/>
    <w:rsid w:val="7BA7486D"/>
    <w:rsid w:val="7BB67714"/>
    <w:rsid w:val="7BBD0AA3"/>
    <w:rsid w:val="7BC934AC"/>
    <w:rsid w:val="7BD06A28"/>
    <w:rsid w:val="7BD30691"/>
    <w:rsid w:val="7C0379AA"/>
    <w:rsid w:val="7C1E5035"/>
    <w:rsid w:val="7C297AE9"/>
    <w:rsid w:val="7C330859"/>
    <w:rsid w:val="7C4506BA"/>
    <w:rsid w:val="7C4901BE"/>
    <w:rsid w:val="7C505E0E"/>
    <w:rsid w:val="7C6B4FE6"/>
    <w:rsid w:val="7C6D3F4C"/>
    <w:rsid w:val="7C6F5DE5"/>
    <w:rsid w:val="7C8B0BA1"/>
    <w:rsid w:val="7C9238EF"/>
    <w:rsid w:val="7C966A70"/>
    <w:rsid w:val="7C98412F"/>
    <w:rsid w:val="7CB202CF"/>
    <w:rsid w:val="7CB32EB9"/>
    <w:rsid w:val="7CB542DB"/>
    <w:rsid w:val="7CB63E0B"/>
    <w:rsid w:val="7CB86FC6"/>
    <w:rsid w:val="7CCA5E20"/>
    <w:rsid w:val="7CE80B62"/>
    <w:rsid w:val="7CFE1B55"/>
    <w:rsid w:val="7D036989"/>
    <w:rsid w:val="7D042897"/>
    <w:rsid w:val="7D052502"/>
    <w:rsid w:val="7D0B3B7E"/>
    <w:rsid w:val="7D1110A6"/>
    <w:rsid w:val="7D2453C6"/>
    <w:rsid w:val="7D341C65"/>
    <w:rsid w:val="7D3E5797"/>
    <w:rsid w:val="7D421B8A"/>
    <w:rsid w:val="7D5D2479"/>
    <w:rsid w:val="7D6836F8"/>
    <w:rsid w:val="7D6C09D3"/>
    <w:rsid w:val="7D6E0911"/>
    <w:rsid w:val="7D6E7027"/>
    <w:rsid w:val="7D6F2458"/>
    <w:rsid w:val="7D6F41FA"/>
    <w:rsid w:val="7D7134E6"/>
    <w:rsid w:val="7D737141"/>
    <w:rsid w:val="7D7578C1"/>
    <w:rsid w:val="7D80622C"/>
    <w:rsid w:val="7D84688F"/>
    <w:rsid w:val="7D98166C"/>
    <w:rsid w:val="7D99109C"/>
    <w:rsid w:val="7DA71A0B"/>
    <w:rsid w:val="7DA8754D"/>
    <w:rsid w:val="7DBA7990"/>
    <w:rsid w:val="7DBE5D90"/>
    <w:rsid w:val="7DC900B8"/>
    <w:rsid w:val="7DCD663C"/>
    <w:rsid w:val="7DD86068"/>
    <w:rsid w:val="7DE67BD0"/>
    <w:rsid w:val="7DF12C86"/>
    <w:rsid w:val="7DF553A0"/>
    <w:rsid w:val="7DFD32EC"/>
    <w:rsid w:val="7E0230E5"/>
    <w:rsid w:val="7E0367D3"/>
    <w:rsid w:val="7E0775A8"/>
    <w:rsid w:val="7E0E3838"/>
    <w:rsid w:val="7E0F61B9"/>
    <w:rsid w:val="7E1439C7"/>
    <w:rsid w:val="7E152E18"/>
    <w:rsid w:val="7E156974"/>
    <w:rsid w:val="7E19707E"/>
    <w:rsid w:val="7E1C7D03"/>
    <w:rsid w:val="7E2E3480"/>
    <w:rsid w:val="7E386D0F"/>
    <w:rsid w:val="7E496447"/>
    <w:rsid w:val="7E4D115D"/>
    <w:rsid w:val="7E526A1F"/>
    <w:rsid w:val="7E57171C"/>
    <w:rsid w:val="7E5860BE"/>
    <w:rsid w:val="7E7336B3"/>
    <w:rsid w:val="7E787AF6"/>
    <w:rsid w:val="7E8603C0"/>
    <w:rsid w:val="7E8A3F2C"/>
    <w:rsid w:val="7E8D6062"/>
    <w:rsid w:val="7E984846"/>
    <w:rsid w:val="7EB4618D"/>
    <w:rsid w:val="7EB54DE5"/>
    <w:rsid w:val="7EB61A3C"/>
    <w:rsid w:val="7EBD3672"/>
    <w:rsid w:val="7EC46D62"/>
    <w:rsid w:val="7EC50410"/>
    <w:rsid w:val="7EC562F5"/>
    <w:rsid w:val="7ECC004E"/>
    <w:rsid w:val="7EDC2CC4"/>
    <w:rsid w:val="7EE04A9D"/>
    <w:rsid w:val="7EF74757"/>
    <w:rsid w:val="7EF82F7B"/>
    <w:rsid w:val="7EFB35DB"/>
    <w:rsid w:val="7F0B7D77"/>
    <w:rsid w:val="7F0D1D41"/>
    <w:rsid w:val="7F144E7E"/>
    <w:rsid w:val="7F1629D0"/>
    <w:rsid w:val="7F475176"/>
    <w:rsid w:val="7F585D96"/>
    <w:rsid w:val="7F665903"/>
    <w:rsid w:val="7F6A7752"/>
    <w:rsid w:val="7F802603"/>
    <w:rsid w:val="7F844902"/>
    <w:rsid w:val="7FA17FB4"/>
    <w:rsid w:val="7FAC6B43"/>
    <w:rsid w:val="7FC763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2"/>
    <w:qFormat/>
    <w:uiPriority w:val="0"/>
    <w:pPr>
      <w:autoSpaceDE/>
      <w:autoSpaceDN/>
      <w:adjustRightInd w:val="0"/>
      <w:spacing w:after="50" w:afterLines="50" w:line="360" w:lineRule="auto"/>
      <w:jc w:val="left"/>
      <w:outlineLvl w:val="0"/>
    </w:pPr>
    <w:rPr>
      <w:rFonts w:ascii="Times New Roman" w:hAnsi="Times New Roman" w:eastAsia="宋体"/>
      <w:b/>
      <w:kern w:val="0"/>
      <w:sz w:val="30"/>
    </w:rPr>
  </w:style>
  <w:style w:type="paragraph" w:styleId="4">
    <w:name w:val="heading 2"/>
    <w:basedOn w:val="1"/>
    <w:next w:val="1"/>
    <w:link w:val="48"/>
    <w:qFormat/>
    <w:uiPriority w:val="0"/>
    <w:pPr>
      <w:autoSpaceDE w:val="0"/>
      <w:autoSpaceDN w:val="0"/>
      <w:adjustRightInd w:val="0"/>
      <w:spacing w:before="50" w:beforeLines="50" w:line="360" w:lineRule="auto"/>
      <w:jc w:val="left"/>
      <w:outlineLvl w:val="1"/>
    </w:pPr>
    <w:rPr>
      <w:rFonts w:ascii="Times New Roman" w:hAnsi="Times New Roman" w:eastAsia="宋体"/>
      <w:b/>
      <w:kern w:val="0"/>
      <w:sz w:val="24"/>
    </w:rPr>
  </w:style>
  <w:style w:type="paragraph" w:styleId="5">
    <w:name w:val="heading 3"/>
    <w:basedOn w:val="6"/>
    <w:next w:val="6"/>
    <w:qFormat/>
    <w:uiPriority w:val="0"/>
    <w:pPr>
      <w:keepNext/>
      <w:keepLines/>
      <w:spacing w:before="120" w:beforeLines="0" w:after="120" w:afterLines="0"/>
      <w:outlineLvl w:val="2"/>
    </w:pPr>
    <w:rPr>
      <w:b/>
      <w:kern w:val="2"/>
      <w:sz w:val="24"/>
    </w:rPr>
  </w:style>
  <w:style w:type="paragraph" w:styleId="2">
    <w:name w:val="heading 4"/>
    <w:basedOn w:val="1"/>
    <w:next w:val="1"/>
    <w:qFormat/>
    <w:uiPriority w:val="0"/>
    <w:pPr>
      <w:keepNext/>
      <w:keepLines/>
      <w:spacing w:before="50" w:beforeLines="50" w:beforeAutospacing="0" w:afterLines="0" w:afterAutospacing="0" w:line="360" w:lineRule="auto"/>
      <w:ind w:left="420" w:leftChars="200"/>
      <w:outlineLvl w:val="3"/>
    </w:pPr>
    <w:rPr>
      <w:rFonts w:ascii="Arial" w:hAnsi="Arial" w:eastAsia="宋体" w:cs="Times New Roman"/>
      <w:b/>
      <w:sz w:val="24"/>
    </w:rPr>
  </w:style>
  <w:style w:type="paragraph" w:styleId="7">
    <w:name w:val="heading 8"/>
    <w:basedOn w:val="1"/>
    <w:next w:val="1"/>
    <w:qFormat/>
    <w:uiPriority w:val="0"/>
    <w:pPr>
      <w:keepNext/>
      <w:keepLines/>
      <w:spacing w:before="240" w:beforeLines="0" w:after="64" w:afterLines="0" w:line="320" w:lineRule="auto"/>
      <w:outlineLvl w:val="7"/>
    </w:pPr>
    <w:rPr>
      <w:rFonts w:ascii="Arial" w:hAnsi="Arial" w:eastAsia="黑体"/>
      <w:sz w:val="24"/>
      <w:szCs w:val="24"/>
    </w:rPr>
  </w:style>
  <w:style w:type="paragraph" w:styleId="8">
    <w:name w:val="heading 9"/>
    <w:basedOn w:val="1"/>
    <w:next w:val="1"/>
    <w:qFormat/>
    <w:uiPriority w:val="0"/>
    <w:pPr>
      <w:keepNext/>
      <w:keepLines/>
      <w:spacing w:before="240" w:beforeLines="0" w:after="64" w:afterLines="0" w:line="320" w:lineRule="auto"/>
      <w:outlineLvl w:val="8"/>
    </w:pPr>
    <w:rPr>
      <w:rFonts w:ascii="Cambria" w:hAnsi="Cambria"/>
      <w:szCs w:val="21"/>
    </w:rPr>
  </w:style>
  <w:style w:type="character" w:default="1" w:styleId="35">
    <w:name w:val="Default Paragraph Font"/>
    <w:qFormat/>
    <w:uiPriority w:val="0"/>
    <w:rPr>
      <w:rFonts w:ascii="Tahoma" w:hAnsi="Tahoma"/>
      <w:szCs w:val="24"/>
    </w:rPr>
  </w:style>
  <w:style w:type="table" w:default="1" w:styleId="3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9">
    <w:name w:val="Document Map"/>
    <w:basedOn w:val="1"/>
    <w:qFormat/>
    <w:uiPriority w:val="0"/>
    <w:pPr>
      <w:shd w:val="clear" w:color="auto" w:fill="000080"/>
    </w:pPr>
  </w:style>
  <w:style w:type="paragraph" w:styleId="10">
    <w:name w:val="annotation text"/>
    <w:basedOn w:val="1"/>
    <w:next w:val="1"/>
    <w:link w:val="44"/>
    <w:qFormat/>
    <w:uiPriority w:val="0"/>
    <w:pPr>
      <w:jc w:val="left"/>
    </w:pPr>
  </w:style>
  <w:style w:type="paragraph" w:styleId="11">
    <w:name w:val="Body Text"/>
    <w:basedOn w:val="1"/>
    <w:qFormat/>
    <w:uiPriority w:val="0"/>
    <w:pPr>
      <w:spacing w:after="120" w:afterLines="0" w:afterAutospacing="0"/>
    </w:pPr>
  </w:style>
  <w:style w:type="paragraph" w:styleId="12">
    <w:name w:val="Body Text Indent"/>
    <w:basedOn w:val="1"/>
    <w:qFormat/>
    <w:uiPriority w:val="0"/>
    <w:pPr>
      <w:ind w:firstLine="560" w:firstLineChars="200"/>
    </w:pPr>
  </w:style>
  <w:style w:type="paragraph" w:styleId="13">
    <w:name w:val="toc 3"/>
    <w:basedOn w:val="1"/>
    <w:next w:val="1"/>
    <w:qFormat/>
    <w:uiPriority w:val="39"/>
    <w:pPr>
      <w:ind w:left="840" w:leftChars="400"/>
    </w:pPr>
  </w:style>
  <w:style w:type="paragraph" w:styleId="14">
    <w:name w:val="Plain Text"/>
    <w:basedOn w:val="1"/>
    <w:next w:val="1"/>
    <w:qFormat/>
    <w:uiPriority w:val="0"/>
    <w:pPr>
      <w:spacing w:line="240" w:lineRule="auto"/>
    </w:pPr>
    <w:rPr>
      <w:rFonts w:hAnsi="Courier New"/>
      <w:sz w:val="21"/>
    </w:rPr>
  </w:style>
  <w:style w:type="paragraph" w:styleId="15">
    <w:name w:val="Date"/>
    <w:basedOn w:val="1"/>
    <w:next w:val="1"/>
    <w:link w:val="45"/>
    <w:qFormat/>
    <w:uiPriority w:val="0"/>
    <w:pPr>
      <w:ind w:left="100" w:leftChars="2500"/>
    </w:pPr>
  </w:style>
  <w:style w:type="paragraph" w:styleId="16">
    <w:name w:val="Body Text Indent 2"/>
    <w:basedOn w:val="1"/>
    <w:qFormat/>
    <w:uiPriority w:val="0"/>
    <w:pPr>
      <w:spacing w:line="480" w:lineRule="auto"/>
      <w:ind w:firstLine="561"/>
    </w:pPr>
    <w:rPr>
      <w:rFonts w:ascii="宋体"/>
    </w:rPr>
  </w:style>
  <w:style w:type="paragraph" w:styleId="17">
    <w:name w:val="endnote text"/>
    <w:basedOn w:val="1"/>
    <w:qFormat/>
    <w:uiPriority w:val="0"/>
    <w:pPr>
      <w:snapToGrid w:val="0"/>
      <w:jc w:val="left"/>
    </w:pPr>
  </w:style>
  <w:style w:type="paragraph" w:styleId="18">
    <w:name w:val="Balloon Text"/>
    <w:basedOn w:val="1"/>
    <w:link w:val="46"/>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39"/>
  </w:style>
  <w:style w:type="paragraph" w:styleId="23">
    <w:name w:val="toc 4"/>
    <w:basedOn w:val="1"/>
    <w:next w:val="1"/>
    <w:qFormat/>
    <w:uiPriority w:val="0"/>
    <w:pPr>
      <w:ind w:left="1260" w:leftChars="600"/>
    </w:pPr>
  </w:style>
  <w:style w:type="paragraph" w:styleId="24">
    <w:name w:val="List"/>
    <w:basedOn w:val="1"/>
    <w:unhideWhenUsed/>
    <w:qFormat/>
    <w:uiPriority w:val="99"/>
    <w:pPr>
      <w:ind w:left="200" w:hanging="200" w:hangingChars="200"/>
      <w:contextualSpacing/>
    </w:pPr>
  </w:style>
  <w:style w:type="paragraph" w:styleId="25">
    <w:name w:val="toc 2"/>
    <w:basedOn w:val="1"/>
    <w:next w:val="1"/>
    <w:qFormat/>
    <w:uiPriority w:val="39"/>
    <w:pPr>
      <w:ind w:left="420" w:leftChars="200"/>
    </w:pPr>
  </w:style>
  <w:style w:type="paragraph" w:styleId="26">
    <w:name w:val="Body Text 2"/>
    <w:basedOn w:val="1"/>
    <w:next w:val="11"/>
    <w:qFormat/>
    <w:uiPriority w:val="0"/>
    <w:pPr>
      <w:spacing w:line="500" w:lineRule="exact"/>
    </w:pPr>
    <w:rPr>
      <w:rFonts w:ascii="宋体"/>
      <w:sz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8">
    <w:name w:val="Normal (Web)"/>
    <w:basedOn w:val="1"/>
    <w:qFormat/>
    <w:uiPriority w:val="0"/>
    <w:pPr>
      <w:widowControl/>
      <w:spacing w:before="100" w:beforeLines="0" w:beforeAutospacing="1" w:after="100" w:afterLines="0" w:afterAutospacing="1" w:line="240" w:lineRule="auto"/>
      <w:jc w:val="left"/>
    </w:pPr>
    <w:rPr>
      <w:rFonts w:hAnsi="宋体" w:cs="宋体"/>
      <w:color w:val="000000"/>
      <w:kern w:val="0"/>
      <w:szCs w:val="24"/>
    </w:rPr>
  </w:style>
  <w:style w:type="paragraph" w:styleId="2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0">
    <w:name w:val="annotation subject"/>
    <w:basedOn w:val="10"/>
    <w:next w:val="10"/>
    <w:link w:val="47"/>
    <w:qFormat/>
    <w:uiPriority w:val="0"/>
    <w:rPr>
      <w:b/>
      <w:bCs/>
    </w:rPr>
  </w:style>
  <w:style w:type="paragraph" w:styleId="31">
    <w:name w:val="Body Text First Indent"/>
    <w:basedOn w:val="11"/>
    <w:next w:val="32"/>
    <w:qFormat/>
    <w:uiPriority w:val="0"/>
    <w:pPr>
      <w:ind w:firstLine="420" w:firstLineChars="100"/>
    </w:pPr>
    <w:rPr>
      <w:rFonts w:ascii="Calibri" w:hAnsi="Calibri"/>
    </w:rPr>
  </w:style>
  <w:style w:type="paragraph" w:styleId="32">
    <w:name w:val="Body Text First Indent 2"/>
    <w:basedOn w:val="12"/>
    <w:next w:val="33"/>
    <w:qFormat/>
    <w:uiPriority w:val="0"/>
    <w:pPr>
      <w:ind w:firstLine="420" w:firstLineChars="200"/>
    </w:pPr>
    <w:rPr>
      <w:rFonts w:ascii="宋体" w:hAnsi="宋体"/>
      <w:spacing w:val="-20"/>
      <w:kern w:val="21"/>
      <w:sz w:val="28"/>
    </w:rPr>
  </w:style>
  <w:style w:type="paragraph" w:customStyle="1" w:styleId="33">
    <w:name w:val="章标题"/>
    <w:next w:val="1"/>
    <w:qFormat/>
    <w:uiPriority w:val="0"/>
    <w:pPr>
      <w:spacing w:before="50" w:after="50"/>
      <w:jc w:val="both"/>
      <w:outlineLvl w:val="1"/>
    </w:pPr>
    <w:rPr>
      <w:rFonts w:ascii="黑体" w:hAnsi="Calibri" w:eastAsia="黑体" w:cs="Times New Roman"/>
      <w:kern w:val="0"/>
      <w:sz w:val="21"/>
      <w:szCs w:val="20"/>
      <w:lang w:val="en-US" w:eastAsia="zh-CN" w:bidi="ar-SA"/>
    </w:rPr>
  </w:style>
  <w:style w:type="character" w:styleId="36">
    <w:name w:val="Strong"/>
    <w:basedOn w:val="35"/>
    <w:qFormat/>
    <w:uiPriority w:val="0"/>
    <w:rPr>
      <w:b/>
    </w:rPr>
  </w:style>
  <w:style w:type="character" w:styleId="37">
    <w:name w:val="endnote reference"/>
    <w:qFormat/>
    <w:uiPriority w:val="0"/>
    <w:rPr>
      <w:vertAlign w:val="superscript"/>
    </w:rPr>
  </w:style>
  <w:style w:type="character" w:styleId="38">
    <w:name w:val="page number"/>
    <w:basedOn w:val="35"/>
    <w:qFormat/>
    <w:uiPriority w:val="0"/>
  </w:style>
  <w:style w:type="character" w:styleId="39">
    <w:name w:val="FollowedHyperlink"/>
    <w:qFormat/>
    <w:uiPriority w:val="0"/>
    <w:rPr>
      <w:color w:val="000000"/>
      <w:u w:val="none"/>
    </w:rPr>
  </w:style>
  <w:style w:type="character" w:styleId="40">
    <w:name w:val="Hyperlink"/>
    <w:qFormat/>
    <w:uiPriority w:val="99"/>
    <w:rPr>
      <w:color w:val="000000"/>
      <w:u w:val="none"/>
    </w:rPr>
  </w:style>
  <w:style w:type="character" w:styleId="41">
    <w:name w:val="annotation reference"/>
    <w:qFormat/>
    <w:uiPriority w:val="0"/>
    <w:rPr>
      <w:sz w:val="21"/>
      <w:szCs w:val="21"/>
    </w:rPr>
  </w:style>
  <w:style w:type="character" w:customStyle="1" w:styleId="42">
    <w:name w:val="标题 1 Char"/>
    <w:link w:val="3"/>
    <w:qFormat/>
    <w:uiPriority w:val="0"/>
    <w:rPr>
      <w:rFonts w:ascii="Times New Roman" w:hAnsi="Times New Roman" w:eastAsia="宋体"/>
      <w:b/>
      <w:kern w:val="0"/>
      <w:sz w:val="30"/>
    </w:rPr>
  </w:style>
  <w:style w:type="character" w:customStyle="1" w:styleId="43">
    <w:name w:val="标题 2 字符"/>
    <w:link w:val="4"/>
    <w:qFormat/>
    <w:uiPriority w:val="0"/>
    <w:rPr>
      <w:kern w:val="0"/>
    </w:rPr>
  </w:style>
  <w:style w:type="character" w:customStyle="1" w:styleId="44">
    <w:name w:val="批注文字 Char"/>
    <w:link w:val="10"/>
    <w:qFormat/>
    <w:uiPriority w:val="0"/>
    <w:rPr>
      <w:kern w:val="2"/>
      <w:sz w:val="21"/>
    </w:rPr>
  </w:style>
  <w:style w:type="character" w:customStyle="1" w:styleId="45">
    <w:name w:val="日期 Char"/>
    <w:link w:val="15"/>
    <w:qFormat/>
    <w:uiPriority w:val="0"/>
    <w:rPr>
      <w:kern w:val="2"/>
      <w:sz w:val="21"/>
    </w:rPr>
  </w:style>
  <w:style w:type="character" w:customStyle="1" w:styleId="46">
    <w:name w:val="批注框文本 Char"/>
    <w:link w:val="18"/>
    <w:qFormat/>
    <w:uiPriority w:val="0"/>
    <w:rPr>
      <w:kern w:val="2"/>
      <w:sz w:val="18"/>
      <w:szCs w:val="18"/>
    </w:rPr>
  </w:style>
  <w:style w:type="character" w:customStyle="1" w:styleId="47">
    <w:name w:val="批注主题 Char"/>
    <w:link w:val="30"/>
    <w:qFormat/>
    <w:uiPriority w:val="0"/>
    <w:rPr>
      <w:b/>
      <w:bCs/>
      <w:kern w:val="2"/>
      <w:sz w:val="21"/>
    </w:rPr>
  </w:style>
  <w:style w:type="character" w:customStyle="1" w:styleId="48">
    <w:name w:val="标题 2 Char"/>
    <w:link w:val="4"/>
    <w:qFormat/>
    <w:uiPriority w:val="0"/>
    <w:rPr>
      <w:rFonts w:ascii="Times New Roman" w:hAnsi="Times New Roman" w:eastAsia="宋体"/>
      <w:b/>
      <w:kern w:val="0"/>
      <w:sz w:val="24"/>
    </w:rPr>
  </w:style>
  <w:style w:type="character" w:customStyle="1" w:styleId="49">
    <w:name w:val="NormalCharacter"/>
    <w:semiHidden/>
    <w:qFormat/>
    <w:uiPriority w:val="0"/>
    <w:rPr>
      <w:kern w:val="2"/>
      <w:sz w:val="21"/>
      <w:lang w:val="en-US" w:eastAsia="zh-CN" w:bidi="ar-SA"/>
    </w:rPr>
  </w:style>
  <w:style w:type="paragraph" w:customStyle="1" w:styleId="50">
    <w:name w:val="正文正"/>
    <w:basedOn w:val="51"/>
    <w:qFormat/>
    <w:uiPriority w:val="99"/>
    <w:pPr>
      <w:spacing w:line="560" w:lineRule="exact"/>
      <w:ind w:firstLine="561"/>
    </w:pPr>
    <w:rPr>
      <w:rFonts w:ascii="Calibri" w:hAnsi="Calibri" w:cs="Calibri"/>
      <w:sz w:val="28"/>
      <w:szCs w:val="28"/>
    </w:rPr>
  </w:style>
  <w:style w:type="paragraph" w:customStyle="1" w:styleId="51">
    <w:name w:val="正文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2">
    <w:name w:val="正文格式"/>
    <w:basedOn w:val="1"/>
    <w:qFormat/>
    <w:uiPriority w:val="0"/>
    <w:pPr>
      <w:topLinePunct/>
      <w:ind w:firstLine="420" w:firstLineChars="200"/>
    </w:pPr>
    <w:rPr>
      <w:rFonts w:hint="default" w:ascii="宋体" w:hAnsi="宋体"/>
      <w:bCs/>
      <w:szCs w:val="21"/>
    </w:rPr>
  </w:style>
  <w:style w:type="character" w:customStyle="1" w:styleId="53">
    <w:name w:val="页码 New New New New New New"/>
    <w:qFormat/>
    <w:uiPriority w:val="0"/>
  </w:style>
  <w:style w:type="character" w:customStyle="1" w:styleId="54">
    <w:name w:val="fontstyle01"/>
    <w:qFormat/>
    <w:uiPriority w:val="99"/>
    <w:rPr>
      <w:rFonts w:ascii="宋体" w:hAnsi="宋体" w:eastAsia="宋体" w:cs="Times New Roman"/>
      <w:color w:val="000000"/>
      <w:sz w:val="22"/>
      <w:szCs w:val="22"/>
    </w:rPr>
  </w:style>
  <w:style w:type="character" w:customStyle="1" w:styleId="55">
    <w:name w:val="页码 New"/>
    <w:qFormat/>
    <w:uiPriority w:val="0"/>
  </w:style>
  <w:style w:type="character" w:customStyle="1" w:styleId="56">
    <w:name w:val="font41"/>
    <w:qFormat/>
    <w:uiPriority w:val="0"/>
    <w:rPr>
      <w:rFonts w:hint="eastAsia" w:ascii="宋体" w:hAnsi="宋体" w:eastAsia="宋体" w:cs="宋体"/>
      <w:color w:val="000000"/>
      <w:sz w:val="24"/>
      <w:szCs w:val="24"/>
      <w:u w:val="none"/>
    </w:rPr>
  </w:style>
  <w:style w:type="character" w:customStyle="1" w:styleId="57">
    <w:name w:val="超链接 New New"/>
    <w:qFormat/>
    <w:uiPriority w:val="0"/>
    <w:rPr>
      <w:color w:val="000000"/>
      <w:sz w:val="18"/>
      <w:szCs w:val="18"/>
      <w:u w:val="none"/>
    </w:rPr>
  </w:style>
  <w:style w:type="character" w:customStyle="1" w:styleId="58">
    <w:name w:val="标题 2 New New Char Char"/>
    <w:link w:val="59"/>
    <w:qFormat/>
    <w:uiPriority w:val="0"/>
    <w:rPr>
      <w:rFonts w:ascii="Times New Roman" w:hAnsi="Times New Roman" w:eastAsia="宋体"/>
      <w:kern w:val="0"/>
      <w:sz w:val="24"/>
    </w:rPr>
  </w:style>
  <w:style w:type="paragraph" w:customStyle="1" w:styleId="59">
    <w:name w:val="1111111"/>
    <w:basedOn w:val="60"/>
    <w:next w:val="60"/>
    <w:link w:val="58"/>
    <w:qFormat/>
    <w:uiPriority w:val="0"/>
    <w:pPr>
      <w:autoSpaceDE w:val="0"/>
      <w:autoSpaceDN w:val="0"/>
      <w:adjustRightInd w:val="0"/>
      <w:jc w:val="left"/>
      <w:outlineLvl w:val="1"/>
    </w:pPr>
    <w:rPr>
      <w:rFonts w:ascii="Times New Roman" w:hAnsi="Times New Roman" w:eastAsia="宋体"/>
      <w:kern w:val="0"/>
    </w:rPr>
  </w:style>
  <w:style w:type="paragraph" w:customStyle="1" w:styleId="60">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61">
    <w:name w:val="font11"/>
    <w:qFormat/>
    <w:uiPriority w:val="0"/>
    <w:rPr>
      <w:rFonts w:ascii="����" w:hAnsi="����" w:eastAsia="����" w:cs="����"/>
      <w:color w:val="000000"/>
      <w:sz w:val="24"/>
      <w:szCs w:val="24"/>
      <w:u w:val="none"/>
    </w:rPr>
  </w:style>
  <w:style w:type="character" w:customStyle="1" w:styleId="62">
    <w:name w:val="页码 New New New New New New New New New"/>
    <w:qFormat/>
    <w:uiPriority w:val="0"/>
  </w:style>
  <w:style w:type="character" w:customStyle="1" w:styleId="63">
    <w:name w:val="页码 New New"/>
    <w:qFormat/>
    <w:uiPriority w:val="0"/>
  </w:style>
  <w:style w:type="character" w:customStyle="1" w:styleId="64">
    <w:name w:val="页码 New New New New New New New"/>
    <w:qFormat/>
    <w:uiPriority w:val="0"/>
  </w:style>
  <w:style w:type="character" w:customStyle="1" w:styleId="65">
    <w:name w:val="页码 New New New New New New New New New New"/>
    <w:qFormat/>
    <w:uiPriority w:val="0"/>
  </w:style>
  <w:style w:type="character" w:customStyle="1" w:styleId="66">
    <w:name w:val="页码 New New New New New New New New"/>
    <w:qFormat/>
    <w:uiPriority w:val="0"/>
  </w:style>
  <w:style w:type="character" w:customStyle="1" w:styleId="67">
    <w:name w:val="页码 New New New"/>
    <w:qFormat/>
    <w:uiPriority w:val="0"/>
  </w:style>
  <w:style w:type="character" w:customStyle="1" w:styleId="68">
    <w:name w:val="页码 New New New New New New New New New New New"/>
    <w:qFormat/>
    <w:uiPriority w:val="0"/>
  </w:style>
  <w:style w:type="character" w:customStyle="1" w:styleId="69">
    <w:name w:val="页码 New New New New New New New New New New New New"/>
    <w:qFormat/>
    <w:uiPriority w:val="0"/>
  </w:style>
  <w:style w:type="character" w:customStyle="1" w:styleId="70">
    <w:name w:val="页码 New New New New New"/>
    <w:qFormat/>
    <w:uiPriority w:val="0"/>
  </w:style>
  <w:style w:type="character" w:customStyle="1" w:styleId="71">
    <w:name w:val="页码 New New New New"/>
    <w:qFormat/>
    <w:uiPriority w:val="0"/>
  </w:style>
  <w:style w:type="character" w:customStyle="1" w:styleId="72">
    <w:name w:val="font51"/>
    <w:qFormat/>
    <w:uiPriority w:val="0"/>
    <w:rPr>
      <w:rFonts w:hint="eastAsia" w:ascii="宋体" w:hAnsi="宋体" w:eastAsia="宋体" w:cs="宋体"/>
      <w:color w:val="000000"/>
      <w:sz w:val="24"/>
      <w:szCs w:val="24"/>
      <w:u w:val="none"/>
    </w:rPr>
  </w:style>
  <w:style w:type="character" w:customStyle="1" w:styleId="73">
    <w:name w:val="hover35"/>
    <w:qFormat/>
    <w:uiPriority w:val="0"/>
  </w:style>
  <w:style w:type="character" w:customStyle="1" w:styleId="74">
    <w:name w:val="font21"/>
    <w:qFormat/>
    <w:uiPriority w:val="0"/>
    <w:rPr>
      <w:rFonts w:ascii="Calibri" w:hAnsi="Calibri" w:cs="Calibri"/>
      <w:color w:val="000000"/>
      <w:sz w:val="24"/>
      <w:szCs w:val="24"/>
      <w:u w:val="none"/>
    </w:rPr>
  </w:style>
  <w:style w:type="character" w:customStyle="1" w:styleId="75">
    <w:name w:val="超链接 New"/>
    <w:qFormat/>
    <w:uiPriority w:val="0"/>
    <w:rPr>
      <w:color w:val="0000FF"/>
      <w:u w:val="single"/>
    </w:rPr>
  </w:style>
  <w:style w:type="character" w:customStyle="1" w:styleId="76">
    <w:name w:val="正文文本缩进 2 New Char Char"/>
    <w:link w:val="77"/>
    <w:qFormat/>
    <w:uiPriority w:val="0"/>
    <w:rPr>
      <w:rFonts w:ascii="宋体"/>
    </w:rPr>
  </w:style>
  <w:style w:type="paragraph" w:customStyle="1" w:styleId="77">
    <w:name w:val="正文文本缩进 2 New"/>
    <w:basedOn w:val="60"/>
    <w:link w:val="76"/>
    <w:qFormat/>
    <w:uiPriority w:val="0"/>
    <w:pPr>
      <w:spacing w:line="480" w:lineRule="auto"/>
      <w:ind w:firstLine="561"/>
    </w:pPr>
    <w:rPr>
      <w:kern w:val="0"/>
      <w:sz w:val="20"/>
    </w:rPr>
  </w:style>
  <w:style w:type="paragraph" w:customStyle="1" w:styleId="78">
    <w:name w:val="正文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9">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0">
    <w:name w:val="正文缩进 New New New New"/>
    <w:basedOn w:val="81"/>
    <w:qFormat/>
    <w:uiPriority w:val="0"/>
    <w:pPr>
      <w:widowControl/>
      <w:ind w:firstLine="420"/>
      <w:jc w:val="left"/>
    </w:pPr>
    <w:rPr>
      <w:rFonts w:ascii="宋体" w:eastAsia="宋体"/>
      <w:lang w:val="en-US" w:eastAsia="zh-CN" w:bidi="ar-SA"/>
    </w:rPr>
  </w:style>
  <w:style w:type="paragraph" w:customStyle="1" w:styleId="81">
    <w:name w:val="正文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2">
    <w:name w:val="文档结构图 New New"/>
    <w:basedOn w:val="83"/>
    <w:qFormat/>
    <w:uiPriority w:val="0"/>
    <w:pPr>
      <w:shd w:val="clear" w:color="auto" w:fill="000080"/>
    </w:pPr>
  </w:style>
  <w:style w:type="paragraph" w:customStyle="1" w:styleId="83">
    <w:name w:val="正文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4">
    <w:name w:val="文档结构图 New"/>
    <w:basedOn w:val="60"/>
    <w:qFormat/>
    <w:uiPriority w:val="0"/>
    <w:pPr>
      <w:shd w:val="clear" w:color="auto" w:fill="000080"/>
    </w:pPr>
  </w:style>
  <w:style w:type="paragraph" w:customStyle="1" w:styleId="85">
    <w:name w:val="TOC 标题1"/>
    <w:basedOn w:val="3"/>
    <w:next w:val="1"/>
    <w:qFormat/>
    <w:uiPriority w:val="0"/>
    <w:pPr>
      <w:widowControl/>
      <w:spacing w:before="480" w:beforeLines="0" w:line="276" w:lineRule="auto"/>
      <w:outlineLvl w:val="9"/>
    </w:pPr>
    <w:rPr>
      <w:rFonts w:ascii="Cambria" w:hAnsi="Cambria"/>
      <w:color w:val="366091"/>
      <w:sz w:val="28"/>
      <w:szCs w:val="28"/>
    </w:rPr>
  </w:style>
  <w:style w:type="paragraph" w:customStyle="1" w:styleId="86">
    <w:name w:val="页脚 New New New New New New New New New"/>
    <w:basedOn w:val="79"/>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87">
    <w:name w:val="样式 样式 四号 首行缩进:  0 厘米 + 首行缩进:  2 字符"/>
    <w:basedOn w:val="1"/>
    <w:qFormat/>
    <w:uiPriority w:val="0"/>
    <w:pPr>
      <w:snapToGrid/>
      <w:spacing w:before="120" w:beforeLines="0" w:after="0" w:afterLines="0" w:line="360" w:lineRule="auto"/>
      <w:ind w:firstLine="566" w:firstLineChars="236"/>
      <w:jc w:val="both"/>
    </w:pPr>
    <w:rPr>
      <w:rFonts w:ascii="Times New Roman" w:hAnsi="Times New Roman" w:eastAsia="宋体" w:cs="Times New Roman"/>
      <w:kern w:val="24"/>
      <w:sz w:val="21"/>
      <w:szCs w:val="21"/>
    </w:rPr>
  </w:style>
  <w:style w:type="paragraph" w:customStyle="1" w:styleId="88">
    <w:name w:val="目录 1 New"/>
    <w:basedOn w:val="60"/>
    <w:next w:val="60"/>
    <w:qFormat/>
    <w:uiPriority w:val="0"/>
    <w:pPr>
      <w:spacing w:before="120" w:beforeLines="0" w:beforeAutospacing="0" w:after="120" w:afterLines="0" w:afterAutospacing="0"/>
      <w:jc w:val="left"/>
    </w:pPr>
    <w:rPr>
      <w:caps/>
      <w:sz w:val="24"/>
    </w:rPr>
  </w:style>
  <w:style w:type="paragraph" w:customStyle="1" w:styleId="89">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0">
    <w:name w:val="页脚 New New"/>
    <w:basedOn w:val="1"/>
    <w:qFormat/>
    <w:uiPriority w:val="0"/>
    <w:pPr>
      <w:widowControl/>
      <w:tabs>
        <w:tab w:val="center" w:pos="4153"/>
        <w:tab w:val="right" w:pos="8306"/>
      </w:tabs>
      <w:snapToGrid w:val="0"/>
      <w:jc w:val="left"/>
    </w:pPr>
    <w:rPr>
      <w:rFonts w:ascii="宋体"/>
      <w:sz w:val="18"/>
    </w:rPr>
  </w:style>
  <w:style w:type="paragraph" w:customStyle="1" w:styleId="91">
    <w:name w:val="页脚 New New New New New New New New New New New"/>
    <w:basedOn w:val="92"/>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92">
    <w:name w:val="正文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3">
    <w:name w:val="文档结构图 New New New New"/>
    <w:basedOn w:val="94"/>
    <w:qFormat/>
    <w:uiPriority w:val="0"/>
    <w:pPr>
      <w:shd w:val="clear" w:color="auto" w:fill="000080"/>
    </w:pPr>
  </w:style>
  <w:style w:type="paragraph" w:customStyle="1" w:styleId="94">
    <w:name w:val="正文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5">
    <w:name w:val="标题 3 New"/>
    <w:basedOn w:val="96"/>
    <w:next w:val="96"/>
    <w:qFormat/>
    <w:uiPriority w:val="0"/>
    <w:pPr>
      <w:keepNext/>
      <w:keepLines/>
      <w:spacing w:before="120" w:beforeLines="0" w:after="120" w:afterLines="0"/>
      <w:jc w:val="center"/>
      <w:outlineLvl w:val="2"/>
    </w:pPr>
    <w:rPr>
      <w:sz w:val="24"/>
    </w:rPr>
  </w:style>
  <w:style w:type="paragraph" w:customStyle="1" w:styleId="96">
    <w:name w:val="正文缩进 New"/>
    <w:basedOn w:val="97"/>
    <w:qFormat/>
    <w:uiPriority w:val="0"/>
    <w:pPr>
      <w:widowControl/>
      <w:ind w:firstLine="420"/>
      <w:jc w:val="left"/>
    </w:pPr>
    <w:rPr>
      <w:kern w:val="0"/>
      <w:sz w:val="20"/>
    </w:rPr>
  </w:style>
  <w:style w:type="paragraph" w:customStyle="1" w:styleId="97">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8">
    <w:name w:val="正文文本缩进 3 New"/>
    <w:basedOn w:val="60"/>
    <w:qFormat/>
    <w:uiPriority w:val="0"/>
    <w:pPr>
      <w:ind w:firstLine="560"/>
    </w:pPr>
    <w:rPr>
      <w:rFonts w:ascii="宋体" w:eastAsia="宋体"/>
      <w:color w:val="FF0000"/>
      <w:kern w:val="2"/>
      <w:sz w:val="24"/>
      <w:lang w:val="en-US" w:eastAsia="zh-CN" w:bidi="ar-SA"/>
    </w:rPr>
  </w:style>
  <w:style w:type="paragraph" w:customStyle="1" w:styleId="99">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01">
    <w:name w:val="文档结构图 New New New"/>
    <w:basedOn w:val="78"/>
    <w:qFormat/>
    <w:uiPriority w:val="0"/>
    <w:pPr>
      <w:shd w:val="clear" w:color="auto" w:fill="000080"/>
    </w:pPr>
  </w:style>
  <w:style w:type="paragraph" w:customStyle="1" w:styleId="102">
    <w:name w:val="正文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3">
    <w:name w:val="正文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4">
    <w:name w:val="页脚 New New New New New New New New New New New New New New New New New New New New"/>
    <w:basedOn w:val="94"/>
    <w:qFormat/>
    <w:uiPriority w:val="0"/>
    <w:pPr>
      <w:widowControl/>
      <w:tabs>
        <w:tab w:val="center" w:pos="4153"/>
        <w:tab w:val="right" w:pos="8306"/>
      </w:tabs>
      <w:snapToGrid w:val="0"/>
      <w:jc w:val="left"/>
    </w:pPr>
    <w:rPr>
      <w:kern w:val="0"/>
      <w:sz w:val="18"/>
    </w:rPr>
  </w:style>
  <w:style w:type="paragraph" w:customStyle="1" w:styleId="105">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6">
    <w:name w:val="正文文本 New"/>
    <w:basedOn w:val="60"/>
    <w:qFormat/>
    <w:uiPriority w:val="0"/>
    <w:pPr>
      <w:spacing w:after="120" w:afterLines="0" w:afterAutospacing="0"/>
    </w:pPr>
  </w:style>
  <w:style w:type="paragraph" w:customStyle="1" w:styleId="107">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08">
    <w:name w:val="正文缩进 New New"/>
    <w:basedOn w:val="51"/>
    <w:qFormat/>
    <w:uiPriority w:val="0"/>
    <w:pPr>
      <w:widowControl/>
      <w:ind w:firstLine="420"/>
      <w:jc w:val="left"/>
    </w:pPr>
    <w:rPr>
      <w:rFonts w:ascii="宋体" w:eastAsia="宋体"/>
      <w:lang w:val="en-US" w:eastAsia="zh-CN" w:bidi="ar-SA"/>
    </w:rPr>
  </w:style>
  <w:style w:type="paragraph" w:customStyle="1" w:styleId="109">
    <w:name w:val="正文1"/>
    <w:qFormat/>
    <w:uiPriority w:val="0"/>
    <w:pPr>
      <w:widowControl w:val="0"/>
      <w:spacing w:after="156"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13">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4">
    <w:name w:val="页脚 New New New New"/>
    <w:basedOn w:val="1"/>
    <w:qFormat/>
    <w:uiPriority w:val="0"/>
    <w:pPr>
      <w:widowControl/>
      <w:tabs>
        <w:tab w:val="center" w:pos="4153"/>
        <w:tab w:val="right" w:pos="8306"/>
      </w:tabs>
      <w:snapToGrid w:val="0"/>
      <w:jc w:val="left"/>
    </w:pPr>
    <w:rPr>
      <w:rFonts w:ascii="宋体"/>
      <w:sz w:val="18"/>
    </w:rPr>
  </w:style>
  <w:style w:type="paragraph" w:customStyle="1" w:styleId="115">
    <w:name w:val=" Char Char2"/>
    <w:basedOn w:val="84"/>
    <w:qFormat/>
    <w:uiPriority w:val="0"/>
    <w:pPr>
      <w:spacing w:line="240" w:lineRule="auto"/>
    </w:pPr>
  </w:style>
  <w:style w:type="paragraph" w:customStyle="1" w:styleId="116">
    <w:name w:val="页脚 New New New New New New New New New New New New New New New"/>
    <w:basedOn w:val="117"/>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17">
    <w:name w:val="正文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8">
    <w:name w:val="页脚 New New New New New New New New New New New New New New"/>
    <w:basedOn w:val="119"/>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19">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0">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21">
    <w:name w:val="页脚 New New New New New New New New New New New New New New New New New New New New New"/>
    <w:basedOn w:val="111"/>
    <w:qFormat/>
    <w:uiPriority w:val="0"/>
    <w:pPr>
      <w:widowControl/>
      <w:tabs>
        <w:tab w:val="center" w:pos="4153"/>
        <w:tab w:val="right" w:pos="8306"/>
      </w:tabs>
      <w:snapToGrid w:val="0"/>
      <w:jc w:val="left"/>
    </w:pPr>
    <w:rPr>
      <w:kern w:val="0"/>
      <w:sz w:val="18"/>
    </w:rPr>
  </w:style>
  <w:style w:type="paragraph" w:customStyle="1" w:styleId="122">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4">
    <w:name w:val="正文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5">
    <w:name w:val="Normal Indent"/>
    <w:basedOn w:val="1"/>
    <w:qFormat/>
    <w:uiPriority w:val="0"/>
    <w:pPr>
      <w:widowControl/>
      <w:ind w:firstLine="420"/>
      <w:jc w:val="left"/>
    </w:pPr>
    <w:rPr>
      <w:rFonts w:ascii="Times New Roman" w:hAnsi="Times New Roman"/>
      <w:kern w:val="0"/>
      <w:szCs w:val="20"/>
    </w:rPr>
  </w:style>
  <w:style w:type="paragraph" w:customStyle="1" w:styleId="126">
    <w:name w:val="Body text|221"/>
    <w:basedOn w:val="1"/>
    <w:qFormat/>
    <w:uiPriority w:val="0"/>
    <w:pPr>
      <w:widowControl w:val="0"/>
      <w:shd w:val="clear" w:color="auto" w:fill="FFFFFF"/>
      <w:spacing w:before="700" w:line="396" w:lineRule="exact"/>
      <w:ind w:hanging="860"/>
      <w:jc w:val="distribute"/>
    </w:pPr>
    <w:rPr>
      <w:rFonts w:ascii="PMingLiU" w:hAnsi="PMingLiU" w:eastAsia="PMingLiU" w:cs="PMingLiU"/>
      <w:sz w:val="20"/>
      <w:szCs w:val="20"/>
      <w:u w:val="none"/>
    </w:rPr>
  </w:style>
  <w:style w:type="paragraph" w:customStyle="1" w:styleId="127">
    <w:name w:val="正文文本 New New"/>
    <w:basedOn w:val="83"/>
    <w:qFormat/>
    <w:uiPriority w:val="0"/>
    <w:pPr>
      <w:spacing w:after="120" w:afterLines="0" w:afterAutospacing="0"/>
    </w:pPr>
  </w:style>
  <w:style w:type="paragraph" w:customStyle="1" w:styleId="12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标题 2 New"/>
    <w:basedOn w:val="130"/>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paragraph" w:customStyle="1" w:styleId="13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列出段落3"/>
    <w:basedOn w:val="1"/>
    <w:qFormat/>
    <w:uiPriority w:val="0"/>
    <w:pPr>
      <w:ind w:firstLine="420" w:firstLineChars="200"/>
    </w:pPr>
    <w:rPr>
      <w:szCs w:val="20"/>
    </w:rPr>
  </w:style>
  <w:style w:type="paragraph" w:customStyle="1" w:styleId="132">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3">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4">
    <w:name w:val="索引标题 New"/>
    <w:basedOn w:val="1"/>
    <w:next w:val="135"/>
    <w:qFormat/>
    <w:uiPriority w:val="0"/>
    <w:pPr>
      <w:spacing w:line="240" w:lineRule="auto"/>
    </w:pPr>
    <w:rPr>
      <w:rFonts w:ascii="Times New Roman"/>
      <w:sz w:val="21"/>
    </w:rPr>
  </w:style>
  <w:style w:type="paragraph" w:customStyle="1" w:styleId="135">
    <w:name w:val="索引 1 New"/>
    <w:basedOn w:val="1"/>
    <w:next w:val="1"/>
    <w:qFormat/>
    <w:uiPriority w:val="0"/>
  </w:style>
  <w:style w:type="paragraph" w:customStyle="1" w:styleId="136">
    <w:name w:val="正文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7">
    <w:name w:val="正文文本缩进 New New New New New New New New New"/>
    <w:basedOn w:val="102"/>
    <w:qFormat/>
    <w:uiPriority w:val="0"/>
    <w:pPr>
      <w:spacing w:after="120" w:afterLines="0"/>
      <w:ind w:left="420" w:leftChars="200"/>
    </w:pPr>
    <w:rPr>
      <w:rFonts w:eastAsia="宋体"/>
      <w:szCs w:val="24"/>
      <w:lang w:bidi="ar-SA"/>
    </w:rPr>
  </w:style>
  <w:style w:type="paragraph" w:customStyle="1" w:styleId="138">
    <w:name w:val="页脚 New New New New New New"/>
    <w:basedOn w:val="133"/>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39">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0">
    <w:name w:val="正文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1">
    <w:name w:val="页脚 New New New New New New New New New New New New New New New New New New New"/>
    <w:basedOn w:val="142"/>
    <w:qFormat/>
    <w:uiPriority w:val="0"/>
    <w:pPr>
      <w:tabs>
        <w:tab w:val="center" w:pos="4153"/>
        <w:tab w:val="right" w:pos="8306"/>
      </w:tabs>
      <w:snapToGrid w:val="0"/>
      <w:jc w:val="left"/>
    </w:pPr>
    <w:rPr>
      <w:sz w:val="18"/>
      <w:szCs w:val="18"/>
    </w:rPr>
  </w:style>
  <w:style w:type="paragraph" w:customStyle="1" w:styleId="14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143">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4">
    <w:name w:val="页脚 New"/>
    <w:basedOn w:val="60"/>
    <w:qFormat/>
    <w:uiPriority w:val="0"/>
    <w:pPr>
      <w:widowControl/>
      <w:tabs>
        <w:tab w:val="center" w:pos="4153"/>
        <w:tab w:val="right" w:pos="8306"/>
      </w:tabs>
      <w:snapToGrid w:val="0"/>
      <w:jc w:val="left"/>
    </w:pPr>
    <w:rPr>
      <w:kern w:val="0"/>
      <w:sz w:val="18"/>
    </w:rPr>
  </w:style>
  <w:style w:type="paragraph" w:customStyle="1" w:styleId="145">
    <w:name w:val="页脚 New New New New New New New New New New"/>
    <w:basedOn w:val="124"/>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46">
    <w:name w:val="正文缩进1"/>
    <w:basedOn w:val="1"/>
    <w:qFormat/>
    <w:uiPriority w:val="0"/>
    <w:pPr>
      <w:widowControl/>
      <w:ind w:firstLine="420"/>
      <w:jc w:val="left"/>
    </w:pPr>
    <w:rPr>
      <w:kern w:val="0"/>
    </w:rPr>
  </w:style>
  <w:style w:type="paragraph" w:customStyle="1" w:styleId="147">
    <w:name w:val="正文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8">
    <w:name w:val="正文文本缩进 New"/>
    <w:basedOn w:val="97"/>
    <w:qFormat/>
    <w:uiPriority w:val="0"/>
    <w:pPr>
      <w:ind w:firstLine="560" w:firstLineChars="200"/>
    </w:pPr>
    <w:rPr>
      <w:rFonts w:ascii="宋体"/>
      <w:kern w:val="2"/>
      <w:sz w:val="24"/>
    </w:rPr>
  </w:style>
  <w:style w:type="paragraph" w:customStyle="1" w:styleId="149">
    <w:name w:val="页脚 New New New New New New New New New New New New New New New New New"/>
    <w:basedOn w:val="110"/>
    <w:qFormat/>
    <w:uiPriority w:val="0"/>
    <w:pPr>
      <w:widowControl/>
      <w:tabs>
        <w:tab w:val="center" w:pos="4153"/>
        <w:tab w:val="right" w:pos="8306"/>
      </w:tabs>
      <w:snapToGrid w:val="0"/>
      <w:jc w:val="left"/>
    </w:pPr>
    <w:rPr>
      <w:kern w:val="0"/>
      <w:sz w:val="18"/>
    </w:rPr>
  </w:style>
  <w:style w:type="paragraph" w:customStyle="1" w:styleId="150">
    <w:name w:val="标题三"/>
    <w:basedOn w:val="4"/>
    <w:qFormat/>
    <w:uiPriority w:val="0"/>
    <w:pPr>
      <w:keepNext w:val="0"/>
      <w:keepLines w:val="0"/>
      <w:spacing w:before="240" w:beforeLines="0" w:after="240" w:afterLines="0" w:line="480" w:lineRule="exact"/>
    </w:pPr>
    <w:rPr>
      <w:rFonts w:ascii="Times New Roman" w:hAnsi="Times New Roman" w:eastAsia="宋体" w:cs="宋体"/>
      <w:sz w:val="28"/>
      <w:szCs w:val="20"/>
    </w:rPr>
  </w:style>
  <w:style w:type="paragraph" w:customStyle="1" w:styleId="151">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2">
    <w:name w:val="页脚 New New New New New New New New New New New New"/>
    <w:basedOn w:val="132"/>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53">
    <w:name w:val="页脚 New New New New New New New"/>
    <w:basedOn w:val="103"/>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54">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55">
    <w:name w:val="页脚 New New New"/>
    <w:basedOn w:val="1"/>
    <w:qFormat/>
    <w:uiPriority w:val="0"/>
    <w:pPr>
      <w:widowControl/>
      <w:tabs>
        <w:tab w:val="center" w:pos="4153"/>
        <w:tab w:val="right" w:pos="8306"/>
      </w:tabs>
      <w:snapToGrid w:val="0"/>
      <w:jc w:val="left"/>
    </w:pPr>
    <w:rPr>
      <w:rFonts w:ascii="宋体"/>
      <w:sz w:val="18"/>
    </w:rPr>
  </w:style>
  <w:style w:type="paragraph" w:customStyle="1" w:styleId="156">
    <w:name w:val="正文文本缩进 New New New New New New New New"/>
    <w:basedOn w:val="139"/>
    <w:qFormat/>
    <w:uiPriority w:val="0"/>
    <w:pPr>
      <w:spacing w:after="120" w:afterLines="0"/>
      <w:ind w:left="420" w:leftChars="200"/>
    </w:pPr>
    <w:rPr>
      <w:rFonts w:eastAsia="宋体"/>
      <w:szCs w:val="24"/>
      <w:lang w:bidi="ar-SA"/>
    </w:rPr>
  </w:style>
  <w:style w:type="paragraph" w:customStyle="1" w:styleId="157">
    <w:name w:val="正文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8">
    <w:name w:val="标题 3 New New New"/>
    <w:basedOn w:val="96"/>
    <w:next w:val="96"/>
    <w:qFormat/>
    <w:uiPriority w:val="0"/>
    <w:pPr>
      <w:keepNext/>
      <w:keepLines/>
      <w:spacing w:before="120" w:beforeLines="0" w:beforeAutospacing="0" w:after="120" w:afterLines="0" w:afterAutospacing="0"/>
      <w:jc w:val="center"/>
      <w:outlineLvl w:val="2"/>
    </w:pPr>
    <w:rPr>
      <w:sz w:val="24"/>
    </w:rPr>
  </w:style>
  <w:style w:type="paragraph" w:customStyle="1" w:styleId="159">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60">
    <w:name w:val="正文文本缩进 New New"/>
    <w:basedOn w:val="60"/>
    <w:qFormat/>
    <w:uiPriority w:val="0"/>
    <w:pPr>
      <w:ind w:firstLine="560" w:firstLineChars="200"/>
    </w:pPr>
    <w:rPr>
      <w:rFonts w:ascii="宋体"/>
      <w:kern w:val="2"/>
      <w:sz w:val="24"/>
    </w:rPr>
  </w:style>
  <w:style w:type="paragraph" w:customStyle="1" w:styleId="161">
    <w:name w:val="页眉 New"/>
    <w:basedOn w:val="130"/>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62">
    <w:name w:val="页脚 New New New New New New New New"/>
    <w:basedOn w:val="99"/>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63">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65">
    <w:name w:val="标题 1 New"/>
    <w:basedOn w:val="60"/>
    <w:next w:val="60"/>
    <w:qFormat/>
    <w:uiPriority w:val="0"/>
    <w:pPr>
      <w:autoSpaceDE w:val="0"/>
      <w:autoSpaceDN w:val="0"/>
      <w:adjustRightInd w:val="0"/>
      <w:jc w:val="left"/>
      <w:outlineLvl w:val="0"/>
    </w:pPr>
    <w:rPr>
      <w:kern w:val="0"/>
      <w:sz w:val="30"/>
    </w:rPr>
  </w:style>
  <w:style w:type="paragraph" w:customStyle="1" w:styleId="166">
    <w:name w:val="页眉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67">
    <w:name w:val="正文缩进 New New New"/>
    <w:basedOn w:val="122"/>
    <w:qFormat/>
    <w:uiPriority w:val="0"/>
    <w:pPr>
      <w:widowControl/>
      <w:ind w:firstLine="420"/>
      <w:jc w:val="left"/>
    </w:pPr>
    <w:rPr>
      <w:rFonts w:ascii="宋体" w:eastAsia="宋体"/>
      <w:lang w:val="en-US" w:eastAsia="zh-CN" w:bidi="ar-SA"/>
    </w:rPr>
  </w:style>
  <w:style w:type="paragraph" w:customStyle="1" w:styleId="168">
    <w:name w:val="页眉 New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69">
    <w:name w:val="页脚 New New New New New New New New New New New New New"/>
    <w:basedOn w:val="157"/>
    <w:qFormat/>
    <w:uiPriority w:val="0"/>
    <w:pPr>
      <w:widowControl/>
      <w:tabs>
        <w:tab w:val="center" w:pos="4153"/>
        <w:tab w:val="right" w:pos="8306"/>
      </w:tabs>
      <w:snapToGrid w:val="0"/>
      <w:jc w:val="left"/>
    </w:pPr>
    <w:rPr>
      <w:rFonts w:ascii="宋体" w:eastAsia="宋体"/>
      <w:sz w:val="18"/>
      <w:lang w:val="en-US" w:eastAsia="zh-CN" w:bidi="ar-SA"/>
    </w:rPr>
  </w:style>
  <w:style w:type="paragraph" w:customStyle="1" w:styleId="170">
    <w:name w:val="正文文本缩进 New New New New"/>
    <w:basedOn w:val="154"/>
    <w:qFormat/>
    <w:uiPriority w:val="0"/>
    <w:pPr>
      <w:ind w:firstLine="560" w:firstLineChars="200"/>
    </w:pPr>
    <w:rPr>
      <w:rFonts w:ascii="宋体"/>
      <w:kern w:val="2"/>
      <w:sz w:val="24"/>
      <w:szCs w:val="28"/>
    </w:rPr>
  </w:style>
  <w:style w:type="paragraph" w:customStyle="1" w:styleId="171">
    <w:name w:val="标题 3 New New New New New"/>
    <w:basedOn w:val="167"/>
    <w:next w:val="167"/>
    <w:qFormat/>
    <w:uiPriority w:val="0"/>
    <w:pPr>
      <w:keepNext/>
      <w:keepLines/>
      <w:spacing w:before="120" w:beforeLines="0" w:beforeAutospacing="0" w:after="120" w:afterLines="0" w:afterAutospacing="0"/>
      <w:jc w:val="center"/>
      <w:outlineLvl w:val="2"/>
    </w:pPr>
    <w:rPr>
      <w:rFonts w:ascii="宋体" w:eastAsia="宋体"/>
      <w:sz w:val="24"/>
      <w:lang w:val="en-US" w:eastAsia="zh-CN" w:bidi="ar-SA"/>
    </w:rPr>
  </w:style>
  <w:style w:type="paragraph" w:customStyle="1" w:styleId="172">
    <w:name w:val="页脚 New New New New New New New New New New New New New New New New"/>
    <w:basedOn w:val="83"/>
    <w:qFormat/>
    <w:uiPriority w:val="0"/>
    <w:pPr>
      <w:widowControl/>
      <w:tabs>
        <w:tab w:val="center" w:pos="4153"/>
        <w:tab w:val="right" w:pos="8306"/>
      </w:tabs>
      <w:snapToGrid w:val="0"/>
      <w:jc w:val="left"/>
    </w:pPr>
    <w:rPr>
      <w:kern w:val="0"/>
      <w:sz w:val="18"/>
    </w:rPr>
  </w:style>
  <w:style w:type="paragraph" w:customStyle="1" w:styleId="173">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74">
    <w:name w:val="文档结构图 New New New New New"/>
    <w:basedOn w:val="111"/>
    <w:qFormat/>
    <w:uiPriority w:val="0"/>
    <w:pPr>
      <w:shd w:val="clear" w:color="auto" w:fill="000080"/>
    </w:pPr>
  </w:style>
  <w:style w:type="paragraph" w:customStyle="1" w:styleId="175">
    <w:name w:val="页眉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76">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7">
    <w:name w:val="图"/>
    <w:basedOn w:val="1"/>
    <w:qFormat/>
    <w:uiPriority w:val="0"/>
    <w:pPr>
      <w:keepNext/>
      <w:adjustRightInd w:val="0"/>
      <w:spacing w:before="60" w:beforeLines="0" w:after="60" w:afterLines="0" w:line="300" w:lineRule="auto"/>
      <w:jc w:val="center"/>
      <w:textAlignment w:val="center"/>
    </w:pPr>
    <w:rPr>
      <w:rFonts w:ascii="Times New Roman"/>
      <w:snapToGrid w:val="0"/>
      <w:spacing w:val="20"/>
      <w:kern w:val="0"/>
    </w:rPr>
  </w:style>
  <w:style w:type="paragraph" w:customStyle="1" w:styleId="178">
    <w:name w:val="标题 2 New New New"/>
    <w:basedOn w:val="123"/>
    <w:next w:val="123"/>
    <w:qFormat/>
    <w:uiPriority w:val="0"/>
    <w:pPr>
      <w:autoSpaceDE w:val="0"/>
      <w:autoSpaceDN w:val="0"/>
      <w:adjustRightInd w:val="0"/>
      <w:jc w:val="left"/>
      <w:outlineLvl w:val="1"/>
    </w:pPr>
    <w:rPr>
      <w:rFonts w:ascii="宋体" w:eastAsia="宋体"/>
      <w:sz w:val="24"/>
      <w:lang w:val="en-US" w:eastAsia="zh-CN" w:bidi="ar-SA"/>
    </w:rPr>
  </w:style>
  <w:style w:type="paragraph" w:customStyle="1" w:styleId="179">
    <w:name w:val="批注文字 New"/>
    <w:basedOn w:val="180"/>
    <w:qFormat/>
    <w:uiPriority w:val="0"/>
    <w:pPr>
      <w:adjustRightInd w:val="0"/>
      <w:spacing w:line="360" w:lineRule="atLeast"/>
      <w:jc w:val="left"/>
      <w:textAlignment w:val="baseline"/>
    </w:pPr>
    <w:rPr>
      <w:rFonts w:ascii="宋体" w:eastAsia="宋体"/>
      <w:sz w:val="24"/>
      <w:lang w:val="en-US" w:eastAsia="zh-CN" w:bidi="ar-SA"/>
    </w:rPr>
  </w:style>
  <w:style w:type="paragraph" w:customStyle="1" w:styleId="180">
    <w:name w:val="正文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1">
    <w:name w:val="页脚 New New New New New"/>
    <w:basedOn w:val="1"/>
    <w:qFormat/>
    <w:uiPriority w:val="0"/>
    <w:pPr>
      <w:widowControl/>
      <w:tabs>
        <w:tab w:val="center" w:pos="4153"/>
        <w:tab w:val="right" w:pos="8306"/>
      </w:tabs>
      <w:snapToGrid w:val="0"/>
      <w:jc w:val="left"/>
    </w:pPr>
    <w:rPr>
      <w:rFonts w:ascii="宋体"/>
      <w:sz w:val="18"/>
    </w:rPr>
  </w:style>
  <w:style w:type="paragraph" w:customStyle="1" w:styleId="182">
    <w:name w:val="正文文本缩进 New New New New New New New"/>
    <w:basedOn w:val="143"/>
    <w:qFormat/>
    <w:uiPriority w:val="0"/>
    <w:pPr>
      <w:spacing w:after="120" w:afterLines="0"/>
      <w:ind w:left="420" w:leftChars="200"/>
    </w:pPr>
    <w:rPr>
      <w:rFonts w:eastAsia="宋体"/>
      <w:szCs w:val="24"/>
      <w:lang w:bidi="ar-SA"/>
    </w:rPr>
  </w:style>
  <w:style w:type="paragraph" w:customStyle="1" w:styleId="183">
    <w:name w:val="普通(网站) New"/>
    <w:basedOn w:val="128"/>
    <w:qFormat/>
    <w:uiPriority w:val="0"/>
    <w:rPr>
      <w:sz w:val="24"/>
    </w:rPr>
  </w:style>
  <w:style w:type="paragraph" w:customStyle="1" w:styleId="184">
    <w:name w:val=" Char"/>
    <w:basedOn w:val="1"/>
    <w:qFormat/>
    <w:uiPriority w:val="0"/>
    <w:pPr>
      <w:spacing w:line="240" w:lineRule="auto"/>
    </w:pPr>
    <w:rPr>
      <w:rFonts w:ascii="Tahoma" w:hAnsi="Tahoma"/>
      <w:szCs w:val="24"/>
    </w:rPr>
  </w:style>
  <w:style w:type="paragraph" w:customStyle="1" w:styleId="185">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7">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88">
    <w:name w:val="列出段落1"/>
    <w:basedOn w:val="1"/>
    <w:qFormat/>
    <w:uiPriority w:val="0"/>
    <w:pPr>
      <w:adjustRightInd w:val="0"/>
      <w:snapToGrid w:val="0"/>
      <w:spacing w:line="312" w:lineRule="auto"/>
      <w:ind w:firstLine="420" w:firstLineChars="200"/>
    </w:pPr>
    <w:rPr>
      <w:sz w:val="20"/>
    </w:rPr>
  </w:style>
  <w:style w:type="paragraph" w:customStyle="1" w:styleId="189">
    <w:name w:val="目录 3 New"/>
    <w:basedOn w:val="60"/>
    <w:next w:val="60"/>
    <w:qFormat/>
    <w:uiPriority w:val="0"/>
    <w:pPr>
      <w:ind w:left="561"/>
      <w:jc w:val="left"/>
    </w:pPr>
    <w:rPr>
      <w:sz w:val="24"/>
    </w:rPr>
  </w:style>
  <w:style w:type="paragraph" w:customStyle="1" w:styleId="190">
    <w:name w:val="Normal Indent1"/>
    <w:basedOn w:val="1"/>
    <w:qFormat/>
    <w:uiPriority w:val="0"/>
    <w:pPr>
      <w:widowControl/>
      <w:ind w:firstLine="420"/>
      <w:jc w:val="left"/>
    </w:pPr>
    <w:rPr>
      <w:rFonts w:ascii="Times New Roman" w:hAnsi="Times New Roman"/>
      <w:kern w:val="0"/>
      <w:szCs w:val="20"/>
    </w:rPr>
  </w:style>
  <w:style w:type="paragraph" w:customStyle="1" w:styleId="191">
    <w:name w:val="标题 3 New New New New"/>
    <w:basedOn w:val="108"/>
    <w:next w:val="108"/>
    <w:qFormat/>
    <w:uiPriority w:val="0"/>
    <w:pPr>
      <w:keepNext/>
      <w:keepLines/>
      <w:spacing w:before="120" w:beforeLines="0" w:beforeAutospacing="0" w:after="120" w:afterLines="0" w:afterAutospacing="0"/>
      <w:jc w:val="center"/>
      <w:outlineLvl w:val="2"/>
    </w:pPr>
    <w:rPr>
      <w:rFonts w:ascii="宋体" w:eastAsia="宋体"/>
      <w:sz w:val="24"/>
      <w:lang w:val="en-US" w:eastAsia="zh-CN" w:bidi="ar-SA"/>
    </w:rPr>
  </w:style>
  <w:style w:type="paragraph" w:customStyle="1" w:styleId="192">
    <w:name w:val="目录 2 New"/>
    <w:basedOn w:val="60"/>
    <w:next w:val="60"/>
    <w:qFormat/>
    <w:uiPriority w:val="0"/>
    <w:pPr>
      <w:ind w:left="278"/>
      <w:jc w:val="left"/>
    </w:pPr>
    <w:rPr>
      <w:smallCaps/>
      <w:sz w:val="24"/>
    </w:rPr>
  </w:style>
  <w:style w:type="paragraph" w:customStyle="1" w:styleId="193">
    <w:name w:val="正文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94">
    <w:name w:val="标题 3 New New New New New New"/>
    <w:basedOn w:val="80"/>
    <w:next w:val="80"/>
    <w:qFormat/>
    <w:uiPriority w:val="0"/>
    <w:pPr>
      <w:keepNext/>
      <w:keepLines/>
      <w:spacing w:before="120" w:beforeLines="0" w:beforeAutospacing="0" w:after="120" w:afterLines="0" w:afterAutospacing="0"/>
      <w:jc w:val="center"/>
      <w:outlineLvl w:val="2"/>
    </w:pPr>
    <w:rPr>
      <w:rFonts w:ascii="宋体" w:eastAsia="宋体"/>
      <w:sz w:val="24"/>
      <w:lang w:val="en-US" w:eastAsia="zh-CN" w:bidi="ar-SA"/>
    </w:rPr>
  </w:style>
  <w:style w:type="paragraph" w:customStyle="1" w:styleId="195">
    <w:name w:val="标题 3 New New"/>
    <w:basedOn w:val="96"/>
    <w:next w:val="96"/>
    <w:qFormat/>
    <w:uiPriority w:val="0"/>
    <w:pPr>
      <w:keepNext/>
      <w:keepLines/>
      <w:spacing w:before="120" w:beforeLines="0" w:beforeAutospacing="0" w:after="120" w:afterLines="0" w:afterAutospacing="0"/>
      <w:jc w:val="center"/>
      <w:outlineLvl w:val="2"/>
    </w:pPr>
    <w:rPr>
      <w:sz w:val="24"/>
    </w:rPr>
  </w:style>
  <w:style w:type="paragraph" w:customStyle="1" w:styleId="196">
    <w:name w:val="样式 宋体 行距: 1.5 倍行距"/>
    <w:basedOn w:val="197"/>
    <w:qFormat/>
    <w:uiPriority w:val="0"/>
    <w:pPr>
      <w:jc w:val="center"/>
    </w:pPr>
    <w:rPr>
      <w:rFonts w:ascii="Times New Roman" w:hAnsi="Times New Roman"/>
      <w:b/>
    </w:r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96"/>
    <w:qFormat/>
    <w:uiPriority w:val="0"/>
    <w:pPr>
      <w:widowControl w:val="0"/>
      <w:jc w:val="both"/>
    </w:pPr>
    <w:rPr>
      <w:rFonts w:ascii="Calibri" w:hAnsi="Calibri" w:eastAsia="宋体" w:cs="黑体"/>
      <w:kern w:val="2"/>
      <w:sz w:val="21"/>
      <w:szCs w:val="24"/>
      <w:lang w:val="en-US" w:eastAsia="zh-CN" w:bidi="ar-SA"/>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1"/>
    <w:next w:val="196"/>
    <w:qFormat/>
    <w:uiPriority w:val="0"/>
    <w:pPr>
      <w:widowControl w:val="0"/>
      <w:jc w:val="both"/>
    </w:pPr>
    <w:rPr>
      <w:rFonts w:ascii="Calibri" w:hAnsi="Calibri" w:eastAsia="宋体" w:cs="黑体"/>
      <w:kern w:val="2"/>
      <w:sz w:val="21"/>
      <w:szCs w:val="24"/>
      <w:lang w:val="en-US" w:eastAsia="zh-CN" w:bidi="ar-SA"/>
    </w:rPr>
  </w:style>
  <w:style w:type="paragraph" w:customStyle="1" w:styleId="199">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01">
    <w:name w:val="样式 WG标题3 + 行距: 固定值 18 磅"/>
    <w:basedOn w:val="1"/>
    <w:qFormat/>
    <w:uiPriority w:val="0"/>
    <w:pPr>
      <w:autoSpaceDE w:val="0"/>
      <w:autoSpaceDN w:val="0"/>
      <w:adjustRightInd w:val="0"/>
      <w:spacing w:line="360" w:lineRule="exact"/>
      <w:textAlignment w:val="baseline"/>
      <w:outlineLvl w:val="2"/>
    </w:pPr>
    <w:rPr>
      <w:rFonts w:hAnsi="宋体" w:cs="宋体"/>
      <w:b/>
      <w:bCs/>
      <w:color w:val="000000"/>
      <w:kern w:val="20"/>
      <w:sz w:val="21"/>
    </w:rPr>
  </w:style>
  <w:style w:type="paragraph" w:customStyle="1" w:styleId="202">
    <w:name w:val="页脚 New New New New New New New New New New New New New New New New New New"/>
    <w:basedOn w:val="78"/>
    <w:qFormat/>
    <w:uiPriority w:val="0"/>
    <w:pPr>
      <w:widowControl/>
      <w:tabs>
        <w:tab w:val="center" w:pos="4153"/>
        <w:tab w:val="right" w:pos="8306"/>
      </w:tabs>
      <w:snapToGrid w:val="0"/>
      <w:jc w:val="left"/>
    </w:pPr>
    <w:rPr>
      <w:kern w:val="0"/>
      <w:sz w:val="18"/>
    </w:rPr>
  </w:style>
  <w:style w:type="paragraph" w:customStyle="1" w:styleId="203">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04">
    <w:name w:val="UserStyle_36"/>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styleId="205">
    <w:name w:val="List Paragraph"/>
    <w:basedOn w:val="1"/>
    <w:qFormat/>
    <w:uiPriority w:val="34"/>
    <w:pPr>
      <w:ind w:firstLine="420" w:firstLineChars="200"/>
    </w:pPr>
  </w:style>
  <w:style w:type="paragraph" w:customStyle="1" w:styleId="206">
    <w:name w:val="AnnotationText"/>
    <w:basedOn w:val="1"/>
    <w:qFormat/>
    <w:uiPriority w:val="99"/>
    <w:pPr>
      <w:spacing w:line="360" w:lineRule="atLeast"/>
      <w:jc w:val="left"/>
    </w:pPr>
    <w:rPr>
      <w:kern w:val="0"/>
    </w:rPr>
  </w:style>
  <w:style w:type="character" w:customStyle="1" w:styleId="207">
    <w:name w:val="15"/>
    <w:qFormat/>
    <w:uiPriority w:val="0"/>
    <w:rPr>
      <w:rFonts w:hint="default" w:ascii="Times New Roman" w:hAnsi="Times New Roman" w:cs="Times New Roman"/>
      <w:b/>
      <w:bCs/>
    </w:rPr>
  </w:style>
  <w:style w:type="paragraph" w:customStyle="1" w:styleId="208">
    <w:name w:val="Heading2"/>
    <w:basedOn w:val="1"/>
    <w:next w:val="1"/>
    <w:qFormat/>
    <w:uiPriority w:val="99"/>
    <w:pPr>
      <w:jc w:val="left"/>
    </w:pPr>
    <w:rPr>
      <w:kern w:val="0"/>
    </w:rPr>
  </w:style>
  <w:style w:type="paragraph" w:customStyle="1" w:styleId="209">
    <w:name w:val="p0"/>
    <w:basedOn w:val="1"/>
    <w:qFormat/>
    <w:uiPriority w:val="0"/>
    <w:pPr>
      <w:spacing w:line="360" w:lineRule="auto"/>
      <w:jc w:val="both"/>
    </w:pPr>
    <w:rPr>
      <w:rFonts w:hAnsi="宋体" w:cs="宋体"/>
      <w:kern w:val="0"/>
      <w:szCs w:val="24"/>
    </w:rPr>
  </w:style>
  <w:style w:type="paragraph" w:customStyle="1" w:styleId="210">
    <w:name w:val="05-四级节标题"/>
    <w:basedOn w:val="1"/>
    <w:qFormat/>
    <w:uiPriority w:val="0"/>
    <w:pPr>
      <w:numPr>
        <w:ilvl w:val="3"/>
        <w:numId w:val="1"/>
      </w:numPr>
      <w:adjustRightInd w:val="0"/>
      <w:snapToGrid w:val="0"/>
      <w:spacing w:line="360" w:lineRule="auto"/>
      <w:outlineLvl w:val="3"/>
    </w:pPr>
    <w:rPr>
      <w:rFonts w:ascii="华文细黑" w:hAnsi="宋体" w:cs="Arial"/>
      <w:b/>
      <w:color w:val="000000"/>
      <w:kern w:val="0"/>
      <w:szCs w:val="18"/>
    </w:rPr>
  </w:style>
  <w:style w:type="paragraph" w:customStyle="1" w:styleId="211">
    <w:name w:val="10-中文正文"/>
    <w:basedOn w:val="1"/>
    <w:qFormat/>
    <w:uiPriority w:val="0"/>
    <w:pPr>
      <w:widowControl w:val="0"/>
      <w:adjustRightInd w:val="0"/>
      <w:snapToGrid w:val="0"/>
      <w:spacing w:line="360" w:lineRule="auto"/>
      <w:ind w:firstLine="200" w:firstLineChars="200"/>
      <w:jc w:val="both"/>
    </w:pPr>
    <w:rPr>
      <w:rFonts w:ascii="Calibri" w:hAnsi="Calibri" w:cs="Times New Roman"/>
      <w:szCs w:val="22"/>
    </w:rPr>
  </w:style>
  <w:style w:type="paragraph" w:customStyle="1" w:styleId="212">
    <w:name w:val="Table Text"/>
    <w:basedOn w:val="1"/>
    <w:semiHidden/>
    <w:qFormat/>
    <w:uiPriority w:val="0"/>
    <w:rPr>
      <w:rFonts w:ascii="宋体" w:hAnsi="宋体" w:eastAsia="宋体" w:cs="宋体"/>
      <w:sz w:val="20"/>
      <w:szCs w:val="20"/>
      <w:lang w:val="en-US" w:eastAsia="en-US" w:bidi="ar-SA"/>
    </w:rPr>
  </w:style>
  <w:style w:type="table" w:customStyle="1" w:styleId="213">
    <w:name w:val="Table Normal"/>
    <w:unhideWhenUsed/>
    <w:qFormat/>
    <w:uiPriority w:val="0"/>
    <w:tblPr>
      <w:tblCellMar>
        <w:top w:w="0" w:type="dxa"/>
        <w:left w:w="0" w:type="dxa"/>
        <w:bottom w:w="0" w:type="dxa"/>
        <w:right w:w="0" w:type="dxa"/>
      </w:tblCellMar>
    </w:tblPr>
  </w:style>
  <w:style w:type="paragraph" w:customStyle="1" w:styleId="214">
    <w:name w:val="Body Text First Indent 21"/>
    <w:basedOn w:val="215"/>
    <w:qFormat/>
    <w:uiPriority w:val="0"/>
    <w:pPr>
      <w:spacing w:line="360" w:lineRule="auto"/>
    </w:pPr>
    <w:rPr>
      <w:rFonts w:eastAsia="宋体"/>
      <w:sz w:val="24"/>
    </w:rPr>
  </w:style>
  <w:style w:type="paragraph" w:customStyle="1" w:styleId="215">
    <w:name w:val="Body Text Indent1"/>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customStyle="1" w:styleId="216">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lang w:val="en-US" w:eastAsia="zh-CN" w:bidi="ar-SA"/>
    </w:rPr>
  </w:style>
  <w:style w:type="paragraph" w:customStyle="1" w:styleId="217">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218">
    <w:name w:val="UserStyle_0"/>
    <w:basedOn w:val="1"/>
    <w:next w:val="1"/>
    <w:qFormat/>
    <w:uiPriority w:val="0"/>
    <w:pPr>
      <w:spacing w:line="360" w:lineRule="auto"/>
      <w:jc w:val="center"/>
      <w:textAlignment w:val="baseline"/>
    </w:pPr>
    <w:rPr>
      <w:rFonts w:ascii="Times New Roman" w:hAnsi="Times New Roman" w:eastAsia="宋体"/>
      <w:b/>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33342</Words>
  <Characters>36538</Characters>
  <Lines>308</Lines>
  <Paragraphs>86</Paragraphs>
  <TotalTime>60</TotalTime>
  <ScaleCrop>false</ScaleCrop>
  <LinksUpToDate>false</LinksUpToDate>
  <CharactersWithSpaces>38372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2021-05-13T07:54:00Z</dcterms:created>
  <dc:creator>Administrator</dc:creator>
  <cp:lastModifiedBy>Chen~小璇</cp:lastModifiedBy>
  <cp:lastPrinted>2025-03-17T03:26:00Z</cp:lastPrinted>
  <dcterms:modified xsi:type="dcterms:W3CDTF">2025-04-11T06:35:16Z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17A0E197412446A28BC6F5791111E741_13</vt:lpwstr>
  </property>
  <property fmtid="{D5CDD505-2E9C-101B-9397-08002B2CF9AE}" pid="4" name="KSOTemplateDocerSaveRecord">
    <vt:lpwstr>eyJoZGlkIjoiMWY0ZmRiNTk0MzQwN2FiNGY5MGZmNzJjNmZjYWQ0YjMiLCJ1c2VySWQiOiI0MDAzMzAyOTkifQ==</vt:lpwstr>
  </property>
</Properties>
</file>