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4B48C3">
      <w:pPr>
        <w:rPr>
          <w:rFonts w:hint="eastAsia" w:ascii="宋体" w:hAnsi="宋体" w:eastAsia="宋体" w:cs="宋体"/>
          <w:color w:val="auto"/>
        </w:rPr>
      </w:pPr>
    </w:p>
    <w:p w14:paraId="4ECCE68B">
      <w:pPr>
        <w:rPr>
          <w:rFonts w:hint="eastAsia" w:ascii="宋体" w:hAnsi="宋体" w:eastAsia="宋体" w:cs="宋体"/>
          <w:color w:val="auto"/>
          <w:lang w:eastAsia="zh-CN"/>
        </w:rPr>
      </w:pPr>
      <w:bookmarkStart w:id="170" w:name="_GoBack"/>
      <w:r>
        <w:rPr>
          <w:rFonts w:hint="eastAsia" w:ascii="宋体" w:hAnsi="宋体" w:eastAsia="宋体" w:cs="宋体"/>
          <w:color w:val="auto"/>
          <w:lang w:eastAsia="zh-CN"/>
        </w:rPr>
        <w:drawing>
          <wp:inline distT="0" distB="0" distL="114300" distR="114300">
            <wp:extent cx="6104890" cy="8641080"/>
            <wp:effectExtent l="0" t="0" r="10160" b="7620"/>
            <wp:docPr id="2" name="图片 2" descr="招标文件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招标文件封面_01"/>
                    <pic:cNvPicPr>
                      <a:picLocks noChangeAspect="1"/>
                    </pic:cNvPicPr>
                  </pic:nvPicPr>
                  <pic:blipFill>
                    <a:blip r:embed="rId7"/>
                    <a:stretch>
                      <a:fillRect/>
                    </a:stretch>
                  </pic:blipFill>
                  <pic:spPr>
                    <a:xfrm>
                      <a:off x="0" y="0"/>
                      <a:ext cx="6104890" cy="8641080"/>
                    </a:xfrm>
                    <a:prstGeom prst="rect">
                      <a:avLst/>
                    </a:prstGeom>
                  </pic:spPr>
                </pic:pic>
              </a:graphicData>
            </a:graphic>
          </wp:inline>
        </w:drawing>
      </w:r>
      <w:bookmarkEnd w:id="170"/>
    </w:p>
    <w:p w14:paraId="23510407">
      <w:pPr>
        <w:shd w:val="clear" w:color="auto" w:fill="auto"/>
        <w:spacing w:line="240" w:lineRule="auto"/>
        <w:jc w:val="center"/>
        <w:outlineLvl w:val="9"/>
        <w:rPr>
          <w:rFonts w:hint="eastAsia" w:ascii="宋体" w:hAnsi="宋体" w:eastAsia="宋体" w:cs="宋体"/>
          <w:b/>
          <w:bCs/>
          <w:color w:val="auto"/>
          <w:sz w:val="44"/>
          <w:szCs w:val="44"/>
          <w:highlight w:val="none"/>
        </w:rPr>
        <w:sectPr>
          <w:headerReference r:id="rId3" w:type="default"/>
          <w:footerReference r:id="rId4" w:type="default"/>
          <w:pgSz w:w="11906" w:h="16838"/>
          <w:pgMar w:top="1134" w:right="1134" w:bottom="1134" w:left="1134" w:header="851" w:footer="850" w:gutter="0"/>
          <w:pgBorders>
            <w:top w:val="none" w:sz="0" w:space="0"/>
            <w:left w:val="none" w:sz="0" w:space="0"/>
            <w:bottom w:val="none" w:sz="0" w:space="0"/>
            <w:right w:val="none" w:sz="0" w:space="0"/>
          </w:pgBorders>
          <w:pgNumType w:fmt="decimal" w:start="0"/>
          <w:cols w:space="0" w:num="1"/>
          <w:rtlGutter w:val="0"/>
          <w:docGrid w:type="lines" w:linePitch="312" w:charSpace="0"/>
        </w:sectPr>
      </w:pPr>
    </w:p>
    <w:p w14:paraId="3AC6F9BF">
      <w:pPr>
        <w:shd w:val="clear" w:color="auto" w:fill="auto"/>
        <w:spacing w:line="240" w:lineRule="auto"/>
        <w:jc w:val="center"/>
        <w:outlineLvl w:val="9"/>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目   录</w:t>
      </w:r>
    </w:p>
    <w:p w14:paraId="42FF43DE">
      <w:pPr>
        <w:pStyle w:val="15"/>
        <w:tabs>
          <w:tab w:val="right" w:leader="dot" w:pos="9638"/>
          <w:tab w:val="clear" w:pos="8296"/>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TOC \o "1-3" \h \u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_Toc8566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第一章</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招标公告</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_Toc8566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2</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23692A13">
      <w:pPr>
        <w:pStyle w:val="15"/>
        <w:tabs>
          <w:tab w:val="right" w:leader="dot" w:pos="9638"/>
          <w:tab w:val="clear" w:pos="8296"/>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_Toc28710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第二章</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投标人须知</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_Toc28710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5</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10A02A69">
      <w:pPr>
        <w:pStyle w:val="16"/>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_Toc8081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lang w:val="en-US" w:eastAsia="zh-CN"/>
        </w:rPr>
        <w:t>一、投标人须知前附表</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_Toc8081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5</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1A15A540">
      <w:pPr>
        <w:pStyle w:val="16"/>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_Toc11980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lang w:val="en-US" w:eastAsia="zh-CN"/>
        </w:rPr>
        <w:t>二、重要事项时间地点一览表</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_Toc11980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10</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31F63B80">
      <w:pPr>
        <w:pStyle w:val="16"/>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_Toc6353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lang w:val="en-US" w:eastAsia="zh-CN"/>
        </w:rPr>
        <w:t>三、投标人须知</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_Toc6353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11</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017FCFA0">
      <w:pPr>
        <w:pStyle w:val="11"/>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_Toc788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kern w:val="0"/>
          <w:sz w:val="24"/>
          <w:szCs w:val="24"/>
          <w:highlight w:val="none"/>
        </w:rPr>
        <w:t>（</w:t>
      </w:r>
      <w:r>
        <w:rPr>
          <w:rFonts w:hint="eastAsia" w:ascii="宋体" w:hAnsi="宋体" w:eastAsia="宋体" w:cs="宋体"/>
          <w:b w:val="0"/>
          <w:bCs w:val="0"/>
          <w:color w:val="auto"/>
          <w:kern w:val="0"/>
          <w:sz w:val="24"/>
          <w:szCs w:val="24"/>
          <w:highlight w:val="none"/>
          <w:lang w:eastAsia="zh-CN"/>
        </w:rPr>
        <w:t>一</w:t>
      </w:r>
      <w:r>
        <w:rPr>
          <w:rFonts w:hint="eastAsia" w:ascii="宋体" w:hAnsi="宋体" w:eastAsia="宋体" w:cs="宋体"/>
          <w:b w:val="0"/>
          <w:bCs w:val="0"/>
          <w:color w:val="auto"/>
          <w:kern w:val="0"/>
          <w:sz w:val="24"/>
          <w:szCs w:val="24"/>
          <w:highlight w:val="none"/>
        </w:rPr>
        <w:t>）总</w:t>
      </w:r>
      <w:r>
        <w:rPr>
          <w:rFonts w:hint="eastAsia" w:ascii="宋体" w:hAnsi="宋体" w:eastAsia="宋体" w:cs="宋体"/>
          <w:b w:val="0"/>
          <w:bCs w:val="0"/>
          <w:color w:val="auto"/>
          <w:kern w:val="0"/>
          <w:sz w:val="24"/>
          <w:szCs w:val="24"/>
          <w:highlight w:val="none"/>
          <w:lang w:val="en-US" w:eastAsia="zh-CN"/>
        </w:rPr>
        <w:t xml:space="preserve"> </w:t>
      </w:r>
      <w:r>
        <w:rPr>
          <w:rFonts w:hint="eastAsia" w:ascii="宋体" w:hAnsi="宋体" w:eastAsia="宋体" w:cs="宋体"/>
          <w:b w:val="0"/>
          <w:bCs w:val="0"/>
          <w:color w:val="auto"/>
          <w:kern w:val="0"/>
          <w:sz w:val="24"/>
          <w:szCs w:val="24"/>
          <w:highlight w:val="none"/>
        </w:rPr>
        <w:t>则</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_Toc788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11</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25A9D0F6">
      <w:pPr>
        <w:pStyle w:val="11"/>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_Toc15625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kern w:val="0"/>
          <w:sz w:val="24"/>
          <w:szCs w:val="24"/>
          <w:highlight w:val="none"/>
        </w:rPr>
        <w:t>（</w:t>
      </w:r>
      <w:r>
        <w:rPr>
          <w:rFonts w:hint="eastAsia" w:ascii="宋体" w:hAnsi="宋体" w:eastAsia="宋体" w:cs="宋体"/>
          <w:b w:val="0"/>
          <w:bCs w:val="0"/>
          <w:color w:val="auto"/>
          <w:kern w:val="0"/>
          <w:sz w:val="24"/>
          <w:szCs w:val="24"/>
          <w:highlight w:val="none"/>
          <w:lang w:eastAsia="zh-CN"/>
        </w:rPr>
        <w:t>二</w:t>
      </w:r>
      <w:r>
        <w:rPr>
          <w:rFonts w:hint="eastAsia" w:ascii="宋体" w:hAnsi="宋体" w:eastAsia="宋体" w:cs="宋体"/>
          <w:b w:val="0"/>
          <w:bCs w:val="0"/>
          <w:color w:val="auto"/>
          <w:kern w:val="0"/>
          <w:sz w:val="24"/>
          <w:szCs w:val="24"/>
          <w:highlight w:val="none"/>
        </w:rPr>
        <w:t>）</w:t>
      </w:r>
      <w:r>
        <w:rPr>
          <w:rFonts w:hint="eastAsia" w:ascii="宋体" w:hAnsi="宋体" w:eastAsia="宋体" w:cs="宋体"/>
          <w:b w:val="0"/>
          <w:bCs w:val="0"/>
          <w:color w:val="auto"/>
          <w:kern w:val="0"/>
          <w:sz w:val="24"/>
          <w:szCs w:val="24"/>
          <w:highlight w:val="none"/>
          <w:lang w:eastAsia="zh-CN"/>
        </w:rPr>
        <w:t>投标否决</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_Toc15625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14</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0E4DF130">
      <w:pPr>
        <w:pStyle w:val="11"/>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_Toc4062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kern w:val="0"/>
          <w:sz w:val="24"/>
          <w:szCs w:val="24"/>
          <w:highlight w:val="none"/>
        </w:rPr>
        <w:t>（</w:t>
      </w:r>
      <w:r>
        <w:rPr>
          <w:rFonts w:hint="eastAsia" w:ascii="宋体" w:hAnsi="宋体" w:eastAsia="宋体" w:cs="宋体"/>
          <w:b w:val="0"/>
          <w:bCs w:val="0"/>
          <w:color w:val="auto"/>
          <w:kern w:val="0"/>
          <w:sz w:val="24"/>
          <w:szCs w:val="24"/>
          <w:highlight w:val="none"/>
          <w:lang w:eastAsia="zh-CN"/>
        </w:rPr>
        <w:t>三</w:t>
      </w:r>
      <w:r>
        <w:rPr>
          <w:rFonts w:hint="eastAsia" w:ascii="宋体" w:hAnsi="宋体" w:eastAsia="宋体" w:cs="宋体"/>
          <w:b w:val="0"/>
          <w:bCs w:val="0"/>
          <w:color w:val="auto"/>
          <w:kern w:val="0"/>
          <w:sz w:val="24"/>
          <w:szCs w:val="24"/>
          <w:highlight w:val="none"/>
        </w:rPr>
        <w:t>）招标文件</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_Toc4062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17</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79CEE172">
      <w:pPr>
        <w:pStyle w:val="11"/>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_Toc5230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eastAsia="zh-CN"/>
        </w:rPr>
        <w:t>四</w:t>
      </w:r>
      <w:r>
        <w:rPr>
          <w:rFonts w:hint="eastAsia" w:ascii="宋体" w:hAnsi="宋体" w:eastAsia="宋体" w:cs="宋体"/>
          <w:b w:val="0"/>
          <w:bCs w:val="0"/>
          <w:color w:val="auto"/>
          <w:sz w:val="24"/>
          <w:szCs w:val="24"/>
        </w:rPr>
        <w:t>）投标文件</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_Toc5230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19</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5E83CB9A">
      <w:pPr>
        <w:pStyle w:val="11"/>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_Toc20998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eastAsia="zh-CN"/>
        </w:rPr>
        <w:t>五</w:t>
      </w:r>
      <w:r>
        <w:rPr>
          <w:rFonts w:hint="eastAsia" w:ascii="宋体" w:hAnsi="宋体" w:eastAsia="宋体" w:cs="宋体"/>
          <w:b w:val="0"/>
          <w:bCs w:val="0"/>
          <w:color w:val="auto"/>
          <w:sz w:val="24"/>
          <w:szCs w:val="24"/>
        </w:rPr>
        <w:t>）开标规定</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_Toc20998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26</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7C3B39E7">
      <w:pPr>
        <w:pStyle w:val="11"/>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_Toc12314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eastAsia="zh-CN"/>
        </w:rPr>
        <w:t>六</w:t>
      </w:r>
      <w:r>
        <w:rPr>
          <w:rFonts w:hint="eastAsia" w:ascii="宋体" w:hAnsi="宋体" w:eastAsia="宋体" w:cs="宋体"/>
          <w:b w:val="0"/>
          <w:bCs w:val="0"/>
          <w:color w:val="auto"/>
          <w:sz w:val="24"/>
          <w:szCs w:val="24"/>
        </w:rPr>
        <w:t>）评标</w:t>
      </w:r>
      <w:r>
        <w:rPr>
          <w:rFonts w:hint="eastAsia" w:ascii="宋体" w:hAnsi="宋体" w:eastAsia="宋体" w:cs="宋体"/>
          <w:b w:val="0"/>
          <w:bCs w:val="0"/>
          <w:color w:val="auto"/>
          <w:sz w:val="24"/>
          <w:szCs w:val="24"/>
          <w:lang w:eastAsia="zh-CN"/>
        </w:rPr>
        <w:t>规定</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_Toc12314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27</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2E1C327A">
      <w:pPr>
        <w:pStyle w:val="11"/>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_Toc10039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eastAsia="zh-CN"/>
        </w:rPr>
        <w:t>七</w:t>
      </w:r>
      <w:r>
        <w:rPr>
          <w:rFonts w:hint="eastAsia" w:ascii="宋体" w:hAnsi="宋体" w:eastAsia="宋体" w:cs="宋体"/>
          <w:b w:val="0"/>
          <w:bCs w:val="0"/>
          <w:color w:val="auto"/>
          <w:sz w:val="24"/>
          <w:szCs w:val="24"/>
        </w:rPr>
        <w:t>）定标</w:t>
      </w:r>
      <w:r>
        <w:rPr>
          <w:rFonts w:hint="eastAsia" w:ascii="宋体" w:hAnsi="宋体" w:eastAsia="宋体" w:cs="宋体"/>
          <w:b w:val="0"/>
          <w:bCs w:val="0"/>
          <w:color w:val="auto"/>
          <w:sz w:val="24"/>
          <w:szCs w:val="24"/>
          <w:lang w:eastAsia="zh-CN"/>
        </w:rPr>
        <w:t>规定</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_Toc10039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28</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253DF02C">
      <w:pPr>
        <w:pStyle w:val="11"/>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_Toc19457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eastAsia="zh-CN"/>
        </w:rPr>
        <w:t>八</w:t>
      </w:r>
      <w:r>
        <w:rPr>
          <w:rFonts w:hint="eastAsia" w:ascii="宋体" w:hAnsi="宋体" w:eastAsia="宋体" w:cs="宋体"/>
          <w:b w:val="0"/>
          <w:bCs w:val="0"/>
          <w:color w:val="auto"/>
          <w:sz w:val="24"/>
          <w:szCs w:val="24"/>
        </w:rPr>
        <w:t>）中标确认</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_Toc19457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29</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06F0C295">
      <w:pPr>
        <w:pStyle w:val="11"/>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_Toc17580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九</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合同授予</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_Toc17580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30</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4CCD7F9A">
      <w:pPr>
        <w:pStyle w:val="11"/>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_Toc21828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eastAsia="zh-CN"/>
        </w:rPr>
        <w:t>十</w:t>
      </w:r>
      <w:r>
        <w:rPr>
          <w:rFonts w:hint="eastAsia" w:ascii="宋体" w:hAnsi="宋体" w:eastAsia="宋体" w:cs="宋体"/>
          <w:b w:val="0"/>
          <w:bCs w:val="0"/>
          <w:color w:val="auto"/>
          <w:sz w:val="24"/>
          <w:szCs w:val="24"/>
        </w:rPr>
        <w:t>）电子管理规定</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_Toc21828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31</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213244FE">
      <w:pPr>
        <w:pStyle w:val="11"/>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_Toc25765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eastAsia="zh-CN"/>
        </w:rPr>
        <w:t>十</w:t>
      </w:r>
      <w:r>
        <w:rPr>
          <w:rFonts w:hint="eastAsia" w:ascii="宋体" w:hAnsi="宋体" w:eastAsia="宋体" w:cs="宋体"/>
          <w:b w:val="0"/>
          <w:bCs w:val="0"/>
          <w:color w:val="auto"/>
          <w:sz w:val="24"/>
          <w:szCs w:val="24"/>
          <w:lang w:val="en-US" w:eastAsia="zh-CN"/>
        </w:rPr>
        <w:t>一</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其他</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_Toc25765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33</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4498E3AE">
      <w:pPr>
        <w:pStyle w:val="15"/>
        <w:tabs>
          <w:tab w:val="right" w:leader="dot" w:pos="9638"/>
          <w:tab w:val="clear" w:pos="8296"/>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_Toc8246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rPr>
        <w:t>第三章   评标</w:t>
      </w:r>
      <w:r>
        <w:rPr>
          <w:rFonts w:hint="eastAsia" w:ascii="宋体" w:hAnsi="宋体" w:eastAsia="宋体" w:cs="宋体"/>
          <w:b w:val="0"/>
          <w:bCs w:val="0"/>
          <w:color w:val="auto"/>
          <w:sz w:val="24"/>
          <w:szCs w:val="24"/>
          <w:lang w:eastAsia="zh-CN"/>
        </w:rPr>
        <w:t>定标</w:t>
      </w:r>
      <w:r>
        <w:rPr>
          <w:rFonts w:hint="eastAsia" w:ascii="宋体" w:hAnsi="宋体" w:eastAsia="宋体" w:cs="宋体"/>
          <w:b w:val="0"/>
          <w:bCs w:val="0"/>
          <w:color w:val="auto"/>
          <w:sz w:val="24"/>
          <w:szCs w:val="24"/>
        </w:rPr>
        <w:t>办法</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_Toc8246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35</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39981410">
      <w:pPr>
        <w:pStyle w:val="16"/>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_Toc26840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rPr>
        <w:t>一、评标</w:t>
      </w:r>
      <w:r>
        <w:rPr>
          <w:rFonts w:hint="eastAsia" w:ascii="宋体" w:hAnsi="宋体" w:eastAsia="宋体" w:cs="宋体"/>
          <w:b w:val="0"/>
          <w:bCs w:val="0"/>
          <w:color w:val="auto"/>
          <w:sz w:val="24"/>
          <w:szCs w:val="24"/>
          <w:lang w:eastAsia="zh-CN"/>
        </w:rPr>
        <w:t>定标</w:t>
      </w:r>
      <w:r>
        <w:rPr>
          <w:rFonts w:hint="eastAsia" w:ascii="宋体" w:hAnsi="宋体" w:eastAsia="宋体" w:cs="宋体"/>
          <w:b w:val="0"/>
          <w:bCs w:val="0"/>
          <w:color w:val="auto"/>
          <w:sz w:val="24"/>
          <w:szCs w:val="24"/>
        </w:rPr>
        <w:t>原则</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_Toc26840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35</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49FFDA13">
      <w:pPr>
        <w:pStyle w:val="16"/>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_Toc13215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lang w:eastAsia="zh-CN"/>
        </w:rPr>
        <w:t>二</w:t>
      </w:r>
      <w:r>
        <w:rPr>
          <w:rFonts w:hint="eastAsia" w:ascii="宋体" w:hAnsi="宋体" w:eastAsia="宋体" w:cs="宋体"/>
          <w:b w:val="0"/>
          <w:bCs w:val="0"/>
          <w:color w:val="auto"/>
          <w:sz w:val="24"/>
          <w:szCs w:val="24"/>
        </w:rPr>
        <w:t>、评标</w:t>
      </w:r>
      <w:r>
        <w:rPr>
          <w:rFonts w:hint="eastAsia" w:ascii="宋体" w:hAnsi="宋体" w:eastAsia="宋体" w:cs="宋体"/>
          <w:b w:val="0"/>
          <w:bCs w:val="0"/>
          <w:color w:val="auto"/>
          <w:sz w:val="24"/>
          <w:szCs w:val="24"/>
          <w:lang w:val="en-US" w:eastAsia="zh-CN"/>
        </w:rPr>
        <w:t>定标</w:t>
      </w:r>
      <w:r>
        <w:rPr>
          <w:rFonts w:hint="eastAsia" w:ascii="宋体" w:hAnsi="宋体" w:eastAsia="宋体" w:cs="宋体"/>
          <w:b w:val="0"/>
          <w:bCs w:val="0"/>
          <w:color w:val="auto"/>
          <w:sz w:val="24"/>
          <w:szCs w:val="24"/>
          <w:lang w:eastAsia="zh-CN"/>
        </w:rPr>
        <w:t>规则</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_Toc13215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35</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65179156">
      <w:pPr>
        <w:pStyle w:val="16"/>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_Toc24880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lang w:eastAsia="zh-CN"/>
        </w:rPr>
        <w:t>三、评标细则</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_Toc24880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35</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695087F0">
      <w:pPr>
        <w:pStyle w:val="16"/>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_Toc31485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lang w:val="en-US" w:eastAsia="zh-CN"/>
        </w:rPr>
        <w:t>四、定标细则</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_Toc31485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44</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7CADEB0D">
      <w:pPr>
        <w:pStyle w:val="15"/>
        <w:tabs>
          <w:tab w:val="right" w:leader="dot" w:pos="9638"/>
          <w:tab w:val="clear" w:pos="8296"/>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_Toc8582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rPr>
        <w:t>第四章</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投标文件格式</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_Toc8582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46</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2A2B77B2">
      <w:pPr>
        <w:pStyle w:val="16"/>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_Toc32717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lang w:eastAsia="zh-CN"/>
        </w:rPr>
        <w:t>格式一</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lang w:eastAsia="zh-CN"/>
        </w:rPr>
        <w:t>封面</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_Toc32717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46</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1405AE6E">
      <w:pPr>
        <w:pStyle w:val="16"/>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_Toc9797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lang w:eastAsia="zh-CN"/>
        </w:rPr>
        <w:t>格式二</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lang w:eastAsia="zh-CN"/>
        </w:rPr>
        <w:t>投标函</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_Toc9797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47</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614E4FF9">
      <w:pPr>
        <w:pStyle w:val="16"/>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_Toc2597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lang w:eastAsia="zh-CN"/>
        </w:rPr>
        <w:t>格式三</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lang w:eastAsia="zh-CN"/>
        </w:rPr>
        <w:t>各项承诺一览表</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_Toc2597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48</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535837C7">
      <w:pPr>
        <w:pStyle w:val="16"/>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_Toc18202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lang w:val="en-US" w:eastAsia="zh-CN"/>
        </w:rPr>
        <w:t>格式四   法定代表人身份证明</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_Toc18202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50</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0946A032">
      <w:pPr>
        <w:pStyle w:val="16"/>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_Toc19245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lang w:val="en-US" w:eastAsia="zh-CN"/>
        </w:rPr>
        <w:t>格式五   授权委托书</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_Toc19245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51</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51B855BA">
      <w:pPr>
        <w:pStyle w:val="16"/>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_Toc28692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lang w:val="en-US" w:eastAsia="zh-CN"/>
        </w:rPr>
        <w:t>格式六   投标人基本情况表</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_Toc28692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52</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4261C767">
      <w:pPr>
        <w:pStyle w:val="16"/>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_Toc2093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lang w:val="en-US" w:eastAsia="zh-CN"/>
        </w:rPr>
        <w:t>格式七   项目经理简历表</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_Toc2093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53</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067FB05B">
      <w:pPr>
        <w:pStyle w:val="16"/>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_Toc7400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lang w:val="en-US" w:eastAsia="zh-CN"/>
        </w:rPr>
        <w:t>格式八   项目经理任职声明</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_Toc7400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54</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3830F311">
      <w:pPr>
        <w:pStyle w:val="16"/>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_Toc13137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lang w:val="en-US" w:eastAsia="zh-CN"/>
        </w:rPr>
        <w:t>格式九   项目技术负责人简历表</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_Toc13137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55</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1308D8CB">
      <w:pPr>
        <w:pStyle w:val="16"/>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_Toc28470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lang w:val="en-US" w:eastAsia="zh-CN"/>
        </w:rPr>
        <w:t>格式十   专职安全员简历表</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_Toc28470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56</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2250B9D7">
      <w:pPr>
        <w:pStyle w:val="16"/>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_Toc1879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lang w:val="en-US" w:eastAsia="zh-CN"/>
        </w:rPr>
        <w:t>格式十一   项目管理机构组成表</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_Toc1879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57</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465C7248">
      <w:pPr>
        <w:pStyle w:val="16"/>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_Toc16377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lang w:val="en-US" w:eastAsia="zh-CN"/>
        </w:rPr>
        <w:t>格式十二   建造师查询页（有效期+建造师签字）</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_Toc16377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58</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2E001DA9">
      <w:pPr>
        <w:pStyle w:val="16"/>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_Toc9651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lang w:val="en-US" w:eastAsia="zh-CN"/>
        </w:rPr>
        <w:t>格式十三   危险性较大的分部分项工程清单及超过一定规模的危险性较大的分部分项工程清单</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_Toc9651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60</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53FEDA6A">
      <w:pPr>
        <w:pStyle w:val="16"/>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_Toc19859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lang w:val="en-US" w:eastAsia="zh-CN"/>
        </w:rPr>
        <w:t>格式十四   履约保函</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_Toc19859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65</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58AF2083">
      <w:pPr>
        <w:pStyle w:val="16"/>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_Toc29437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lang w:val="en-US" w:eastAsia="zh-CN"/>
        </w:rPr>
        <w:t>格式十五   助力项目承诺书</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_Toc29437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66</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7A1CA78E">
      <w:pPr>
        <w:pStyle w:val="16"/>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_Toc29452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lang w:val="en-US" w:eastAsia="zh-CN"/>
        </w:rPr>
        <w:t>格式十六   原件一览表</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_Toc29452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67</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068A2CF1">
      <w:pPr>
        <w:pStyle w:val="16"/>
        <w:tabs>
          <w:tab w:val="right" w:leader="dot" w:pos="9638"/>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_Toc2979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lang w:val="en-US" w:eastAsia="zh-CN"/>
        </w:rPr>
        <w:t>格式十七   定标因素评审资料</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_Toc2979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68</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08874DFD">
      <w:pPr>
        <w:pStyle w:val="15"/>
        <w:tabs>
          <w:tab w:val="right" w:leader="dot" w:pos="9638"/>
          <w:tab w:val="clear" w:pos="8296"/>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_Toc31363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rPr>
        <w:t>第五章</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合同文件格式</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_Toc31363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69</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3F077B33">
      <w:pPr>
        <w:pStyle w:val="15"/>
        <w:tabs>
          <w:tab w:val="right" w:leader="dot" w:pos="9638"/>
          <w:tab w:val="clear" w:pos="8296"/>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_Toc15144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rPr>
        <w:t>第六章</w:t>
      </w:r>
      <w:r>
        <w:rPr>
          <w:rFonts w:hint="eastAsia" w:ascii="宋体" w:hAnsi="宋体" w:eastAsia="宋体" w:cs="宋体"/>
          <w:b w:val="0"/>
          <w:bCs w:val="0"/>
          <w:color w:val="auto"/>
          <w:sz w:val="24"/>
          <w:szCs w:val="24"/>
          <w:lang w:val="en-US" w:eastAsia="zh-CN"/>
        </w:rPr>
        <w:t xml:space="preserve">  </w:t>
      </w:r>
      <w:r>
        <w:rPr>
          <w:rFonts w:hint="eastAsia"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施工图纸</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_Toc15144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69</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07148D23">
      <w:pPr>
        <w:pStyle w:val="15"/>
        <w:tabs>
          <w:tab w:val="right" w:leader="dot" w:pos="9638"/>
          <w:tab w:val="clear" w:pos="8296"/>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_Toc27612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rPr>
        <w:t>第七章</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工程量清单</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_Toc27612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95</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68B94631">
      <w:pPr>
        <w:pStyle w:val="15"/>
        <w:tabs>
          <w:tab w:val="right" w:leader="dot" w:pos="9638"/>
          <w:tab w:val="clear" w:pos="8296"/>
        </w:tabs>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_Toc29316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rPr>
        <w:t>第八章</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lang w:eastAsia="zh-CN"/>
        </w:rPr>
        <w:t>最高投标限</w:t>
      </w:r>
      <w:r>
        <w:rPr>
          <w:rFonts w:hint="eastAsia" w:ascii="宋体" w:hAnsi="宋体" w:eastAsia="宋体" w:cs="宋体"/>
          <w:b w:val="0"/>
          <w:bCs w:val="0"/>
          <w:color w:val="auto"/>
          <w:sz w:val="24"/>
          <w:szCs w:val="24"/>
        </w:rPr>
        <w:t>价</w:t>
      </w:r>
      <w:r>
        <w:rPr>
          <w:rFonts w:hint="eastAsia" w:ascii="宋体" w:hAnsi="宋体" w:eastAsia="宋体" w:cs="宋体"/>
          <w:b w:val="0"/>
          <w:bCs w:val="0"/>
          <w:color w:val="auto"/>
          <w:sz w:val="24"/>
          <w:szCs w:val="24"/>
        </w:rPr>
        <w:tab/>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PAGEREF _Toc29316 \h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96</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highlight w:val="none"/>
        </w:rPr>
        <w:fldChar w:fldCharType="end"/>
      </w:r>
    </w:p>
    <w:p w14:paraId="64290BB7">
      <w:pPr>
        <w:rPr>
          <w:rFonts w:hint="eastAsia" w:ascii="宋体" w:hAnsi="宋体" w:eastAsia="宋体" w:cs="宋体"/>
          <w:bCs/>
          <w:color w:val="auto"/>
          <w:sz w:val="24"/>
          <w:szCs w:val="24"/>
          <w:highlight w:val="none"/>
        </w:rPr>
      </w:pPr>
      <w:r>
        <w:rPr>
          <w:rFonts w:hint="eastAsia" w:ascii="宋体" w:hAnsi="宋体" w:eastAsia="宋体" w:cs="宋体"/>
          <w:b w:val="0"/>
          <w:bCs w:val="0"/>
          <w:color w:val="auto"/>
          <w:sz w:val="24"/>
          <w:szCs w:val="24"/>
          <w:highlight w:val="none"/>
        </w:rPr>
        <w:fldChar w:fldCharType="end"/>
      </w:r>
    </w:p>
    <w:p w14:paraId="08BB4BAF">
      <w:pPr>
        <w:pStyle w:val="2"/>
        <w:keepLines w:val="0"/>
        <w:pageBreakBefore w:val="0"/>
        <w:shd w:val="clear" w:color="auto" w:fill="auto"/>
        <w:kinsoku/>
        <w:wordWrap/>
        <w:overflowPunct/>
        <w:topLinePunct w:val="0"/>
        <w:autoSpaceDE/>
        <w:autoSpaceDN/>
        <w:bidi w:val="0"/>
        <w:adjustRightInd/>
        <w:snapToGrid/>
        <w:spacing w:line="360" w:lineRule="exact"/>
        <w:ind w:left="0" w:firstLine="0"/>
        <w:jc w:val="center"/>
        <w:textAlignment w:val="auto"/>
        <w:rPr>
          <w:rFonts w:hint="eastAsia" w:ascii="宋体" w:hAnsi="宋体" w:eastAsia="宋体" w:cs="宋体"/>
          <w:bCs/>
          <w:color w:val="auto"/>
          <w:sz w:val="32"/>
          <w:szCs w:val="32"/>
          <w:highlight w:val="none"/>
        </w:rPr>
      </w:pPr>
      <w:bookmarkStart w:id="0" w:name="_Toc8566"/>
      <w:r>
        <w:rPr>
          <w:rFonts w:hint="eastAsia" w:ascii="宋体" w:hAnsi="宋体" w:eastAsia="宋体" w:cs="宋体"/>
          <w:color w:val="auto"/>
          <w:sz w:val="32"/>
          <w:szCs w:val="32"/>
          <w:highlight w:val="none"/>
        </w:rPr>
        <w:t>第一章</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招标公告</w:t>
      </w:r>
      <w:bookmarkEnd w:id="0"/>
    </w:p>
    <w:p w14:paraId="7D70B6EB">
      <w:pPr>
        <w:shd w:val="clear" w:color="auto" w:fill="auto"/>
        <w:spacing w:line="240" w:lineRule="auto"/>
        <w:jc w:val="center"/>
        <w:rPr>
          <w:rFonts w:hint="eastAsia" w:ascii="宋体" w:hAnsi="宋体" w:eastAsia="宋体" w:cs="宋体"/>
          <w:b/>
          <w:bCs w:val="0"/>
          <w:i w:val="0"/>
          <w:color w:val="auto"/>
          <w:kern w:val="0"/>
          <w:sz w:val="30"/>
          <w:szCs w:val="30"/>
          <w:highlight w:val="none"/>
          <w:u w:val="none"/>
          <w:lang w:val="en-US" w:eastAsia="zh-CN" w:bidi="ar"/>
        </w:rPr>
      </w:pPr>
      <w:r>
        <w:rPr>
          <w:rFonts w:hint="eastAsia" w:ascii="宋体" w:hAnsi="宋体" w:cs="宋体"/>
          <w:b/>
          <w:bCs w:val="0"/>
          <w:i w:val="0"/>
          <w:color w:val="auto"/>
          <w:kern w:val="0"/>
          <w:sz w:val="30"/>
          <w:szCs w:val="30"/>
          <w:highlight w:val="none"/>
          <w:u w:val="none"/>
          <w:lang w:val="en-US" w:eastAsia="zh-CN" w:bidi="ar"/>
        </w:rPr>
        <w:t>广东省韶关市武江区农村污水处理设施建设项目-武江区农村生活污水处理设施提质增效项目-武江区江湾镇胡屋村委、瑶族村委生活污水提质增效项目施工</w:t>
      </w:r>
      <w:r>
        <w:rPr>
          <w:rFonts w:hint="eastAsia" w:ascii="宋体" w:hAnsi="宋体" w:eastAsia="宋体" w:cs="宋体"/>
          <w:b/>
          <w:bCs w:val="0"/>
          <w:i w:val="0"/>
          <w:color w:val="auto"/>
          <w:kern w:val="0"/>
          <w:sz w:val="30"/>
          <w:szCs w:val="30"/>
          <w:highlight w:val="none"/>
          <w:u w:val="none"/>
          <w:lang w:val="en-US" w:eastAsia="zh-CN" w:bidi="ar"/>
        </w:rPr>
        <w:t>招标公告</w:t>
      </w:r>
    </w:p>
    <w:tbl>
      <w:tblPr>
        <w:tblStyle w:val="21"/>
        <w:tblW w:w="98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86"/>
        <w:gridCol w:w="1943"/>
        <w:gridCol w:w="995"/>
        <w:gridCol w:w="662"/>
        <w:gridCol w:w="691"/>
        <w:gridCol w:w="175"/>
        <w:gridCol w:w="481"/>
        <w:gridCol w:w="355"/>
        <w:gridCol w:w="1402"/>
        <w:gridCol w:w="1202"/>
      </w:tblGrid>
      <w:tr w14:paraId="0C7CA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1786" w:type="dxa"/>
            <w:tcBorders>
              <w:top w:val="single" w:color="auto" w:sz="4" w:space="0"/>
              <w:left w:val="single" w:color="auto" w:sz="4" w:space="0"/>
              <w:bottom w:val="single" w:color="auto" w:sz="4" w:space="0"/>
              <w:right w:val="single" w:color="auto" w:sz="4" w:space="0"/>
            </w:tcBorders>
            <w:noWrap w:val="0"/>
            <w:vAlign w:val="center"/>
          </w:tcPr>
          <w:p w14:paraId="13109A75">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投资项目代码/</w:t>
            </w:r>
          </w:p>
          <w:p w14:paraId="3CD9FA4D">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sz w:val="24"/>
                <w:szCs w:val="24"/>
                <w:highlight w:val="none"/>
                <w:u w:val="none"/>
                <w:lang w:val="en-US"/>
              </w:rPr>
            </w:pPr>
            <w:r>
              <w:rPr>
                <w:rFonts w:hint="eastAsia" w:ascii="宋体" w:hAnsi="宋体" w:eastAsia="宋体" w:cs="宋体"/>
                <w:b w:val="0"/>
                <w:bCs w:val="0"/>
                <w:i w:val="0"/>
                <w:color w:val="auto"/>
                <w:kern w:val="0"/>
                <w:sz w:val="24"/>
                <w:szCs w:val="24"/>
                <w:highlight w:val="none"/>
                <w:u w:val="none"/>
                <w:lang w:val="en-US" w:eastAsia="zh-CN" w:bidi="ar"/>
              </w:rPr>
              <w:t>项目备案号</w:t>
            </w:r>
          </w:p>
        </w:tc>
        <w:tc>
          <w:tcPr>
            <w:tcW w:w="7906" w:type="dxa"/>
            <w:gridSpan w:val="9"/>
            <w:tcBorders>
              <w:top w:val="single" w:color="auto" w:sz="4" w:space="0"/>
              <w:left w:val="single" w:color="auto" w:sz="4" w:space="0"/>
              <w:bottom w:val="single" w:color="auto" w:sz="4" w:space="0"/>
              <w:right w:val="single" w:color="auto" w:sz="4" w:space="0"/>
            </w:tcBorders>
            <w:noWrap w:val="0"/>
            <w:vAlign w:val="center"/>
          </w:tcPr>
          <w:p w14:paraId="2FCCFC87">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2309-440203-19-01-846143、2601-440203-20-01-104160</w:t>
            </w:r>
          </w:p>
        </w:tc>
      </w:tr>
      <w:tr w14:paraId="1D39C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786" w:type="dxa"/>
            <w:tcBorders>
              <w:top w:val="single" w:color="auto" w:sz="4" w:space="0"/>
              <w:left w:val="single" w:color="auto" w:sz="4" w:space="0"/>
              <w:bottom w:val="single" w:color="auto" w:sz="4" w:space="0"/>
              <w:right w:val="single" w:color="auto" w:sz="4" w:space="0"/>
            </w:tcBorders>
            <w:noWrap w:val="0"/>
            <w:vAlign w:val="center"/>
          </w:tcPr>
          <w:p w14:paraId="3CAEEAD0">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投资项目名称</w:t>
            </w:r>
          </w:p>
        </w:tc>
        <w:tc>
          <w:tcPr>
            <w:tcW w:w="7906" w:type="dxa"/>
            <w:gridSpan w:val="9"/>
            <w:tcBorders>
              <w:top w:val="single" w:color="auto" w:sz="4" w:space="0"/>
              <w:left w:val="single" w:color="auto" w:sz="4" w:space="0"/>
              <w:bottom w:val="single" w:color="auto" w:sz="4" w:space="0"/>
              <w:right w:val="single" w:color="auto" w:sz="4" w:space="0"/>
            </w:tcBorders>
            <w:noWrap w:val="0"/>
            <w:vAlign w:val="center"/>
          </w:tcPr>
          <w:p w14:paraId="6A73BCCF">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广东省韶关市武江区农村污水处理设施建设项目</w:t>
            </w:r>
          </w:p>
        </w:tc>
      </w:tr>
      <w:tr w14:paraId="0F6C7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jc w:val="center"/>
        </w:trPr>
        <w:tc>
          <w:tcPr>
            <w:tcW w:w="1786" w:type="dxa"/>
            <w:tcBorders>
              <w:top w:val="single" w:color="auto" w:sz="4" w:space="0"/>
              <w:left w:val="single" w:color="auto" w:sz="4" w:space="0"/>
              <w:bottom w:val="single" w:color="auto" w:sz="4" w:space="0"/>
              <w:right w:val="single" w:color="auto" w:sz="4" w:space="0"/>
            </w:tcBorders>
            <w:noWrap w:val="0"/>
            <w:vAlign w:val="center"/>
          </w:tcPr>
          <w:p w14:paraId="4C2D4FF1">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招标项目名称</w:t>
            </w:r>
          </w:p>
        </w:tc>
        <w:tc>
          <w:tcPr>
            <w:tcW w:w="7906" w:type="dxa"/>
            <w:gridSpan w:val="9"/>
            <w:tcBorders>
              <w:top w:val="single" w:color="auto" w:sz="4" w:space="0"/>
              <w:left w:val="single" w:color="auto" w:sz="4" w:space="0"/>
              <w:bottom w:val="single" w:color="auto" w:sz="4" w:space="0"/>
              <w:right w:val="single" w:color="auto" w:sz="4" w:space="0"/>
            </w:tcBorders>
            <w:noWrap w:val="0"/>
            <w:vAlign w:val="center"/>
          </w:tcPr>
          <w:p w14:paraId="6366B7F5">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广东省韶关市武江区农村污水处理设施建设项目-武江区农村生活污水处理设施提质增效项目-武江区江湾镇胡屋村委、瑶族村委生活污水提质增效项目施工</w:t>
            </w:r>
          </w:p>
        </w:tc>
      </w:tr>
      <w:tr w14:paraId="0ADE3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786" w:type="dxa"/>
            <w:tcBorders>
              <w:top w:val="single" w:color="auto" w:sz="4" w:space="0"/>
              <w:left w:val="single" w:color="000000" w:sz="4" w:space="0"/>
              <w:bottom w:val="single" w:color="000000" w:sz="4" w:space="0"/>
              <w:right w:val="single" w:color="000000" w:sz="4" w:space="0"/>
            </w:tcBorders>
            <w:noWrap w:val="0"/>
            <w:vAlign w:val="center"/>
          </w:tcPr>
          <w:p w14:paraId="06031632">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标段名称</w:t>
            </w:r>
          </w:p>
        </w:tc>
        <w:tc>
          <w:tcPr>
            <w:tcW w:w="5302" w:type="dxa"/>
            <w:gridSpan w:val="7"/>
            <w:tcBorders>
              <w:top w:val="single" w:color="auto" w:sz="4" w:space="0"/>
              <w:left w:val="single" w:color="000000" w:sz="4" w:space="0"/>
              <w:bottom w:val="single" w:color="000000" w:sz="4" w:space="0"/>
              <w:right w:val="single" w:color="000000" w:sz="4" w:space="0"/>
            </w:tcBorders>
            <w:noWrap w:val="0"/>
            <w:vAlign w:val="center"/>
          </w:tcPr>
          <w:p w14:paraId="67582928">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广东省韶关市武江区农村污水处理设施建设项目-武江区农村生活污水处理设施提质增效项目-武江区江湾镇胡屋村委、瑶族村委生活污水提质增效项目施工</w:t>
            </w:r>
          </w:p>
        </w:tc>
        <w:tc>
          <w:tcPr>
            <w:tcW w:w="1402" w:type="dxa"/>
            <w:tcBorders>
              <w:top w:val="single" w:color="auto" w:sz="4" w:space="0"/>
              <w:left w:val="single" w:color="000000" w:sz="4" w:space="0"/>
              <w:bottom w:val="single" w:color="000000" w:sz="4" w:space="0"/>
              <w:right w:val="single" w:color="auto" w:sz="4" w:space="0"/>
            </w:tcBorders>
            <w:noWrap w:val="0"/>
            <w:vAlign w:val="center"/>
          </w:tcPr>
          <w:p w14:paraId="64D4ED81">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公告性质</w:t>
            </w:r>
          </w:p>
        </w:tc>
        <w:tc>
          <w:tcPr>
            <w:tcW w:w="1202" w:type="dxa"/>
            <w:tcBorders>
              <w:top w:val="single" w:color="auto" w:sz="4" w:space="0"/>
              <w:left w:val="single" w:color="auto" w:sz="4" w:space="0"/>
              <w:bottom w:val="single" w:color="000000" w:sz="4" w:space="0"/>
              <w:right w:val="single" w:color="000000" w:sz="4" w:space="0"/>
            </w:tcBorders>
            <w:noWrap w:val="0"/>
            <w:vAlign w:val="center"/>
          </w:tcPr>
          <w:p w14:paraId="4594573E">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正常</w:t>
            </w:r>
          </w:p>
        </w:tc>
      </w:tr>
      <w:tr w14:paraId="6CA49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786" w:type="dxa"/>
            <w:tcBorders>
              <w:top w:val="single" w:color="auto" w:sz="4" w:space="0"/>
              <w:left w:val="single" w:color="000000" w:sz="4" w:space="0"/>
              <w:bottom w:val="single" w:color="000000" w:sz="4" w:space="0"/>
              <w:right w:val="single" w:color="000000" w:sz="4" w:space="0"/>
            </w:tcBorders>
            <w:noWrap w:val="0"/>
            <w:vAlign w:val="center"/>
          </w:tcPr>
          <w:p w14:paraId="1F51AC3D">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资格审查方式</w:t>
            </w:r>
          </w:p>
        </w:tc>
        <w:tc>
          <w:tcPr>
            <w:tcW w:w="7906" w:type="dxa"/>
            <w:gridSpan w:val="9"/>
            <w:tcBorders>
              <w:top w:val="single" w:color="auto" w:sz="4" w:space="0"/>
              <w:left w:val="single" w:color="000000" w:sz="4" w:space="0"/>
              <w:bottom w:val="single" w:color="000000" w:sz="4" w:space="0"/>
              <w:right w:val="single" w:color="000000" w:sz="4" w:space="0"/>
            </w:tcBorders>
            <w:noWrap w:val="0"/>
            <w:vAlign w:val="center"/>
          </w:tcPr>
          <w:p w14:paraId="10C22B12">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资格后审</w:t>
            </w:r>
          </w:p>
        </w:tc>
      </w:tr>
      <w:tr w14:paraId="3EBC5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jc w:val="center"/>
        </w:trPr>
        <w:tc>
          <w:tcPr>
            <w:tcW w:w="1786" w:type="dxa"/>
            <w:tcBorders>
              <w:top w:val="single" w:color="000000" w:sz="4" w:space="0"/>
              <w:left w:val="single" w:color="000000" w:sz="4" w:space="0"/>
              <w:bottom w:val="single" w:color="000000" w:sz="4" w:space="0"/>
              <w:right w:val="single" w:color="000000" w:sz="4" w:space="0"/>
            </w:tcBorders>
            <w:noWrap w:val="0"/>
            <w:vAlign w:val="center"/>
          </w:tcPr>
          <w:p w14:paraId="33BB820F">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招标项目</w:t>
            </w:r>
          </w:p>
          <w:p w14:paraId="24426891">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实施地点</w:t>
            </w:r>
          </w:p>
        </w:tc>
        <w:tc>
          <w:tcPr>
            <w:tcW w:w="7906" w:type="dxa"/>
            <w:gridSpan w:val="9"/>
            <w:tcBorders>
              <w:top w:val="single" w:color="000000" w:sz="4" w:space="0"/>
              <w:left w:val="single" w:color="000000" w:sz="4" w:space="0"/>
              <w:bottom w:val="single" w:color="000000" w:sz="4" w:space="0"/>
              <w:right w:val="single" w:color="000000" w:sz="4" w:space="0"/>
            </w:tcBorders>
            <w:noWrap w:val="0"/>
            <w:vAlign w:val="center"/>
          </w:tcPr>
          <w:p w14:paraId="4CB9A2D8">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sz w:val="24"/>
                <w:szCs w:val="24"/>
                <w:highlight w:val="none"/>
                <w:u w:val="none"/>
                <w:lang w:val="en-US" w:eastAsia="zh-CN"/>
              </w:rPr>
            </w:pPr>
            <w:r>
              <w:rPr>
                <w:rFonts w:hint="eastAsia" w:ascii="宋体" w:hAnsi="宋体" w:eastAsia="宋体" w:cs="宋体"/>
                <w:bCs/>
                <w:snapToGrid w:val="0"/>
                <w:color w:val="auto"/>
                <w:kern w:val="0"/>
                <w:sz w:val="24"/>
                <w:szCs w:val="24"/>
                <w:highlight w:val="none"/>
                <w:lang w:val="en-US" w:eastAsia="zh-CN"/>
              </w:rPr>
              <w:t>武江区江湾镇胡屋村、瑶族村</w:t>
            </w:r>
          </w:p>
        </w:tc>
      </w:tr>
      <w:tr w14:paraId="4D1FC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786" w:type="dxa"/>
            <w:tcBorders>
              <w:top w:val="single" w:color="000000" w:sz="4" w:space="0"/>
              <w:left w:val="single" w:color="000000" w:sz="4" w:space="0"/>
              <w:bottom w:val="single" w:color="000000" w:sz="4" w:space="0"/>
              <w:right w:val="single" w:color="000000" w:sz="4" w:space="0"/>
            </w:tcBorders>
            <w:noWrap w:val="0"/>
            <w:vAlign w:val="center"/>
          </w:tcPr>
          <w:p w14:paraId="52414F92">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资金来源</w:t>
            </w:r>
          </w:p>
        </w:tc>
        <w:tc>
          <w:tcPr>
            <w:tcW w:w="2938" w:type="dxa"/>
            <w:gridSpan w:val="2"/>
            <w:tcBorders>
              <w:top w:val="single" w:color="000000" w:sz="4" w:space="0"/>
              <w:left w:val="single" w:color="000000" w:sz="4" w:space="0"/>
              <w:bottom w:val="single" w:color="000000" w:sz="4" w:space="0"/>
              <w:right w:val="nil"/>
            </w:tcBorders>
            <w:noWrap w:val="0"/>
            <w:vAlign w:val="center"/>
          </w:tcPr>
          <w:p w14:paraId="0D54F9DF">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Cs/>
                <w:snapToGrid w:val="0"/>
                <w:color w:val="auto"/>
                <w:kern w:val="0"/>
                <w:sz w:val="24"/>
                <w:szCs w:val="24"/>
                <w:highlight w:val="none"/>
                <w:lang w:val="en-US" w:eastAsia="zh-CN"/>
              </w:rPr>
              <w:t>区级财政解决</w:t>
            </w:r>
          </w:p>
        </w:tc>
        <w:tc>
          <w:tcPr>
            <w:tcW w:w="1353" w:type="dxa"/>
            <w:gridSpan w:val="2"/>
            <w:tcBorders>
              <w:top w:val="single" w:color="000000" w:sz="4" w:space="0"/>
              <w:left w:val="single" w:color="000000" w:sz="4" w:space="0"/>
              <w:bottom w:val="single" w:color="000000" w:sz="4" w:space="0"/>
              <w:right w:val="single" w:color="000000" w:sz="4" w:space="0"/>
            </w:tcBorders>
            <w:noWrap w:val="0"/>
            <w:vAlign w:val="center"/>
          </w:tcPr>
          <w:p w14:paraId="0122AF34">
            <w:pPr>
              <w:keepNext w:val="0"/>
              <w:keepLines w:val="0"/>
              <w:widowControl/>
              <w:suppressLineNumbers w:val="0"/>
              <w:shd w:val="clear" w:color="auto" w:fill="auto"/>
              <w:spacing w:line="360" w:lineRule="auto"/>
              <w:jc w:val="center"/>
              <w:textAlignment w:val="center"/>
              <w:rPr>
                <w:rFonts w:hint="eastAsia" w:ascii="宋体" w:hAnsi="宋体" w:eastAsia="宋体" w:cs="宋体"/>
                <w:i w:val="0"/>
                <w:iCs w:val="0"/>
                <w:caps w:val="0"/>
                <w:color w:val="auto"/>
                <w:spacing w:val="0"/>
                <w:sz w:val="24"/>
                <w:szCs w:val="24"/>
                <w:highlight w:val="none"/>
                <w:lang w:val="en-US" w:eastAsia="zh-CN"/>
              </w:rPr>
            </w:pPr>
            <w:r>
              <w:rPr>
                <w:rFonts w:hint="eastAsia" w:ascii="宋体" w:hAnsi="宋体" w:eastAsia="宋体" w:cs="宋体"/>
                <w:i w:val="0"/>
                <w:iCs w:val="0"/>
                <w:caps w:val="0"/>
                <w:color w:val="auto"/>
                <w:spacing w:val="0"/>
                <w:sz w:val="24"/>
                <w:szCs w:val="24"/>
                <w:highlight w:val="none"/>
                <w:lang w:val="en-US" w:eastAsia="zh-CN"/>
              </w:rPr>
              <w:t>资金到位情况</w:t>
            </w:r>
          </w:p>
        </w:tc>
        <w:tc>
          <w:tcPr>
            <w:tcW w:w="3615" w:type="dxa"/>
            <w:gridSpan w:val="5"/>
            <w:tcBorders>
              <w:top w:val="single" w:color="000000" w:sz="4" w:space="0"/>
              <w:left w:val="nil"/>
              <w:bottom w:val="single" w:color="000000" w:sz="4" w:space="0"/>
              <w:right w:val="single" w:color="000000" w:sz="4" w:space="0"/>
            </w:tcBorders>
            <w:noWrap w:val="0"/>
            <w:vAlign w:val="center"/>
          </w:tcPr>
          <w:p w14:paraId="2D2F8AC6">
            <w:pPr>
              <w:keepNext w:val="0"/>
              <w:keepLines w:val="0"/>
              <w:widowControl/>
              <w:suppressLineNumbers w:val="0"/>
              <w:shd w:val="clear" w:color="auto" w:fill="auto"/>
              <w:spacing w:line="360" w:lineRule="auto"/>
              <w:jc w:val="center"/>
              <w:textAlignment w:val="center"/>
              <w:rPr>
                <w:rFonts w:hint="eastAsia" w:ascii="宋体" w:hAnsi="宋体" w:eastAsia="宋体" w:cs="宋体"/>
                <w:i w:val="0"/>
                <w:iCs w:val="0"/>
                <w:caps w:val="0"/>
                <w:color w:val="auto"/>
                <w:spacing w:val="0"/>
                <w:sz w:val="24"/>
                <w:szCs w:val="24"/>
                <w:highlight w:val="none"/>
                <w:lang w:eastAsia="zh-CN"/>
              </w:rPr>
            </w:pPr>
            <w:r>
              <w:rPr>
                <w:rFonts w:hint="eastAsia" w:ascii="宋体" w:hAnsi="宋体" w:eastAsia="宋体" w:cs="宋体"/>
                <w:i w:val="0"/>
                <w:iCs w:val="0"/>
                <w:caps w:val="0"/>
                <w:color w:val="auto"/>
                <w:spacing w:val="0"/>
                <w:sz w:val="24"/>
                <w:szCs w:val="24"/>
                <w:highlight w:val="none"/>
                <w:lang w:val="en-US" w:eastAsia="zh-CN"/>
              </w:rPr>
              <w:t>已落实</w:t>
            </w:r>
          </w:p>
        </w:tc>
      </w:tr>
      <w:tr w14:paraId="2F920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786" w:type="dxa"/>
            <w:tcBorders>
              <w:top w:val="single" w:color="000000" w:sz="4" w:space="0"/>
              <w:left w:val="single" w:color="000000" w:sz="4" w:space="0"/>
              <w:bottom w:val="single" w:color="000000" w:sz="4" w:space="0"/>
              <w:right w:val="single" w:color="000000" w:sz="4" w:space="0"/>
            </w:tcBorders>
            <w:noWrap w:val="0"/>
            <w:vAlign w:val="center"/>
          </w:tcPr>
          <w:p w14:paraId="5A82E360">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招标范围及规模</w:t>
            </w:r>
          </w:p>
        </w:tc>
        <w:tc>
          <w:tcPr>
            <w:tcW w:w="7906" w:type="dxa"/>
            <w:gridSpan w:val="9"/>
            <w:tcBorders>
              <w:top w:val="single" w:color="000000" w:sz="4" w:space="0"/>
              <w:left w:val="single" w:color="000000" w:sz="4" w:space="0"/>
              <w:bottom w:val="single" w:color="000000" w:sz="4" w:space="0"/>
              <w:right w:val="single" w:color="000000" w:sz="4" w:space="0"/>
            </w:tcBorders>
            <w:noWrap w:val="0"/>
            <w:vAlign w:val="center"/>
          </w:tcPr>
          <w:p w14:paraId="7FD2A3C0">
            <w:pPr>
              <w:pStyle w:val="7"/>
              <w:spacing w:line="360" w:lineRule="auto"/>
              <w:rPr>
                <w:rFonts w:hint="eastAsia" w:ascii="宋体" w:hAnsi="宋体" w:eastAsia="宋体" w:cs="宋体"/>
                <w:bCs/>
                <w:snapToGrid w:val="0"/>
                <w:color w:val="auto"/>
                <w:kern w:val="0"/>
                <w:sz w:val="24"/>
                <w:szCs w:val="24"/>
                <w:highlight w:val="none"/>
                <w:lang w:eastAsia="zh-CN"/>
              </w:rPr>
            </w:pPr>
            <w:r>
              <w:rPr>
                <w:rFonts w:hint="eastAsia" w:ascii="宋体" w:hAnsi="宋体" w:eastAsia="宋体" w:cs="宋体"/>
                <w:bCs/>
                <w:snapToGrid w:val="0"/>
                <w:color w:val="auto"/>
                <w:kern w:val="0"/>
                <w:sz w:val="24"/>
                <w:szCs w:val="24"/>
                <w:highlight w:val="none"/>
                <w:lang w:eastAsia="zh-CN"/>
              </w:rPr>
              <w:t>按审查合格的施工图纸及工程量清单内容施工。</w:t>
            </w:r>
          </w:p>
          <w:p w14:paraId="49129690">
            <w:pPr>
              <w:pStyle w:val="7"/>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项目概算总投资197.27万元，其中工程费用164.43万元，工程建设其他费用18.23万元，预备费用14.61万元。</w:t>
            </w:r>
          </w:p>
        </w:tc>
      </w:tr>
      <w:tr w14:paraId="5F244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6" w:hRule="atLeast"/>
          <w:jc w:val="center"/>
        </w:trPr>
        <w:tc>
          <w:tcPr>
            <w:tcW w:w="1786" w:type="dxa"/>
            <w:tcBorders>
              <w:top w:val="single" w:color="000000" w:sz="4" w:space="0"/>
              <w:left w:val="single" w:color="000000" w:sz="4" w:space="0"/>
              <w:bottom w:val="single" w:color="000000" w:sz="4" w:space="0"/>
              <w:right w:val="single" w:color="000000" w:sz="4" w:space="0"/>
            </w:tcBorders>
            <w:noWrap w:val="0"/>
            <w:vAlign w:val="center"/>
          </w:tcPr>
          <w:p w14:paraId="37175B46">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招标内容</w:t>
            </w:r>
          </w:p>
        </w:tc>
        <w:tc>
          <w:tcPr>
            <w:tcW w:w="7906" w:type="dxa"/>
            <w:gridSpan w:val="9"/>
            <w:tcBorders>
              <w:top w:val="single" w:color="000000" w:sz="4" w:space="0"/>
              <w:left w:val="single" w:color="000000" w:sz="4" w:space="0"/>
              <w:bottom w:val="single" w:color="000000" w:sz="4" w:space="0"/>
              <w:right w:val="single" w:color="000000" w:sz="4" w:space="0"/>
            </w:tcBorders>
            <w:noWrap w:val="0"/>
            <w:vAlign w:val="center"/>
          </w:tcPr>
          <w:p w14:paraId="1C622803">
            <w:pPr>
              <w:pStyle w:val="7"/>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完善提升江湾镇胡屋村、瑶族村污水收集及处理系统，包括：新建排水沟551米，新建厌氧膜池1座。</w:t>
            </w:r>
          </w:p>
        </w:tc>
      </w:tr>
      <w:tr w14:paraId="0194E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786" w:type="dxa"/>
            <w:tcBorders>
              <w:top w:val="single" w:color="000000" w:sz="4" w:space="0"/>
              <w:left w:val="single" w:color="000000" w:sz="4" w:space="0"/>
              <w:bottom w:val="single" w:color="000000" w:sz="4" w:space="0"/>
              <w:right w:val="single" w:color="000000" w:sz="4" w:space="0"/>
            </w:tcBorders>
            <w:noWrap w:val="0"/>
            <w:vAlign w:val="center"/>
          </w:tcPr>
          <w:p w14:paraId="3F821FB6">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i w:val="0"/>
                <w:iCs/>
                <w:color w:val="auto"/>
                <w:kern w:val="2"/>
                <w:sz w:val="24"/>
                <w:szCs w:val="24"/>
                <w:highlight w:val="none"/>
                <w:lang w:val="en-US" w:eastAsia="zh-CN" w:bidi="ar-SA"/>
              </w:rPr>
            </w:pPr>
            <w:r>
              <w:rPr>
                <w:rFonts w:hint="eastAsia" w:ascii="宋体" w:hAnsi="宋体" w:eastAsia="宋体" w:cs="宋体"/>
                <w:b w:val="0"/>
                <w:bCs/>
                <w:i w:val="0"/>
                <w:iCs/>
                <w:color w:val="auto"/>
                <w:kern w:val="2"/>
                <w:sz w:val="24"/>
                <w:szCs w:val="24"/>
                <w:highlight w:val="none"/>
                <w:lang w:val="en-US" w:eastAsia="zh-CN" w:bidi="ar-SA"/>
              </w:rPr>
              <w:t>工期</w:t>
            </w:r>
          </w:p>
        </w:tc>
        <w:tc>
          <w:tcPr>
            <w:tcW w:w="7906" w:type="dxa"/>
            <w:gridSpan w:val="9"/>
            <w:tcBorders>
              <w:top w:val="single" w:color="000000" w:sz="4" w:space="0"/>
              <w:left w:val="single" w:color="000000" w:sz="4" w:space="0"/>
              <w:bottom w:val="single" w:color="000000" w:sz="4" w:space="0"/>
              <w:right w:val="single" w:color="000000" w:sz="4" w:space="0"/>
            </w:tcBorders>
            <w:noWrap w:val="0"/>
            <w:vAlign w:val="center"/>
          </w:tcPr>
          <w:p w14:paraId="119484E9">
            <w:pPr>
              <w:pStyle w:val="7"/>
              <w:spacing w:line="360" w:lineRule="auto"/>
              <w:rPr>
                <w:rFonts w:hint="eastAsia" w:ascii="宋体" w:hAnsi="宋体" w:eastAsia="宋体" w:cs="宋体"/>
                <w:b w:val="0"/>
                <w:bCs/>
                <w:i w:val="0"/>
                <w:iCs/>
                <w:color w:val="auto"/>
                <w:kern w:val="2"/>
                <w:sz w:val="24"/>
                <w:szCs w:val="24"/>
                <w:highlight w:val="none"/>
                <w:lang w:val="en-US" w:eastAsia="zh-CN" w:bidi="ar-SA"/>
              </w:rPr>
            </w:pPr>
            <w:r>
              <w:rPr>
                <w:rFonts w:hint="eastAsia" w:ascii="宋体" w:hAnsi="宋体" w:eastAsia="宋体" w:cs="宋体"/>
                <w:b w:val="0"/>
                <w:bCs/>
                <w:i w:val="0"/>
                <w:iCs/>
                <w:color w:val="auto"/>
                <w:kern w:val="2"/>
                <w:sz w:val="24"/>
                <w:szCs w:val="24"/>
                <w:highlight w:val="none"/>
                <w:lang w:val="en-US" w:eastAsia="zh-CN" w:bidi="ar-SA"/>
              </w:rPr>
              <w:t>本项目施工招标工期为60个日历天</w:t>
            </w:r>
          </w:p>
        </w:tc>
      </w:tr>
      <w:tr w14:paraId="3A762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1786" w:type="dxa"/>
            <w:tcBorders>
              <w:top w:val="single" w:color="000000" w:sz="4" w:space="0"/>
              <w:left w:val="single" w:color="000000" w:sz="4" w:space="0"/>
              <w:bottom w:val="single" w:color="000000" w:sz="4" w:space="0"/>
              <w:right w:val="single" w:color="000000" w:sz="4" w:space="0"/>
            </w:tcBorders>
            <w:noWrap w:val="0"/>
            <w:vAlign w:val="center"/>
          </w:tcPr>
          <w:p w14:paraId="01CDDCEF">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i w:val="0"/>
                <w:iCs/>
                <w:color w:val="auto"/>
                <w:kern w:val="2"/>
                <w:sz w:val="24"/>
                <w:szCs w:val="24"/>
                <w:highlight w:val="none"/>
                <w:lang w:val="en-US" w:eastAsia="zh-CN" w:bidi="ar-SA"/>
              </w:rPr>
            </w:pPr>
            <w:bookmarkStart w:id="1" w:name="OLE_LINK1"/>
            <w:bookmarkStart w:id="2" w:name="OLE_LINK4"/>
            <w:bookmarkStart w:id="3" w:name="OLE_LINK3"/>
            <w:r>
              <w:rPr>
                <w:rFonts w:hint="eastAsia" w:ascii="宋体" w:hAnsi="宋体" w:eastAsia="宋体" w:cs="宋体"/>
                <w:b w:val="0"/>
                <w:bCs/>
                <w:i w:val="0"/>
                <w:iCs/>
                <w:color w:val="auto"/>
                <w:kern w:val="2"/>
                <w:sz w:val="24"/>
                <w:szCs w:val="24"/>
                <w:highlight w:val="none"/>
                <w:lang w:val="en-US" w:eastAsia="zh-CN" w:bidi="ar-SA"/>
              </w:rPr>
              <w:t>最高投标限价</w:t>
            </w:r>
            <w:bookmarkEnd w:id="1"/>
            <w:bookmarkEnd w:id="2"/>
            <w:bookmarkEnd w:id="3"/>
          </w:p>
        </w:tc>
        <w:tc>
          <w:tcPr>
            <w:tcW w:w="7906" w:type="dxa"/>
            <w:gridSpan w:val="9"/>
            <w:tcBorders>
              <w:top w:val="single" w:color="000000" w:sz="4" w:space="0"/>
              <w:left w:val="single" w:color="000000" w:sz="4" w:space="0"/>
              <w:bottom w:val="single" w:color="000000" w:sz="4" w:space="0"/>
              <w:right w:val="single" w:color="000000" w:sz="4" w:space="0"/>
            </w:tcBorders>
            <w:noWrap w:val="0"/>
            <w:vAlign w:val="center"/>
          </w:tcPr>
          <w:p w14:paraId="134913A6">
            <w:pPr>
              <w:pStyle w:val="49"/>
              <w:spacing w:line="360" w:lineRule="auto"/>
              <w:ind w:firstLine="480" w:firstLineChars="200"/>
              <w:rPr>
                <w:rFonts w:hint="eastAsia" w:ascii="宋体" w:hAnsi="宋体" w:eastAsia="宋体" w:cs="宋体"/>
                <w:b w:val="0"/>
                <w:bCs/>
                <w:i w:val="0"/>
                <w:iCs/>
                <w:color w:val="auto"/>
                <w:kern w:val="2"/>
                <w:sz w:val="24"/>
                <w:szCs w:val="24"/>
                <w:highlight w:val="none"/>
                <w:lang w:val="en-US" w:eastAsia="zh-CN" w:bidi="ar-SA"/>
              </w:rPr>
            </w:pPr>
            <w:r>
              <w:rPr>
                <w:rFonts w:hint="eastAsia" w:ascii="宋体" w:hAnsi="宋体" w:eastAsia="宋体" w:cs="宋体"/>
                <w:b w:val="0"/>
                <w:bCs/>
                <w:i w:val="0"/>
                <w:iCs/>
                <w:color w:val="auto"/>
                <w:kern w:val="2"/>
                <w:sz w:val="24"/>
                <w:szCs w:val="24"/>
                <w:highlight w:val="none"/>
                <w:lang w:val="en-US" w:eastAsia="zh-CN" w:bidi="ar-SA"/>
              </w:rPr>
              <w:t>本招标项目最高投标限价、工程量清单、施工图最终以补充公告形式在开标前15天另行发布于相关网站，各投标人可在全国公共资源交易平台（广东省·韶关市）</w:t>
            </w:r>
            <w:r>
              <w:rPr>
                <w:rFonts w:hint="eastAsia" w:hAnsi="宋体" w:cs="宋体"/>
                <w:b w:val="0"/>
                <w:bCs/>
                <w:i w:val="0"/>
                <w:iCs/>
                <w:color w:val="auto"/>
                <w:kern w:val="2"/>
                <w:sz w:val="24"/>
                <w:szCs w:val="24"/>
                <w:highlight w:val="none"/>
                <w:lang w:val="en-US" w:eastAsia="zh-CN" w:bidi="ar-SA"/>
              </w:rPr>
              <w:t>自行下载。</w:t>
            </w:r>
          </w:p>
          <w:p w14:paraId="46D3393A">
            <w:pPr>
              <w:pStyle w:val="7"/>
              <w:spacing w:line="360" w:lineRule="auto"/>
              <w:rPr>
                <w:rFonts w:hint="eastAsia" w:ascii="宋体" w:hAnsi="宋体" w:eastAsia="宋体" w:cs="宋体"/>
                <w:b w:val="0"/>
                <w:bCs/>
                <w:i w:val="0"/>
                <w:iCs/>
                <w:color w:val="auto"/>
                <w:kern w:val="2"/>
                <w:sz w:val="24"/>
                <w:szCs w:val="24"/>
                <w:highlight w:val="none"/>
                <w:lang w:val="en-US" w:eastAsia="zh-CN" w:bidi="ar-SA"/>
              </w:rPr>
            </w:pPr>
            <w:r>
              <w:rPr>
                <w:rFonts w:hint="eastAsia" w:hAnsi="宋体" w:cs="宋体"/>
                <w:color w:val="auto"/>
                <w:kern w:val="2"/>
                <w:sz w:val="24"/>
                <w:szCs w:val="24"/>
                <w:highlight w:val="none"/>
                <w:lang w:val="en-US" w:eastAsia="zh-CN" w:bidi="ar-SA"/>
              </w:rPr>
              <w:t>（https://ygp.gdzwfw.gov..cn/ggzy-portal/#/440200/index）、广东省招标投标监管网（https://www.gdzwfw.gov.cn/ztbjg-portal/#/index）网站。</w:t>
            </w:r>
          </w:p>
        </w:tc>
      </w:tr>
      <w:tr w14:paraId="651C6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786" w:type="dxa"/>
            <w:tcBorders>
              <w:top w:val="single" w:color="000000" w:sz="4" w:space="0"/>
              <w:left w:val="single" w:color="000000" w:sz="4" w:space="0"/>
              <w:bottom w:val="single" w:color="000000" w:sz="4" w:space="0"/>
              <w:right w:val="single" w:color="000000" w:sz="4" w:space="0"/>
            </w:tcBorders>
            <w:noWrap w:val="0"/>
            <w:vAlign w:val="center"/>
          </w:tcPr>
          <w:p w14:paraId="66C5F86F">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成本警示价</w:t>
            </w:r>
          </w:p>
        </w:tc>
        <w:tc>
          <w:tcPr>
            <w:tcW w:w="7906" w:type="dxa"/>
            <w:gridSpan w:val="9"/>
            <w:tcBorders>
              <w:top w:val="single" w:color="000000" w:sz="4" w:space="0"/>
              <w:left w:val="single" w:color="000000" w:sz="4" w:space="0"/>
              <w:bottom w:val="single" w:color="000000" w:sz="4" w:space="0"/>
              <w:right w:val="single" w:color="000000" w:sz="4" w:space="0"/>
            </w:tcBorders>
            <w:noWrap w:val="0"/>
            <w:vAlign w:val="center"/>
          </w:tcPr>
          <w:p w14:paraId="31A90D2F">
            <w:pPr>
              <w:pStyle w:val="7"/>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投标报价要求：</w:t>
            </w:r>
          </w:p>
          <w:p w14:paraId="5921A400">
            <w:pPr>
              <w:pStyle w:val="7"/>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（1）投标人的投标报价不得高于招标人设置的最高投标限价，否则作无效投标处理；</w:t>
            </w:r>
          </w:p>
          <w:p w14:paraId="0FF8E5B7">
            <w:pPr>
              <w:pStyle w:val="7"/>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highlight w:val="none"/>
                <w:lang w:val="en-US" w:eastAsia="zh-CN"/>
              </w:rPr>
              <w:t>投标人的投标报价如低于招标项目的成本警示价的，需提供成本分析资料等报价依据。（成本警示价＝最高投标限价×85%）</w:t>
            </w:r>
            <w:r>
              <w:rPr>
                <w:rFonts w:hint="eastAsia" w:hAnsi="宋体" w:cs="宋体"/>
                <w:color w:val="auto"/>
                <w:sz w:val="24"/>
                <w:szCs w:val="24"/>
                <w:highlight w:val="none"/>
                <w:lang w:val="en-US" w:eastAsia="zh-CN"/>
              </w:rPr>
              <w:t>。</w:t>
            </w:r>
          </w:p>
        </w:tc>
      </w:tr>
      <w:tr w14:paraId="20A54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786" w:type="dxa"/>
            <w:tcBorders>
              <w:top w:val="single" w:color="000000" w:sz="4" w:space="0"/>
              <w:left w:val="single" w:color="000000" w:sz="4" w:space="0"/>
              <w:bottom w:val="single" w:color="000000" w:sz="4" w:space="0"/>
              <w:right w:val="single" w:color="000000" w:sz="4" w:space="0"/>
            </w:tcBorders>
            <w:noWrap w:val="0"/>
            <w:vAlign w:val="center"/>
          </w:tcPr>
          <w:p w14:paraId="28FAE8B1">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是否接受联合体投标</w:t>
            </w:r>
          </w:p>
        </w:tc>
        <w:tc>
          <w:tcPr>
            <w:tcW w:w="7906" w:type="dxa"/>
            <w:gridSpan w:val="9"/>
            <w:tcBorders>
              <w:top w:val="single" w:color="000000" w:sz="4" w:space="0"/>
              <w:left w:val="single" w:color="000000" w:sz="4" w:space="0"/>
              <w:bottom w:val="single" w:color="000000" w:sz="4" w:space="0"/>
              <w:right w:val="single" w:color="000000" w:sz="4" w:space="0"/>
            </w:tcBorders>
            <w:noWrap w:val="0"/>
            <w:vAlign w:val="center"/>
          </w:tcPr>
          <w:p w14:paraId="3A6E1031">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否</w:t>
            </w:r>
          </w:p>
        </w:tc>
      </w:tr>
      <w:tr w14:paraId="7EAA2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8" w:hRule="atLeast"/>
          <w:jc w:val="center"/>
        </w:trPr>
        <w:tc>
          <w:tcPr>
            <w:tcW w:w="1786" w:type="dxa"/>
            <w:tcBorders>
              <w:top w:val="single" w:color="000000" w:sz="4" w:space="0"/>
              <w:left w:val="single" w:color="000000" w:sz="4" w:space="0"/>
              <w:bottom w:val="single" w:color="auto" w:sz="4" w:space="0"/>
              <w:right w:val="single" w:color="000000" w:sz="4" w:space="0"/>
            </w:tcBorders>
            <w:noWrap w:val="0"/>
            <w:vAlign w:val="center"/>
          </w:tcPr>
          <w:p w14:paraId="04A3C471">
            <w:pPr>
              <w:pStyle w:val="7"/>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投标人及相关人员资格要求</w:t>
            </w:r>
          </w:p>
        </w:tc>
        <w:tc>
          <w:tcPr>
            <w:tcW w:w="7906" w:type="dxa"/>
            <w:gridSpan w:val="9"/>
            <w:tcBorders>
              <w:top w:val="single" w:color="000000" w:sz="4" w:space="0"/>
              <w:left w:val="single" w:color="000000" w:sz="4" w:space="0"/>
              <w:bottom w:val="single" w:color="auto" w:sz="4" w:space="0"/>
              <w:right w:val="single" w:color="000000" w:sz="4" w:space="0"/>
            </w:tcBorders>
            <w:noWrap w:val="0"/>
            <w:vAlign w:val="center"/>
          </w:tcPr>
          <w:p w14:paraId="156D99FD">
            <w:pPr>
              <w:pStyle w:val="7"/>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投标人资格要求：①须持有建设行政主管部门颁发的市政公用工程施工总承包三级以上（含三级）资质证书及安全生产许可证。</w:t>
            </w:r>
          </w:p>
          <w:p w14:paraId="756012A3">
            <w:pPr>
              <w:pStyle w:val="7"/>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p w14:paraId="77845E9C">
            <w:pPr>
              <w:pStyle w:val="7"/>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负责人资格要求：即项目经理为市政公用工程专业一级或二级注册建造师，应持有住建部门印发的在使用有效期内的有效电子注册证书（根据广东省住房和城乡建设厅（粤建市函〔2023〕469号）文件精神，二级注册建造师可随注册企业在全国范围内执业）。同时均须具备有效安全生产考核合格证明（B证），且未担任其他在施（包括已中标未开工、已开工未竣工、在项目开标时间仍在建筑市场监管平台被“锁定”无法报建的）建设工程项目的项目经理；</w:t>
            </w:r>
          </w:p>
          <w:p w14:paraId="31F0BB1F">
            <w:pPr>
              <w:pStyle w:val="7"/>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项目技术负责人资格要求：须具备市政公用工程相关专</w:t>
            </w:r>
            <w:r>
              <w:rPr>
                <w:rFonts w:hint="eastAsia" w:ascii="宋体" w:hAnsi="宋体" w:eastAsia="宋体" w:cs="宋体"/>
                <w:snapToGrid w:val="0"/>
                <w:color w:val="auto"/>
                <w:kern w:val="0"/>
                <w:sz w:val="24"/>
                <w:szCs w:val="24"/>
                <w:highlight w:val="none"/>
                <w:lang w:eastAsia="zh-CN"/>
              </w:rPr>
              <w:t>业</w:t>
            </w:r>
            <w:r>
              <w:rPr>
                <w:rFonts w:hint="eastAsia" w:ascii="宋体" w:hAnsi="宋体" w:eastAsia="宋体" w:cs="宋体"/>
                <w:color w:val="auto"/>
                <w:sz w:val="24"/>
                <w:szCs w:val="24"/>
                <w:highlight w:val="none"/>
                <w:lang w:val="en-US" w:eastAsia="zh-CN"/>
              </w:rPr>
              <w:t>中级以上（含中级）技术职称；</w:t>
            </w:r>
          </w:p>
          <w:p w14:paraId="680E1635">
            <w:pPr>
              <w:pStyle w:val="7"/>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项目专职安全员资格要求：须具备有效安全生产考核合格证明（C证），且不少于1人。</w:t>
            </w:r>
          </w:p>
        </w:tc>
      </w:tr>
      <w:tr w14:paraId="1C6FA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1" w:hRule="atLeast"/>
          <w:jc w:val="center"/>
        </w:trPr>
        <w:tc>
          <w:tcPr>
            <w:tcW w:w="1786" w:type="dxa"/>
            <w:tcBorders>
              <w:top w:val="single" w:color="auto" w:sz="4" w:space="0"/>
              <w:left w:val="single" w:color="000000" w:sz="4" w:space="0"/>
              <w:bottom w:val="single" w:color="auto" w:sz="4" w:space="0"/>
              <w:right w:val="single" w:color="000000" w:sz="4" w:space="0"/>
            </w:tcBorders>
            <w:noWrap w:val="0"/>
            <w:vAlign w:val="center"/>
          </w:tcPr>
          <w:p w14:paraId="2C19A0D1">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是否采用电子</w:t>
            </w:r>
            <w:r>
              <w:rPr>
                <w:rFonts w:hint="eastAsia" w:ascii="宋体" w:hAnsi="宋体" w:eastAsia="宋体" w:cs="宋体"/>
                <w:b w:val="0"/>
                <w:bCs w:val="0"/>
                <w:i w:val="0"/>
                <w:color w:val="auto"/>
                <w:kern w:val="0"/>
                <w:sz w:val="24"/>
                <w:szCs w:val="24"/>
                <w:highlight w:val="none"/>
                <w:u w:val="none"/>
                <w:lang w:val="en-US" w:eastAsia="zh-CN" w:bidi="ar"/>
              </w:rPr>
              <w:br w:type="textWrapping"/>
            </w:r>
            <w:r>
              <w:rPr>
                <w:rFonts w:hint="eastAsia" w:ascii="宋体" w:hAnsi="宋体" w:eastAsia="宋体" w:cs="宋体"/>
                <w:b w:val="0"/>
                <w:bCs w:val="0"/>
                <w:i w:val="0"/>
                <w:color w:val="auto"/>
                <w:kern w:val="0"/>
                <w:sz w:val="24"/>
                <w:szCs w:val="24"/>
                <w:highlight w:val="none"/>
                <w:u w:val="none"/>
                <w:lang w:val="en-US" w:eastAsia="zh-CN" w:bidi="ar"/>
              </w:rPr>
              <w:t>招标投标方式</w:t>
            </w:r>
          </w:p>
        </w:tc>
        <w:tc>
          <w:tcPr>
            <w:tcW w:w="1943" w:type="dxa"/>
            <w:tcBorders>
              <w:top w:val="single" w:color="auto" w:sz="4" w:space="0"/>
              <w:left w:val="single" w:color="000000" w:sz="4" w:space="0"/>
              <w:bottom w:val="single" w:color="auto" w:sz="4" w:space="0"/>
              <w:right w:val="single" w:color="000000" w:sz="4" w:space="0"/>
            </w:tcBorders>
            <w:noWrap w:val="0"/>
            <w:vAlign w:val="center"/>
          </w:tcPr>
          <w:p w14:paraId="2C139312">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是</w:t>
            </w:r>
          </w:p>
        </w:tc>
        <w:tc>
          <w:tcPr>
            <w:tcW w:w="1657" w:type="dxa"/>
            <w:gridSpan w:val="2"/>
            <w:tcBorders>
              <w:top w:val="single" w:color="auto" w:sz="4" w:space="0"/>
              <w:left w:val="single" w:color="000000" w:sz="4" w:space="0"/>
              <w:bottom w:val="single" w:color="auto" w:sz="4" w:space="0"/>
              <w:right w:val="single" w:color="000000" w:sz="4" w:space="0"/>
            </w:tcBorders>
            <w:noWrap w:val="0"/>
            <w:vAlign w:val="center"/>
          </w:tcPr>
          <w:p w14:paraId="0048A702">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获取招标文件的方式</w:t>
            </w:r>
          </w:p>
        </w:tc>
        <w:tc>
          <w:tcPr>
            <w:tcW w:w="866" w:type="dxa"/>
            <w:gridSpan w:val="2"/>
            <w:tcBorders>
              <w:top w:val="single" w:color="auto" w:sz="4" w:space="0"/>
              <w:left w:val="single" w:color="000000" w:sz="4" w:space="0"/>
              <w:bottom w:val="single" w:color="auto" w:sz="4" w:space="0"/>
              <w:right w:val="single" w:color="000000" w:sz="4" w:space="0"/>
            </w:tcBorders>
            <w:noWrap w:val="0"/>
            <w:vAlign w:val="center"/>
          </w:tcPr>
          <w:p w14:paraId="792B5E2E">
            <w:pPr>
              <w:keepNext w:val="0"/>
              <w:keepLines w:val="0"/>
              <w:pageBreakBefore w:val="0"/>
              <w:widowControl/>
              <w:suppressLineNumbers w:val="0"/>
              <w:shd w:val="clear" w:color="auto" w:fill="auto"/>
              <w:kinsoku w:val="0"/>
              <w:wordWrap w:val="0"/>
              <w:overflowPunct/>
              <w:topLinePunct w:val="0"/>
              <w:autoSpaceDE/>
              <w:autoSpaceDN/>
              <w:bidi w:val="0"/>
              <w:adjustRightInd/>
              <w:snapToGrid/>
              <w:spacing w:line="360" w:lineRule="auto"/>
              <w:jc w:val="both"/>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下载招标文件的网络地址</w:t>
            </w:r>
          </w:p>
        </w:tc>
        <w:tc>
          <w:tcPr>
            <w:tcW w:w="3440" w:type="dxa"/>
            <w:gridSpan w:val="4"/>
            <w:tcBorders>
              <w:top w:val="single" w:color="auto" w:sz="4" w:space="0"/>
              <w:left w:val="single" w:color="000000" w:sz="4" w:space="0"/>
              <w:bottom w:val="single" w:color="000000" w:sz="4" w:space="0"/>
              <w:right w:val="single" w:color="000000" w:sz="4" w:space="0"/>
            </w:tcBorders>
            <w:noWrap w:val="0"/>
            <w:vAlign w:val="center"/>
          </w:tcPr>
          <w:p w14:paraId="117BED70">
            <w:pPr>
              <w:keepNext w:val="0"/>
              <w:keepLines w:val="0"/>
              <w:pageBreakBefore w:val="0"/>
              <w:widowControl/>
              <w:suppressLineNumbers w:val="0"/>
              <w:shd w:val="clear" w:color="auto" w:fill="auto"/>
              <w:kinsoku w:val="0"/>
              <w:wordWrap w:val="0"/>
              <w:overflowPunct/>
              <w:topLinePunct w:val="0"/>
              <w:autoSpaceDE/>
              <w:autoSpaceDN/>
              <w:bidi w:val="0"/>
              <w:adjustRightInd/>
              <w:snapToGrid/>
              <w:spacing w:line="360" w:lineRule="auto"/>
              <w:jc w:val="both"/>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登录全国公共资源交易平台（广东省·韶关市）（https://ygp.gdzwfw.gov.cn/#/440200/index），或者广东省招标投标监管网（http://zbtb.gd.gov.cn/#/index），使用新建设工程交易系统进行下载招标文件及相关附件。</w:t>
            </w:r>
          </w:p>
        </w:tc>
      </w:tr>
      <w:tr w14:paraId="1954A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jc w:val="center"/>
        </w:trPr>
        <w:tc>
          <w:tcPr>
            <w:tcW w:w="1786" w:type="dxa"/>
            <w:tcBorders>
              <w:top w:val="single" w:color="000000" w:sz="4" w:space="0"/>
              <w:left w:val="single" w:color="000000" w:sz="4" w:space="0"/>
              <w:bottom w:val="single" w:color="000000" w:sz="4" w:space="0"/>
              <w:right w:val="single" w:color="000000" w:sz="4" w:space="0"/>
            </w:tcBorders>
            <w:noWrap w:val="0"/>
            <w:vAlign w:val="center"/>
          </w:tcPr>
          <w:p w14:paraId="1055A430">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获取招标文件</w:t>
            </w:r>
          </w:p>
          <w:p w14:paraId="3972F1AA">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开始时间</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0619E3B2">
            <w:pPr>
              <w:spacing w:line="360" w:lineRule="auto"/>
              <w:jc w:val="center"/>
              <w:rPr>
                <w:rFonts w:hint="eastAsia" w:ascii="宋体" w:hAnsi="宋体" w:eastAsia="宋体" w:cs="宋体"/>
                <w:b w:val="0"/>
                <w:bCs w:val="0"/>
                <w:i w:val="0"/>
                <w:color w:val="auto"/>
                <w:sz w:val="24"/>
                <w:szCs w:val="24"/>
                <w:highlight w:val="none"/>
                <w:u w:val="none"/>
                <w:lang w:val="en-US" w:eastAsia="zh-CN"/>
              </w:rPr>
            </w:pPr>
            <w:r>
              <w:rPr>
                <w:rFonts w:hint="eastAsia" w:ascii="宋体" w:hAnsi="宋体" w:cs="宋体"/>
                <w:color w:val="auto"/>
                <w:kern w:val="2"/>
                <w:sz w:val="24"/>
                <w:szCs w:val="24"/>
                <w:highlight w:val="none"/>
                <w:lang w:val="en-US" w:eastAsia="zh-CN" w:bidi="ar"/>
              </w:rPr>
              <w:t>2026</w:t>
            </w:r>
            <w:r>
              <w:rPr>
                <w:rFonts w:hint="eastAsia" w:ascii="宋体" w:hAnsi="宋体" w:eastAsia="宋体" w:cs="宋体"/>
                <w:color w:val="auto"/>
                <w:kern w:val="2"/>
                <w:sz w:val="24"/>
                <w:szCs w:val="24"/>
                <w:highlight w:val="none"/>
                <w:lang w:val="en-US" w:eastAsia="zh-CN" w:bidi="ar"/>
              </w:rPr>
              <w:t>年</w:t>
            </w:r>
            <w:r>
              <w:rPr>
                <w:rFonts w:hint="eastAsia" w:ascii="宋体" w:hAnsi="宋体" w:cs="宋体"/>
                <w:color w:val="auto"/>
                <w:kern w:val="2"/>
                <w:sz w:val="24"/>
                <w:szCs w:val="24"/>
                <w:highlight w:val="none"/>
                <w:lang w:val="en-US" w:eastAsia="zh-CN" w:bidi="ar"/>
              </w:rPr>
              <w:t>03</w:t>
            </w:r>
            <w:r>
              <w:rPr>
                <w:rFonts w:hint="eastAsia" w:ascii="宋体" w:hAnsi="宋体" w:eastAsia="宋体" w:cs="宋体"/>
                <w:color w:val="auto"/>
                <w:kern w:val="2"/>
                <w:sz w:val="24"/>
                <w:szCs w:val="24"/>
                <w:highlight w:val="none"/>
                <w:lang w:val="en-US" w:eastAsia="zh-CN" w:bidi="ar"/>
              </w:rPr>
              <w:t xml:space="preserve">月  </w:t>
            </w:r>
            <w:r>
              <w:rPr>
                <w:rFonts w:hint="eastAsia" w:ascii="宋体" w:hAnsi="宋体" w:cs="宋体"/>
                <w:color w:val="auto"/>
                <w:kern w:val="2"/>
                <w:sz w:val="24"/>
                <w:szCs w:val="24"/>
                <w:highlight w:val="none"/>
                <w:lang w:val="en-US" w:eastAsia="zh-CN" w:bidi="ar"/>
              </w:rPr>
              <w:t>30</w:t>
            </w:r>
            <w:r>
              <w:rPr>
                <w:rFonts w:hint="eastAsia" w:ascii="宋体" w:hAnsi="宋体" w:eastAsia="宋体" w:cs="宋体"/>
                <w:color w:val="auto"/>
                <w:kern w:val="2"/>
                <w:sz w:val="24"/>
                <w:szCs w:val="24"/>
                <w:highlight w:val="none"/>
                <w:lang w:val="en-US" w:eastAsia="zh-CN" w:bidi="ar"/>
              </w:rPr>
              <w:t>日</w:t>
            </w:r>
            <w:r>
              <w:rPr>
                <w:rFonts w:hint="eastAsia" w:ascii="宋体" w:hAnsi="宋体" w:cs="宋体"/>
                <w:color w:val="auto"/>
                <w:kern w:val="2"/>
                <w:sz w:val="24"/>
                <w:szCs w:val="24"/>
                <w:highlight w:val="none"/>
                <w:lang w:val="en-US" w:eastAsia="zh-CN" w:bidi="ar"/>
              </w:rPr>
              <w:t>17</w:t>
            </w:r>
            <w:r>
              <w:rPr>
                <w:rFonts w:hint="eastAsia" w:ascii="宋体" w:hAnsi="宋体" w:eastAsia="宋体" w:cs="宋体"/>
                <w:color w:val="auto"/>
                <w:kern w:val="2"/>
                <w:sz w:val="24"/>
                <w:szCs w:val="24"/>
                <w:highlight w:val="none"/>
                <w:lang w:val="en-US" w:eastAsia="zh-CN" w:bidi="ar"/>
              </w:rPr>
              <w:t>时</w:t>
            </w:r>
            <w:r>
              <w:rPr>
                <w:rFonts w:hint="eastAsia" w:ascii="宋体" w:hAnsi="宋体" w:cs="宋体"/>
                <w:color w:val="auto"/>
                <w:kern w:val="2"/>
                <w:sz w:val="24"/>
                <w:szCs w:val="24"/>
                <w:highlight w:val="none"/>
                <w:lang w:val="en-US" w:eastAsia="zh-CN" w:bidi="ar"/>
              </w:rPr>
              <w:t>00</w:t>
            </w:r>
            <w:r>
              <w:rPr>
                <w:rFonts w:hint="eastAsia" w:ascii="宋体" w:hAnsi="宋体" w:eastAsia="宋体" w:cs="宋体"/>
                <w:color w:val="auto"/>
                <w:kern w:val="2"/>
                <w:sz w:val="24"/>
                <w:szCs w:val="24"/>
                <w:highlight w:val="none"/>
                <w:lang w:val="en-US" w:eastAsia="zh-CN" w:bidi="ar"/>
              </w:rPr>
              <w:t>分</w:t>
            </w:r>
          </w:p>
        </w:tc>
        <w:tc>
          <w:tcPr>
            <w:tcW w:w="1657" w:type="dxa"/>
            <w:gridSpan w:val="2"/>
            <w:tcBorders>
              <w:top w:val="single" w:color="000000" w:sz="4" w:space="0"/>
              <w:left w:val="single" w:color="000000" w:sz="4" w:space="0"/>
              <w:bottom w:val="single" w:color="000000" w:sz="4" w:space="0"/>
              <w:right w:val="single" w:color="000000" w:sz="4" w:space="0"/>
            </w:tcBorders>
            <w:noWrap w:val="0"/>
            <w:vAlign w:val="center"/>
          </w:tcPr>
          <w:p w14:paraId="13717932">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获取招标文件截止时间</w:t>
            </w:r>
          </w:p>
        </w:tc>
        <w:tc>
          <w:tcPr>
            <w:tcW w:w="4306" w:type="dxa"/>
            <w:gridSpan w:val="6"/>
            <w:tcBorders>
              <w:top w:val="single" w:color="000000" w:sz="4" w:space="0"/>
              <w:left w:val="single" w:color="000000" w:sz="4" w:space="0"/>
              <w:bottom w:val="single" w:color="000000" w:sz="4" w:space="0"/>
              <w:right w:val="single" w:color="000000" w:sz="4" w:space="0"/>
            </w:tcBorders>
            <w:noWrap w:val="0"/>
            <w:vAlign w:val="center"/>
          </w:tcPr>
          <w:p w14:paraId="057070D8">
            <w:pPr>
              <w:keepNext w:val="0"/>
              <w:keepLines w:val="0"/>
              <w:pageBreakBefore w:val="0"/>
              <w:widowControl/>
              <w:suppressLineNumbers w:val="0"/>
              <w:shd w:val="clear" w:color="auto" w:fill="auto"/>
              <w:kinsoku w:val="0"/>
              <w:wordWrap w:val="0"/>
              <w:overflowPunct/>
              <w:topLinePunct w:val="0"/>
              <w:autoSpaceDE/>
              <w:autoSpaceDN/>
              <w:bidi w:val="0"/>
              <w:adjustRightInd/>
              <w:snapToGrid/>
              <w:spacing w:line="360" w:lineRule="auto"/>
              <w:jc w:val="both"/>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cs="宋体"/>
                <w:color w:val="auto"/>
                <w:kern w:val="2"/>
                <w:sz w:val="24"/>
                <w:szCs w:val="24"/>
                <w:highlight w:val="none"/>
                <w:lang w:val="en-US" w:eastAsia="zh-CN" w:bidi="ar"/>
              </w:rPr>
              <w:t>2026</w:t>
            </w:r>
            <w:r>
              <w:rPr>
                <w:rFonts w:hint="eastAsia" w:ascii="宋体" w:hAnsi="宋体" w:eastAsia="宋体" w:cs="宋体"/>
                <w:color w:val="auto"/>
                <w:kern w:val="2"/>
                <w:sz w:val="24"/>
                <w:szCs w:val="24"/>
                <w:highlight w:val="none"/>
                <w:lang w:val="en-US" w:eastAsia="zh-CN" w:bidi="ar"/>
              </w:rPr>
              <w:t>年</w:t>
            </w:r>
            <w:r>
              <w:rPr>
                <w:rFonts w:hint="eastAsia" w:ascii="宋体" w:hAnsi="宋体" w:cs="宋体"/>
                <w:color w:val="auto"/>
                <w:kern w:val="2"/>
                <w:sz w:val="24"/>
                <w:szCs w:val="24"/>
                <w:highlight w:val="none"/>
                <w:lang w:val="en-US" w:eastAsia="zh-CN" w:bidi="ar"/>
              </w:rPr>
              <w:t>04</w:t>
            </w:r>
            <w:r>
              <w:rPr>
                <w:rFonts w:hint="eastAsia" w:ascii="宋体" w:hAnsi="宋体" w:eastAsia="宋体" w:cs="宋体"/>
                <w:color w:val="auto"/>
                <w:kern w:val="2"/>
                <w:sz w:val="24"/>
                <w:szCs w:val="24"/>
                <w:highlight w:val="none"/>
                <w:lang w:val="en-US" w:eastAsia="zh-CN" w:bidi="ar"/>
              </w:rPr>
              <w:t>月</w:t>
            </w:r>
            <w:r>
              <w:rPr>
                <w:rFonts w:hint="eastAsia" w:ascii="宋体" w:hAnsi="宋体" w:cs="宋体"/>
                <w:color w:val="auto"/>
                <w:kern w:val="2"/>
                <w:sz w:val="24"/>
                <w:szCs w:val="24"/>
                <w:highlight w:val="none"/>
                <w:lang w:val="en-US" w:eastAsia="zh-CN" w:bidi="ar"/>
              </w:rPr>
              <w:t>21</w:t>
            </w:r>
            <w:r>
              <w:rPr>
                <w:rFonts w:hint="eastAsia" w:ascii="宋体" w:hAnsi="宋体" w:eastAsia="宋体" w:cs="宋体"/>
                <w:color w:val="auto"/>
                <w:kern w:val="2"/>
                <w:sz w:val="24"/>
                <w:szCs w:val="24"/>
                <w:highlight w:val="none"/>
                <w:lang w:val="en-US" w:eastAsia="zh-CN" w:bidi="ar"/>
              </w:rPr>
              <w:t>日</w:t>
            </w:r>
            <w:r>
              <w:rPr>
                <w:rFonts w:hint="eastAsia" w:ascii="宋体" w:hAnsi="宋体" w:cs="宋体"/>
                <w:color w:val="auto"/>
                <w:kern w:val="2"/>
                <w:sz w:val="24"/>
                <w:szCs w:val="24"/>
                <w:highlight w:val="none"/>
                <w:lang w:val="en-US" w:eastAsia="zh-CN" w:bidi="ar"/>
              </w:rPr>
              <w:t>09</w:t>
            </w:r>
            <w:r>
              <w:rPr>
                <w:rFonts w:hint="eastAsia" w:ascii="宋体" w:hAnsi="宋体" w:eastAsia="宋体" w:cs="宋体"/>
                <w:color w:val="auto"/>
                <w:kern w:val="2"/>
                <w:sz w:val="24"/>
                <w:szCs w:val="24"/>
                <w:highlight w:val="none"/>
                <w:lang w:val="en-US" w:eastAsia="zh-CN" w:bidi="ar"/>
              </w:rPr>
              <w:t>时</w:t>
            </w:r>
            <w:r>
              <w:rPr>
                <w:rFonts w:hint="eastAsia" w:ascii="宋体" w:hAnsi="宋体" w:cs="宋体"/>
                <w:color w:val="auto"/>
                <w:kern w:val="2"/>
                <w:sz w:val="24"/>
                <w:szCs w:val="24"/>
                <w:highlight w:val="none"/>
                <w:lang w:val="en-US" w:eastAsia="zh-CN" w:bidi="ar"/>
              </w:rPr>
              <w:t>30</w:t>
            </w:r>
            <w:r>
              <w:rPr>
                <w:rFonts w:hint="eastAsia" w:ascii="宋体" w:hAnsi="宋体" w:eastAsia="宋体" w:cs="宋体"/>
                <w:color w:val="auto"/>
                <w:kern w:val="2"/>
                <w:sz w:val="24"/>
                <w:szCs w:val="24"/>
                <w:highlight w:val="none"/>
                <w:lang w:val="en-US" w:eastAsia="zh-CN" w:bidi="ar"/>
              </w:rPr>
              <w:t>分</w:t>
            </w:r>
          </w:p>
        </w:tc>
      </w:tr>
      <w:tr w14:paraId="78860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jc w:val="center"/>
        </w:trPr>
        <w:tc>
          <w:tcPr>
            <w:tcW w:w="1786" w:type="dxa"/>
            <w:tcBorders>
              <w:top w:val="single" w:color="000000" w:sz="4" w:space="0"/>
              <w:left w:val="single" w:color="000000" w:sz="4" w:space="0"/>
              <w:bottom w:val="single" w:color="000000" w:sz="4" w:space="0"/>
              <w:right w:val="single" w:color="000000" w:sz="4" w:space="0"/>
            </w:tcBorders>
            <w:noWrap w:val="0"/>
            <w:vAlign w:val="center"/>
          </w:tcPr>
          <w:p w14:paraId="2C8B2987">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递交投标文件</w:t>
            </w:r>
          </w:p>
          <w:p w14:paraId="3EAE2E0E">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截止时间</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32517FA6">
            <w:pPr>
              <w:spacing w:line="360" w:lineRule="auto"/>
              <w:jc w:val="center"/>
              <w:rPr>
                <w:rFonts w:hint="eastAsia" w:ascii="宋体" w:hAnsi="宋体" w:eastAsia="宋体" w:cs="宋体"/>
                <w:b w:val="0"/>
                <w:bCs w:val="0"/>
                <w:i w:val="0"/>
                <w:color w:val="auto"/>
                <w:kern w:val="2"/>
                <w:sz w:val="24"/>
                <w:szCs w:val="24"/>
                <w:highlight w:val="none"/>
                <w:u w:val="none"/>
                <w:lang w:val="en-US" w:eastAsia="zh-CN" w:bidi="ar-SA"/>
              </w:rPr>
            </w:pPr>
            <w:r>
              <w:rPr>
                <w:rFonts w:hint="eastAsia" w:ascii="宋体" w:hAnsi="宋体" w:cs="宋体"/>
                <w:color w:val="auto"/>
                <w:kern w:val="2"/>
                <w:sz w:val="24"/>
                <w:szCs w:val="24"/>
                <w:highlight w:val="none"/>
                <w:lang w:val="en-US" w:eastAsia="zh-CN" w:bidi="ar"/>
              </w:rPr>
              <w:t>2026</w:t>
            </w:r>
            <w:r>
              <w:rPr>
                <w:rFonts w:hint="eastAsia" w:ascii="宋体" w:hAnsi="宋体" w:eastAsia="宋体" w:cs="宋体"/>
                <w:color w:val="auto"/>
                <w:kern w:val="2"/>
                <w:sz w:val="24"/>
                <w:szCs w:val="24"/>
                <w:highlight w:val="none"/>
                <w:lang w:val="en-US" w:eastAsia="zh-CN" w:bidi="ar"/>
              </w:rPr>
              <w:t>年</w:t>
            </w:r>
            <w:r>
              <w:rPr>
                <w:rFonts w:hint="eastAsia" w:ascii="宋体" w:hAnsi="宋体" w:cs="宋体"/>
                <w:color w:val="auto"/>
                <w:kern w:val="2"/>
                <w:sz w:val="24"/>
                <w:szCs w:val="24"/>
                <w:highlight w:val="none"/>
                <w:lang w:val="en-US" w:eastAsia="zh-CN" w:bidi="ar"/>
              </w:rPr>
              <w:t>04</w:t>
            </w:r>
            <w:r>
              <w:rPr>
                <w:rFonts w:hint="eastAsia" w:ascii="宋体" w:hAnsi="宋体" w:eastAsia="宋体" w:cs="宋体"/>
                <w:color w:val="auto"/>
                <w:kern w:val="2"/>
                <w:sz w:val="24"/>
                <w:szCs w:val="24"/>
                <w:highlight w:val="none"/>
                <w:lang w:val="en-US" w:eastAsia="zh-CN" w:bidi="ar"/>
              </w:rPr>
              <w:t>月</w:t>
            </w:r>
            <w:r>
              <w:rPr>
                <w:rFonts w:hint="eastAsia" w:ascii="宋体" w:hAnsi="宋体" w:cs="宋体"/>
                <w:color w:val="auto"/>
                <w:kern w:val="2"/>
                <w:sz w:val="24"/>
                <w:szCs w:val="24"/>
                <w:highlight w:val="none"/>
                <w:lang w:val="en-US" w:eastAsia="zh-CN" w:bidi="ar"/>
              </w:rPr>
              <w:t>21</w:t>
            </w:r>
            <w:r>
              <w:rPr>
                <w:rFonts w:hint="eastAsia" w:ascii="宋体" w:hAnsi="宋体" w:eastAsia="宋体" w:cs="宋体"/>
                <w:color w:val="auto"/>
                <w:kern w:val="2"/>
                <w:sz w:val="24"/>
                <w:szCs w:val="24"/>
                <w:highlight w:val="none"/>
                <w:lang w:val="en-US" w:eastAsia="zh-CN" w:bidi="ar"/>
              </w:rPr>
              <w:t>日</w:t>
            </w:r>
            <w:r>
              <w:rPr>
                <w:rFonts w:hint="eastAsia" w:ascii="宋体" w:hAnsi="宋体" w:cs="宋体"/>
                <w:color w:val="auto"/>
                <w:kern w:val="2"/>
                <w:sz w:val="24"/>
                <w:szCs w:val="24"/>
                <w:highlight w:val="none"/>
                <w:lang w:val="en-US" w:eastAsia="zh-CN" w:bidi="ar"/>
              </w:rPr>
              <w:t>09</w:t>
            </w:r>
            <w:r>
              <w:rPr>
                <w:rFonts w:hint="eastAsia" w:ascii="宋体" w:hAnsi="宋体" w:eastAsia="宋体" w:cs="宋体"/>
                <w:color w:val="auto"/>
                <w:kern w:val="2"/>
                <w:sz w:val="24"/>
                <w:szCs w:val="24"/>
                <w:highlight w:val="none"/>
                <w:lang w:val="en-US" w:eastAsia="zh-CN" w:bidi="ar"/>
              </w:rPr>
              <w:t>时</w:t>
            </w:r>
            <w:r>
              <w:rPr>
                <w:rFonts w:hint="eastAsia" w:ascii="宋体" w:hAnsi="宋体" w:cs="宋体"/>
                <w:color w:val="auto"/>
                <w:kern w:val="2"/>
                <w:sz w:val="24"/>
                <w:szCs w:val="24"/>
                <w:highlight w:val="none"/>
                <w:lang w:val="en-US" w:eastAsia="zh-CN" w:bidi="ar"/>
              </w:rPr>
              <w:t>30</w:t>
            </w:r>
            <w:r>
              <w:rPr>
                <w:rFonts w:hint="eastAsia" w:ascii="宋体" w:hAnsi="宋体" w:eastAsia="宋体" w:cs="宋体"/>
                <w:color w:val="auto"/>
                <w:kern w:val="2"/>
                <w:sz w:val="24"/>
                <w:szCs w:val="24"/>
                <w:highlight w:val="none"/>
                <w:lang w:val="en-US" w:eastAsia="zh-CN" w:bidi="ar"/>
              </w:rPr>
              <w:t>分</w:t>
            </w:r>
          </w:p>
        </w:tc>
        <w:tc>
          <w:tcPr>
            <w:tcW w:w="1657" w:type="dxa"/>
            <w:gridSpan w:val="2"/>
            <w:tcBorders>
              <w:top w:val="single" w:color="000000" w:sz="4" w:space="0"/>
              <w:left w:val="single" w:color="000000" w:sz="4" w:space="0"/>
              <w:bottom w:val="single" w:color="000000" w:sz="4" w:space="0"/>
              <w:right w:val="single" w:color="000000" w:sz="4" w:space="0"/>
            </w:tcBorders>
            <w:noWrap w:val="0"/>
            <w:vAlign w:val="center"/>
          </w:tcPr>
          <w:p w14:paraId="16EAD826">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投标文件</w:t>
            </w:r>
          </w:p>
          <w:p w14:paraId="532DD2D9">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递交方式</w:t>
            </w:r>
          </w:p>
        </w:tc>
        <w:tc>
          <w:tcPr>
            <w:tcW w:w="4306" w:type="dxa"/>
            <w:gridSpan w:val="6"/>
            <w:tcBorders>
              <w:top w:val="single" w:color="000000" w:sz="4" w:space="0"/>
              <w:left w:val="single" w:color="000000" w:sz="4" w:space="0"/>
              <w:bottom w:val="single" w:color="000000" w:sz="4" w:space="0"/>
              <w:right w:val="single" w:color="000000" w:sz="4" w:space="0"/>
            </w:tcBorders>
            <w:noWrap w:val="0"/>
            <w:vAlign w:val="center"/>
          </w:tcPr>
          <w:p w14:paraId="1D938CFE">
            <w:pPr>
              <w:keepNext w:val="0"/>
              <w:keepLines w:val="0"/>
              <w:pageBreakBefore w:val="0"/>
              <w:widowControl/>
              <w:suppressLineNumbers w:val="0"/>
              <w:shd w:val="clear" w:color="auto" w:fill="auto"/>
              <w:kinsoku w:val="0"/>
              <w:wordWrap w:val="0"/>
              <w:overflowPunct/>
              <w:topLinePunct w:val="0"/>
              <w:autoSpaceDE/>
              <w:autoSpaceDN/>
              <w:bidi w:val="0"/>
              <w:adjustRightInd/>
              <w:snapToGrid/>
              <w:spacing w:line="360" w:lineRule="auto"/>
              <w:jc w:val="both"/>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投标人应在招标文件规定的时间前，登录全国公共资源交易平台（广东省·韶关市） 办理网上投标登记手续，并在递交投标文件截止时间前，通过全国公共资源交易平台（广东省·韶关市） 递交电子投标文件,按照全国公共资源交易平台（广东省·韶关市） 关于全流程电子化项目的相关指南进行操作。</w:t>
            </w:r>
          </w:p>
        </w:tc>
      </w:tr>
      <w:tr w14:paraId="37DCD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1786" w:type="dxa"/>
            <w:tcBorders>
              <w:top w:val="single" w:color="000000" w:sz="4" w:space="0"/>
              <w:left w:val="single" w:color="000000" w:sz="4" w:space="0"/>
              <w:bottom w:val="single" w:color="000000" w:sz="4" w:space="0"/>
              <w:right w:val="single" w:color="000000" w:sz="4" w:space="0"/>
            </w:tcBorders>
            <w:noWrap w:val="0"/>
            <w:vAlign w:val="center"/>
          </w:tcPr>
          <w:p w14:paraId="00C19FCD">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开标时间</w:t>
            </w:r>
          </w:p>
        </w:tc>
        <w:tc>
          <w:tcPr>
            <w:tcW w:w="1943" w:type="dxa"/>
            <w:tcBorders>
              <w:top w:val="single" w:color="000000" w:sz="4" w:space="0"/>
              <w:left w:val="single" w:color="000000" w:sz="4" w:space="0"/>
              <w:bottom w:val="single" w:color="000000" w:sz="4" w:space="0"/>
              <w:right w:val="single" w:color="000000" w:sz="4" w:space="0"/>
            </w:tcBorders>
            <w:noWrap w:val="0"/>
            <w:vAlign w:val="center"/>
          </w:tcPr>
          <w:p w14:paraId="5DF22089">
            <w:pPr>
              <w:keepNext w:val="0"/>
              <w:keepLines w:val="0"/>
              <w:widowControl/>
              <w:suppressLineNumbers w:val="0"/>
              <w:spacing w:line="360" w:lineRule="auto"/>
              <w:jc w:val="center"/>
              <w:textAlignment w:val="center"/>
              <w:rPr>
                <w:rFonts w:hint="eastAsia" w:ascii="宋体" w:hAnsi="宋体" w:eastAsia="宋体" w:cs="宋体"/>
                <w:b w:val="0"/>
                <w:bCs w:val="0"/>
                <w:i w:val="0"/>
                <w:color w:val="auto"/>
                <w:kern w:val="2"/>
                <w:sz w:val="24"/>
                <w:szCs w:val="24"/>
                <w:highlight w:val="none"/>
                <w:u w:val="none"/>
                <w:lang w:val="en-US" w:eastAsia="zh-CN" w:bidi="ar-SA"/>
              </w:rPr>
            </w:pPr>
            <w:r>
              <w:rPr>
                <w:rFonts w:hint="eastAsia" w:ascii="宋体" w:hAnsi="宋体" w:cs="宋体"/>
                <w:color w:val="auto"/>
                <w:kern w:val="2"/>
                <w:sz w:val="24"/>
                <w:szCs w:val="24"/>
                <w:highlight w:val="none"/>
                <w:lang w:val="en-US" w:eastAsia="zh-CN" w:bidi="ar"/>
              </w:rPr>
              <w:t>2026</w:t>
            </w:r>
            <w:r>
              <w:rPr>
                <w:rFonts w:hint="eastAsia" w:ascii="宋体" w:hAnsi="宋体" w:eastAsia="宋体" w:cs="宋体"/>
                <w:color w:val="auto"/>
                <w:kern w:val="2"/>
                <w:sz w:val="24"/>
                <w:szCs w:val="24"/>
                <w:highlight w:val="none"/>
                <w:lang w:val="en-US" w:eastAsia="zh-CN" w:bidi="ar"/>
              </w:rPr>
              <w:t>年</w:t>
            </w:r>
            <w:r>
              <w:rPr>
                <w:rFonts w:hint="eastAsia" w:ascii="宋体" w:hAnsi="宋体" w:cs="宋体"/>
                <w:color w:val="auto"/>
                <w:kern w:val="2"/>
                <w:sz w:val="24"/>
                <w:szCs w:val="24"/>
                <w:highlight w:val="none"/>
                <w:lang w:val="en-US" w:eastAsia="zh-CN" w:bidi="ar"/>
              </w:rPr>
              <w:t>04</w:t>
            </w:r>
            <w:r>
              <w:rPr>
                <w:rFonts w:hint="eastAsia" w:ascii="宋体" w:hAnsi="宋体" w:eastAsia="宋体" w:cs="宋体"/>
                <w:color w:val="auto"/>
                <w:kern w:val="2"/>
                <w:sz w:val="24"/>
                <w:szCs w:val="24"/>
                <w:highlight w:val="none"/>
                <w:lang w:val="en-US" w:eastAsia="zh-CN" w:bidi="ar"/>
              </w:rPr>
              <w:t>月</w:t>
            </w:r>
            <w:r>
              <w:rPr>
                <w:rFonts w:hint="eastAsia" w:ascii="宋体" w:hAnsi="宋体" w:cs="宋体"/>
                <w:color w:val="auto"/>
                <w:kern w:val="2"/>
                <w:sz w:val="24"/>
                <w:szCs w:val="24"/>
                <w:highlight w:val="none"/>
                <w:lang w:val="en-US" w:eastAsia="zh-CN" w:bidi="ar"/>
              </w:rPr>
              <w:t>21</w:t>
            </w:r>
            <w:r>
              <w:rPr>
                <w:rFonts w:hint="eastAsia" w:ascii="宋体" w:hAnsi="宋体" w:eastAsia="宋体" w:cs="宋体"/>
                <w:color w:val="auto"/>
                <w:kern w:val="2"/>
                <w:sz w:val="24"/>
                <w:szCs w:val="24"/>
                <w:highlight w:val="none"/>
                <w:lang w:val="en-US" w:eastAsia="zh-CN" w:bidi="ar"/>
              </w:rPr>
              <w:t>日</w:t>
            </w:r>
            <w:r>
              <w:rPr>
                <w:rFonts w:hint="eastAsia" w:ascii="宋体" w:hAnsi="宋体" w:cs="宋体"/>
                <w:color w:val="auto"/>
                <w:kern w:val="2"/>
                <w:sz w:val="24"/>
                <w:szCs w:val="24"/>
                <w:highlight w:val="none"/>
                <w:lang w:val="en-US" w:eastAsia="zh-CN" w:bidi="ar"/>
              </w:rPr>
              <w:t>09</w:t>
            </w:r>
            <w:r>
              <w:rPr>
                <w:rFonts w:hint="eastAsia" w:ascii="宋体" w:hAnsi="宋体" w:eastAsia="宋体" w:cs="宋体"/>
                <w:color w:val="auto"/>
                <w:kern w:val="2"/>
                <w:sz w:val="24"/>
                <w:szCs w:val="24"/>
                <w:highlight w:val="none"/>
                <w:lang w:val="en-US" w:eastAsia="zh-CN" w:bidi="ar"/>
              </w:rPr>
              <w:t>时</w:t>
            </w:r>
            <w:r>
              <w:rPr>
                <w:rFonts w:hint="eastAsia" w:ascii="宋体" w:hAnsi="宋体" w:cs="宋体"/>
                <w:color w:val="auto"/>
                <w:kern w:val="2"/>
                <w:sz w:val="24"/>
                <w:szCs w:val="24"/>
                <w:highlight w:val="none"/>
                <w:lang w:val="en-US" w:eastAsia="zh-CN" w:bidi="ar"/>
              </w:rPr>
              <w:t>30</w:t>
            </w:r>
            <w:r>
              <w:rPr>
                <w:rFonts w:hint="eastAsia" w:ascii="宋体" w:hAnsi="宋体" w:eastAsia="宋体" w:cs="宋体"/>
                <w:color w:val="auto"/>
                <w:kern w:val="2"/>
                <w:sz w:val="24"/>
                <w:szCs w:val="24"/>
                <w:highlight w:val="none"/>
                <w:lang w:val="en-US" w:eastAsia="zh-CN" w:bidi="ar"/>
              </w:rPr>
              <w:t>分</w:t>
            </w:r>
          </w:p>
        </w:tc>
        <w:tc>
          <w:tcPr>
            <w:tcW w:w="1657" w:type="dxa"/>
            <w:gridSpan w:val="2"/>
            <w:tcBorders>
              <w:top w:val="single" w:color="000000" w:sz="4" w:space="0"/>
              <w:left w:val="single" w:color="000000" w:sz="4" w:space="0"/>
              <w:bottom w:val="single" w:color="000000" w:sz="4" w:space="0"/>
              <w:right w:val="single" w:color="000000" w:sz="4" w:space="0"/>
            </w:tcBorders>
            <w:noWrap w:val="0"/>
            <w:vAlign w:val="center"/>
          </w:tcPr>
          <w:p w14:paraId="239FFE1A">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开标地点</w:t>
            </w:r>
          </w:p>
        </w:tc>
        <w:tc>
          <w:tcPr>
            <w:tcW w:w="4306" w:type="dxa"/>
            <w:gridSpan w:val="6"/>
            <w:tcBorders>
              <w:top w:val="single" w:color="000000" w:sz="4" w:space="0"/>
              <w:left w:val="single" w:color="000000" w:sz="4" w:space="0"/>
              <w:bottom w:val="single" w:color="000000" w:sz="4" w:space="0"/>
              <w:right w:val="single" w:color="000000" w:sz="4" w:space="0"/>
            </w:tcBorders>
            <w:noWrap w:val="0"/>
            <w:vAlign w:val="center"/>
          </w:tcPr>
          <w:p w14:paraId="068D9C14">
            <w:pPr>
              <w:keepNext w:val="0"/>
              <w:keepLines w:val="0"/>
              <w:pageBreakBefore w:val="0"/>
              <w:widowControl/>
              <w:suppressLineNumbers w:val="0"/>
              <w:shd w:val="clear" w:color="auto" w:fill="auto"/>
              <w:kinsoku w:val="0"/>
              <w:wordWrap w:val="0"/>
              <w:overflowPunct/>
              <w:topLinePunct w:val="0"/>
              <w:autoSpaceDE/>
              <w:autoSpaceDN/>
              <w:bidi w:val="0"/>
              <w:adjustRightInd/>
              <w:snapToGrid/>
              <w:spacing w:line="360" w:lineRule="auto"/>
              <w:jc w:val="both"/>
              <w:textAlignment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韶关市公共资源交易中心（地址：广东省韶关市武江区西联镇），具体开标室以当日现场通知为准。</w:t>
            </w:r>
          </w:p>
        </w:tc>
      </w:tr>
      <w:tr w14:paraId="31329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jc w:val="center"/>
        </w:trPr>
        <w:tc>
          <w:tcPr>
            <w:tcW w:w="1786" w:type="dxa"/>
            <w:tcBorders>
              <w:top w:val="single" w:color="000000" w:sz="4" w:space="0"/>
              <w:left w:val="single" w:color="000000" w:sz="4" w:space="0"/>
              <w:bottom w:val="single" w:color="000000" w:sz="4" w:space="0"/>
              <w:right w:val="single" w:color="000000" w:sz="4" w:space="0"/>
            </w:tcBorders>
            <w:noWrap w:val="0"/>
            <w:vAlign w:val="center"/>
          </w:tcPr>
          <w:p w14:paraId="1774E36D">
            <w:pPr>
              <w:keepNext w:val="0"/>
              <w:keepLines w:val="0"/>
              <w:widowControl/>
              <w:suppressLineNumbers w:val="0"/>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发布公告媒介</w:t>
            </w:r>
          </w:p>
        </w:tc>
        <w:tc>
          <w:tcPr>
            <w:tcW w:w="7906" w:type="dxa"/>
            <w:gridSpan w:val="9"/>
            <w:tcBorders>
              <w:top w:val="single" w:color="000000" w:sz="4" w:space="0"/>
              <w:left w:val="single" w:color="000000" w:sz="4" w:space="0"/>
              <w:bottom w:val="single" w:color="000000" w:sz="4" w:space="0"/>
              <w:right w:val="single" w:color="000000" w:sz="4" w:space="0"/>
            </w:tcBorders>
            <w:noWrap w:val="0"/>
            <w:vAlign w:val="center"/>
          </w:tcPr>
          <w:p w14:paraId="69CC3FDB">
            <w:pPr>
              <w:keepNext w:val="0"/>
              <w:keepLines w:val="0"/>
              <w:widowControl/>
              <w:suppressLineNumbers w:val="0"/>
              <w:spacing w:line="360" w:lineRule="auto"/>
              <w:jc w:val="both"/>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1.全国公共资源交易平台（广东省·韶关市）</w:t>
            </w:r>
          </w:p>
          <w:p w14:paraId="5E72452D">
            <w:pPr>
              <w:keepNext w:val="0"/>
              <w:keepLines w:val="0"/>
              <w:widowControl/>
              <w:suppressLineNumbers w:val="0"/>
              <w:spacing w:line="360" w:lineRule="auto"/>
              <w:jc w:val="both"/>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（https://ygp.gdzwfw.gov.cn/#/440200/index）</w:t>
            </w:r>
          </w:p>
          <w:p w14:paraId="1E4FB745">
            <w:pPr>
              <w:keepNext w:val="0"/>
              <w:keepLines w:val="0"/>
              <w:widowControl/>
              <w:suppressLineNumbers w:val="0"/>
              <w:spacing w:line="360" w:lineRule="auto"/>
              <w:jc w:val="both"/>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2.广东省招标投标监管网（http://zbtb.gd.gov.cn/#/index）</w:t>
            </w:r>
          </w:p>
        </w:tc>
      </w:tr>
      <w:tr w14:paraId="4F4BE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786" w:type="dxa"/>
            <w:tcBorders>
              <w:top w:val="single" w:color="000000" w:sz="4" w:space="0"/>
              <w:left w:val="single" w:color="000000" w:sz="4" w:space="0"/>
              <w:bottom w:val="single" w:color="000000" w:sz="4" w:space="0"/>
              <w:right w:val="single" w:color="000000" w:sz="4" w:space="0"/>
            </w:tcBorders>
            <w:noWrap w:val="0"/>
            <w:vAlign w:val="center"/>
          </w:tcPr>
          <w:p w14:paraId="6278EE8A">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招标人</w:t>
            </w:r>
          </w:p>
        </w:tc>
        <w:tc>
          <w:tcPr>
            <w:tcW w:w="3600" w:type="dxa"/>
            <w:gridSpan w:val="3"/>
            <w:tcBorders>
              <w:top w:val="single" w:color="000000" w:sz="4" w:space="0"/>
              <w:left w:val="single" w:color="000000" w:sz="4" w:space="0"/>
              <w:bottom w:val="single" w:color="000000" w:sz="4" w:space="0"/>
              <w:right w:val="single" w:color="000000" w:sz="4" w:space="0"/>
            </w:tcBorders>
            <w:noWrap w:val="0"/>
            <w:vAlign w:val="center"/>
          </w:tcPr>
          <w:p w14:paraId="7A5CC33B">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韶关市武江区江湾镇人民政府</w:t>
            </w:r>
          </w:p>
        </w:tc>
        <w:tc>
          <w:tcPr>
            <w:tcW w:w="1347" w:type="dxa"/>
            <w:gridSpan w:val="3"/>
            <w:tcBorders>
              <w:top w:val="single" w:color="000000" w:sz="4" w:space="0"/>
              <w:left w:val="single" w:color="000000" w:sz="4" w:space="0"/>
              <w:bottom w:val="single" w:color="000000" w:sz="4" w:space="0"/>
              <w:right w:val="single" w:color="auto" w:sz="4" w:space="0"/>
            </w:tcBorders>
            <w:noWrap w:val="0"/>
            <w:vAlign w:val="center"/>
          </w:tcPr>
          <w:p w14:paraId="0A05870E">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联系地址</w:t>
            </w:r>
          </w:p>
        </w:tc>
        <w:tc>
          <w:tcPr>
            <w:tcW w:w="2959" w:type="dxa"/>
            <w:gridSpan w:val="3"/>
            <w:tcBorders>
              <w:top w:val="single" w:color="000000" w:sz="4" w:space="0"/>
              <w:left w:val="single" w:color="auto" w:sz="4" w:space="0"/>
              <w:bottom w:val="single" w:color="000000" w:sz="4" w:space="0"/>
              <w:right w:val="single" w:color="000000" w:sz="4" w:space="0"/>
            </w:tcBorders>
            <w:noWrap w:val="0"/>
            <w:vAlign w:val="center"/>
          </w:tcPr>
          <w:p w14:paraId="038C0317">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韶关市武江区江湾街6号</w:t>
            </w:r>
          </w:p>
        </w:tc>
      </w:tr>
      <w:tr w14:paraId="66F38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786" w:type="dxa"/>
            <w:tcBorders>
              <w:top w:val="single" w:color="000000" w:sz="4" w:space="0"/>
              <w:left w:val="single" w:color="000000" w:sz="4" w:space="0"/>
              <w:bottom w:val="single" w:color="000000" w:sz="4" w:space="0"/>
              <w:right w:val="single" w:color="000000" w:sz="4" w:space="0"/>
            </w:tcBorders>
            <w:noWrap w:val="0"/>
            <w:vAlign w:val="center"/>
          </w:tcPr>
          <w:p w14:paraId="42C1C43E">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招标人联系人</w:t>
            </w:r>
          </w:p>
        </w:tc>
        <w:tc>
          <w:tcPr>
            <w:tcW w:w="3600" w:type="dxa"/>
            <w:gridSpan w:val="3"/>
            <w:tcBorders>
              <w:top w:val="single" w:color="000000" w:sz="4" w:space="0"/>
              <w:left w:val="single" w:color="000000" w:sz="4" w:space="0"/>
              <w:bottom w:val="single" w:color="000000" w:sz="4" w:space="0"/>
              <w:right w:val="single" w:color="000000" w:sz="4" w:space="0"/>
            </w:tcBorders>
            <w:noWrap w:val="0"/>
            <w:vAlign w:val="center"/>
          </w:tcPr>
          <w:p w14:paraId="13D8C5CB">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董工</w:t>
            </w:r>
          </w:p>
        </w:tc>
        <w:tc>
          <w:tcPr>
            <w:tcW w:w="1347" w:type="dxa"/>
            <w:gridSpan w:val="3"/>
            <w:tcBorders>
              <w:top w:val="single" w:color="000000" w:sz="4" w:space="0"/>
              <w:left w:val="single" w:color="000000" w:sz="4" w:space="0"/>
              <w:bottom w:val="single" w:color="000000" w:sz="4" w:space="0"/>
              <w:right w:val="single" w:color="auto" w:sz="4" w:space="0"/>
            </w:tcBorders>
            <w:noWrap w:val="0"/>
            <w:vAlign w:val="center"/>
          </w:tcPr>
          <w:p w14:paraId="28128CDA">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联系电话</w:t>
            </w:r>
          </w:p>
        </w:tc>
        <w:tc>
          <w:tcPr>
            <w:tcW w:w="2959" w:type="dxa"/>
            <w:gridSpan w:val="3"/>
            <w:tcBorders>
              <w:top w:val="single" w:color="000000" w:sz="4" w:space="0"/>
              <w:left w:val="single" w:color="auto" w:sz="4" w:space="0"/>
              <w:bottom w:val="single" w:color="000000" w:sz="4" w:space="0"/>
              <w:right w:val="single" w:color="000000" w:sz="4" w:space="0"/>
            </w:tcBorders>
            <w:noWrap w:val="0"/>
            <w:vAlign w:val="center"/>
          </w:tcPr>
          <w:p w14:paraId="19CFA2C2">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0751-6446388</w:t>
            </w:r>
          </w:p>
        </w:tc>
      </w:tr>
      <w:tr w14:paraId="119DC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786" w:type="dxa"/>
            <w:tcBorders>
              <w:top w:val="single" w:color="000000" w:sz="4" w:space="0"/>
              <w:left w:val="single" w:color="000000" w:sz="4" w:space="0"/>
              <w:bottom w:val="single" w:color="auto" w:sz="4" w:space="0"/>
              <w:right w:val="single" w:color="000000" w:sz="4" w:space="0"/>
            </w:tcBorders>
            <w:noWrap w:val="0"/>
            <w:vAlign w:val="center"/>
          </w:tcPr>
          <w:p w14:paraId="4F14EA10">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招标代理机构</w:t>
            </w:r>
          </w:p>
        </w:tc>
        <w:tc>
          <w:tcPr>
            <w:tcW w:w="3600" w:type="dxa"/>
            <w:gridSpan w:val="3"/>
            <w:tcBorders>
              <w:top w:val="single" w:color="000000" w:sz="4" w:space="0"/>
              <w:left w:val="single" w:color="000000" w:sz="4" w:space="0"/>
              <w:bottom w:val="single" w:color="auto" w:sz="4" w:space="0"/>
              <w:right w:val="single" w:color="000000" w:sz="4" w:space="0"/>
            </w:tcBorders>
            <w:noWrap w:val="0"/>
            <w:vAlign w:val="center"/>
          </w:tcPr>
          <w:p w14:paraId="0211F61D">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广东明正项目管理有限公司</w:t>
            </w:r>
          </w:p>
        </w:tc>
        <w:tc>
          <w:tcPr>
            <w:tcW w:w="1347" w:type="dxa"/>
            <w:gridSpan w:val="3"/>
            <w:tcBorders>
              <w:top w:val="single" w:color="000000" w:sz="4" w:space="0"/>
              <w:left w:val="single" w:color="000000" w:sz="4" w:space="0"/>
              <w:bottom w:val="single" w:color="auto" w:sz="4" w:space="0"/>
              <w:right w:val="single" w:color="auto" w:sz="4" w:space="0"/>
            </w:tcBorders>
            <w:noWrap w:val="0"/>
            <w:vAlign w:val="center"/>
          </w:tcPr>
          <w:p w14:paraId="730EB84E">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联系地址</w:t>
            </w:r>
          </w:p>
        </w:tc>
        <w:tc>
          <w:tcPr>
            <w:tcW w:w="2959" w:type="dxa"/>
            <w:gridSpan w:val="3"/>
            <w:tcBorders>
              <w:top w:val="single" w:color="000000" w:sz="4" w:space="0"/>
              <w:left w:val="single" w:color="auto" w:sz="4" w:space="0"/>
              <w:bottom w:val="single" w:color="auto" w:sz="4" w:space="0"/>
              <w:right w:val="single" w:color="000000" w:sz="4" w:space="0"/>
            </w:tcBorders>
            <w:noWrap w:val="0"/>
            <w:vAlign w:val="center"/>
          </w:tcPr>
          <w:p w14:paraId="7AF91CD8">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韶关市武江区惠民北路428号7楼</w:t>
            </w:r>
          </w:p>
        </w:tc>
      </w:tr>
      <w:tr w14:paraId="0FBA1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1786" w:type="dxa"/>
            <w:tcBorders>
              <w:top w:val="single" w:color="auto" w:sz="4" w:space="0"/>
              <w:left w:val="single" w:color="auto" w:sz="4" w:space="0"/>
              <w:bottom w:val="single" w:color="auto" w:sz="4" w:space="0"/>
              <w:right w:val="single" w:color="000000" w:sz="4" w:space="0"/>
            </w:tcBorders>
            <w:noWrap w:val="0"/>
            <w:vAlign w:val="center"/>
          </w:tcPr>
          <w:p w14:paraId="0B1D8610">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招标代理联系人</w:t>
            </w:r>
          </w:p>
        </w:tc>
        <w:tc>
          <w:tcPr>
            <w:tcW w:w="3600" w:type="dxa"/>
            <w:gridSpan w:val="3"/>
            <w:tcBorders>
              <w:top w:val="single" w:color="auto" w:sz="4" w:space="0"/>
              <w:left w:val="single" w:color="000000" w:sz="4" w:space="0"/>
              <w:bottom w:val="single" w:color="auto" w:sz="4" w:space="0"/>
              <w:right w:val="single" w:color="000000" w:sz="4" w:space="0"/>
            </w:tcBorders>
            <w:noWrap w:val="0"/>
            <w:vAlign w:val="center"/>
          </w:tcPr>
          <w:p w14:paraId="3A47B941">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杨工、潘工</w:t>
            </w:r>
          </w:p>
        </w:tc>
        <w:tc>
          <w:tcPr>
            <w:tcW w:w="1347" w:type="dxa"/>
            <w:gridSpan w:val="3"/>
            <w:tcBorders>
              <w:top w:val="single" w:color="auto" w:sz="4" w:space="0"/>
              <w:left w:val="single" w:color="000000" w:sz="4" w:space="0"/>
              <w:bottom w:val="single" w:color="auto" w:sz="4" w:space="0"/>
              <w:right w:val="single" w:color="auto" w:sz="4" w:space="0"/>
            </w:tcBorders>
            <w:noWrap w:val="0"/>
            <w:vAlign w:val="center"/>
          </w:tcPr>
          <w:p w14:paraId="7FCD6946">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联系电话</w:t>
            </w:r>
          </w:p>
        </w:tc>
        <w:tc>
          <w:tcPr>
            <w:tcW w:w="2959" w:type="dxa"/>
            <w:gridSpan w:val="3"/>
            <w:tcBorders>
              <w:top w:val="single" w:color="auto" w:sz="4" w:space="0"/>
              <w:left w:val="single" w:color="auto" w:sz="4" w:space="0"/>
              <w:bottom w:val="single" w:color="auto" w:sz="4" w:space="0"/>
              <w:right w:val="single" w:color="auto" w:sz="4" w:space="0"/>
            </w:tcBorders>
            <w:noWrap w:val="0"/>
            <w:vAlign w:val="center"/>
          </w:tcPr>
          <w:p w14:paraId="4F527B00">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0751-8606998</w:t>
            </w:r>
          </w:p>
        </w:tc>
      </w:tr>
      <w:tr w14:paraId="6732C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786" w:type="dxa"/>
            <w:tcBorders>
              <w:top w:val="single" w:color="auto" w:sz="4" w:space="0"/>
              <w:left w:val="single" w:color="000000" w:sz="4" w:space="0"/>
              <w:bottom w:val="single" w:color="000000" w:sz="4" w:space="0"/>
              <w:right w:val="single" w:color="000000" w:sz="4" w:space="0"/>
            </w:tcBorders>
            <w:noWrap w:val="0"/>
            <w:vAlign w:val="center"/>
          </w:tcPr>
          <w:p w14:paraId="59FD7131">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招标投标</w:t>
            </w:r>
          </w:p>
          <w:p w14:paraId="10B00CD2">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sz w:val="24"/>
                <w:szCs w:val="24"/>
                <w:highlight w:val="none"/>
                <w:u w:val="none"/>
              </w:rPr>
            </w:pPr>
            <w:r>
              <w:rPr>
                <w:rFonts w:hint="eastAsia" w:ascii="宋体" w:hAnsi="宋体" w:eastAsia="宋体" w:cs="宋体"/>
                <w:b w:val="0"/>
                <w:bCs w:val="0"/>
                <w:i w:val="0"/>
                <w:color w:val="auto"/>
                <w:kern w:val="0"/>
                <w:sz w:val="24"/>
                <w:szCs w:val="24"/>
                <w:highlight w:val="none"/>
                <w:u w:val="none"/>
                <w:lang w:val="en-US" w:eastAsia="zh-CN" w:bidi="ar"/>
              </w:rPr>
              <w:t>监督机构</w:t>
            </w:r>
          </w:p>
        </w:tc>
        <w:tc>
          <w:tcPr>
            <w:tcW w:w="3600" w:type="dxa"/>
            <w:gridSpan w:val="3"/>
            <w:tcBorders>
              <w:top w:val="single" w:color="auto" w:sz="4" w:space="0"/>
              <w:left w:val="single" w:color="000000" w:sz="4" w:space="0"/>
              <w:bottom w:val="single" w:color="000000" w:sz="4" w:space="0"/>
              <w:right w:val="single" w:color="000000" w:sz="4" w:space="0"/>
            </w:tcBorders>
            <w:noWrap w:val="0"/>
            <w:vAlign w:val="center"/>
          </w:tcPr>
          <w:p w14:paraId="0725B698">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韶关市武江区农业农村局</w:t>
            </w:r>
          </w:p>
        </w:tc>
        <w:tc>
          <w:tcPr>
            <w:tcW w:w="1347" w:type="dxa"/>
            <w:gridSpan w:val="3"/>
            <w:tcBorders>
              <w:top w:val="single" w:color="auto" w:sz="4" w:space="0"/>
              <w:left w:val="single" w:color="000000" w:sz="4" w:space="0"/>
              <w:bottom w:val="single" w:color="000000" w:sz="4" w:space="0"/>
              <w:right w:val="single" w:color="auto" w:sz="4" w:space="0"/>
            </w:tcBorders>
            <w:noWrap w:val="0"/>
            <w:vAlign w:val="center"/>
          </w:tcPr>
          <w:p w14:paraId="5FA4E0C3">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联系电话</w:t>
            </w:r>
          </w:p>
        </w:tc>
        <w:tc>
          <w:tcPr>
            <w:tcW w:w="2959" w:type="dxa"/>
            <w:gridSpan w:val="3"/>
            <w:tcBorders>
              <w:top w:val="single" w:color="auto" w:sz="4" w:space="0"/>
              <w:left w:val="single" w:color="auto" w:sz="4" w:space="0"/>
              <w:bottom w:val="single" w:color="000000" w:sz="4" w:space="0"/>
              <w:right w:val="single" w:color="000000" w:sz="4" w:space="0"/>
            </w:tcBorders>
            <w:noWrap w:val="0"/>
            <w:vAlign w:val="center"/>
          </w:tcPr>
          <w:p w14:paraId="6D245945">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color w:val="auto"/>
                <w:kern w:val="0"/>
                <w:sz w:val="24"/>
                <w:szCs w:val="24"/>
                <w:highlight w:val="none"/>
                <w:lang w:val="en-US" w:eastAsia="zh-CN" w:bidi="ar"/>
              </w:rPr>
              <w:t>0751-8623830</w:t>
            </w:r>
          </w:p>
        </w:tc>
      </w:tr>
      <w:tr w14:paraId="65F64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786" w:type="dxa"/>
            <w:tcBorders>
              <w:top w:val="single" w:color="000000" w:sz="4" w:space="0"/>
              <w:left w:val="single" w:color="000000" w:sz="4" w:space="0"/>
              <w:bottom w:val="single" w:color="000000" w:sz="4" w:space="0"/>
              <w:right w:val="single" w:color="000000" w:sz="4" w:space="0"/>
            </w:tcBorders>
            <w:noWrap w:val="0"/>
            <w:vAlign w:val="center"/>
          </w:tcPr>
          <w:p w14:paraId="2ED8D00B">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其他依法应当</w:t>
            </w:r>
          </w:p>
          <w:p w14:paraId="606CA676">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载明的内容</w:t>
            </w:r>
          </w:p>
        </w:tc>
        <w:tc>
          <w:tcPr>
            <w:tcW w:w="7906" w:type="dxa"/>
            <w:gridSpan w:val="9"/>
            <w:tcBorders>
              <w:top w:val="single" w:color="000000" w:sz="4" w:space="0"/>
              <w:left w:val="single" w:color="000000" w:sz="4" w:space="0"/>
              <w:bottom w:val="single" w:color="000000" w:sz="4" w:space="0"/>
              <w:right w:val="single" w:color="000000" w:sz="4" w:space="0"/>
            </w:tcBorders>
            <w:noWrap w:val="0"/>
            <w:vAlign w:val="center"/>
          </w:tcPr>
          <w:p w14:paraId="007BAE7D">
            <w:pPr>
              <w:keepNext w:val="0"/>
              <w:keepLines w:val="0"/>
              <w:widowControl/>
              <w:suppressLineNumbers w:val="0"/>
              <w:shd w:val="clear" w:color="auto" w:fill="auto"/>
              <w:spacing w:line="360" w:lineRule="auto"/>
              <w:jc w:val="center"/>
              <w:textAlignment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无</w:t>
            </w:r>
          </w:p>
        </w:tc>
      </w:tr>
    </w:tbl>
    <w:tbl>
      <w:tblPr>
        <w:tblStyle w:val="22"/>
        <w:tblpPr w:leftFromText="180" w:rightFromText="180" w:vertAnchor="text" w:tblpX="12281" w:tblpY="-3840"/>
        <w:tblOverlap w:val="never"/>
        <w:tblW w:w="1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tblGrid>
      <w:tr w14:paraId="250D2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1500" w:type="dxa"/>
          </w:tcPr>
          <w:p w14:paraId="6F264426">
            <w:pPr>
              <w:keepNext w:val="0"/>
              <w:keepLines w:val="0"/>
              <w:suppressLineNumbers w:val="0"/>
              <w:spacing w:before="0" w:beforeAutospacing="0" w:after="0" w:afterAutospacing="0"/>
              <w:ind w:left="0" w:right="0"/>
              <w:rPr>
                <w:rFonts w:hint="eastAsia" w:ascii="宋体" w:hAnsi="宋体" w:eastAsia="宋体" w:cs="宋体"/>
                <w:color w:val="auto"/>
                <w:vertAlign w:val="baseline"/>
                <w:lang w:val="en-US" w:eastAsia="zh-CN"/>
              </w:rPr>
            </w:pPr>
          </w:p>
        </w:tc>
      </w:tr>
    </w:tbl>
    <w:p w14:paraId="5FE3C5EF">
      <w:pPr>
        <w:rPr>
          <w:rFonts w:hint="eastAsia" w:ascii="宋体" w:hAnsi="宋体" w:eastAsia="宋体" w:cs="宋体"/>
          <w:color w:val="auto"/>
          <w:lang w:val="en-US" w:eastAsia="zh-CN"/>
        </w:rPr>
      </w:pPr>
    </w:p>
    <w:p w14:paraId="5DC1B335">
      <w:pPr>
        <w:pStyle w:val="2"/>
        <w:keepLines w:val="0"/>
        <w:pageBreakBefore w:val="0"/>
        <w:shd w:val="clear" w:color="auto" w:fill="auto"/>
        <w:kinsoku/>
        <w:wordWrap/>
        <w:overflowPunct/>
        <w:topLinePunct w:val="0"/>
        <w:autoSpaceDE/>
        <w:autoSpaceDN/>
        <w:bidi w:val="0"/>
        <w:adjustRightInd/>
        <w:snapToGrid/>
        <w:spacing w:line="360" w:lineRule="exact"/>
        <w:ind w:left="0" w:firstLine="0"/>
        <w:jc w:val="center"/>
        <w:textAlignment w:val="auto"/>
        <w:rPr>
          <w:rFonts w:hint="eastAsia" w:ascii="宋体" w:hAnsi="宋体" w:eastAsia="宋体" w:cs="宋体"/>
          <w:color w:val="auto"/>
          <w:sz w:val="32"/>
          <w:szCs w:val="32"/>
          <w:highlight w:val="none"/>
        </w:rPr>
      </w:pPr>
      <w:bookmarkStart w:id="4" w:name="_Toc28710"/>
      <w:r>
        <w:rPr>
          <w:rFonts w:hint="eastAsia" w:ascii="宋体" w:hAnsi="宋体" w:eastAsia="宋体" w:cs="宋体"/>
          <w:color w:val="auto"/>
          <w:sz w:val="32"/>
          <w:szCs w:val="32"/>
          <w:highlight w:val="none"/>
        </w:rPr>
        <w:t>第二章</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投标人须知</w:t>
      </w:r>
      <w:bookmarkEnd w:id="4"/>
    </w:p>
    <w:p w14:paraId="647D5E21">
      <w:pPr>
        <w:pStyle w:val="3"/>
        <w:bidi w:val="0"/>
        <w:ind w:left="0" w:leftChars="0" w:firstLine="0" w:firstLineChars="0"/>
        <w:rPr>
          <w:rFonts w:hint="eastAsia" w:ascii="宋体" w:hAnsi="宋体" w:eastAsia="宋体" w:cs="宋体"/>
          <w:color w:val="auto"/>
          <w:lang w:val="en-US" w:eastAsia="zh-CN"/>
        </w:rPr>
      </w:pPr>
      <w:bookmarkStart w:id="5" w:name="_Toc8081"/>
      <w:r>
        <w:rPr>
          <w:rFonts w:hint="eastAsia" w:ascii="宋体" w:hAnsi="宋体" w:eastAsia="宋体" w:cs="宋体"/>
          <w:color w:val="auto"/>
          <w:lang w:val="en-US" w:eastAsia="zh-CN"/>
        </w:rPr>
        <w:t>一、投标人须知前附表</w:t>
      </w:r>
      <w:bookmarkEnd w:id="5"/>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460"/>
        <w:gridCol w:w="1258"/>
        <w:gridCol w:w="7049"/>
      </w:tblGrid>
      <w:tr w14:paraId="4F567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1" w:type="pct"/>
            <w:noWrap w:val="0"/>
            <w:vAlign w:val="center"/>
          </w:tcPr>
          <w:p w14:paraId="5FED40A3">
            <w:pPr>
              <w:keepNext w:val="0"/>
              <w:keepLines w:val="0"/>
              <w:pageBreakBefore w:val="0"/>
              <w:shd w:val="clear" w:color="auto" w:fill="auto"/>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871" w:type="pct"/>
            <w:gridSpan w:val="2"/>
            <w:noWrap w:val="0"/>
            <w:vAlign w:val="center"/>
          </w:tcPr>
          <w:p w14:paraId="0F4A5E39">
            <w:pPr>
              <w:keepNext w:val="0"/>
              <w:keepLines w:val="0"/>
              <w:pageBreakBefore w:val="0"/>
              <w:shd w:val="clear" w:color="auto" w:fill="auto"/>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条款内容</w:t>
            </w:r>
          </w:p>
        </w:tc>
        <w:tc>
          <w:tcPr>
            <w:tcW w:w="3576" w:type="pct"/>
            <w:noWrap w:val="0"/>
            <w:vAlign w:val="center"/>
          </w:tcPr>
          <w:p w14:paraId="0CA19DA6">
            <w:pPr>
              <w:keepNext w:val="0"/>
              <w:keepLines w:val="0"/>
              <w:pageBreakBefore w:val="0"/>
              <w:shd w:val="clear" w:color="auto" w:fill="auto"/>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编列内容</w:t>
            </w:r>
          </w:p>
        </w:tc>
      </w:tr>
      <w:tr w14:paraId="0FE67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1" w:type="pct"/>
            <w:noWrap w:val="0"/>
            <w:vAlign w:val="center"/>
          </w:tcPr>
          <w:p w14:paraId="2EDF4379">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p>
        </w:tc>
        <w:tc>
          <w:tcPr>
            <w:tcW w:w="871" w:type="pct"/>
            <w:gridSpan w:val="2"/>
            <w:noWrap w:val="0"/>
            <w:vAlign w:val="center"/>
          </w:tcPr>
          <w:p w14:paraId="0247E8D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建设单位</w:t>
            </w:r>
          </w:p>
          <w:p w14:paraId="00B508A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（项目业主）</w:t>
            </w:r>
          </w:p>
        </w:tc>
        <w:tc>
          <w:tcPr>
            <w:tcW w:w="3576" w:type="pct"/>
            <w:noWrap w:val="0"/>
            <w:vAlign w:val="center"/>
          </w:tcPr>
          <w:p w14:paraId="471FFC15">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i w:val="0"/>
                <w:iCs w:val="0"/>
                <w:caps w:val="0"/>
                <w:color w:val="auto"/>
                <w:spacing w:val="0"/>
                <w:sz w:val="24"/>
                <w:szCs w:val="24"/>
                <w:highlight w:val="none"/>
                <w:lang w:eastAsia="zh-CN"/>
              </w:rPr>
              <w:t>韶关市武江区江湾镇人民政府</w:t>
            </w:r>
          </w:p>
        </w:tc>
      </w:tr>
      <w:tr w14:paraId="7D5D8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551" w:type="pct"/>
            <w:noWrap w:val="0"/>
            <w:vAlign w:val="center"/>
          </w:tcPr>
          <w:p w14:paraId="2308D8C3">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871" w:type="pct"/>
            <w:gridSpan w:val="2"/>
            <w:noWrap w:val="0"/>
            <w:vAlign w:val="center"/>
          </w:tcPr>
          <w:p w14:paraId="7BC2380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招标人</w:t>
            </w:r>
          </w:p>
        </w:tc>
        <w:tc>
          <w:tcPr>
            <w:tcW w:w="3576" w:type="pct"/>
            <w:noWrap w:val="0"/>
            <w:vAlign w:val="center"/>
          </w:tcPr>
          <w:p w14:paraId="70593A60">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i w:val="0"/>
                <w:iCs w:val="0"/>
                <w:caps w:val="0"/>
                <w:color w:val="auto"/>
                <w:spacing w:val="0"/>
                <w:sz w:val="24"/>
                <w:szCs w:val="24"/>
                <w:highlight w:val="none"/>
                <w:lang w:eastAsia="zh-CN"/>
              </w:rPr>
              <w:t>韶关市武江区江湾镇人民政府</w:t>
            </w:r>
          </w:p>
        </w:tc>
      </w:tr>
      <w:tr w14:paraId="024E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51" w:type="pct"/>
            <w:noWrap w:val="0"/>
            <w:vAlign w:val="center"/>
          </w:tcPr>
          <w:p w14:paraId="58046597">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p>
        </w:tc>
        <w:tc>
          <w:tcPr>
            <w:tcW w:w="871" w:type="pct"/>
            <w:gridSpan w:val="2"/>
            <w:noWrap w:val="0"/>
            <w:vAlign w:val="center"/>
          </w:tcPr>
          <w:p w14:paraId="02FDC4D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招标代理机构</w:t>
            </w:r>
          </w:p>
        </w:tc>
        <w:tc>
          <w:tcPr>
            <w:tcW w:w="3576" w:type="pct"/>
            <w:noWrap w:val="0"/>
            <w:vAlign w:val="center"/>
          </w:tcPr>
          <w:p w14:paraId="192B3E07">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rPr>
            </w:pPr>
            <w:r>
              <w:rPr>
                <w:rFonts w:hint="eastAsia" w:ascii="宋体" w:hAnsi="宋体" w:eastAsia="宋体" w:cs="宋体"/>
                <w:i w:val="0"/>
                <w:color w:val="auto"/>
                <w:sz w:val="24"/>
                <w:szCs w:val="24"/>
                <w:highlight w:val="none"/>
                <w:u w:val="none"/>
                <w:lang w:val="en-US" w:eastAsia="zh-CN"/>
              </w:rPr>
              <w:t>广东明正项目管理有限公司</w:t>
            </w:r>
          </w:p>
        </w:tc>
      </w:tr>
      <w:tr w14:paraId="37A4E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51" w:type="pct"/>
            <w:noWrap w:val="0"/>
            <w:vAlign w:val="center"/>
          </w:tcPr>
          <w:p w14:paraId="57F9FFF3">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p>
        </w:tc>
        <w:tc>
          <w:tcPr>
            <w:tcW w:w="871" w:type="pct"/>
            <w:gridSpan w:val="2"/>
            <w:noWrap w:val="0"/>
            <w:vAlign w:val="center"/>
          </w:tcPr>
          <w:p w14:paraId="4A15821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招标项目名称</w:t>
            </w:r>
          </w:p>
        </w:tc>
        <w:tc>
          <w:tcPr>
            <w:tcW w:w="3576" w:type="pct"/>
            <w:noWrap w:val="0"/>
            <w:vAlign w:val="center"/>
          </w:tcPr>
          <w:p w14:paraId="6C5887B8">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i w:val="0"/>
                <w:iCs w:val="0"/>
                <w:caps w:val="0"/>
                <w:color w:val="auto"/>
                <w:spacing w:val="0"/>
                <w:sz w:val="24"/>
                <w:szCs w:val="24"/>
                <w:highlight w:val="none"/>
                <w:lang w:eastAsia="zh-CN"/>
              </w:rPr>
              <w:t>广东省韶关市武江区农村污水处理设施建设项目-武江区农村生活污水处理设施提质增效项目-武江区江湾镇胡屋村委、瑶族村委生活污水提质增效项目施工</w:t>
            </w:r>
          </w:p>
        </w:tc>
      </w:tr>
      <w:tr w14:paraId="599B6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1" w:type="pct"/>
            <w:noWrap w:val="0"/>
            <w:vAlign w:val="center"/>
          </w:tcPr>
          <w:p w14:paraId="37206FA1">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w:t>
            </w:r>
          </w:p>
        </w:tc>
        <w:tc>
          <w:tcPr>
            <w:tcW w:w="871" w:type="pct"/>
            <w:gridSpan w:val="2"/>
            <w:noWrap w:val="0"/>
            <w:vAlign w:val="center"/>
          </w:tcPr>
          <w:p w14:paraId="534EEFC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项目批准部门及项目批准文号</w:t>
            </w:r>
          </w:p>
        </w:tc>
        <w:tc>
          <w:tcPr>
            <w:tcW w:w="3576" w:type="pct"/>
            <w:noWrap w:val="0"/>
            <w:vAlign w:val="center"/>
          </w:tcPr>
          <w:p w14:paraId="5AABDB1F">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rPr>
            </w:pPr>
            <w:r>
              <w:rPr>
                <w:rFonts w:hint="eastAsia" w:ascii="宋体" w:hAnsi="宋体" w:cs="宋体"/>
                <w:bCs/>
                <w:snapToGrid w:val="0"/>
                <w:color w:val="auto"/>
                <w:kern w:val="0"/>
                <w:sz w:val="24"/>
                <w:szCs w:val="24"/>
                <w:highlight w:val="none"/>
                <w:lang w:val="en-US" w:eastAsia="zh-CN"/>
              </w:rPr>
              <w:t>韶关市武江区发展和改革局</w:t>
            </w:r>
            <w:r>
              <w:rPr>
                <w:rFonts w:hint="eastAsia" w:ascii="宋体" w:hAnsi="宋体" w:eastAsia="宋体" w:cs="宋体"/>
                <w:bCs/>
                <w:snapToGrid w:val="0"/>
                <w:color w:val="auto"/>
                <w:kern w:val="0"/>
                <w:sz w:val="24"/>
                <w:szCs w:val="24"/>
                <w:highlight w:val="none"/>
                <w:lang w:val="en-US" w:eastAsia="zh-CN"/>
              </w:rPr>
              <w:t>、</w:t>
            </w:r>
            <w:r>
              <w:rPr>
                <w:rFonts w:hint="eastAsia" w:ascii="宋体" w:hAnsi="宋体" w:cs="宋体"/>
                <w:bCs/>
                <w:snapToGrid w:val="0"/>
                <w:color w:val="auto"/>
                <w:kern w:val="0"/>
                <w:sz w:val="24"/>
                <w:szCs w:val="24"/>
                <w:highlight w:val="none"/>
                <w:lang w:val="en-US" w:eastAsia="zh-CN"/>
              </w:rPr>
              <w:t>韶武发改投审〔2023〕60号、韶武发改投审〔2026〕7号</w:t>
            </w:r>
          </w:p>
        </w:tc>
      </w:tr>
      <w:tr w14:paraId="52902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51" w:type="pct"/>
            <w:noWrap w:val="0"/>
            <w:vAlign w:val="center"/>
          </w:tcPr>
          <w:p w14:paraId="781FC212">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w:t>
            </w:r>
          </w:p>
        </w:tc>
        <w:tc>
          <w:tcPr>
            <w:tcW w:w="871" w:type="pct"/>
            <w:gridSpan w:val="2"/>
            <w:noWrap w:val="0"/>
            <w:vAlign w:val="center"/>
          </w:tcPr>
          <w:p w14:paraId="5643D53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项目代码</w:t>
            </w:r>
          </w:p>
        </w:tc>
        <w:tc>
          <w:tcPr>
            <w:tcW w:w="3576" w:type="pct"/>
            <w:noWrap w:val="0"/>
            <w:vAlign w:val="center"/>
          </w:tcPr>
          <w:p w14:paraId="2BDF8DC3">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2309-440203-19-01-846143、2601-440203-20-01-104160</w:t>
            </w:r>
          </w:p>
        </w:tc>
      </w:tr>
      <w:tr w14:paraId="2948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551" w:type="pct"/>
            <w:noWrap w:val="0"/>
            <w:vAlign w:val="center"/>
          </w:tcPr>
          <w:p w14:paraId="6FF93BFE">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p>
        </w:tc>
        <w:tc>
          <w:tcPr>
            <w:tcW w:w="871" w:type="pct"/>
            <w:gridSpan w:val="2"/>
            <w:noWrap w:val="0"/>
            <w:vAlign w:val="center"/>
          </w:tcPr>
          <w:p w14:paraId="10080E6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建设地点</w:t>
            </w:r>
          </w:p>
        </w:tc>
        <w:tc>
          <w:tcPr>
            <w:tcW w:w="3576" w:type="pct"/>
            <w:noWrap w:val="0"/>
            <w:vAlign w:val="center"/>
          </w:tcPr>
          <w:p w14:paraId="478DA895">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rPr>
            </w:pPr>
            <w:r>
              <w:rPr>
                <w:rFonts w:hint="eastAsia" w:ascii="宋体" w:hAnsi="宋体" w:cs="宋体"/>
                <w:bCs/>
                <w:snapToGrid w:val="0"/>
                <w:color w:val="auto"/>
                <w:kern w:val="0"/>
                <w:sz w:val="24"/>
                <w:szCs w:val="24"/>
                <w:highlight w:val="none"/>
                <w:lang w:val="en-US" w:eastAsia="zh-CN"/>
              </w:rPr>
              <w:t>武江区江湾镇胡屋村、瑶族村</w:t>
            </w:r>
          </w:p>
        </w:tc>
      </w:tr>
      <w:tr w14:paraId="190BC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551" w:type="pct"/>
            <w:noWrap w:val="0"/>
            <w:vAlign w:val="center"/>
          </w:tcPr>
          <w:p w14:paraId="70086E2E">
            <w:pPr>
              <w:pStyle w:val="18"/>
              <w:keepNext w:val="0"/>
              <w:keepLines w:val="0"/>
              <w:pageBreakBefore w:val="0"/>
              <w:widowControl w:val="0"/>
              <w:shd w:val="clear" w:color="auto" w:fill="auto"/>
              <w:kinsoku/>
              <w:wordWrap/>
              <w:overflowPunct/>
              <w:topLinePunct w:val="0"/>
              <w:autoSpaceDE/>
              <w:autoSpaceDN/>
              <w:bidi w:val="0"/>
              <w:adjustRightInd/>
              <w:snapToGrid/>
              <w:spacing w:before="0" w:beforeLines="0" w:after="0" w:afterLines="0" w:line="240" w:lineRule="auto"/>
              <w:jc w:val="center"/>
              <w:textAlignment w:val="auto"/>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7</w:t>
            </w:r>
          </w:p>
        </w:tc>
        <w:tc>
          <w:tcPr>
            <w:tcW w:w="871" w:type="pct"/>
            <w:gridSpan w:val="2"/>
            <w:noWrap w:val="0"/>
            <w:vAlign w:val="center"/>
          </w:tcPr>
          <w:p w14:paraId="3A50AFA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建设规模</w:t>
            </w:r>
          </w:p>
        </w:tc>
        <w:tc>
          <w:tcPr>
            <w:tcW w:w="3576" w:type="pct"/>
            <w:noWrap w:val="0"/>
            <w:vAlign w:val="center"/>
          </w:tcPr>
          <w:p w14:paraId="374C2F69">
            <w:pPr>
              <w:keepNext w:val="0"/>
              <w:keepLines w:val="0"/>
              <w:widowControl/>
              <w:suppressLineNumbers w:val="0"/>
              <w:shd w:val="clear" w:color="auto" w:fill="auto"/>
              <w:jc w:val="left"/>
              <w:textAlignment w:val="center"/>
              <w:rPr>
                <w:rFonts w:hint="eastAsia" w:ascii="宋体" w:hAnsi="宋体" w:eastAsia="宋体" w:cs="宋体"/>
                <w:color w:val="auto"/>
                <w:sz w:val="24"/>
                <w:szCs w:val="24"/>
                <w:highlight w:val="none"/>
                <w:lang w:val="en-US"/>
              </w:rPr>
            </w:pPr>
            <w:r>
              <w:rPr>
                <w:rFonts w:hint="eastAsia" w:ascii="宋体" w:hAnsi="宋体" w:cs="宋体"/>
                <w:bCs/>
                <w:snapToGrid w:val="0"/>
                <w:color w:val="auto"/>
                <w:kern w:val="0"/>
                <w:sz w:val="24"/>
                <w:szCs w:val="24"/>
                <w:highlight w:val="none"/>
                <w:lang w:val="en-US" w:eastAsia="zh-CN"/>
              </w:rPr>
              <w:t>完善提升江湾镇胡屋村、瑶族村污水收集及处理系统，包括：新建排水沟551米，新建厌氧膜池1座。</w:t>
            </w:r>
          </w:p>
        </w:tc>
      </w:tr>
      <w:tr w14:paraId="6D270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551" w:type="pct"/>
            <w:noWrap w:val="0"/>
            <w:vAlign w:val="center"/>
          </w:tcPr>
          <w:p w14:paraId="6FF77B3D">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w:t>
            </w:r>
          </w:p>
        </w:tc>
        <w:tc>
          <w:tcPr>
            <w:tcW w:w="871" w:type="pct"/>
            <w:gridSpan w:val="2"/>
            <w:noWrap w:val="0"/>
            <w:vAlign w:val="center"/>
          </w:tcPr>
          <w:p w14:paraId="667721F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资金来源情况</w:t>
            </w:r>
          </w:p>
        </w:tc>
        <w:tc>
          <w:tcPr>
            <w:tcW w:w="3576" w:type="pct"/>
            <w:noWrap w:val="0"/>
            <w:vAlign w:val="center"/>
          </w:tcPr>
          <w:p w14:paraId="4489B0B1">
            <w:pPr>
              <w:pStyle w:val="18"/>
              <w:keepNext w:val="0"/>
              <w:keepLines w:val="0"/>
              <w:pageBreakBefore w:val="0"/>
              <w:widowControl w:val="0"/>
              <w:kinsoku/>
              <w:wordWrap/>
              <w:overflowPunct/>
              <w:topLinePunct w:val="0"/>
              <w:autoSpaceDE/>
              <w:autoSpaceDN/>
              <w:bidi w:val="0"/>
              <w:adjustRightInd/>
              <w:snapToGrid/>
              <w:spacing w:before="0" w:beforeLines="0" w:after="0" w:afterLines="0" w:line="360" w:lineRule="auto"/>
              <w:jc w:val="both"/>
              <w:textAlignment w:val="auto"/>
              <w:rPr>
                <w:rFonts w:hint="eastAsia" w:ascii="宋体" w:hAnsi="宋体" w:eastAsia="宋体" w:cs="宋体"/>
                <w:color w:val="auto"/>
                <w:sz w:val="24"/>
                <w:szCs w:val="24"/>
                <w:highlight w:val="none"/>
              </w:rPr>
            </w:pPr>
            <w:r>
              <w:rPr>
                <w:rFonts w:hint="eastAsia" w:cs="宋体"/>
                <w:bCs/>
                <w:snapToGrid w:val="0"/>
                <w:color w:val="auto"/>
                <w:kern w:val="0"/>
                <w:sz w:val="24"/>
                <w:szCs w:val="24"/>
                <w:highlight w:val="none"/>
                <w:lang w:val="en-US" w:eastAsia="zh-CN"/>
              </w:rPr>
              <w:t>区级财政解决</w:t>
            </w:r>
            <w:r>
              <w:rPr>
                <w:rFonts w:hint="eastAsia" w:ascii="宋体" w:hAnsi="宋体" w:eastAsia="宋体" w:cs="宋体"/>
                <w:bCs/>
                <w:snapToGrid w:val="0"/>
                <w:color w:val="auto"/>
                <w:kern w:val="0"/>
                <w:sz w:val="24"/>
                <w:szCs w:val="24"/>
                <w:highlight w:val="none"/>
                <w:lang w:val="en-US" w:eastAsia="zh-CN"/>
              </w:rPr>
              <w:t>。</w:t>
            </w:r>
          </w:p>
        </w:tc>
      </w:tr>
      <w:tr w14:paraId="54B95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551" w:type="pct"/>
            <w:noWrap w:val="0"/>
            <w:vAlign w:val="center"/>
          </w:tcPr>
          <w:p w14:paraId="600BC5A2">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p>
        </w:tc>
        <w:tc>
          <w:tcPr>
            <w:tcW w:w="871" w:type="pct"/>
            <w:gridSpan w:val="2"/>
            <w:noWrap w:val="0"/>
            <w:vAlign w:val="center"/>
          </w:tcPr>
          <w:p w14:paraId="09E5FAC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资金到位情况</w:t>
            </w:r>
          </w:p>
        </w:tc>
        <w:tc>
          <w:tcPr>
            <w:tcW w:w="3576" w:type="pct"/>
            <w:noWrap w:val="0"/>
            <w:vAlign w:val="center"/>
          </w:tcPr>
          <w:p w14:paraId="24227E01">
            <w:pPr>
              <w:pStyle w:val="18"/>
              <w:keepNext w:val="0"/>
              <w:keepLines w:val="0"/>
              <w:pageBreakBefore w:val="0"/>
              <w:kinsoku/>
              <w:wordWrap/>
              <w:overflowPunct/>
              <w:topLinePunct w:val="0"/>
              <w:autoSpaceDE/>
              <w:autoSpaceDN/>
              <w:bidi w:val="0"/>
              <w:adjustRightInd/>
              <w:snapToGrid/>
              <w:spacing w:before="0" w:beforeLines="0" w:after="0" w:afterLines="0" w:line="360" w:lineRule="auto"/>
              <w:jc w:val="both"/>
              <w:textAlignment w:val="auto"/>
              <w:rPr>
                <w:rStyle w:val="24"/>
                <w:rFonts w:hint="eastAsia" w:ascii="宋体" w:hAnsi="宋体" w:eastAsia="宋体" w:cs="宋体"/>
                <w:b w:val="0"/>
                <w:bCs w:val="0"/>
                <w:color w:val="auto"/>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bidi="ar-SA"/>
              </w:rPr>
              <w:t>已落实。</w:t>
            </w:r>
          </w:p>
        </w:tc>
      </w:tr>
      <w:tr w14:paraId="2840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551" w:type="pct"/>
            <w:vMerge w:val="restart"/>
            <w:noWrap w:val="0"/>
            <w:vAlign w:val="center"/>
          </w:tcPr>
          <w:p w14:paraId="07348FCB">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w:t>
            </w:r>
          </w:p>
          <w:p w14:paraId="59D5C16C">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w:t>
            </w:r>
          </w:p>
        </w:tc>
        <w:tc>
          <w:tcPr>
            <w:tcW w:w="233" w:type="pct"/>
            <w:vMerge w:val="restart"/>
            <w:noWrap w:val="0"/>
            <w:vAlign w:val="center"/>
          </w:tcPr>
          <w:p w14:paraId="217F2D04">
            <w:pPr>
              <w:pStyle w:val="18"/>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工程类型及招标范围</w:t>
            </w:r>
          </w:p>
        </w:tc>
        <w:tc>
          <w:tcPr>
            <w:tcW w:w="638" w:type="pct"/>
            <w:noWrap w:val="0"/>
            <w:vAlign w:val="center"/>
          </w:tcPr>
          <w:p w14:paraId="516FABC1">
            <w:pPr>
              <w:pStyle w:val="18"/>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工程类型</w:t>
            </w:r>
          </w:p>
        </w:tc>
        <w:tc>
          <w:tcPr>
            <w:tcW w:w="3576" w:type="pct"/>
            <w:noWrap w:val="0"/>
            <w:vAlign w:val="center"/>
          </w:tcPr>
          <w:p w14:paraId="5ECB5A10">
            <w:pPr>
              <w:pStyle w:val="18"/>
              <w:keepNext w:val="0"/>
              <w:keepLines w:val="0"/>
              <w:pageBreakBefore w:val="0"/>
              <w:overflowPunct/>
              <w:topLinePunct w:val="0"/>
              <w:bidi w:val="0"/>
              <w:spacing w:before="0" w:beforeLines="0" w:after="0" w:afterLines="0" w:line="360" w:lineRule="auto"/>
              <w:jc w:val="both"/>
              <w:textAlignment w:val="auto"/>
              <w:rPr>
                <w:rFonts w:hint="eastAsia" w:ascii="宋体" w:hAnsi="宋体" w:eastAsia="宋体" w:cs="宋体"/>
                <w:bCs/>
                <w:snapToGrid w:val="0"/>
                <w:color w:val="auto"/>
                <w:kern w:val="0"/>
                <w:sz w:val="24"/>
                <w:szCs w:val="24"/>
                <w:highlight w:val="none"/>
                <w:lang w:val="en-US" w:eastAsia="zh-CN" w:bidi="ar-SA"/>
              </w:rPr>
            </w:pPr>
            <w:r>
              <w:rPr>
                <w:rFonts w:hint="eastAsia" w:cs="宋体"/>
                <w:bCs/>
                <w:snapToGrid w:val="0"/>
                <w:color w:val="auto"/>
                <w:kern w:val="0"/>
                <w:sz w:val="24"/>
                <w:szCs w:val="24"/>
                <w:highlight w:val="none"/>
                <w:lang w:val="en-US" w:eastAsia="zh-CN" w:bidi="ar-SA"/>
              </w:rPr>
              <w:t>□</w:t>
            </w:r>
            <w:r>
              <w:rPr>
                <w:rFonts w:hint="eastAsia" w:ascii="宋体" w:hAnsi="宋体" w:eastAsia="宋体" w:cs="宋体"/>
                <w:bCs/>
                <w:snapToGrid w:val="0"/>
                <w:color w:val="auto"/>
                <w:kern w:val="0"/>
                <w:sz w:val="24"/>
                <w:szCs w:val="24"/>
                <w:highlight w:val="none"/>
                <w:lang w:val="en-US" w:eastAsia="zh-CN" w:bidi="ar-SA"/>
              </w:rPr>
              <w:t xml:space="preserve">房屋建筑工程  </w:t>
            </w:r>
            <w:r>
              <w:rPr>
                <w:rFonts w:hint="eastAsia" w:cs="宋体"/>
                <w:bCs/>
                <w:snapToGrid w:val="0"/>
                <w:color w:val="auto"/>
                <w:kern w:val="0"/>
                <w:sz w:val="24"/>
                <w:szCs w:val="24"/>
                <w:highlight w:val="none"/>
                <w:lang w:val="en-US" w:eastAsia="zh-CN" w:bidi="ar-SA"/>
              </w:rPr>
              <w:t>☑</w:t>
            </w:r>
            <w:r>
              <w:rPr>
                <w:rFonts w:hint="eastAsia" w:ascii="宋体" w:hAnsi="宋体" w:eastAsia="宋体" w:cs="宋体"/>
                <w:bCs/>
                <w:snapToGrid w:val="0"/>
                <w:color w:val="auto"/>
                <w:kern w:val="0"/>
                <w:sz w:val="24"/>
                <w:szCs w:val="24"/>
                <w:highlight w:val="none"/>
                <w:lang w:val="en-US" w:eastAsia="zh-CN" w:bidi="ar-SA"/>
              </w:rPr>
              <w:t>市政基础设施工程  □绿化工程（园林）</w:t>
            </w:r>
          </w:p>
          <w:p w14:paraId="5B810317">
            <w:pPr>
              <w:pStyle w:val="18"/>
              <w:keepNext w:val="0"/>
              <w:keepLines w:val="0"/>
              <w:pageBreakBefore w:val="0"/>
              <w:overflowPunct/>
              <w:topLinePunct w:val="0"/>
              <w:bidi w:val="0"/>
              <w:spacing w:before="0" w:beforeLines="0" w:after="0" w:afterLines="0" w:line="360" w:lineRule="auto"/>
              <w:jc w:val="both"/>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□人防工程       □</w:t>
            </w:r>
            <w:r>
              <w:rPr>
                <w:rFonts w:hint="eastAsia" w:cs="宋体"/>
                <w:bCs/>
                <w:snapToGrid w:val="0"/>
                <w:color w:val="auto"/>
                <w:kern w:val="0"/>
                <w:sz w:val="24"/>
                <w:szCs w:val="24"/>
                <w:highlight w:val="none"/>
                <w:lang w:val="en-US" w:eastAsia="zh-CN" w:bidi="ar-SA"/>
              </w:rPr>
              <w:t>其他</w:t>
            </w:r>
            <w:r>
              <w:rPr>
                <w:rFonts w:hint="eastAsia" w:ascii="宋体" w:hAnsi="宋体" w:eastAsia="宋体" w:cs="宋体"/>
                <w:bCs/>
                <w:snapToGrid w:val="0"/>
                <w:color w:val="auto"/>
                <w:kern w:val="0"/>
                <w:sz w:val="24"/>
                <w:szCs w:val="24"/>
                <w:highlight w:val="none"/>
                <w:lang w:val="en-US" w:eastAsia="zh-CN" w:bidi="ar-SA"/>
              </w:rPr>
              <w:t xml:space="preserve"> </w:t>
            </w:r>
            <w:r>
              <w:rPr>
                <w:rFonts w:hint="eastAsia" w:ascii="宋体" w:hAnsi="宋体" w:eastAsia="宋体" w:cs="宋体"/>
                <w:bCs/>
                <w:snapToGrid w:val="0"/>
                <w:color w:val="auto"/>
                <w:kern w:val="0"/>
                <w:sz w:val="24"/>
                <w:szCs w:val="24"/>
                <w:highlight w:val="none"/>
                <w:u w:val="single"/>
                <w:lang w:val="en-US" w:eastAsia="zh-CN" w:bidi="ar-SA"/>
              </w:rPr>
              <w:t xml:space="preserve">      </w:t>
            </w:r>
            <w:r>
              <w:rPr>
                <w:rFonts w:hint="eastAsia" w:ascii="宋体" w:hAnsi="宋体" w:eastAsia="宋体" w:cs="宋体"/>
                <w:bCs/>
                <w:snapToGrid w:val="0"/>
                <w:color w:val="auto"/>
                <w:kern w:val="0"/>
                <w:sz w:val="24"/>
                <w:szCs w:val="24"/>
                <w:highlight w:val="none"/>
                <w:lang w:val="en-US" w:eastAsia="zh-CN" w:bidi="ar-SA"/>
              </w:rPr>
              <w:t>。</w:t>
            </w:r>
          </w:p>
        </w:tc>
      </w:tr>
      <w:tr w14:paraId="1E3A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551" w:type="pct"/>
            <w:vMerge w:val="continue"/>
            <w:noWrap w:val="0"/>
            <w:vAlign w:val="center"/>
          </w:tcPr>
          <w:p w14:paraId="7F33487E">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p>
        </w:tc>
        <w:tc>
          <w:tcPr>
            <w:tcW w:w="233" w:type="pct"/>
            <w:vMerge w:val="continue"/>
            <w:noWrap w:val="0"/>
            <w:vAlign w:val="center"/>
          </w:tcPr>
          <w:p w14:paraId="008FD15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Cs/>
                <w:snapToGrid w:val="0"/>
                <w:color w:val="auto"/>
                <w:kern w:val="0"/>
                <w:sz w:val="24"/>
                <w:szCs w:val="24"/>
                <w:highlight w:val="none"/>
                <w:lang w:val="en-US" w:eastAsia="zh-CN"/>
              </w:rPr>
            </w:pPr>
          </w:p>
        </w:tc>
        <w:tc>
          <w:tcPr>
            <w:tcW w:w="638" w:type="pct"/>
            <w:noWrap w:val="0"/>
            <w:vAlign w:val="center"/>
          </w:tcPr>
          <w:p w14:paraId="703765E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工程建设内容及招标范围（含标段划分）</w:t>
            </w:r>
          </w:p>
        </w:tc>
        <w:tc>
          <w:tcPr>
            <w:tcW w:w="3576" w:type="pct"/>
            <w:noWrap w:val="0"/>
            <w:vAlign w:val="center"/>
          </w:tcPr>
          <w:p w14:paraId="020CE9D9">
            <w:pPr>
              <w:keepNext w:val="0"/>
              <w:keepLines w:val="0"/>
              <w:widowControl/>
              <w:suppressLineNumbers w:val="0"/>
              <w:shd w:val="clear" w:color="auto" w:fill="auto"/>
              <w:spacing w:line="360" w:lineRule="auto"/>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1.主要建设内容：</w:t>
            </w:r>
            <w:r>
              <w:rPr>
                <w:rFonts w:hint="eastAsia" w:ascii="宋体" w:hAnsi="宋体" w:cs="宋体"/>
                <w:bCs/>
                <w:snapToGrid w:val="0"/>
                <w:color w:val="auto"/>
                <w:kern w:val="0"/>
                <w:sz w:val="24"/>
                <w:szCs w:val="24"/>
                <w:highlight w:val="none"/>
                <w:lang w:val="en-US" w:eastAsia="zh-CN"/>
              </w:rPr>
              <w:t>完善提升江湾镇胡屋村、瑶族村污水收集及处理系统，包括：新建排水沟551米，新建厌氧膜池1座。</w:t>
            </w:r>
          </w:p>
          <w:p w14:paraId="031F8B46">
            <w:pPr>
              <w:keepNext w:val="0"/>
              <w:keepLines w:val="0"/>
              <w:widowControl/>
              <w:suppressLineNumbers w:val="0"/>
              <w:shd w:val="clear" w:color="auto" w:fill="auto"/>
              <w:spacing w:line="360" w:lineRule="auto"/>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2.招标范围：按审查合格的施工图纸及工程量清单内容施工。</w:t>
            </w:r>
          </w:p>
          <w:p w14:paraId="7E5BE04B">
            <w:pPr>
              <w:keepNext w:val="0"/>
              <w:keepLines w:val="0"/>
              <w:widowControl/>
              <w:suppressLineNumbers w:val="0"/>
              <w:shd w:val="clear" w:color="auto" w:fill="auto"/>
              <w:spacing w:line="360" w:lineRule="auto"/>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3.标段划分：</w:t>
            </w:r>
            <w:r>
              <w:rPr>
                <w:rFonts w:hint="eastAsia" w:ascii="宋体" w:hAnsi="宋体" w:eastAsia="宋体" w:cs="宋体"/>
                <w:bCs/>
                <w:snapToGrid w:val="0"/>
                <w:color w:val="auto"/>
                <w:kern w:val="0"/>
                <w:sz w:val="24"/>
                <w:szCs w:val="24"/>
                <w:highlight w:val="none"/>
                <w:lang w:val="en-US" w:eastAsia="zh-CN"/>
              </w:rPr>
              <w:tab/>
            </w:r>
            <w:r>
              <w:rPr>
                <w:rFonts w:hint="eastAsia" w:ascii="宋体" w:hAnsi="宋体" w:eastAsia="宋体" w:cs="宋体"/>
                <w:bCs/>
                <w:snapToGrid w:val="0"/>
                <w:color w:val="auto"/>
                <w:kern w:val="0"/>
                <w:sz w:val="24"/>
                <w:szCs w:val="24"/>
                <w:highlight w:val="none"/>
                <w:lang w:val="en-US" w:eastAsia="zh-CN"/>
              </w:rPr>
              <w:t>本招标项目不划分标段。</w:t>
            </w:r>
          </w:p>
        </w:tc>
      </w:tr>
      <w:tr w14:paraId="6728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1" w:type="pct"/>
            <w:noWrap w:val="0"/>
            <w:vAlign w:val="center"/>
          </w:tcPr>
          <w:p w14:paraId="6A69AA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4.1</w:t>
            </w:r>
          </w:p>
        </w:tc>
        <w:tc>
          <w:tcPr>
            <w:tcW w:w="871" w:type="pct"/>
            <w:gridSpan w:val="2"/>
            <w:noWrap w:val="0"/>
            <w:vAlign w:val="center"/>
          </w:tcPr>
          <w:p w14:paraId="1EA912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投标人资格要求</w:t>
            </w:r>
          </w:p>
        </w:tc>
        <w:tc>
          <w:tcPr>
            <w:tcW w:w="3576" w:type="pct"/>
            <w:noWrap w:val="0"/>
            <w:vAlign w:val="center"/>
          </w:tcPr>
          <w:p w14:paraId="518DB6A2">
            <w:pPr>
              <w:keepNext w:val="0"/>
              <w:keepLines w:val="0"/>
              <w:widowControl/>
              <w:suppressLineNumbers w:val="0"/>
              <w:shd w:val="clear" w:color="auto" w:fill="auto"/>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投标人资格要求：</w:t>
            </w:r>
          </w:p>
          <w:p w14:paraId="397E2621">
            <w:pPr>
              <w:keepNext w:val="0"/>
              <w:keepLines w:val="0"/>
              <w:widowControl/>
              <w:suppressLineNumbers w:val="0"/>
              <w:shd w:val="clear" w:color="auto" w:fill="auto"/>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①须持有建设行政主管部门颁发的</w:t>
            </w:r>
            <w:r>
              <w:rPr>
                <w:rFonts w:hint="eastAsia" w:ascii="宋体" w:hAnsi="宋体" w:cs="宋体"/>
                <w:bCs/>
                <w:snapToGrid w:val="0"/>
                <w:color w:val="auto"/>
                <w:kern w:val="0"/>
                <w:sz w:val="24"/>
                <w:szCs w:val="24"/>
                <w:highlight w:val="none"/>
                <w:lang w:val="en-US" w:eastAsia="zh-CN"/>
              </w:rPr>
              <w:t>市政公用工程施工总承包三级以上（含三级）</w:t>
            </w:r>
            <w:r>
              <w:rPr>
                <w:rFonts w:hint="eastAsia" w:ascii="宋体" w:hAnsi="宋体" w:eastAsia="宋体" w:cs="宋体"/>
                <w:bCs/>
                <w:snapToGrid w:val="0"/>
                <w:color w:val="auto"/>
                <w:kern w:val="0"/>
                <w:sz w:val="24"/>
                <w:szCs w:val="24"/>
                <w:highlight w:val="none"/>
                <w:lang w:val="en-US" w:eastAsia="zh-CN"/>
              </w:rPr>
              <w:t>资质证书及安全生产许可证。</w:t>
            </w:r>
          </w:p>
          <w:p w14:paraId="42DD6136">
            <w:pPr>
              <w:keepNext w:val="0"/>
              <w:keepLines w:val="0"/>
              <w:widowControl/>
              <w:suppressLineNumbers w:val="0"/>
              <w:shd w:val="clear" w:color="auto" w:fill="auto"/>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②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0D9F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1" w:type="pct"/>
            <w:noWrap w:val="0"/>
            <w:vAlign w:val="center"/>
          </w:tcPr>
          <w:p w14:paraId="7CFD52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4.2</w:t>
            </w:r>
          </w:p>
        </w:tc>
        <w:tc>
          <w:tcPr>
            <w:tcW w:w="871" w:type="pct"/>
            <w:gridSpan w:val="2"/>
            <w:noWrap w:val="0"/>
            <w:vAlign w:val="center"/>
          </w:tcPr>
          <w:p w14:paraId="393219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是否接受</w:t>
            </w:r>
          </w:p>
          <w:p w14:paraId="7C6FB2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联合体投标</w:t>
            </w:r>
          </w:p>
        </w:tc>
        <w:tc>
          <w:tcPr>
            <w:tcW w:w="3576" w:type="pct"/>
            <w:noWrap w:val="0"/>
            <w:vAlign w:val="center"/>
          </w:tcPr>
          <w:p w14:paraId="573B7EF8">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☑不接受</w:t>
            </w:r>
          </w:p>
          <w:p w14:paraId="0EF051D7">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□接受</w:t>
            </w:r>
          </w:p>
        </w:tc>
      </w:tr>
      <w:tr w14:paraId="286A3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1" w:type="pct"/>
            <w:noWrap w:val="0"/>
            <w:vAlign w:val="center"/>
          </w:tcPr>
          <w:p w14:paraId="2A7608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4.3</w:t>
            </w:r>
          </w:p>
        </w:tc>
        <w:tc>
          <w:tcPr>
            <w:tcW w:w="871" w:type="pct"/>
            <w:gridSpan w:val="2"/>
            <w:noWrap w:val="0"/>
            <w:vAlign w:val="center"/>
          </w:tcPr>
          <w:p w14:paraId="3A4930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相关人员资格要求</w:t>
            </w:r>
          </w:p>
        </w:tc>
        <w:tc>
          <w:tcPr>
            <w:tcW w:w="3576" w:type="pct"/>
            <w:noWrap w:val="0"/>
            <w:vAlign w:val="center"/>
          </w:tcPr>
          <w:p w14:paraId="6F570F60">
            <w:pPr>
              <w:keepNext w:val="0"/>
              <w:keepLines w:val="0"/>
              <w:widowControl/>
              <w:suppressLineNumbers w:val="0"/>
              <w:shd w:val="clear" w:color="auto" w:fill="auto"/>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1.项目负责人资格要求：即</w:t>
            </w:r>
            <w:r>
              <w:rPr>
                <w:rFonts w:hint="eastAsia" w:ascii="宋体" w:hAnsi="宋体" w:cs="宋体"/>
                <w:bCs/>
                <w:snapToGrid w:val="0"/>
                <w:color w:val="auto"/>
                <w:kern w:val="0"/>
                <w:sz w:val="24"/>
                <w:szCs w:val="24"/>
                <w:highlight w:val="none"/>
                <w:lang w:val="en-US" w:eastAsia="zh-CN"/>
              </w:rPr>
              <w:t>项目经理为市政公用工程</w:t>
            </w:r>
            <w:r>
              <w:rPr>
                <w:rFonts w:hint="eastAsia" w:ascii="宋体" w:hAnsi="宋体" w:eastAsia="宋体" w:cs="宋体"/>
                <w:bCs/>
                <w:snapToGrid w:val="0"/>
                <w:color w:val="auto"/>
                <w:kern w:val="0"/>
                <w:sz w:val="24"/>
                <w:szCs w:val="24"/>
                <w:highlight w:val="none"/>
                <w:lang w:val="en-US" w:eastAsia="zh-CN"/>
              </w:rPr>
              <w:t>专业一级或二级注册建造师，应持有住建部门印发的在使用有效期内的有效电子注册证书（根据广东省住房和城乡建设厅（粤建市函〔2023〕469号）文件精神，二级注册建造师可随注册企业在全国范围内执业）。同时均须具备有效安全生产考核合格证明（B证），且未担任其他在施（包括已中标未开工、已开工未竣工、在项目开标时间仍在建筑市场监管平台被“锁定”无法报建的）建设工程项目的项目经理；</w:t>
            </w:r>
          </w:p>
          <w:p w14:paraId="384AFA52">
            <w:pPr>
              <w:keepNext w:val="0"/>
              <w:keepLines w:val="0"/>
              <w:widowControl/>
              <w:suppressLineNumbers w:val="0"/>
              <w:shd w:val="clear" w:color="auto" w:fill="auto"/>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2.项目技术负责人资格要求：须具备</w:t>
            </w:r>
            <w:r>
              <w:rPr>
                <w:rFonts w:hint="eastAsia" w:ascii="宋体" w:hAnsi="宋体" w:cs="宋体"/>
                <w:bCs/>
                <w:snapToGrid w:val="0"/>
                <w:color w:val="auto"/>
                <w:kern w:val="0"/>
                <w:sz w:val="24"/>
                <w:szCs w:val="24"/>
                <w:highlight w:val="none"/>
                <w:lang w:val="en-US" w:eastAsia="zh-CN"/>
              </w:rPr>
              <w:t>市政公用工程</w:t>
            </w:r>
            <w:r>
              <w:rPr>
                <w:rFonts w:hint="eastAsia" w:ascii="宋体" w:hAnsi="宋体" w:eastAsia="宋体" w:cs="宋体"/>
                <w:bCs/>
                <w:snapToGrid w:val="0"/>
                <w:color w:val="auto"/>
                <w:kern w:val="0"/>
                <w:sz w:val="24"/>
                <w:szCs w:val="24"/>
                <w:highlight w:val="none"/>
                <w:lang w:val="en-US" w:eastAsia="zh-CN"/>
              </w:rPr>
              <w:t>相关专业中级以上（含中级）技术职称；</w:t>
            </w:r>
          </w:p>
          <w:p w14:paraId="6448CFD6">
            <w:pPr>
              <w:keepNext w:val="0"/>
              <w:keepLines w:val="0"/>
              <w:widowControl/>
              <w:suppressLineNumbers w:val="0"/>
              <w:shd w:val="clear" w:color="auto" w:fill="auto"/>
              <w:jc w:val="left"/>
              <w:textAlignment w:val="center"/>
              <w:rPr>
                <w:rFonts w:hint="eastAsia" w:ascii="宋体" w:hAnsi="宋体" w:eastAsia="宋体" w:cs="宋体"/>
                <w:bCs/>
                <w:i/>
                <w:i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rPr>
              <w:t>3.项目专职安全员资格要求</w:t>
            </w:r>
            <w:r>
              <w:rPr>
                <w:rFonts w:hint="eastAsia" w:ascii="宋体" w:hAnsi="宋体" w:cs="宋体"/>
                <w:bCs/>
                <w:snapToGrid w:val="0"/>
                <w:color w:val="auto"/>
                <w:kern w:val="0"/>
                <w:sz w:val="24"/>
                <w:szCs w:val="24"/>
                <w:highlight w:val="none"/>
                <w:lang w:val="en-US" w:eastAsia="zh-CN"/>
              </w:rPr>
              <w:t>：须</w:t>
            </w:r>
            <w:r>
              <w:rPr>
                <w:rFonts w:hint="eastAsia" w:ascii="宋体" w:hAnsi="宋体" w:eastAsia="宋体" w:cs="宋体"/>
                <w:bCs/>
                <w:snapToGrid w:val="0"/>
                <w:color w:val="auto"/>
                <w:kern w:val="0"/>
                <w:sz w:val="24"/>
                <w:szCs w:val="24"/>
                <w:highlight w:val="none"/>
                <w:lang w:val="en-US" w:eastAsia="zh-CN"/>
              </w:rPr>
              <w:t>具备有效安全生产考核合格证明（C证），且不少于1人。</w:t>
            </w:r>
          </w:p>
        </w:tc>
      </w:tr>
      <w:tr w14:paraId="5B2AE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1" w:type="pct"/>
            <w:noWrap w:val="0"/>
            <w:vAlign w:val="center"/>
          </w:tcPr>
          <w:p w14:paraId="541A1012">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4</w:t>
            </w:r>
          </w:p>
        </w:tc>
        <w:tc>
          <w:tcPr>
            <w:tcW w:w="871" w:type="pct"/>
            <w:gridSpan w:val="2"/>
            <w:noWrap w:val="0"/>
            <w:vAlign w:val="center"/>
          </w:tcPr>
          <w:p w14:paraId="59F9F3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资格审查方式</w:t>
            </w:r>
          </w:p>
        </w:tc>
        <w:tc>
          <w:tcPr>
            <w:tcW w:w="3576" w:type="pct"/>
            <w:noWrap w:val="0"/>
            <w:vAlign w:val="center"/>
          </w:tcPr>
          <w:p w14:paraId="2AD5CB82">
            <w:pPr>
              <w:keepNext w:val="0"/>
              <w:keepLines w:val="0"/>
              <w:pageBreakBefore w:val="0"/>
              <w:overflowPunct/>
              <w:topLinePunct w:val="0"/>
              <w:bidi w:val="0"/>
              <w:spacing w:line="360" w:lineRule="auto"/>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资格后审</w:t>
            </w:r>
          </w:p>
        </w:tc>
      </w:tr>
      <w:tr w14:paraId="1C6FC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51" w:type="pct"/>
            <w:noWrap w:val="0"/>
            <w:vAlign w:val="center"/>
          </w:tcPr>
          <w:p w14:paraId="5132E32B">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rPr>
              <w:t>.1</w:t>
            </w:r>
            <w:r>
              <w:rPr>
                <w:rFonts w:hint="eastAsia" w:ascii="宋体" w:hAnsi="宋体" w:eastAsia="宋体" w:cs="宋体"/>
                <w:b w:val="0"/>
                <w:bCs/>
                <w:color w:val="auto"/>
                <w:sz w:val="24"/>
                <w:szCs w:val="24"/>
                <w:highlight w:val="none"/>
                <w:lang w:val="en-US" w:eastAsia="zh-CN"/>
              </w:rPr>
              <w:t>5</w:t>
            </w:r>
          </w:p>
          <w:p w14:paraId="03508007">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rPr>
              <w:t>.1</w:t>
            </w:r>
            <w:r>
              <w:rPr>
                <w:rFonts w:hint="eastAsia" w:ascii="宋体" w:hAnsi="宋体" w:eastAsia="宋体" w:cs="宋体"/>
                <w:b w:val="0"/>
                <w:bCs/>
                <w:color w:val="auto"/>
                <w:sz w:val="24"/>
                <w:szCs w:val="24"/>
                <w:highlight w:val="none"/>
                <w:lang w:val="en-US" w:eastAsia="zh-CN"/>
              </w:rPr>
              <w:t>7</w:t>
            </w:r>
          </w:p>
        </w:tc>
        <w:tc>
          <w:tcPr>
            <w:tcW w:w="871" w:type="pct"/>
            <w:gridSpan w:val="2"/>
            <w:noWrap w:val="0"/>
            <w:vAlign w:val="center"/>
          </w:tcPr>
          <w:p w14:paraId="04EBC83C">
            <w:pPr>
              <w:keepNext w:val="0"/>
              <w:keepLines w:val="0"/>
              <w:pageBreakBefore w:val="0"/>
              <w:shd w:val="clear" w:color="auto" w:fill="auto"/>
              <w:kinsoku/>
              <w:wordWrap/>
              <w:overflowPunct/>
              <w:topLinePunct w:val="0"/>
              <w:bidi w:val="0"/>
              <w:adjustRightInd/>
              <w:snapToGrid/>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电子开标评标方式</w:t>
            </w:r>
          </w:p>
        </w:tc>
        <w:tc>
          <w:tcPr>
            <w:tcW w:w="3576" w:type="pct"/>
            <w:noWrap w:val="0"/>
            <w:vAlign w:val="center"/>
          </w:tcPr>
          <w:p w14:paraId="2376B4DE">
            <w:pPr>
              <w:keepNext w:val="0"/>
              <w:keepLines w:val="0"/>
              <w:pageBreakBefore w:val="0"/>
              <w:widowControl w:val="0"/>
              <w:suppressLineNumbers w:val="0"/>
              <w:wordWrap w:val="0"/>
              <w:overflowPunct/>
              <w:topLinePunct w:val="0"/>
              <w:bidi w:val="0"/>
              <w:spacing w:beforeAutospacing="0" w:afterAutospacing="0" w:line="240" w:lineRule="auto"/>
              <w:ind w:right="0" w:right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本项目为韶关市建设工程交易系统全流程电子开标评标定标方式。</w:t>
            </w:r>
          </w:p>
        </w:tc>
      </w:tr>
      <w:tr w14:paraId="2474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51" w:type="pct"/>
            <w:noWrap w:val="0"/>
            <w:vAlign w:val="center"/>
          </w:tcPr>
          <w:p w14:paraId="6D833BAA">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12.1</w:t>
            </w:r>
          </w:p>
        </w:tc>
        <w:tc>
          <w:tcPr>
            <w:tcW w:w="871" w:type="pct"/>
            <w:gridSpan w:val="2"/>
            <w:noWrap w:val="0"/>
            <w:vAlign w:val="center"/>
          </w:tcPr>
          <w:p w14:paraId="6DB470E6">
            <w:pPr>
              <w:keepNext w:val="0"/>
              <w:keepLines w:val="0"/>
              <w:pageBreakBefore w:val="0"/>
              <w:shd w:val="clear" w:color="auto" w:fill="auto"/>
              <w:kinsoku/>
              <w:wordWrap/>
              <w:overflowPunct/>
              <w:topLinePunct w:val="0"/>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承包方式</w:t>
            </w:r>
          </w:p>
        </w:tc>
        <w:tc>
          <w:tcPr>
            <w:tcW w:w="3576" w:type="pct"/>
            <w:noWrap w:val="0"/>
            <w:vAlign w:val="center"/>
          </w:tcPr>
          <w:p w14:paraId="4452A1C7">
            <w:pPr>
              <w:keepNext w:val="0"/>
              <w:keepLines w:val="0"/>
              <w:widowControl/>
              <w:suppressLineNumbers w:val="0"/>
              <w:shd w:val="clear" w:color="auto" w:fill="auto"/>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本招标工程采用单价合同承包方式。</w:t>
            </w:r>
          </w:p>
        </w:tc>
      </w:tr>
      <w:tr w14:paraId="07FF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551" w:type="pct"/>
            <w:noWrap w:val="0"/>
            <w:vAlign w:val="center"/>
          </w:tcPr>
          <w:p w14:paraId="5D5C7BAA">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13.1</w:t>
            </w:r>
          </w:p>
          <w:p w14:paraId="2DD17AF1">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13.3</w:t>
            </w:r>
          </w:p>
        </w:tc>
        <w:tc>
          <w:tcPr>
            <w:tcW w:w="871" w:type="pct"/>
            <w:gridSpan w:val="2"/>
            <w:noWrap w:val="0"/>
            <w:vAlign w:val="center"/>
          </w:tcPr>
          <w:p w14:paraId="423CD2E7">
            <w:pPr>
              <w:keepNext w:val="0"/>
              <w:keepLines w:val="0"/>
              <w:pageBreakBefore w:val="0"/>
              <w:shd w:val="clear" w:color="auto" w:fill="auto"/>
              <w:kinsoku/>
              <w:wordWrap/>
              <w:overflowPunct/>
              <w:topLinePunct w:val="0"/>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质量标准</w:t>
            </w:r>
          </w:p>
        </w:tc>
        <w:tc>
          <w:tcPr>
            <w:tcW w:w="3576" w:type="pct"/>
            <w:noWrap w:val="0"/>
            <w:vAlign w:val="center"/>
          </w:tcPr>
          <w:p w14:paraId="7D6D9C21">
            <w:pPr>
              <w:keepNext w:val="0"/>
              <w:keepLines w:val="0"/>
              <w:widowControl/>
              <w:suppressLineNumbers w:val="0"/>
              <w:shd w:val="clear" w:color="auto" w:fill="auto"/>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本工程验收达到国家合格或以上标准。</w:t>
            </w:r>
          </w:p>
        </w:tc>
      </w:tr>
      <w:tr w14:paraId="3CFD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51" w:type="pct"/>
            <w:noWrap w:val="0"/>
            <w:vAlign w:val="center"/>
          </w:tcPr>
          <w:p w14:paraId="3F0019CE">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13.2</w:t>
            </w:r>
          </w:p>
        </w:tc>
        <w:tc>
          <w:tcPr>
            <w:tcW w:w="871" w:type="pct"/>
            <w:gridSpan w:val="2"/>
            <w:noWrap w:val="0"/>
            <w:vAlign w:val="center"/>
          </w:tcPr>
          <w:p w14:paraId="245D955A">
            <w:pPr>
              <w:keepNext w:val="0"/>
              <w:keepLines w:val="0"/>
              <w:pageBreakBefore w:val="0"/>
              <w:shd w:val="clear" w:color="auto" w:fill="auto"/>
              <w:kinsoku/>
              <w:wordWrap/>
              <w:overflowPunct/>
              <w:topLinePunct w:val="0"/>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工期要求</w:t>
            </w:r>
          </w:p>
        </w:tc>
        <w:tc>
          <w:tcPr>
            <w:tcW w:w="3576" w:type="pct"/>
            <w:noWrap w:val="0"/>
            <w:vAlign w:val="center"/>
          </w:tcPr>
          <w:p w14:paraId="6F332104">
            <w:pPr>
              <w:keepNext w:val="0"/>
              <w:keepLines w:val="0"/>
              <w:widowControl/>
              <w:suppressLineNumbers w:val="0"/>
              <w:shd w:val="clear" w:color="auto" w:fill="auto"/>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本工程施工招标工期为</w:t>
            </w:r>
            <w:r>
              <w:rPr>
                <w:rFonts w:hint="eastAsia" w:ascii="宋体" w:hAnsi="宋体" w:cs="宋体"/>
                <w:bCs/>
                <w:snapToGrid w:val="0"/>
                <w:color w:val="auto"/>
                <w:kern w:val="0"/>
                <w:sz w:val="24"/>
                <w:szCs w:val="24"/>
                <w:highlight w:val="none"/>
                <w:lang w:val="en-US" w:eastAsia="zh-CN"/>
              </w:rPr>
              <w:t>60个日历天</w:t>
            </w:r>
            <w:r>
              <w:rPr>
                <w:rFonts w:hint="eastAsia" w:ascii="宋体" w:hAnsi="宋体" w:eastAsia="宋体" w:cs="宋体"/>
                <w:bCs/>
                <w:snapToGrid w:val="0"/>
                <w:color w:val="auto"/>
                <w:kern w:val="0"/>
                <w:sz w:val="24"/>
                <w:szCs w:val="24"/>
                <w:highlight w:val="none"/>
                <w:lang w:val="en-US" w:eastAsia="zh-CN"/>
              </w:rPr>
              <w:t>。</w:t>
            </w:r>
          </w:p>
        </w:tc>
      </w:tr>
      <w:tr w14:paraId="7534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1" w:type="pct"/>
            <w:noWrap w:val="0"/>
            <w:vAlign w:val="center"/>
          </w:tcPr>
          <w:p w14:paraId="4F2A0ED1">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18</w:t>
            </w:r>
            <w:r>
              <w:rPr>
                <w:rFonts w:hint="eastAsia" w:ascii="宋体" w:hAnsi="宋体" w:eastAsia="宋体" w:cs="宋体"/>
                <w:bCs/>
                <w:color w:val="auto"/>
                <w:sz w:val="24"/>
                <w:szCs w:val="24"/>
                <w:highlight w:val="none"/>
              </w:rPr>
              <w:t>.0</w:t>
            </w:r>
          </w:p>
        </w:tc>
        <w:tc>
          <w:tcPr>
            <w:tcW w:w="871" w:type="pct"/>
            <w:gridSpan w:val="2"/>
            <w:noWrap w:val="0"/>
            <w:vAlign w:val="center"/>
          </w:tcPr>
          <w:p w14:paraId="6835D4EE">
            <w:pPr>
              <w:pStyle w:val="5"/>
              <w:keepNext w:val="0"/>
              <w:keepLines w:val="0"/>
              <w:pageBreakBefore w:val="0"/>
              <w:shd w:val="clear" w:color="auto" w:fill="auto"/>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投标文件编制</w:t>
            </w:r>
            <w:r>
              <w:rPr>
                <w:rFonts w:hint="eastAsia" w:ascii="宋体" w:hAnsi="宋体" w:eastAsia="宋体" w:cs="宋体"/>
                <w:b w:val="0"/>
                <w:bCs w:val="0"/>
                <w:color w:val="auto"/>
                <w:sz w:val="24"/>
                <w:szCs w:val="24"/>
                <w:highlight w:val="none"/>
                <w:lang w:eastAsia="zh-CN"/>
              </w:rPr>
              <w:t>及</w:t>
            </w:r>
            <w:r>
              <w:rPr>
                <w:rFonts w:hint="eastAsia" w:ascii="宋体" w:hAnsi="宋体" w:eastAsia="宋体" w:cs="宋体"/>
                <w:b w:val="0"/>
                <w:bCs w:val="0"/>
                <w:color w:val="auto"/>
                <w:sz w:val="24"/>
                <w:szCs w:val="24"/>
                <w:highlight w:val="none"/>
              </w:rPr>
              <w:t>份数要求</w:t>
            </w:r>
          </w:p>
        </w:tc>
        <w:tc>
          <w:tcPr>
            <w:tcW w:w="3576" w:type="pct"/>
            <w:noWrap w:val="0"/>
            <w:vAlign w:val="center"/>
          </w:tcPr>
          <w:p w14:paraId="7F733E6D">
            <w:pPr>
              <w:keepNext w:val="0"/>
              <w:keepLines w:val="0"/>
              <w:widowControl/>
              <w:suppressLineNumbers w:val="0"/>
              <w:shd w:val="clear" w:color="auto" w:fill="auto"/>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投标人须上传（递交）投标文件：</w:t>
            </w:r>
          </w:p>
          <w:p w14:paraId="0238A108">
            <w:pPr>
              <w:keepNext w:val="0"/>
              <w:keepLines w:val="0"/>
              <w:widowControl/>
              <w:suppressLineNumbers w:val="0"/>
              <w:shd w:val="clear" w:color="auto" w:fill="auto"/>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1、电子投标文件一套：</w:t>
            </w:r>
          </w:p>
          <w:p w14:paraId="1D4C224A">
            <w:pPr>
              <w:keepNext w:val="0"/>
              <w:keepLines w:val="0"/>
              <w:widowControl/>
              <w:suppressLineNumbers w:val="0"/>
              <w:shd w:val="clear" w:color="auto" w:fill="auto"/>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（1）商务标书1份；</w:t>
            </w:r>
          </w:p>
          <w:p w14:paraId="0DCC5087">
            <w:pPr>
              <w:keepNext w:val="0"/>
              <w:keepLines w:val="0"/>
              <w:widowControl/>
              <w:suppressLineNumbers w:val="0"/>
              <w:shd w:val="clear" w:color="auto" w:fill="auto"/>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（2）经济标书1份；</w:t>
            </w:r>
          </w:p>
          <w:p w14:paraId="5BA32ADC">
            <w:pPr>
              <w:keepNext w:val="0"/>
              <w:keepLines w:val="0"/>
              <w:widowControl/>
              <w:suppressLineNumbers w:val="0"/>
              <w:shd w:val="clear" w:color="auto" w:fill="auto"/>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（3）施工组织设计1份；</w:t>
            </w:r>
          </w:p>
          <w:p w14:paraId="3FC6F304">
            <w:pPr>
              <w:keepNext w:val="0"/>
              <w:keepLines w:val="0"/>
              <w:widowControl/>
              <w:suppressLineNumbers w:val="0"/>
              <w:shd w:val="clear" w:color="auto" w:fill="auto"/>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（4）定标文件1份；</w:t>
            </w:r>
          </w:p>
          <w:p w14:paraId="479E4BB4">
            <w:pPr>
              <w:keepNext w:val="0"/>
              <w:keepLines w:val="0"/>
              <w:widowControl/>
              <w:suppressLineNumbers w:val="0"/>
              <w:shd w:val="clear" w:color="auto" w:fill="auto"/>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2、对应评审要求的分项响应文件（如有）。</w:t>
            </w:r>
          </w:p>
          <w:p w14:paraId="29CD3FF8">
            <w:pPr>
              <w:keepNext w:val="0"/>
              <w:keepLines w:val="0"/>
              <w:widowControl/>
              <w:suppressLineNumbers w:val="0"/>
              <w:shd w:val="clear" w:color="auto" w:fill="auto"/>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https://ygp.gdzwfw.gov.cn/ggzy-portal/#/440200/index）交易指引。</w:t>
            </w:r>
          </w:p>
          <w:p w14:paraId="7576FDD6">
            <w:pPr>
              <w:keepNext w:val="0"/>
              <w:keepLines w:val="0"/>
              <w:widowControl/>
              <w:suppressLineNumbers w:val="0"/>
              <w:shd w:val="clear" w:color="auto" w:fill="auto"/>
              <w:jc w:val="left"/>
              <w:textAlignment w:val="center"/>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rPr>
              <w:t>注：投标人被确定为中标人后，应从交易系统打印二套纸质投标文件（含签名盖章页），内容同电子投标文件，在签订本招标项目承包合同前分别提交给招标人和招标管理部门。（除招标文件约定外，纸质标书须与电子标书一致，不一致的以电子标书为准）。</w:t>
            </w:r>
          </w:p>
        </w:tc>
      </w:tr>
      <w:tr w14:paraId="7CBD3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551" w:type="pct"/>
            <w:noWrap w:val="0"/>
            <w:vAlign w:val="center"/>
          </w:tcPr>
          <w:p w14:paraId="577553B9">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14</w:t>
            </w:r>
          </w:p>
        </w:tc>
        <w:tc>
          <w:tcPr>
            <w:tcW w:w="871" w:type="pct"/>
            <w:gridSpan w:val="2"/>
            <w:noWrap w:val="0"/>
            <w:vAlign w:val="center"/>
          </w:tcPr>
          <w:p w14:paraId="60DAF43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最高投标</w:t>
            </w:r>
          </w:p>
          <w:p w14:paraId="00228DA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
              </w:rPr>
              <w:t>限价</w:t>
            </w:r>
          </w:p>
        </w:tc>
        <w:tc>
          <w:tcPr>
            <w:tcW w:w="3576" w:type="pct"/>
            <w:noWrap w:val="0"/>
            <w:vAlign w:val="center"/>
          </w:tcPr>
          <w:p w14:paraId="6A5D6B05">
            <w:pPr>
              <w:keepNext w:val="0"/>
              <w:keepLines w:val="0"/>
              <w:widowControl/>
              <w:suppressLineNumbers w:val="0"/>
              <w:shd w:val="clear" w:color="auto" w:fill="auto"/>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本招标项目最高投标限价为</w:t>
            </w:r>
            <w:r>
              <w:rPr>
                <w:rFonts w:hint="eastAsia" w:ascii="宋体" w:hAnsi="宋体" w:cs="宋体"/>
                <w:bCs/>
                <w:snapToGrid w:val="0"/>
                <w:color w:val="auto"/>
                <w:kern w:val="0"/>
                <w:sz w:val="24"/>
                <w:szCs w:val="24"/>
                <w:highlight w:val="none"/>
                <w:lang w:val="en-US" w:eastAsia="zh-CN"/>
              </w:rPr>
              <w:t>本招标项目最高投标限价、工程量清单、施工图最终以补充公告形式在开标前15天另行发布于相关网站，各投标人可在全国公共资源交易平台（广东省·韶关市）（https://ygp.gdzwfw.gov.cn/ggzy-portal/#/440200/index）自行下载。</w:t>
            </w:r>
          </w:p>
          <w:p w14:paraId="03866098">
            <w:pPr>
              <w:keepNext w:val="0"/>
              <w:keepLines w:val="0"/>
              <w:widowControl/>
              <w:suppressLineNumbers w:val="0"/>
              <w:shd w:val="clear" w:color="auto" w:fill="auto"/>
              <w:jc w:val="left"/>
              <w:textAlignment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具体详见招标文件“第八章   最高投标限价”。</w:t>
            </w:r>
          </w:p>
        </w:tc>
      </w:tr>
      <w:tr w14:paraId="46849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1" w:type="pct"/>
            <w:noWrap w:val="0"/>
            <w:vAlign w:val="center"/>
          </w:tcPr>
          <w:p w14:paraId="4C94BD5D">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18.0</w:t>
            </w:r>
          </w:p>
        </w:tc>
        <w:tc>
          <w:tcPr>
            <w:tcW w:w="871" w:type="pct"/>
            <w:gridSpan w:val="2"/>
            <w:noWrap w:val="0"/>
            <w:vAlign w:val="center"/>
          </w:tcPr>
          <w:p w14:paraId="11D9F6A1">
            <w:pPr>
              <w:pStyle w:val="18"/>
              <w:keepNext w:val="0"/>
              <w:keepLines w:val="0"/>
              <w:pageBreakBefore w:val="0"/>
              <w:widowControl w:val="0"/>
              <w:shd w:val="clear" w:color="auto" w:fill="auto"/>
              <w:kinsoku/>
              <w:wordWrap/>
              <w:overflowPunct/>
              <w:topLinePunct w:val="0"/>
              <w:autoSpaceDE/>
              <w:autoSpaceDN/>
              <w:bidi w:val="0"/>
              <w:adjustRightInd/>
              <w:snapToGrid/>
              <w:spacing w:before="0" w:beforeLines="0" w:after="0" w:afterLines="0"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投标有效期</w:t>
            </w:r>
          </w:p>
        </w:tc>
        <w:tc>
          <w:tcPr>
            <w:tcW w:w="3576" w:type="pct"/>
            <w:noWrap w:val="0"/>
            <w:vAlign w:val="center"/>
          </w:tcPr>
          <w:p w14:paraId="2D7E37F4">
            <w:pPr>
              <w:pStyle w:val="18"/>
              <w:keepNext w:val="0"/>
              <w:keepLines w:val="0"/>
              <w:pageBreakBefore w:val="0"/>
              <w:kinsoku/>
              <w:wordWrap/>
              <w:overflowPunct/>
              <w:topLinePunct w:val="0"/>
              <w:autoSpaceDE/>
              <w:autoSpaceDN/>
              <w:bidi w:val="0"/>
              <w:adjustRightInd/>
              <w:snapToGrid/>
              <w:spacing w:before="0" w:beforeLines="0" w:after="0" w:afterLines="0" w:line="240" w:lineRule="auto"/>
              <w:ind w:left="2891" w:hanging="2880" w:hangingChars="1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90天（从投标截止之日算起）</w:t>
            </w:r>
          </w:p>
          <w:p w14:paraId="0C257EC2">
            <w:pPr>
              <w:pStyle w:val="18"/>
              <w:keepNext w:val="0"/>
              <w:keepLines w:val="0"/>
              <w:pageBreakBefore w:val="0"/>
              <w:kinsoku/>
              <w:wordWrap/>
              <w:overflowPunct/>
              <w:topLinePunct w:val="0"/>
              <w:autoSpaceDE/>
              <w:autoSpaceDN/>
              <w:bidi w:val="0"/>
              <w:adjustRightInd/>
              <w:snapToGrid/>
              <w:spacing w:before="0" w:beforeLines="0" w:after="0" w:afterLines="0" w:line="24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在投标有效期结束前出现特殊情况的，招标人可以书面形式要求所有投标人延长投标有效期。</w:t>
            </w:r>
          </w:p>
        </w:tc>
      </w:tr>
      <w:tr w14:paraId="4D9FE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1" w:type="pct"/>
            <w:noWrap w:val="0"/>
            <w:vAlign w:val="center"/>
          </w:tcPr>
          <w:p w14:paraId="64B9AC79">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19.1</w:t>
            </w:r>
          </w:p>
        </w:tc>
        <w:tc>
          <w:tcPr>
            <w:tcW w:w="871" w:type="pct"/>
            <w:gridSpan w:val="2"/>
            <w:noWrap w:val="0"/>
            <w:vAlign w:val="center"/>
          </w:tcPr>
          <w:p w14:paraId="36D9CA36">
            <w:pPr>
              <w:keepNext w:val="0"/>
              <w:keepLines w:val="0"/>
              <w:pageBreakBefore w:val="0"/>
              <w:widowControl w:val="0"/>
              <w:suppressLineNumbers w:val="0"/>
              <w:kinsoku/>
              <w:wordWrap/>
              <w:overflowPunct/>
              <w:topLinePunct w:val="0"/>
              <w:bidi w:val="0"/>
              <w:adjustRightInd/>
              <w:snapToGrid/>
              <w:spacing w:beforeAutospacing="0" w:afterAutospacing="0" w:line="240" w:lineRule="auto"/>
              <w:ind w:left="0" w:right="0"/>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
              </w:rPr>
              <w:t>房屋建筑工程绿色建筑标准</w:t>
            </w:r>
          </w:p>
        </w:tc>
        <w:tc>
          <w:tcPr>
            <w:tcW w:w="3576" w:type="pct"/>
            <w:noWrap w:val="0"/>
            <w:vAlign w:val="center"/>
          </w:tcPr>
          <w:p w14:paraId="74FAA3D4">
            <w:pPr>
              <w:keepNext w:val="0"/>
              <w:keepLines w:val="0"/>
              <w:pageBreakBefore w:val="0"/>
              <w:widowControl w:val="0"/>
              <w:suppressLineNumbers w:val="0"/>
              <w:wordWrap w:val="0"/>
              <w:overflowPunct/>
              <w:topLinePunct w:val="0"/>
              <w:bidi w:val="0"/>
              <w:spacing w:beforeAutospacing="0" w:afterAutospacing="0" w:line="240" w:lineRule="auto"/>
              <w:ind w:right="0"/>
              <w:jc w:val="both"/>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本招标项目</w:t>
            </w:r>
            <w:r>
              <w:rPr>
                <w:rFonts w:hint="eastAsia" w:ascii="宋体" w:hAnsi="宋体" w:eastAsia="宋体" w:cs="宋体"/>
                <w:snapToGrid w:val="0"/>
                <w:color w:val="auto"/>
                <w:kern w:val="0"/>
                <w:sz w:val="24"/>
                <w:szCs w:val="24"/>
                <w:highlight w:val="none"/>
                <w:u w:val="single"/>
                <w:lang w:eastAsia="zh-CN"/>
              </w:rPr>
              <w:t>不纳入</w:t>
            </w:r>
            <w:r>
              <w:rPr>
                <w:rFonts w:hint="eastAsia" w:ascii="宋体" w:hAnsi="宋体" w:eastAsia="宋体" w:cs="宋体"/>
                <w:snapToGrid w:val="0"/>
                <w:color w:val="auto"/>
                <w:kern w:val="0"/>
                <w:sz w:val="24"/>
                <w:szCs w:val="24"/>
                <w:highlight w:val="none"/>
                <w:lang w:eastAsia="zh-CN"/>
              </w:rPr>
              <w:t>绿色建设实施范围。</w:t>
            </w:r>
          </w:p>
        </w:tc>
      </w:tr>
      <w:tr w14:paraId="7504C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1" w:type="pct"/>
            <w:noWrap w:val="0"/>
            <w:vAlign w:val="center"/>
          </w:tcPr>
          <w:p w14:paraId="6DDA7A30">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19.2</w:t>
            </w:r>
          </w:p>
        </w:tc>
        <w:tc>
          <w:tcPr>
            <w:tcW w:w="871" w:type="pct"/>
            <w:gridSpan w:val="2"/>
            <w:noWrap w:val="0"/>
            <w:vAlign w:val="center"/>
          </w:tcPr>
          <w:p w14:paraId="43539AD9">
            <w:pPr>
              <w:keepNext w:val="0"/>
              <w:keepLines w:val="0"/>
              <w:pageBreakBefore w:val="0"/>
              <w:widowControl w:val="0"/>
              <w:suppressLineNumbers w:val="0"/>
              <w:kinsoku/>
              <w:wordWrap/>
              <w:overflowPunct/>
              <w:topLinePunct w:val="0"/>
              <w:bidi w:val="0"/>
              <w:adjustRightInd/>
              <w:snapToGrid/>
              <w:spacing w:beforeAutospacing="0" w:afterAutospacing="0" w:line="240" w:lineRule="auto"/>
              <w:ind w:left="0" w:leftChars="0" w:right="0" w:rightChars="0"/>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bidi="ar"/>
              </w:rPr>
              <w:t>装配式建筑标准</w:t>
            </w:r>
          </w:p>
        </w:tc>
        <w:tc>
          <w:tcPr>
            <w:tcW w:w="3576" w:type="pct"/>
            <w:noWrap w:val="0"/>
            <w:vAlign w:val="center"/>
          </w:tcPr>
          <w:p w14:paraId="4DF296EE">
            <w:pPr>
              <w:keepNext w:val="0"/>
              <w:keepLines w:val="0"/>
              <w:pageBreakBefore w:val="0"/>
              <w:widowControl w:val="0"/>
              <w:suppressLineNumbers w:val="0"/>
              <w:wordWrap w:val="0"/>
              <w:overflowPunct/>
              <w:topLinePunct w:val="0"/>
              <w:bidi w:val="0"/>
              <w:spacing w:beforeAutospacing="0" w:afterAutospacing="0" w:line="240" w:lineRule="auto"/>
              <w:ind w:right="0" w:rightChars="0"/>
              <w:jc w:val="both"/>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snapToGrid w:val="0"/>
                <w:color w:val="auto"/>
                <w:kern w:val="0"/>
                <w:sz w:val="24"/>
                <w:szCs w:val="24"/>
                <w:highlight w:val="none"/>
              </w:rPr>
              <w:t>本</w:t>
            </w:r>
            <w:r>
              <w:rPr>
                <w:rFonts w:hint="eastAsia" w:ascii="宋体" w:hAnsi="宋体" w:eastAsia="宋体" w:cs="宋体"/>
                <w:snapToGrid w:val="0"/>
                <w:color w:val="auto"/>
                <w:kern w:val="0"/>
                <w:sz w:val="24"/>
                <w:szCs w:val="24"/>
                <w:highlight w:val="none"/>
                <w:lang w:eastAsia="zh-CN"/>
              </w:rPr>
              <w:t>招标项目</w:t>
            </w:r>
            <w:r>
              <w:rPr>
                <w:rFonts w:hint="eastAsia" w:ascii="宋体" w:hAnsi="宋体" w:eastAsia="宋体" w:cs="宋体"/>
                <w:snapToGrid w:val="0"/>
                <w:color w:val="auto"/>
                <w:kern w:val="0"/>
                <w:sz w:val="24"/>
                <w:szCs w:val="24"/>
                <w:highlight w:val="none"/>
                <w:u w:val="single"/>
                <w:lang w:val="en-US" w:eastAsia="zh-CN"/>
              </w:rPr>
              <w:t>不</w:t>
            </w:r>
            <w:r>
              <w:rPr>
                <w:rFonts w:hint="eastAsia" w:ascii="宋体" w:hAnsi="宋体" w:eastAsia="宋体" w:cs="宋体"/>
                <w:snapToGrid w:val="0"/>
                <w:color w:val="auto"/>
                <w:kern w:val="0"/>
                <w:sz w:val="24"/>
                <w:szCs w:val="24"/>
                <w:highlight w:val="none"/>
                <w:u w:val="single"/>
                <w:lang w:eastAsia="zh-CN"/>
              </w:rPr>
              <w:t>纳入</w:t>
            </w:r>
            <w:r>
              <w:rPr>
                <w:rFonts w:hint="eastAsia" w:ascii="宋体" w:hAnsi="宋体" w:eastAsia="宋体" w:cs="宋体"/>
                <w:snapToGrid w:val="0"/>
                <w:color w:val="auto"/>
                <w:kern w:val="0"/>
                <w:sz w:val="24"/>
                <w:szCs w:val="24"/>
                <w:highlight w:val="none"/>
                <w:lang w:eastAsia="zh-CN"/>
              </w:rPr>
              <w:t>装配式建造建设实施范围。</w:t>
            </w:r>
          </w:p>
        </w:tc>
      </w:tr>
      <w:tr w14:paraId="66466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1" w:type="pct"/>
            <w:noWrap w:val="0"/>
            <w:vAlign w:val="center"/>
          </w:tcPr>
          <w:p w14:paraId="4DD2BE59">
            <w:pPr>
              <w:keepNext w:val="0"/>
              <w:keepLines w:val="0"/>
              <w:pageBreakBefore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p>
        </w:tc>
        <w:tc>
          <w:tcPr>
            <w:tcW w:w="871" w:type="pct"/>
            <w:gridSpan w:val="2"/>
            <w:noWrap w:val="0"/>
            <w:vAlign w:val="center"/>
          </w:tcPr>
          <w:p w14:paraId="0D8771C1">
            <w:pPr>
              <w:keepNext w:val="0"/>
              <w:keepLines w:val="0"/>
              <w:pageBreakBefore w:val="0"/>
              <w:widowControl w:val="0"/>
              <w:suppressLineNumbers w:val="0"/>
              <w:kinsoku/>
              <w:wordWrap/>
              <w:overflowPunct/>
              <w:topLinePunct w:val="0"/>
              <w:bidi w:val="0"/>
              <w:adjustRightInd/>
              <w:snapToGrid/>
              <w:spacing w:beforeAutospacing="0" w:afterAutospacing="0" w:line="240" w:lineRule="auto"/>
              <w:ind w:left="0" w:leftChars="0" w:right="0" w:rightChars="0"/>
              <w:jc w:val="center"/>
              <w:textAlignment w:val="auto"/>
              <w:rPr>
                <w:rFonts w:hint="eastAsia" w:ascii="宋体" w:hAnsi="宋体" w:eastAsia="宋体" w:cs="宋体"/>
                <w:b w:val="0"/>
                <w:bCs w:val="0"/>
                <w:color w:val="auto"/>
                <w:sz w:val="24"/>
                <w:szCs w:val="24"/>
                <w:highlight w:val="none"/>
                <w:lang w:val="en-US" w:eastAsia="zh-CN" w:bidi="ar"/>
              </w:rPr>
            </w:pPr>
            <w:r>
              <w:rPr>
                <w:rFonts w:hint="eastAsia" w:ascii="宋体" w:hAnsi="宋体" w:eastAsia="宋体" w:cs="宋体"/>
                <w:b w:val="0"/>
                <w:bCs w:val="0"/>
                <w:color w:val="auto"/>
                <w:sz w:val="24"/>
                <w:szCs w:val="24"/>
                <w:highlight w:val="none"/>
                <w:lang w:val="en-US" w:eastAsia="zh-CN" w:bidi="ar"/>
              </w:rPr>
              <w:t>投标保证</w:t>
            </w:r>
          </w:p>
        </w:tc>
        <w:tc>
          <w:tcPr>
            <w:tcW w:w="3576" w:type="pct"/>
            <w:noWrap w:val="0"/>
            <w:vAlign w:val="center"/>
          </w:tcPr>
          <w:p w14:paraId="45174820">
            <w:pPr>
              <w:keepNext w:val="0"/>
              <w:keepLines w:val="0"/>
              <w:pageBreakBefore w:val="0"/>
              <w:widowControl w:val="0"/>
              <w:numPr>
                <w:ilvl w:val="0"/>
                <w:numId w:val="1"/>
              </w:numPr>
              <w:suppressLineNumbers w:val="0"/>
              <w:wordWrap w:val="0"/>
              <w:overflowPunct/>
              <w:topLinePunct w:val="0"/>
              <w:bidi w:val="0"/>
              <w:spacing w:beforeAutospacing="0" w:afterAutospacing="0" w:line="240" w:lineRule="auto"/>
              <w:ind w:right="0" w:rightChars="0"/>
              <w:jc w:val="both"/>
              <w:textAlignment w:val="auto"/>
              <w:rPr>
                <w:rFonts w:hint="eastAsia" w:ascii="宋体" w:hAnsi="宋体" w:eastAsia="宋体" w:cs="宋体"/>
                <w:bCs/>
                <w:i w:val="0"/>
                <w:iCs w:val="0"/>
                <w:color w:val="auto"/>
                <w:sz w:val="24"/>
                <w:szCs w:val="24"/>
                <w:highlight w:val="none"/>
                <w:lang w:val="en-US" w:eastAsia="zh-CN" w:bidi="ar"/>
              </w:rPr>
            </w:pPr>
            <w:r>
              <w:rPr>
                <w:rFonts w:hint="eastAsia" w:ascii="宋体" w:hAnsi="宋体" w:eastAsia="宋体" w:cs="宋体"/>
                <w:bCs/>
                <w:i w:val="0"/>
                <w:iCs w:val="0"/>
                <w:color w:val="auto"/>
                <w:sz w:val="24"/>
                <w:szCs w:val="24"/>
                <w:highlight w:val="none"/>
                <w:lang w:val="en-US" w:eastAsia="zh-CN" w:bidi="ar"/>
              </w:rPr>
              <w:t>投标人须缴纳金额为人民币</w:t>
            </w:r>
            <w:r>
              <w:rPr>
                <w:rFonts w:hint="eastAsia" w:ascii="宋体" w:hAnsi="宋体" w:cs="宋体"/>
                <w:bCs/>
                <w:i w:val="0"/>
                <w:iCs w:val="0"/>
                <w:color w:val="auto"/>
                <w:sz w:val="24"/>
                <w:szCs w:val="24"/>
                <w:highlight w:val="none"/>
                <w:u w:val="single"/>
                <w:lang w:val="en-US" w:eastAsia="zh-CN" w:bidi="ar"/>
              </w:rPr>
              <w:t>1</w:t>
            </w:r>
            <w:r>
              <w:rPr>
                <w:rFonts w:hint="eastAsia" w:ascii="宋体" w:hAnsi="宋体" w:eastAsia="宋体" w:cs="宋体"/>
                <w:bCs/>
                <w:i w:val="0"/>
                <w:iCs w:val="0"/>
                <w:color w:val="auto"/>
                <w:sz w:val="24"/>
                <w:szCs w:val="24"/>
                <w:highlight w:val="none"/>
                <w:u w:val="single"/>
                <w:lang w:val="en-US" w:eastAsia="zh-CN" w:bidi="ar"/>
              </w:rPr>
              <w:t>万元</w:t>
            </w:r>
            <w:r>
              <w:rPr>
                <w:rFonts w:hint="eastAsia" w:ascii="宋体" w:hAnsi="宋体" w:eastAsia="宋体" w:cs="宋体"/>
                <w:bCs/>
                <w:i w:val="0"/>
                <w:iCs w:val="0"/>
                <w:color w:val="auto"/>
                <w:sz w:val="24"/>
                <w:szCs w:val="24"/>
                <w:highlight w:val="none"/>
                <w:lang w:val="en-US" w:eastAsia="zh-CN" w:bidi="ar"/>
              </w:rPr>
              <w:t>的投标保证。</w:t>
            </w:r>
          </w:p>
          <w:p w14:paraId="0DEADA59">
            <w:pPr>
              <w:keepNext w:val="0"/>
              <w:keepLines w:val="0"/>
              <w:pageBreakBefore w:val="0"/>
              <w:widowControl w:val="0"/>
              <w:numPr>
                <w:ilvl w:val="0"/>
                <w:numId w:val="1"/>
              </w:numPr>
              <w:suppressLineNumbers w:val="0"/>
              <w:wordWrap w:val="0"/>
              <w:overflowPunct/>
              <w:topLinePunct w:val="0"/>
              <w:bidi w:val="0"/>
              <w:spacing w:beforeAutospacing="0" w:afterAutospacing="0" w:line="240" w:lineRule="auto"/>
              <w:ind w:right="0" w:rightChars="0"/>
              <w:jc w:val="both"/>
              <w:textAlignment w:val="auto"/>
              <w:rPr>
                <w:rFonts w:hint="eastAsia" w:ascii="宋体" w:hAnsi="宋体" w:eastAsia="宋体" w:cs="宋体"/>
                <w:bCs/>
                <w:i w:val="0"/>
                <w:iCs w:val="0"/>
                <w:color w:val="auto"/>
                <w:sz w:val="24"/>
                <w:szCs w:val="24"/>
                <w:highlight w:val="none"/>
                <w:lang w:val="en-US" w:eastAsia="zh-CN" w:bidi="ar"/>
              </w:rPr>
            </w:pPr>
            <w:r>
              <w:rPr>
                <w:rFonts w:hint="eastAsia" w:ascii="宋体" w:hAnsi="宋体" w:eastAsia="宋体" w:cs="宋体"/>
                <w:bCs/>
                <w:i w:val="0"/>
                <w:iCs w:val="0"/>
                <w:color w:val="auto"/>
                <w:sz w:val="24"/>
                <w:szCs w:val="24"/>
                <w:highlight w:val="none"/>
                <w:lang w:val="en-US" w:eastAsia="zh-CN" w:bidi="ar"/>
              </w:rPr>
              <w:t>投标保证的形式包括投标保证金、投标保证担保、投标保证保险三种，由投标人自主选择。</w:t>
            </w:r>
          </w:p>
          <w:p w14:paraId="055A8A67">
            <w:pPr>
              <w:keepNext w:val="0"/>
              <w:keepLines w:val="0"/>
              <w:pageBreakBefore w:val="0"/>
              <w:widowControl w:val="0"/>
              <w:suppressLineNumbers w:val="0"/>
              <w:wordWrap w:val="0"/>
              <w:overflowPunct/>
              <w:topLinePunct w:val="0"/>
              <w:bidi w:val="0"/>
              <w:spacing w:beforeAutospacing="0" w:afterAutospacing="0" w:line="240" w:lineRule="auto"/>
              <w:ind w:right="0" w:rightChars="0"/>
              <w:jc w:val="both"/>
              <w:textAlignment w:val="auto"/>
              <w:rPr>
                <w:rFonts w:hint="eastAsia" w:ascii="宋体" w:hAnsi="宋体" w:eastAsia="宋体" w:cs="宋体"/>
                <w:bCs/>
                <w:i w:val="0"/>
                <w:iCs w:val="0"/>
                <w:color w:val="auto"/>
                <w:sz w:val="24"/>
                <w:szCs w:val="24"/>
                <w:highlight w:val="none"/>
                <w:lang w:val="en-US" w:eastAsia="zh-CN" w:bidi="ar"/>
              </w:rPr>
            </w:pPr>
            <w:r>
              <w:rPr>
                <w:rFonts w:hint="eastAsia" w:ascii="宋体" w:hAnsi="宋体" w:eastAsia="宋体" w:cs="宋体"/>
                <w:bCs/>
                <w:i w:val="0"/>
                <w:iCs w:val="0"/>
                <w:color w:val="auto"/>
                <w:sz w:val="24"/>
                <w:szCs w:val="24"/>
                <w:highlight w:val="none"/>
                <w:lang w:val="en-US" w:eastAsia="zh-CN" w:bidi="ar"/>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06F02E88">
            <w:pPr>
              <w:keepNext w:val="0"/>
              <w:keepLines w:val="0"/>
              <w:pageBreakBefore w:val="0"/>
              <w:widowControl w:val="0"/>
              <w:suppressLineNumbers w:val="0"/>
              <w:wordWrap w:val="0"/>
              <w:overflowPunct/>
              <w:topLinePunct w:val="0"/>
              <w:bidi w:val="0"/>
              <w:spacing w:beforeAutospacing="0" w:afterAutospacing="0" w:line="240" w:lineRule="auto"/>
              <w:ind w:right="0" w:rightChars="0"/>
              <w:jc w:val="both"/>
              <w:textAlignment w:val="auto"/>
              <w:rPr>
                <w:rFonts w:hint="eastAsia" w:ascii="宋体" w:hAnsi="宋体" w:eastAsia="宋体" w:cs="宋体"/>
                <w:bCs/>
                <w:i w:val="0"/>
                <w:iCs w:val="0"/>
                <w:color w:val="auto"/>
                <w:sz w:val="24"/>
                <w:szCs w:val="24"/>
                <w:highlight w:val="none"/>
                <w:lang w:val="en-US" w:eastAsia="zh-CN" w:bidi="ar"/>
              </w:rPr>
            </w:pPr>
            <w:r>
              <w:rPr>
                <w:rFonts w:hint="eastAsia" w:ascii="宋体" w:hAnsi="宋体" w:eastAsia="宋体" w:cs="宋体"/>
                <w:bCs/>
                <w:i w:val="0"/>
                <w:iCs w:val="0"/>
                <w:color w:val="auto"/>
                <w:sz w:val="24"/>
                <w:szCs w:val="24"/>
                <w:highlight w:val="none"/>
                <w:lang w:val="en-US" w:eastAsia="zh-CN" w:bidi="ar"/>
              </w:rPr>
              <w:t>（2）采用投标保证担保的，投标人应提交有效的电子保函，电子保函的有效期不得短于投标有效期。投标人必须在投标保证担保截止时间（见本章第二节“重要事项时间地点一览表”）前，使用工程建设交易系统完成网上办理电子保函。</w:t>
            </w:r>
          </w:p>
          <w:p w14:paraId="6EF3D104">
            <w:pPr>
              <w:keepNext w:val="0"/>
              <w:keepLines w:val="0"/>
              <w:pageBreakBefore w:val="0"/>
              <w:widowControl w:val="0"/>
              <w:suppressLineNumbers w:val="0"/>
              <w:wordWrap w:val="0"/>
              <w:overflowPunct/>
              <w:topLinePunct w:val="0"/>
              <w:bidi w:val="0"/>
              <w:spacing w:beforeAutospacing="0" w:afterAutospacing="0" w:line="240" w:lineRule="auto"/>
              <w:ind w:right="0" w:rightChars="0"/>
              <w:jc w:val="both"/>
              <w:textAlignment w:val="auto"/>
              <w:rPr>
                <w:rFonts w:hint="eastAsia" w:ascii="宋体" w:hAnsi="宋体" w:eastAsia="宋体" w:cs="宋体"/>
                <w:bCs/>
                <w:i w:val="0"/>
                <w:iCs w:val="0"/>
                <w:color w:val="auto"/>
                <w:sz w:val="24"/>
                <w:szCs w:val="24"/>
                <w:highlight w:val="none"/>
                <w:lang w:val="en-US" w:eastAsia="zh-CN" w:bidi="ar"/>
              </w:rPr>
            </w:pPr>
            <w:r>
              <w:rPr>
                <w:rFonts w:hint="eastAsia" w:ascii="宋体" w:hAnsi="宋体" w:eastAsia="宋体" w:cs="宋体"/>
                <w:bCs/>
                <w:i w:val="0"/>
                <w:iCs w:val="0"/>
                <w:color w:val="auto"/>
                <w:sz w:val="24"/>
                <w:szCs w:val="24"/>
                <w:highlight w:val="none"/>
                <w:lang w:val="en-US" w:eastAsia="zh-CN" w:bidi="ar"/>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在【服务指南】栏目中下载《韶关市公共资源建设工程交易系统-投标人操作指南》，了解网上投保具体操作流程。逾期投保的，其投标无效。</w:t>
            </w:r>
          </w:p>
          <w:p w14:paraId="706D02C1">
            <w:pPr>
              <w:keepNext w:val="0"/>
              <w:keepLines w:val="0"/>
              <w:pageBreakBefore w:val="0"/>
              <w:widowControl w:val="0"/>
              <w:suppressLineNumbers w:val="0"/>
              <w:wordWrap w:val="0"/>
              <w:overflowPunct/>
              <w:topLinePunct w:val="0"/>
              <w:bidi w:val="0"/>
              <w:spacing w:beforeAutospacing="0" w:afterAutospacing="0" w:line="240" w:lineRule="auto"/>
              <w:ind w:right="0" w:rightChars="0"/>
              <w:jc w:val="both"/>
              <w:textAlignment w:val="auto"/>
              <w:rPr>
                <w:rFonts w:hint="eastAsia" w:ascii="宋体" w:hAnsi="宋体" w:eastAsia="宋体" w:cs="宋体"/>
                <w:bCs/>
                <w:i/>
                <w:iCs/>
                <w:color w:val="auto"/>
                <w:sz w:val="24"/>
                <w:szCs w:val="24"/>
                <w:highlight w:val="none"/>
                <w:lang w:val="en-US" w:eastAsia="zh-CN" w:bidi="ar"/>
              </w:rPr>
            </w:pPr>
            <w:r>
              <w:rPr>
                <w:rFonts w:hint="eastAsia" w:ascii="宋体" w:hAnsi="宋体" w:eastAsia="宋体" w:cs="宋体"/>
                <w:bCs/>
                <w:i w:val="0"/>
                <w:iCs w:val="0"/>
                <w:color w:val="auto"/>
                <w:sz w:val="24"/>
                <w:szCs w:val="24"/>
                <w:highlight w:val="none"/>
                <w:lang w:val="en-US" w:eastAsia="zh-CN" w:bidi="ar"/>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58E4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1" w:type="pct"/>
            <w:noWrap w:val="0"/>
            <w:vAlign w:val="center"/>
          </w:tcPr>
          <w:p w14:paraId="43793235">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21.4</w:t>
            </w:r>
          </w:p>
        </w:tc>
        <w:tc>
          <w:tcPr>
            <w:tcW w:w="871" w:type="pct"/>
            <w:gridSpan w:val="2"/>
            <w:noWrap w:val="0"/>
            <w:vAlign w:val="center"/>
          </w:tcPr>
          <w:p w14:paraId="3D72240B">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投标文件提交</w:t>
            </w:r>
          </w:p>
        </w:tc>
        <w:tc>
          <w:tcPr>
            <w:tcW w:w="3576" w:type="pct"/>
            <w:noWrap w:val="0"/>
            <w:vAlign w:val="center"/>
          </w:tcPr>
          <w:p w14:paraId="6DAFAAB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val="0"/>
                <w:bCs w:val="0"/>
                <w:color w:val="auto"/>
                <w:sz w:val="24"/>
                <w:highlight w:val="none"/>
                <w:lang w:val="en-US" w:eastAsia="zh-CN"/>
              </w:rPr>
              <w:t>若</w:t>
            </w:r>
            <w:r>
              <w:rPr>
                <w:rFonts w:hint="eastAsia" w:ascii="宋体" w:hAnsi="宋体" w:eastAsia="宋体" w:cs="宋体"/>
                <w:color w:val="auto"/>
                <w:sz w:val="24"/>
                <w:szCs w:val="24"/>
                <w:highlight w:val="none"/>
                <w:lang w:val="en-US" w:eastAsia="zh-CN"/>
              </w:rPr>
              <w:t>招标文件要求提交的用于评审的证书、证件、证明原件的，投标人应自行将所需原件密封于文件袋（箱）中，并自行准备两张“原件一览表”(详见格式十六，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1844A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1" w:type="pct"/>
            <w:vMerge w:val="restart"/>
            <w:noWrap w:val="0"/>
            <w:vAlign w:val="center"/>
          </w:tcPr>
          <w:p w14:paraId="4BFC1615">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23.0</w:t>
            </w:r>
          </w:p>
          <w:p w14:paraId="3B4181D4">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29.0</w:t>
            </w:r>
          </w:p>
        </w:tc>
        <w:tc>
          <w:tcPr>
            <w:tcW w:w="871" w:type="pct"/>
            <w:gridSpan w:val="2"/>
            <w:noWrap w:val="0"/>
            <w:vAlign w:val="center"/>
          </w:tcPr>
          <w:p w14:paraId="139A2CAA">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w:t>
            </w:r>
          </w:p>
        </w:tc>
        <w:tc>
          <w:tcPr>
            <w:tcW w:w="3576" w:type="pct"/>
            <w:noWrap w:val="0"/>
            <w:vAlign w:val="center"/>
          </w:tcPr>
          <w:p w14:paraId="3FB7E2DA">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评标委员会由</w:t>
            </w:r>
            <w:r>
              <w:rPr>
                <w:rFonts w:hint="eastAsia" w:ascii="宋体" w:hAnsi="宋体" w:eastAsia="宋体" w:cs="宋体"/>
                <w:snapToGrid w:val="0"/>
                <w:color w:val="auto"/>
                <w:kern w:val="0"/>
                <w:sz w:val="24"/>
                <w:szCs w:val="24"/>
                <w:highlight w:val="none"/>
                <w:u w:val="single"/>
                <w:lang w:val="en-US" w:eastAsia="zh-CN"/>
              </w:rPr>
              <w:t>5</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0</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lang w:val="en-US" w:eastAsia="zh-CN"/>
              </w:rPr>
              <w:t>5</w:t>
            </w:r>
            <w:r>
              <w:rPr>
                <w:rFonts w:hint="eastAsia" w:ascii="宋体" w:hAnsi="宋体" w:eastAsia="宋体" w:cs="宋体"/>
                <w:snapToGrid w:val="0"/>
                <w:color w:val="auto"/>
                <w:kern w:val="0"/>
                <w:sz w:val="24"/>
                <w:szCs w:val="24"/>
                <w:highlight w:val="none"/>
              </w:rPr>
              <w:t>人。专家从</w:t>
            </w:r>
            <w:r>
              <w:rPr>
                <w:rFonts w:hint="eastAsia" w:ascii="宋体" w:hAnsi="宋体" w:eastAsia="宋体" w:cs="宋体"/>
                <w:snapToGrid w:val="0"/>
                <w:color w:val="auto"/>
                <w:kern w:val="0"/>
                <w:sz w:val="24"/>
                <w:szCs w:val="24"/>
                <w:highlight w:val="none"/>
                <w:u w:val="single"/>
              </w:rPr>
              <w:t>广东省综合评标评审专</w:t>
            </w:r>
            <w:r>
              <w:rPr>
                <w:rFonts w:hint="eastAsia" w:ascii="宋体" w:hAnsi="宋体" w:eastAsia="宋体" w:cs="宋体"/>
                <w:strike w:val="0"/>
                <w:dstrike w:val="0"/>
                <w:snapToGrid w:val="0"/>
                <w:color w:val="auto"/>
                <w:kern w:val="0"/>
                <w:sz w:val="24"/>
                <w:szCs w:val="24"/>
                <w:highlight w:val="none"/>
                <w:u w:val="single"/>
              </w:rPr>
              <w:t>家库</w:t>
            </w:r>
            <w:r>
              <w:rPr>
                <w:rFonts w:hint="eastAsia" w:ascii="宋体" w:hAnsi="宋体" w:eastAsia="宋体" w:cs="宋体"/>
                <w:strike w:val="0"/>
                <w:dstrike w:val="0"/>
                <w:snapToGrid w:val="0"/>
                <w:color w:val="auto"/>
                <w:kern w:val="0"/>
                <w:sz w:val="24"/>
                <w:szCs w:val="24"/>
                <w:highlight w:val="none"/>
                <w:u w:val="single"/>
                <w:lang w:eastAsia="zh-CN"/>
              </w:rPr>
              <w:t>—韶关区域中</w:t>
            </w:r>
            <w:r>
              <w:rPr>
                <w:rFonts w:hint="eastAsia" w:ascii="宋体" w:hAnsi="宋体" w:eastAsia="宋体" w:cs="宋体"/>
                <w:snapToGrid w:val="0"/>
                <w:color w:val="auto"/>
                <w:kern w:val="0"/>
                <w:sz w:val="24"/>
                <w:szCs w:val="24"/>
                <w:highlight w:val="none"/>
              </w:rPr>
              <w:t>随机抽取，其中技术类专家</w:t>
            </w:r>
            <w:r>
              <w:rPr>
                <w:rFonts w:hint="eastAsia" w:ascii="宋体" w:hAnsi="宋体" w:eastAsia="宋体" w:cs="宋体"/>
                <w:snapToGrid w:val="0"/>
                <w:color w:val="auto"/>
                <w:kern w:val="0"/>
                <w:sz w:val="24"/>
                <w:szCs w:val="24"/>
                <w:highlight w:val="none"/>
                <w:u w:val="single"/>
                <w:lang w:val="en-US" w:eastAsia="zh-CN"/>
              </w:rPr>
              <w:t>3</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2</w:t>
            </w:r>
            <w:r>
              <w:rPr>
                <w:rFonts w:hint="eastAsia" w:ascii="宋体" w:hAnsi="宋体" w:eastAsia="宋体" w:cs="宋体"/>
                <w:snapToGrid w:val="0"/>
                <w:color w:val="auto"/>
                <w:kern w:val="0"/>
                <w:sz w:val="24"/>
                <w:szCs w:val="24"/>
                <w:highlight w:val="none"/>
              </w:rPr>
              <w:t>人。</w:t>
            </w:r>
          </w:p>
          <w:p w14:paraId="488EEE20">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注意：</w:t>
            </w:r>
            <w:r>
              <w:rPr>
                <w:rFonts w:hint="eastAsia" w:ascii="宋体" w:hAnsi="宋体" w:eastAsia="宋体" w:cs="宋体"/>
                <w:b/>
                <w:bCs/>
                <w:strike w:val="0"/>
                <w:dstrike w:val="0"/>
                <w:color w:val="auto"/>
                <w:sz w:val="24"/>
                <w:szCs w:val="24"/>
                <w:highlight w:val="none"/>
                <w:lang w:eastAsia="zh-CN"/>
              </w:rPr>
              <w:t>远程异地评标的项目，</w:t>
            </w:r>
            <w:r>
              <w:rPr>
                <w:rFonts w:hint="eastAsia" w:ascii="宋体" w:hAnsi="宋体" w:eastAsia="宋体" w:cs="宋体"/>
                <w:b/>
                <w:bCs/>
                <w:color w:val="auto"/>
                <w:sz w:val="24"/>
                <w:szCs w:val="24"/>
                <w:highlight w:val="none"/>
                <w:lang w:eastAsia="zh-CN"/>
              </w:rPr>
              <w:t>主场、副场评标专家抽取应当符合相关</w:t>
            </w:r>
            <w:r>
              <w:rPr>
                <w:rFonts w:hint="eastAsia" w:ascii="宋体" w:hAnsi="宋体" w:eastAsia="宋体" w:cs="宋体"/>
                <w:b/>
                <w:bCs/>
                <w:color w:val="auto"/>
                <w:sz w:val="24"/>
                <w:szCs w:val="24"/>
                <w:highlight w:val="none"/>
                <w:lang w:val="en-US" w:eastAsia="zh-CN"/>
              </w:rPr>
              <w:t>规定。</w:t>
            </w:r>
          </w:p>
        </w:tc>
      </w:tr>
      <w:tr w14:paraId="6211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1" w:type="pct"/>
            <w:vMerge w:val="continue"/>
            <w:noWrap w:val="0"/>
            <w:vAlign w:val="center"/>
          </w:tcPr>
          <w:p w14:paraId="0AC142B2">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p>
        </w:tc>
        <w:tc>
          <w:tcPr>
            <w:tcW w:w="871" w:type="pct"/>
            <w:gridSpan w:val="2"/>
            <w:noWrap w:val="0"/>
            <w:vAlign w:val="center"/>
          </w:tcPr>
          <w:p w14:paraId="4F7A3C03">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定</w:t>
            </w:r>
            <w:r>
              <w:rPr>
                <w:rFonts w:hint="eastAsia" w:ascii="宋体" w:hAnsi="宋体" w:eastAsia="宋体" w:cs="宋体"/>
                <w:color w:val="auto"/>
                <w:sz w:val="24"/>
                <w:szCs w:val="24"/>
                <w:highlight w:val="none"/>
              </w:rPr>
              <w:t>标委员会</w:t>
            </w:r>
          </w:p>
        </w:tc>
        <w:tc>
          <w:tcPr>
            <w:tcW w:w="3576" w:type="pct"/>
            <w:noWrap w:val="0"/>
            <w:vAlign w:val="center"/>
          </w:tcPr>
          <w:p w14:paraId="1C714EAE">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24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lang w:val="en-US" w:eastAsia="zh-CN"/>
              </w:rPr>
              <w:t>本</w:t>
            </w:r>
            <w:r>
              <w:rPr>
                <w:rFonts w:hint="eastAsia" w:ascii="宋体" w:hAnsi="宋体" w:eastAsia="宋体" w:cs="宋体"/>
                <w:color w:val="auto"/>
                <w:sz w:val="24"/>
                <w:szCs w:val="24"/>
                <w:highlight w:val="none"/>
                <w:u w:val="none"/>
                <w:lang w:eastAsia="zh-CN"/>
              </w:rPr>
              <w:t>项目</w:t>
            </w:r>
            <w:r>
              <w:rPr>
                <w:rFonts w:hint="eastAsia" w:ascii="宋体" w:hAnsi="宋体" w:eastAsia="宋体" w:cs="宋体"/>
                <w:color w:val="auto"/>
                <w:sz w:val="24"/>
                <w:szCs w:val="24"/>
                <w:highlight w:val="none"/>
                <w:u w:val="none"/>
              </w:rPr>
              <w:t>定标委员会</w:t>
            </w:r>
            <w:r>
              <w:rPr>
                <w:rFonts w:hint="eastAsia" w:ascii="宋体" w:hAnsi="宋体" w:eastAsia="宋体" w:cs="宋体"/>
                <w:color w:val="auto"/>
                <w:sz w:val="24"/>
                <w:szCs w:val="24"/>
                <w:highlight w:val="none"/>
                <w:u w:val="none"/>
                <w:lang w:eastAsia="zh-CN"/>
              </w:rPr>
              <w:t>组成人</w:t>
            </w:r>
            <w:r>
              <w:rPr>
                <w:rFonts w:hint="eastAsia" w:ascii="宋体" w:hAnsi="宋体" w:eastAsia="宋体" w:cs="宋体"/>
                <w:color w:val="auto"/>
                <w:sz w:val="24"/>
                <w:szCs w:val="24"/>
                <w:highlight w:val="none"/>
                <w:u w:val="none"/>
              </w:rPr>
              <w:t>员为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7 </w:t>
            </w:r>
            <w:r>
              <w:rPr>
                <w:rFonts w:hint="eastAsia" w:ascii="宋体" w:hAnsi="宋体" w:eastAsia="宋体" w:cs="宋体"/>
                <w:color w:val="auto"/>
                <w:sz w:val="24"/>
                <w:szCs w:val="24"/>
                <w:highlight w:val="none"/>
              </w:rPr>
              <w:t>人</w:t>
            </w:r>
            <w:r>
              <w:rPr>
                <w:rFonts w:hint="eastAsia" w:ascii="宋体" w:hAnsi="宋体" w:eastAsia="宋体" w:cs="宋体"/>
                <w:color w:val="auto"/>
                <w:sz w:val="24"/>
                <w:szCs w:val="24"/>
                <w:highlight w:val="none"/>
                <w:u w:val="none"/>
                <w:lang w:eastAsia="zh-CN"/>
              </w:rPr>
              <w:t>。</w:t>
            </w:r>
          </w:p>
        </w:tc>
      </w:tr>
      <w:tr w14:paraId="1AEE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1" w:type="pct"/>
            <w:noWrap w:val="0"/>
            <w:vAlign w:val="center"/>
          </w:tcPr>
          <w:p w14:paraId="32A9F2ED">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rPr>
              <w:t>.0</w:t>
            </w:r>
          </w:p>
        </w:tc>
        <w:tc>
          <w:tcPr>
            <w:tcW w:w="871" w:type="pct"/>
            <w:gridSpan w:val="2"/>
            <w:noWrap w:val="0"/>
            <w:vAlign w:val="center"/>
          </w:tcPr>
          <w:p w14:paraId="7778A631">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pacing w:val="0"/>
                <w:kern w:val="2"/>
                <w:position w:val="0"/>
                <w:sz w:val="24"/>
                <w:szCs w:val="24"/>
                <w:highlight w:val="none"/>
                <w:u w:val="none" w:color="auto"/>
                <w:lang w:val="en-US" w:eastAsia="zh-CN" w:bidi="ar-SA"/>
              </w:rPr>
            </w:pPr>
            <w:r>
              <w:rPr>
                <w:rFonts w:hint="eastAsia" w:ascii="宋体" w:hAnsi="宋体" w:eastAsia="宋体" w:cs="宋体"/>
                <w:b w:val="0"/>
                <w:bCs w:val="0"/>
                <w:color w:val="auto"/>
                <w:spacing w:val="0"/>
                <w:kern w:val="2"/>
                <w:position w:val="0"/>
                <w:sz w:val="24"/>
                <w:szCs w:val="24"/>
                <w:highlight w:val="none"/>
                <w:u w:val="none" w:color="auto"/>
                <w:lang w:val="en-US" w:eastAsia="zh-CN" w:bidi="ar-SA"/>
              </w:rPr>
              <w:t>评标办法</w:t>
            </w:r>
          </w:p>
        </w:tc>
        <w:tc>
          <w:tcPr>
            <w:tcW w:w="3576" w:type="pct"/>
            <w:noWrap w:val="0"/>
            <w:vAlign w:val="center"/>
          </w:tcPr>
          <w:p w14:paraId="08348C9E">
            <w:pPr>
              <w:keepNext w:val="0"/>
              <w:keepLines w:val="0"/>
              <w:pageBreakBefore w:val="0"/>
              <w:widowControl w:val="0"/>
              <w:shd w:val="clear" w:color="auto" w:fill="auto"/>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pacing w:val="0"/>
                <w:kern w:val="2"/>
                <w:position w:val="0"/>
                <w:sz w:val="24"/>
                <w:szCs w:val="24"/>
                <w:highlight w:val="none"/>
                <w:u w:val="none" w:color="auto"/>
                <w:lang w:val="en-US" w:eastAsia="zh-CN" w:bidi="ar-SA"/>
              </w:rPr>
            </w:pPr>
            <w:r>
              <w:rPr>
                <w:rFonts w:hint="eastAsia" w:ascii="宋体" w:hAnsi="宋体" w:eastAsia="宋体" w:cs="宋体"/>
                <w:b w:val="0"/>
                <w:bCs w:val="0"/>
                <w:color w:val="auto"/>
                <w:spacing w:val="0"/>
                <w:kern w:val="2"/>
                <w:position w:val="0"/>
                <w:sz w:val="24"/>
                <w:szCs w:val="24"/>
                <w:highlight w:val="none"/>
                <w:u w:val="none" w:color="auto"/>
                <w:lang w:val="en-US" w:eastAsia="zh-CN" w:bidi="ar-SA"/>
              </w:rPr>
              <w:t>综合评估法</w:t>
            </w:r>
          </w:p>
        </w:tc>
      </w:tr>
      <w:tr w14:paraId="25B4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1" w:type="pct"/>
            <w:noWrap w:val="0"/>
            <w:vAlign w:val="center"/>
          </w:tcPr>
          <w:p w14:paraId="562BB266">
            <w:pPr>
              <w:pStyle w:val="18"/>
              <w:keepNext w:val="0"/>
              <w:keepLines w:val="0"/>
              <w:pageBreakBefore w:val="0"/>
              <w:widowControl w:val="0"/>
              <w:shd w:val="clear" w:color="auto" w:fill="auto"/>
              <w:kinsoku/>
              <w:wordWrap/>
              <w:overflowPunct/>
              <w:topLinePunct w:val="0"/>
              <w:autoSpaceDE/>
              <w:autoSpaceDN/>
              <w:bidi w:val="0"/>
              <w:adjustRightInd/>
              <w:snapToGrid/>
              <w:spacing w:before="0" w:beforeLines="0" w:after="0" w:afterLines="0" w:line="240" w:lineRule="auto"/>
              <w:jc w:val="center"/>
              <w:textAlignment w:val="auto"/>
              <w:rPr>
                <w:rFonts w:hint="eastAsia" w:ascii="宋体" w:hAnsi="宋体" w:eastAsia="宋体" w:cs="宋体"/>
                <w:color w:val="auto"/>
                <w:sz w:val="24"/>
                <w:szCs w:val="24"/>
                <w:highlight w:val="none"/>
              </w:rPr>
            </w:pPr>
            <w:r>
              <w:rPr>
                <w:rStyle w:val="24"/>
                <w:rFonts w:hint="eastAsia" w:ascii="宋体" w:hAnsi="宋体" w:eastAsia="宋体" w:cs="宋体"/>
                <w:b w:val="0"/>
                <w:bCs w:val="0"/>
                <w:color w:val="auto"/>
                <w:sz w:val="24"/>
                <w:szCs w:val="24"/>
                <w:highlight w:val="none"/>
                <w:lang w:val="en-US" w:eastAsia="zh-CN"/>
              </w:rPr>
              <w:t>30.0</w:t>
            </w:r>
          </w:p>
        </w:tc>
        <w:tc>
          <w:tcPr>
            <w:tcW w:w="871" w:type="pct"/>
            <w:gridSpan w:val="2"/>
            <w:noWrap w:val="0"/>
            <w:vAlign w:val="center"/>
          </w:tcPr>
          <w:p w14:paraId="19FE45A2">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pacing w:val="0"/>
                <w:kern w:val="2"/>
                <w:position w:val="0"/>
                <w:sz w:val="24"/>
                <w:szCs w:val="24"/>
                <w:highlight w:val="none"/>
                <w:u w:val="none" w:color="auto"/>
                <w:lang w:val="en-US" w:eastAsia="zh-CN" w:bidi="ar-SA"/>
              </w:rPr>
            </w:pPr>
            <w:r>
              <w:rPr>
                <w:rFonts w:hint="eastAsia" w:ascii="宋体" w:hAnsi="宋体" w:eastAsia="宋体" w:cs="宋体"/>
                <w:b w:val="0"/>
                <w:bCs w:val="0"/>
                <w:color w:val="auto"/>
                <w:spacing w:val="0"/>
                <w:kern w:val="2"/>
                <w:position w:val="0"/>
                <w:sz w:val="24"/>
                <w:szCs w:val="24"/>
                <w:highlight w:val="none"/>
                <w:u w:val="none" w:color="auto"/>
                <w:lang w:val="en-US" w:eastAsia="zh-CN" w:bidi="ar-SA"/>
              </w:rPr>
              <w:t>定标办法</w:t>
            </w:r>
          </w:p>
        </w:tc>
        <w:tc>
          <w:tcPr>
            <w:tcW w:w="3576" w:type="pct"/>
            <w:noWrap w:val="0"/>
            <w:vAlign w:val="center"/>
          </w:tcPr>
          <w:p w14:paraId="66888A13">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eastAsia" w:ascii="宋体" w:hAnsi="宋体" w:eastAsia="宋体" w:cs="宋体"/>
                <w:b w:val="0"/>
                <w:bCs w:val="0"/>
                <w:color w:val="auto"/>
                <w:spacing w:val="0"/>
                <w:kern w:val="2"/>
                <w:position w:val="0"/>
                <w:sz w:val="24"/>
                <w:szCs w:val="24"/>
                <w:highlight w:val="none"/>
                <w:u w:val="none" w:color="auto"/>
                <w:lang w:val="en-US" w:eastAsia="zh-CN" w:bidi="ar-SA"/>
              </w:rPr>
            </w:pPr>
            <w:r>
              <w:rPr>
                <w:rFonts w:hint="eastAsia" w:ascii="宋体" w:hAnsi="宋体" w:eastAsia="宋体" w:cs="宋体"/>
                <w:b w:val="0"/>
                <w:bCs w:val="0"/>
                <w:color w:val="auto"/>
                <w:spacing w:val="0"/>
                <w:kern w:val="2"/>
                <w:position w:val="0"/>
                <w:sz w:val="24"/>
                <w:szCs w:val="24"/>
                <w:highlight w:val="none"/>
                <w:u w:val="none" w:color="auto"/>
                <w:lang w:val="en-US" w:eastAsia="zh-CN" w:bidi="ar-SA"/>
              </w:rPr>
              <w:t>采用评定分离的项目，应选定下列定标办法：</w:t>
            </w:r>
          </w:p>
          <w:p w14:paraId="6822FBFA">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240" w:lineRule="auto"/>
              <w:jc w:val="both"/>
              <w:textAlignment w:val="auto"/>
              <w:outlineLvl w:val="9"/>
              <w:rPr>
                <w:rFonts w:hint="eastAsia" w:ascii="宋体" w:hAnsi="宋体" w:eastAsia="宋体" w:cs="宋体"/>
                <w:b w:val="0"/>
                <w:bCs w:val="0"/>
                <w:color w:val="auto"/>
                <w:spacing w:val="0"/>
                <w:kern w:val="2"/>
                <w:position w:val="0"/>
                <w:sz w:val="24"/>
                <w:szCs w:val="24"/>
                <w:highlight w:val="none"/>
                <w:u w:val="none" w:color="auto"/>
                <w:lang w:val="en-US" w:eastAsia="zh-CN" w:bidi="ar-SA"/>
              </w:rPr>
            </w:pPr>
            <w:r>
              <w:rPr>
                <w:rFonts w:hint="eastAsia" w:ascii="宋体" w:hAnsi="宋体" w:eastAsia="宋体" w:cs="宋体"/>
                <w:b w:val="0"/>
                <w:bCs w:val="0"/>
                <w:color w:val="auto"/>
                <w:spacing w:val="0"/>
                <w:kern w:val="2"/>
                <w:position w:val="0"/>
                <w:sz w:val="24"/>
                <w:szCs w:val="24"/>
                <w:highlight w:val="none"/>
                <w:u w:val="none" w:color="auto"/>
                <w:lang w:val="en-US" w:eastAsia="zh-CN" w:bidi="ar-SA"/>
              </w:rPr>
              <w:t>☑票决数量法</w:t>
            </w:r>
          </w:p>
          <w:p w14:paraId="1E6B3B42">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240" w:lineRule="auto"/>
              <w:jc w:val="both"/>
              <w:textAlignment w:val="auto"/>
              <w:outlineLvl w:val="9"/>
              <w:rPr>
                <w:rFonts w:hint="eastAsia" w:ascii="宋体" w:hAnsi="宋体" w:eastAsia="宋体" w:cs="宋体"/>
                <w:b w:val="0"/>
                <w:bCs w:val="0"/>
                <w:color w:val="auto"/>
                <w:spacing w:val="0"/>
                <w:kern w:val="2"/>
                <w:position w:val="0"/>
                <w:sz w:val="24"/>
                <w:szCs w:val="24"/>
                <w:highlight w:val="none"/>
                <w:u w:val="none" w:color="auto"/>
                <w:lang w:val="en-US" w:eastAsia="zh-CN" w:bidi="ar-SA"/>
              </w:rPr>
            </w:pPr>
            <w:r>
              <w:rPr>
                <w:rFonts w:hint="eastAsia" w:ascii="宋体" w:hAnsi="宋体" w:eastAsia="宋体" w:cs="宋体"/>
                <w:b w:val="0"/>
                <w:bCs w:val="0"/>
                <w:color w:val="auto"/>
                <w:spacing w:val="0"/>
                <w:kern w:val="2"/>
                <w:position w:val="0"/>
                <w:sz w:val="24"/>
                <w:szCs w:val="24"/>
                <w:highlight w:val="none"/>
                <w:u w:val="none" w:color="auto"/>
                <w:lang w:val="en-US" w:eastAsia="zh-CN" w:bidi="ar-SA"/>
              </w:rPr>
              <w:t>□票决计分法</w:t>
            </w:r>
          </w:p>
          <w:p w14:paraId="0D214361">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240" w:lineRule="auto"/>
              <w:jc w:val="both"/>
              <w:textAlignment w:val="auto"/>
              <w:outlineLvl w:val="9"/>
              <w:rPr>
                <w:rFonts w:hint="eastAsia" w:ascii="宋体" w:hAnsi="宋体" w:eastAsia="宋体" w:cs="宋体"/>
                <w:b w:val="0"/>
                <w:bCs w:val="0"/>
                <w:color w:val="auto"/>
                <w:spacing w:val="0"/>
                <w:kern w:val="2"/>
                <w:position w:val="0"/>
                <w:sz w:val="24"/>
                <w:szCs w:val="24"/>
                <w:highlight w:val="none"/>
                <w:u w:val="none" w:color="auto"/>
                <w:lang w:val="en-US" w:eastAsia="zh-CN" w:bidi="ar-SA"/>
              </w:rPr>
            </w:pPr>
            <w:r>
              <w:rPr>
                <w:rFonts w:hint="eastAsia" w:ascii="宋体" w:hAnsi="宋体" w:eastAsia="宋体" w:cs="宋体"/>
                <w:b w:val="0"/>
                <w:bCs w:val="0"/>
                <w:color w:val="auto"/>
                <w:spacing w:val="0"/>
                <w:kern w:val="2"/>
                <w:position w:val="0"/>
                <w:sz w:val="24"/>
                <w:szCs w:val="24"/>
                <w:highlight w:val="none"/>
                <w:u w:val="none" w:color="auto"/>
                <w:lang w:val="en-US" w:eastAsia="zh-CN" w:bidi="ar-SA"/>
              </w:rPr>
              <w:t>□集体议事法</w:t>
            </w:r>
          </w:p>
          <w:p w14:paraId="472AFB2A">
            <w:pPr>
              <w:pStyle w:val="2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宋体" w:hAnsi="宋体" w:eastAsia="宋体" w:cs="宋体"/>
                <w:b w:val="0"/>
                <w:bCs w:val="0"/>
                <w:color w:val="auto"/>
                <w:spacing w:val="0"/>
                <w:kern w:val="2"/>
                <w:position w:val="0"/>
                <w:sz w:val="24"/>
                <w:szCs w:val="24"/>
                <w:highlight w:val="none"/>
                <w:u w:val="none" w:color="auto"/>
                <w:lang w:val="en-US" w:eastAsia="zh-CN" w:bidi="ar-SA"/>
              </w:rPr>
            </w:pPr>
            <w:r>
              <w:rPr>
                <w:rFonts w:hint="eastAsia" w:ascii="宋体" w:hAnsi="宋体" w:eastAsia="宋体" w:cs="宋体"/>
                <w:b w:val="0"/>
                <w:bCs w:val="0"/>
                <w:color w:val="auto"/>
                <w:spacing w:val="0"/>
                <w:kern w:val="2"/>
                <w:position w:val="0"/>
                <w:sz w:val="24"/>
                <w:szCs w:val="24"/>
                <w:highlight w:val="none"/>
                <w:u w:val="none" w:color="auto"/>
                <w:lang w:val="en-US" w:eastAsia="zh-CN" w:bidi="ar-SA"/>
              </w:rPr>
              <w:t>□其他方法：</w:t>
            </w:r>
          </w:p>
        </w:tc>
      </w:tr>
      <w:tr w14:paraId="4DD3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1" w:type="pct"/>
            <w:noWrap w:val="0"/>
            <w:vAlign w:val="center"/>
          </w:tcPr>
          <w:p w14:paraId="37417908">
            <w:pPr>
              <w:pStyle w:val="18"/>
              <w:keepNext w:val="0"/>
              <w:keepLines w:val="0"/>
              <w:pageBreakBefore w:val="0"/>
              <w:widowControl w:val="0"/>
              <w:shd w:val="clear" w:color="auto" w:fill="auto"/>
              <w:kinsoku/>
              <w:wordWrap/>
              <w:overflowPunct/>
              <w:topLinePunct w:val="0"/>
              <w:autoSpaceDE/>
              <w:autoSpaceDN/>
              <w:bidi w:val="0"/>
              <w:adjustRightInd/>
              <w:snapToGrid/>
              <w:spacing w:before="0" w:beforeLines="0" w:after="0" w:afterLines="0" w:line="240" w:lineRule="auto"/>
              <w:jc w:val="center"/>
              <w:textAlignment w:val="auto"/>
              <w:rPr>
                <w:rStyle w:val="24"/>
                <w:rFonts w:hint="eastAsia" w:ascii="宋体" w:hAnsi="宋体" w:eastAsia="宋体" w:cs="宋体"/>
                <w:b w:val="0"/>
                <w:bCs w:val="0"/>
                <w:color w:val="auto"/>
                <w:sz w:val="24"/>
                <w:szCs w:val="24"/>
                <w:highlight w:val="none"/>
                <w:lang w:val="en-US" w:eastAsia="zh-CN"/>
              </w:rPr>
            </w:pPr>
            <w:r>
              <w:rPr>
                <w:rStyle w:val="24"/>
                <w:rFonts w:hint="eastAsia" w:ascii="宋体" w:hAnsi="宋体" w:eastAsia="宋体" w:cs="宋体"/>
                <w:b w:val="0"/>
                <w:bCs w:val="0"/>
                <w:color w:val="auto"/>
                <w:sz w:val="24"/>
                <w:szCs w:val="24"/>
                <w:highlight w:val="none"/>
                <w:lang w:val="en-US" w:eastAsia="zh-CN"/>
              </w:rPr>
              <w:t>29</w:t>
            </w:r>
            <w:r>
              <w:rPr>
                <w:rStyle w:val="24"/>
                <w:rFonts w:hint="eastAsia" w:ascii="宋体" w:hAnsi="宋体" w:eastAsia="宋体" w:cs="宋体"/>
                <w:b w:val="0"/>
                <w:bCs w:val="0"/>
                <w:color w:val="auto"/>
                <w:sz w:val="24"/>
                <w:szCs w:val="24"/>
                <w:highlight w:val="none"/>
              </w:rPr>
              <w:t>.0</w:t>
            </w:r>
          </w:p>
        </w:tc>
        <w:tc>
          <w:tcPr>
            <w:tcW w:w="871" w:type="pct"/>
            <w:gridSpan w:val="2"/>
            <w:noWrap w:val="0"/>
            <w:vAlign w:val="center"/>
          </w:tcPr>
          <w:p w14:paraId="1180F4CD">
            <w:pPr>
              <w:pStyle w:val="18"/>
              <w:keepNext w:val="0"/>
              <w:keepLines w:val="0"/>
              <w:pageBreakBefore w:val="0"/>
              <w:widowControl w:val="0"/>
              <w:shd w:val="clear" w:color="auto" w:fill="auto"/>
              <w:kinsoku/>
              <w:wordWrap/>
              <w:overflowPunct/>
              <w:topLinePunct w:val="0"/>
              <w:autoSpaceDE/>
              <w:autoSpaceDN/>
              <w:bidi w:val="0"/>
              <w:adjustRightInd/>
              <w:snapToGrid/>
              <w:spacing w:before="0" w:beforeLines="0" w:after="0" w:afterLines="0" w:line="240" w:lineRule="auto"/>
              <w:jc w:val="center"/>
              <w:textAlignment w:val="auto"/>
              <w:rPr>
                <w:rFonts w:hint="eastAsia" w:ascii="宋体" w:hAnsi="宋体" w:eastAsia="宋体" w:cs="宋体"/>
                <w:color w:val="auto"/>
                <w:kern w:val="2"/>
                <w:sz w:val="24"/>
                <w:szCs w:val="24"/>
                <w:highlight w:val="none"/>
                <w:lang w:val="en-US" w:eastAsia="zh-CN" w:bidi="ar-SA"/>
              </w:rPr>
            </w:pPr>
            <w:r>
              <w:rPr>
                <w:rStyle w:val="24"/>
                <w:rFonts w:hint="eastAsia" w:ascii="宋体" w:hAnsi="宋体" w:eastAsia="宋体" w:cs="宋体"/>
                <w:b w:val="0"/>
                <w:color w:val="auto"/>
                <w:sz w:val="24"/>
                <w:szCs w:val="24"/>
                <w:highlight w:val="none"/>
              </w:rPr>
              <w:t>项目评标方式</w:t>
            </w:r>
          </w:p>
        </w:tc>
        <w:tc>
          <w:tcPr>
            <w:tcW w:w="3576" w:type="pct"/>
            <w:noWrap w:val="0"/>
            <w:vAlign w:val="center"/>
          </w:tcPr>
          <w:p w14:paraId="7DBE648C">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val="0"/>
                <w:bCs w:val="0"/>
                <w:color w:val="auto"/>
                <w:sz w:val="24"/>
                <w:szCs w:val="24"/>
                <w:highlight w:val="none"/>
                <w:lang w:eastAsia="zh-CN"/>
              </w:rPr>
              <w:t>本招标项目</w:t>
            </w:r>
            <w:r>
              <w:rPr>
                <w:rFonts w:hint="eastAsia" w:ascii="宋体" w:hAnsi="宋体" w:eastAsia="宋体" w:cs="宋体"/>
                <w:b w:val="0"/>
                <w:bCs w:val="0"/>
                <w:color w:val="auto"/>
                <w:sz w:val="24"/>
                <w:szCs w:val="24"/>
                <w:highlight w:val="none"/>
              </w:rPr>
              <w:t>所有投标文件均采用明标评标方式。</w:t>
            </w:r>
          </w:p>
        </w:tc>
      </w:tr>
      <w:tr w14:paraId="3D93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1" w:type="pct"/>
            <w:noWrap w:val="0"/>
            <w:vAlign w:val="center"/>
          </w:tcPr>
          <w:p w14:paraId="2D827DD4">
            <w:pPr>
              <w:pStyle w:val="18"/>
              <w:keepNext w:val="0"/>
              <w:keepLines w:val="0"/>
              <w:pageBreakBefore w:val="0"/>
              <w:widowControl w:val="0"/>
              <w:shd w:val="clear" w:color="auto" w:fill="auto"/>
              <w:kinsoku/>
              <w:wordWrap/>
              <w:overflowPunct/>
              <w:topLinePunct w:val="0"/>
              <w:autoSpaceDE/>
              <w:autoSpaceDN/>
              <w:bidi w:val="0"/>
              <w:adjustRightInd/>
              <w:snapToGrid/>
              <w:spacing w:before="0" w:beforeLines="0" w:after="0" w:afterLines="0" w:line="240" w:lineRule="auto"/>
              <w:jc w:val="center"/>
              <w:textAlignment w:val="auto"/>
              <w:rPr>
                <w:rFonts w:hint="eastAsia" w:ascii="宋体" w:hAnsi="宋体" w:eastAsia="宋体" w:cs="宋体"/>
                <w:color w:val="auto"/>
                <w:sz w:val="24"/>
                <w:szCs w:val="24"/>
                <w:highlight w:val="none"/>
              </w:rPr>
            </w:pPr>
            <w:r>
              <w:rPr>
                <w:rStyle w:val="24"/>
                <w:rFonts w:hint="eastAsia" w:ascii="宋体" w:hAnsi="宋体" w:eastAsia="宋体" w:cs="宋体"/>
                <w:b w:val="0"/>
                <w:bCs w:val="0"/>
                <w:color w:val="auto"/>
                <w:sz w:val="24"/>
                <w:szCs w:val="24"/>
                <w:highlight w:val="none"/>
                <w:lang w:val="en-US" w:eastAsia="zh-CN"/>
              </w:rPr>
              <w:t>33</w:t>
            </w:r>
            <w:r>
              <w:rPr>
                <w:rStyle w:val="24"/>
                <w:rFonts w:hint="eastAsia" w:ascii="宋体" w:hAnsi="宋体" w:eastAsia="宋体" w:cs="宋体"/>
                <w:b w:val="0"/>
                <w:bCs w:val="0"/>
                <w:color w:val="auto"/>
                <w:sz w:val="24"/>
                <w:szCs w:val="24"/>
                <w:highlight w:val="none"/>
              </w:rPr>
              <w:t>.2</w:t>
            </w:r>
          </w:p>
        </w:tc>
        <w:tc>
          <w:tcPr>
            <w:tcW w:w="871" w:type="pct"/>
            <w:gridSpan w:val="2"/>
            <w:noWrap w:val="0"/>
            <w:vAlign w:val="center"/>
          </w:tcPr>
          <w:p w14:paraId="50BB24EA">
            <w:pPr>
              <w:pStyle w:val="18"/>
              <w:keepNext w:val="0"/>
              <w:keepLines w:val="0"/>
              <w:pageBreakBefore w:val="0"/>
              <w:widowControl w:val="0"/>
              <w:shd w:val="clear" w:color="auto" w:fill="auto"/>
              <w:kinsoku/>
              <w:wordWrap/>
              <w:overflowPunct/>
              <w:topLinePunct w:val="0"/>
              <w:autoSpaceDE/>
              <w:autoSpaceDN/>
              <w:bidi w:val="0"/>
              <w:adjustRightInd/>
              <w:snapToGrid/>
              <w:spacing w:before="0" w:beforeLines="0" w:after="0" w:afterLines="0" w:line="240" w:lineRule="auto"/>
              <w:jc w:val="center"/>
              <w:textAlignment w:val="auto"/>
              <w:rPr>
                <w:rStyle w:val="24"/>
                <w:rFonts w:hint="eastAsia" w:ascii="宋体" w:hAnsi="宋体" w:eastAsia="宋体" w:cs="宋体"/>
                <w:b w:val="0"/>
                <w:color w:val="auto"/>
                <w:sz w:val="24"/>
                <w:szCs w:val="24"/>
                <w:highlight w:val="none"/>
              </w:rPr>
            </w:pPr>
            <w:r>
              <w:rPr>
                <w:rStyle w:val="24"/>
                <w:rFonts w:hint="eastAsia" w:ascii="宋体" w:hAnsi="宋体" w:eastAsia="宋体" w:cs="宋体"/>
                <w:b w:val="0"/>
                <w:color w:val="auto"/>
                <w:sz w:val="24"/>
                <w:szCs w:val="24"/>
                <w:highlight w:val="none"/>
              </w:rPr>
              <w:t>中标通知书</w:t>
            </w:r>
          </w:p>
          <w:p w14:paraId="107CEDF7">
            <w:pPr>
              <w:pStyle w:val="18"/>
              <w:keepNext w:val="0"/>
              <w:keepLines w:val="0"/>
              <w:pageBreakBefore w:val="0"/>
              <w:widowControl w:val="0"/>
              <w:shd w:val="clear" w:color="auto" w:fill="auto"/>
              <w:kinsoku/>
              <w:wordWrap/>
              <w:overflowPunct/>
              <w:topLinePunct w:val="0"/>
              <w:autoSpaceDE/>
              <w:autoSpaceDN/>
              <w:bidi w:val="0"/>
              <w:adjustRightInd/>
              <w:snapToGrid/>
              <w:spacing w:before="0" w:beforeLines="0" w:after="0" w:afterLines="0" w:line="240" w:lineRule="auto"/>
              <w:jc w:val="center"/>
              <w:textAlignment w:val="auto"/>
              <w:rPr>
                <w:rFonts w:hint="eastAsia" w:ascii="宋体" w:hAnsi="宋体" w:eastAsia="宋体" w:cs="宋体"/>
                <w:color w:val="auto"/>
                <w:sz w:val="24"/>
                <w:szCs w:val="24"/>
                <w:highlight w:val="none"/>
              </w:rPr>
            </w:pPr>
            <w:r>
              <w:rPr>
                <w:rStyle w:val="24"/>
                <w:rFonts w:hint="eastAsia" w:ascii="宋体" w:hAnsi="宋体" w:eastAsia="宋体" w:cs="宋体"/>
                <w:b w:val="0"/>
                <w:color w:val="auto"/>
                <w:sz w:val="24"/>
                <w:szCs w:val="24"/>
                <w:highlight w:val="none"/>
              </w:rPr>
              <w:t>发放</w:t>
            </w:r>
          </w:p>
        </w:tc>
        <w:tc>
          <w:tcPr>
            <w:tcW w:w="3576" w:type="pct"/>
            <w:noWrap w:val="0"/>
            <w:vAlign w:val="center"/>
          </w:tcPr>
          <w:p w14:paraId="7FB06E62">
            <w:pPr>
              <w:pStyle w:val="8"/>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中标人确定后，招标人应当在7日内向中标人发出中标通知书。</w:t>
            </w:r>
          </w:p>
          <w:p w14:paraId="007B9C9F">
            <w:pPr>
              <w:pStyle w:val="8"/>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招标人最迟应当在投标有效期届满30日前发出中标通知书，否则，应当按照本投标人须知的规定延长投标有效期。</w:t>
            </w:r>
          </w:p>
        </w:tc>
      </w:tr>
      <w:tr w14:paraId="69A9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1" w:type="pct"/>
            <w:noWrap w:val="0"/>
            <w:vAlign w:val="center"/>
          </w:tcPr>
          <w:p w14:paraId="0DA2535A">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Style w:val="24"/>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eastAsia="zh-CN"/>
              </w:rPr>
              <w:t>37</w:t>
            </w:r>
          </w:p>
        </w:tc>
        <w:tc>
          <w:tcPr>
            <w:tcW w:w="871" w:type="pct"/>
            <w:gridSpan w:val="2"/>
            <w:noWrap w:val="0"/>
            <w:vAlign w:val="center"/>
          </w:tcPr>
          <w:p w14:paraId="0679C597">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履约担保</w:t>
            </w:r>
          </w:p>
          <w:p w14:paraId="5A84CCC1">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Style w:val="24"/>
                <w:rFonts w:hint="eastAsia" w:ascii="宋体" w:hAnsi="宋体" w:eastAsia="宋体" w:cs="宋体"/>
                <w:b w:val="0"/>
                <w:color w:val="auto"/>
                <w:sz w:val="24"/>
                <w:szCs w:val="24"/>
                <w:highlight w:val="none"/>
              </w:rPr>
            </w:pPr>
            <w:r>
              <w:rPr>
                <w:rFonts w:hint="eastAsia" w:ascii="宋体" w:hAnsi="宋体" w:eastAsia="宋体" w:cs="宋体"/>
                <w:color w:val="auto"/>
                <w:sz w:val="24"/>
                <w:szCs w:val="24"/>
                <w:highlight w:val="none"/>
              </w:rPr>
              <w:t>要求</w:t>
            </w:r>
          </w:p>
        </w:tc>
        <w:tc>
          <w:tcPr>
            <w:tcW w:w="3576" w:type="pct"/>
            <w:noWrap w:val="0"/>
            <w:vAlign w:val="center"/>
          </w:tcPr>
          <w:p w14:paraId="4CCC8251">
            <w:pPr>
              <w:wordWrap w:val="0"/>
              <w:adjustRightInd w:val="0"/>
              <w:snapToGrid w:val="0"/>
              <w:spacing w:line="240" w:lineRule="auto"/>
              <w:ind w:firstLine="56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中标人须在领取中标通知书之日起</w:t>
            </w:r>
            <w:r>
              <w:rPr>
                <w:rFonts w:hint="eastAsia" w:ascii="宋体" w:hAnsi="宋体" w:eastAsia="宋体" w:cs="宋体"/>
                <w:snapToGrid w:val="0"/>
                <w:color w:val="auto"/>
                <w:kern w:val="0"/>
                <w:sz w:val="24"/>
                <w:szCs w:val="24"/>
                <w:highlight w:val="none"/>
                <w:u w:val="single"/>
              </w:rPr>
              <w:t>10</w:t>
            </w:r>
            <w:r>
              <w:rPr>
                <w:rFonts w:hint="eastAsia" w:ascii="宋体" w:hAnsi="宋体" w:eastAsia="宋体" w:cs="宋体"/>
                <w:snapToGrid w:val="0"/>
                <w:color w:val="auto"/>
                <w:kern w:val="0"/>
                <w:sz w:val="24"/>
                <w:szCs w:val="24"/>
                <w:highlight w:val="none"/>
              </w:rPr>
              <w:t>个工作日内、签订合同前提交金额为中标价</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5</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%的履约保证。</w:t>
            </w:r>
          </w:p>
          <w:p w14:paraId="6D196743">
            <w:pPr>
              <w:wordWrap w:val="0"/>
              <w:adjustRightInd w:val="0"/>
              <w:snapToGrid w:val="0"/>
              <w:spacing w:line="240" w:lineRule="auto"/>
              <w:ind w:firstLine="56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自主选择。商业保函、银行保函或保险合同（或保险单）的有效期应当自合同生效之日起至项目通过竣工验收之日后</w:t>
            </w:r>
            <w:r>
              <w:rPr>
                <w:rFonts w:hint="eastAsia" w:ascii="宋体" w:hAnsi="宋体" w:eastAsia="宋体" w:cs="宋体"/>
                <w:snapToGrid w:val="0"/>
                <w:color w:val="auto"/>
                <w:kern w:val="0"/>
                <w:sz w:val="24"/>
                <w:szCs w:val="24"/>
                <w:highlight w:val="none"/>
                <w:u w:val="single"/>
              </w:rPr>
              <w:t xml:space="preserve"> 28 </w:t>
            </w:r>
            <w:r>
              <w:rPr>
                <w:rFonts w:hint="eastAsia" w:ascii="宋体" w:hAnsi="宋体" w:eastAsia="宋体" w:cs="宋体"/>
                <w:snapToGrid w:val="0"/>
                <w:color w:val="auto"/>
                <w:kern w:val="0"/>
                <w:sz w:val="24"/>
                <w:szCs w:val="24"/>
                <w:highlight w:val="none"/>
              </w:rPr>
              <w:t>天止。</w:t>
            </w:r>
          </w:p>
          <w:p w14:paraId="2D2DEB86">
            <w:pPr>
              <w:wordWrap w:val="0"/>
              <w:adjustRightInd w:val="0"/>
              <w:snapToGrid w:val="0"/>
              <w:spacing w:line="240" w:lineRule="auto"/>
              <w:ind w:firstLine="56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并由招标人通报建设行政管理部门。如采用商业保函、银行保函或保险合同方式缴纳履约保证金，在保函或保险合同到期前一个月，中标人须主动办理续期手续或提交新的商业保函、银行保函或保险合同。如中标人未及时主动办理续期手续或提交新的银行保函或保险合同，招标人有权扣留与履约保证金等额的施工进度款，直至中标人完成续期手续或提交新的银行保函或保险合同止。</w:t>
            </w:r>
          </w:p>
          <w:p w14:paraId="78E5D6E1">
            <w:pPr>
              <w:wordWrap w:val="0"/>
              <w:adjustRightInd w:val="0"/>
              <w:snapToGrid w:val="0"/>
              <w:spacing w:line="240" w:lineRule="auto"/>
              <w:ind w:firstLine="56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在工程实施过程中，如果承包人（即招标阶段的中标人，下同）由于自身的资金、技术、质量、非不可抗力等原因给发包人（即招标阶段的招标人，下同）造成经济损失，发包人有权扣划相应金额的履约保证。</w:t>
            </w:r>
          </w:p>
          <w:p w14:paraId="47AA085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240" w:lineRule="auto"/>
              <w:ind w:right="0"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项目通过竣工验收之日后28天内，发包人将履约保证（履约保证金不计利息）退还给承包人。</w:t>
            </w:r>
          </w:p>
        </w:tc>
      </w:tr>
      <w:tr w14:paraId="35E0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1" w:type="pct"/>
            <w:noWrap w:val="0"/>
            <w:vAlign w:val="center"/>
          </w:tcPr>
          <w:p w14:paraId="40A569F6">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.0</w:t>
            </w:r>
          </w:p>
        </w:tc>
        <w:tc>
          <w:tcPr>
            <w:tcW w:w="871" w:type="pct"/>
            <w:gridSpan w:val="2"/>
            <w:noWrap w:val="0"/>
            <w:vAlign w:val="center"/>
          </w:tcPr>
          <w:p w14:paraId="407715EA">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w:t>
            </w:r>
            <w:r>
              <w:rPr>
                <w:rFonts w:hint="eastAsia" w:ascii="宋体" w:hAnsi="宋体" w:eastAsia="宋体" w:cs="宋体"/>
                <w:color w:val="auto"/>
                <w:sz w:val="24"/>
                <w:szCs w:val="24"/>
                <w:highlight w:val="none"/>
                <w:lang w:eastAsia="zh-CN"/>
              </w:rPr>
              <w:t>存档</w:t>
            </w:r>
          </w:p>
        </w:tc>
        <w:tc>
          <w:tcPr>
            <w:tcW w:w="3576" w:type="pct"/>
            <w:noWrap w:val="0"/>
            <w:vAlign w:val="center"/>
          </w:tcPr>
          <w:p w14:paraId="666D102E">
            <w:pPr>
              <w:keepNext w:val="0"/>
              <w:keepLines w:val="0"/>
              <w:pageBreakBefore w:val="0"/>
              <w:widowControl w:val="0"/>
              <w:shd w:val="clear" w:color="auto" w:fill="auto"/>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详见投标人须知第</w:t>
            </w: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条款</w:t>
            </w:r>
          </w:p>
        </w:tc>
      </w:tr>
      <w:tr w14:paraId="1765D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51" w:type="pct"/>
            <w:noWrap w:val="0"/>
            <w:vAlign w:val="center"/>
          </w:tcPr>
          <w:p w14:paraId="70142CAB">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45</w:t>
            </w:r>
          </w:p>
        </w:tc>
        <w:tc>
          <w:tcPr>
            <w:tcW w:w="871" w:type="pct"/>
            <w:gridSpan w:val="2"/>
            <w:noWrap w:val="0"/>
            <w:vAlign w:val="center"/>
          </w:tcPr>
          <w:p w14:paraId="24B3015B">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纳入百千万工程公益性项目</w:t>
            </w:r>
          </w:p>
        </w:tc>
        <w:tc>
          <w:tcPr>
            <w:tcW w:w="3576" w:type="pct"/>
            <w:noWrap w:val="0"/>
            <w:vAlign w:val="center"/>
          </w:tcPr>
          <w:p w14:paraId="51BA71C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本次招标鼓励投标人积极响应政策号召，充分利用其人才、技术、专业、资源、资金、设备或管理优势，通过技术创新和资源优化，以投标人自愿为原则，助力百千万工程公益性项目。</w:t>
            </w:r>
          </w:p>
          <w:p w14:paraId="5B66250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投标人需提供自愿助力百千万工程公益性项目公益捐建（捐赠或配建）进度计划及保证措施；以投标人自愿为原则，按招标文件</w:t>
            </w:r>
            <w:r>
              <w:rPr>
                <w:rFonts w:hint="eastAsia" w:ascii="宋体" w:hAnsi="宋体" w:cs="宋体"/>
                <w:color w:val="auto"/>
                <w:sz w:val="24"/>
                <w:szCs w:val="24"/>
                <w:highlight w:val="none"/>
                <w:lang w:eastAsia="zh-CN"/>
              </w:rPr>
              <w:t>格式</w:t>
            </w:r>
            <w:r>
              <w:rPr>
                <w:rFonts w:hint="eastAsia" w:ascii="宋体" w:hAnsi="宋体" w:eastAsia="宋体" w:cs="宋体"/>
                <w:color w:val="auto"/>
                <w:sz w:val="24"/>
                <w:szCs w:val="24"/>
                <w:highlight w:val="none"/>
                <w:lang w:eastAsia="zh-CN"/>
              </w:rPr>
              <w:t>十</w:t>
            </w:r>
            <w:r>
              <w:rPr>
                <w:rFonts w:hint="eastAsia" w:ascii="宋体" w:hAnsi="宋体" w:eastAsia="宋体" w:cs="宋体"/>
                <w:color w:val="auto"/>
                <w:sz w:val="24"/>
                <w:szCs w:val="24"/>
                <w:highlight w:val="none"/>
                <w:lang w:val="en-US" w:eastAsia="zh-CN"/>
              </w:rPr>
              <w:t>五要求</w:t>
            </w:r>
            <w:r>
              <w:rPr>
                <w:rFonts w:hint="eastAsia" w:ascii="宋体" w:hAnsi="宋体" w:eastAsia="宋体" w:cs="宋体"/>
                <w:color w:val="auto"/>
                <w:sz w:val="24"/>
                <w:szCs w:val="24"/>
                <w:highlight w:val="none"/>
              </w:rPr>
              <w:t>提供《</w:t>
            </w:r>
            <w:r>
              <w:rPr>
                <w:rFonts w:hint="eastAsia" w:ascii="宋体" w:hAnsi="宋体" w:eastAsia="宋体" w:cs="宋体"/>
                <w:color w:val="auto"/>
                <w:sz w:val="24"/>
                <w:szCs w:val="24"/>
                <w:highlight w:val="none"/>
                <w:lang w:val="en-US" w:eastAsia="zh-CN"/>
              </w:rPr>
              <w:t>助力项目承诺书</w:t>
            </w:r>
            <w:r>
              <w:rPr>
                <w:rFonts w:hint="eastAsia" w:ascii="宋体" w:hAnsi="宋体" w:eastAsia="宋体" w:cs="宋体"/>
                <w:color w:val="auto"/>
                <w:sz w:val="24"/>
                <w:szCs w:val="24"/>
                <w:highlight w:val="none"/>
              </w:rPr>
              <w:t>》。</w:t>
            </w:r>
          </w:p>
        </w:tc>
      </w:tr>
      <w:tr w14:paraId="22608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trPr>
        <w:tc>
          <w:tcPr>
            <w:tcW w:w="1423" w:type="pct"/>
            <w:gridSpan w:val="3"/>
            <w:noWrap w:val="0"/>
            <w:vAlign w:val="center"/>
          </w:tcPr>
          <w:p w14:paraId="469FB30B">
            <w:pPr>
              <w:keepNext w:val="0"/>
              <w:keepLines w:val="0"/>
              <w:pageBreakBefore w:val="0"/>
              <w:widowControl w:val="0"/>
              <w:suppressLineNumbers w:val="0"/>
              <w:kinsoku/>
              <w:wordWrap/>
              <w:overflowPunct/>
              <w:topLinePunct w:val="0"/>
              <w:bidi w:val="0"/>
              <w:adjustRightInd/>
              <w:snapToGrid/>
              <w:spacing w:beforeAutospacing="0" w:afterAutospacing="0" w:line="240" w:lineRule="auto"/>
              <w:ind w:left="0" w:right="0"/>
              <w:jc w:val="center"/>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招标人</w:t>
            </w:r>
          </w:p>
          <w:p w14:paraId="6FCF61B4">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联系方式</w:t>
            </w:r>
          </w:p>
        </w:tc>
        <w:tc>
          <w:tcPr>
            <w:tcW w:w="3576" w:type="pct"/>
            <w:noWrap w:val="0"/>
            <w:vAlign w:val="center"/>
          </w:tcPr>
          <w:p w14:paraId="4D3B27A1">
            <w:pPr>
              <w:keepNext w:val="0"/>
              <w:keepLines w:val="0"/>
              <w:pageBreakBefore w:val="0"/>
              <w:widowControl w:val="0"/>
              <w:suppressLineNumbers w:val="0"/>
              <w:wordWrap w:val="0"/>
              <w:overflowPunct/>
              <w:topLinePunct w:val="0"/>
              <w:bidi w:val="0"/>
              <w:spacing w:beforeAutospacing="0" w:afterAutospacing="0" w:line="240" w:lineRule="auto"/>
              <w:ind w:right="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单位名称：</w:t>
            </w:r>
            <w:r>
              <w:rPr>
                <w:rFonts w:hint="eastAsia" w:ascii="宋体" w:hAnsi="宋体" w:cs="宋体"/>
                <w:color w:val="auto"/>
                <w:kern w:val="0"/>
                <w:sz w:val="24"/>
                <w:szCs w:val="24"/>
                <w:highlight w:val="none"/>
                <w:lang w:val="en-US" w:eastAsia="zh-CN" w:bidi="ar"/>
              </w:rPr>
              <w:t>韶关市武江区江湾镇人民政府</w:t>
            </w:r>
          </w:p>
          <w:p w14:paraId="40204E38">
            <w:pPr>
              <w:keepNext w:val="0"/>
              <w:keepLines w:val="0"/>
              <w:pageBreakBefore w:val="0"/>
              <w:widowControl w:val="0"/>
              <w:suppressLineNumbers w:val="0"/>
              <w:wordWrap w:val="0"/>
              <w:overflowPunct/>
              <w:topLinePunct w:val="0"/>
              <w:bidi w:val="0"/>
              <w:spacing w:beforeAutospacing="0" w:afterAutospacing="0" w:line="240" w:lineRule="auto"/>
              <w:ind w:right="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办公地址：</w:t>
            </w:r>
            <w:r>
              <w:rPr>
                <w:rFonts w:hint="eastAsia" w:ascii="宋体" w:hAnsi="宋体" w:cs="宋体"/>
                <w:color w:val="auto"/>
                <w:kern w:val="0"/>
                <w:sz w:val="24"/>
                <w:szCs w:val="24"/>
                <w:highlight w:val="none"/>
                <w:lang w:val="en-US" w:eastAsia="zh-CN" w:bidi="ar"/>
              </w:rPr>
              <w:t>韶关市武江区江湾街6号</w:t>
            </w:r>
          </w:p>
          <w:p w14:paraId="4DADECD5">
            <w:pPr>
              <w:keepNext w:val="0"/>
              <w:keepLines w:val="0"/>
              <w:pageBreakBefore w:val="0"/>
              <w:widowControl w:val="0"/>
              <w:suppressLineNumbers w:val="0"/>
              <w:wordWrap w:val="0"/>
              <w:overflowPunct/>
              <w:topLinePunct w:val="0"/>
              <w:bidi w:val="0"/>
              <w:spacing w:beforeAutospacing="0" w:afterAutospacing="0" w:line="240" w:lineRule="auto"/>
              <w:ind w:right="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联系人（部门）：</w:t>
            </w:r>
            <w:r>
              <w:rPr>
                <w:rFonts w:hint="eastAsia" w:ascii="宋体" w:hAnsi="宋体" w:cs="宋体"/>
                <w:color w:val="auto"/>
                <w:kern w:val="0"/>
                <w:sz w:val="24"/>
                <w:szCs w:val="24"/>
                <w:highlight w:val="none"/>
                <w:lang w:val="en-US" w:eastAsia="zh-CN" w:bidi="ar"/>
              </w:rPr>
              <w:t>董工</w:t>
            </w:r>
          </w:p>
          <w:p w14:paraId="4FB77C82">
            <w:pPr>
              <w:keepNext w:val="0"/>
              <w:keepLines w:val="0"/>
              <w:pageBreakBefore w:val="0"/>
              <w:widowControl w:val="0"/>
              <w:suppressLineNumbers w:val="0"/>
              <w:wordWrap w:val="0"/>
              <w:overflowPunct/>
              <w:topLinePunct w:val="0"/>
              <w:bidi w:val="0"/>
              <w:spacing w:beforeAutospacing="0" w:afterAutospacing="0" w:line="240" w:lineRule="auto"/>
              <w:ind w:right="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联系电话：</w:t>
            </w:r>
            <w:r>
              <w:rPr>
                <w:rFonts w:hint="eastAsia" w:ascii="宋体" w:hAnsi="宋体" w:cs="宋体"/>
                <w:color w:val="auto"/>
                <w:kern w:val="0"/>
                <w:sz w:val="24"/>
                <w:szCs w:val="24"/>
                <w:highlight w:val="none"/>
                <w:lang w:val="en-US" w:eastAsia="zh-CN" w:bidi="ar"/>
              </w:rPr>
              <w:t>0751-6446388</w:t>
            </w:r>
          </w:p>
        </w:tc>
      </w:tr>
      <w:tr w14:paraId="6A70C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3" w:type="pct"/>
            <w:gridSpan w:val="3"/>
            <w:noWrap w:val="0"/>
            <w:vAlign w:val="center"/>
          </w:tcPr>
          <w:p w14:paraId="5839C2EA">
            <w:pPr>
              <w:keepNext w:val="0"/>
              <w:keepLines w:val="0"/>
              <w:pageBreakBefore w:val="0"/>
              <w:widowControl w:val="0"/>
              <w:suppressLineNumbers w:val="0"/>
              <w:kinsoku/>
              <w:wordWrap/>
              <w:overflowPunct/>
              <w:topLinePunct w:val="0"/>
              <w:bidi w:val="0"/>
              <w:adjustRightInd/>
              <w:snapToGrid/>
              <w:spacing w:beforeAutospacing="0" w:afterAutospacing="0" w:line="240" w:lineRule="auto"/>
              <w:ind w:left="0" w:right="0"/>
              <w:jc w:val="center"/>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招标代理机构</w:t>
            </w:r>
          </w:p>
          <w:p w14:paraId="74A63D9C">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联系方式</w:t>
            </w:r>
          </w:p>
        </w:tc>
        <w:tc>
          <w:tcPr>
            <w:tcW w:w="3576" w:type="pct"/>
            <w:noWrap w:val="0"/>
            <w:vAlign w:val="center"/>
          </w:tcPr>
          <w:p w14:paraId="372713DF">
            <w:pPr>
              <w:keepNext w:val="0"/>
              <w:keepLines w:val="0"/>
              <w:pageBreakBefore w:val="0"/>
              <w:widowControl w:val="0"/>
              <w:suppressLineNumbers w:val="0"/>
              <w:wordWrap w:val="0"/>
              <w:overflowPunct/>
              <w:topLinePunct w:val="0"/>
              <w:bidi w:val="0"/>
              <w:spacing w:beforeAutospacing="0" w:afterAutospacing="0" w:line="240" w:lineRule="auto"/>
              <w:ind w:right="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单位名称：广东明正项目管理有限公司</w:t>
            </w:r>
          </w:p>
          <w:p w14:paraId="68197B6D">
            <w:pPr>
              <w:keepNext w:val="0"/>
              <w:keepLines w:val="0"/>
              <w:pageBreakBefore w:val="0"/>
              <w:widowControl w:val="0"/>
              <w:suppressLineNumbers w:val="0"/>
              <w:wordWrap w:val="0"/>
              <w:overflowPunct/>
              <w:topLinePunct w:val="0"/>
              <w:bidi w:val="0"/>
              <w:spacing w:beforeAutospacing="0" w:afterAutospacing="0" w:line="240" w:lineRule="auto"/>
              <w:ind w:right="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办公地址：韶关市武江区惠民北路428号7楼</w:t>
            </w:r>
          </w:p>
          <w:p w14:paraId="6C5F4EB0">
            <w:pPr>
              <w:keepNext w:val="0"/>
              <w:keepLines w:val="0"/>
              <w:pageBreakBefore w:val="0"/>
              <w:widowControl w:val="0"/>
              <w:suppressLineNumbers w:val="0"/>
              <w:wordWrap w:val="0"/>
              <w:overflowPunct/>
              <w:topLinePunct w:val="0"/>
              <w:bidi w:val="0"/>
              <w:spacing w:beforeAutospacing="0" w:afterAutospacing="0" w:line="240" w:lineRule="auto"/>
              <w:ind w:right="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联系人：杨工、潘工</w:t>
            </w:r>
          </w:p>
          <w:p w14:paraId="3B22D027">
            <w:pPr>
              <w:keepNext w:val="0"/>
              <w:keepLines w:val="0"/>
              <w:pageBreakBefore w:val="0"/>
              <w:widowControl w:val="0"/>
              <w:suppressLineNumbers w:val="0"/>
              <w:wordWrap w:val="0"/>
              <w:overflowPunct/>
              <w:topLinePunct w:val="0"/>
              <w:bidi w:val="0"/>
              <w:spacing w:beforeAutospacing="0" w:afterAutospacing="0" w:line="240" w:lineRule="auto"/>
              <w:ind w:right="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联系电话：0751-8606998</w:t>
            </w:r>
          </w:p>
        </w:tc>
      </w:tr>
      <w:tr w14:paraId="5BC8C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3" w:type="pct"/>
            <w:gridSpan w:val="3"/>
            <w:noWrap w:val="0"/>
            <w:vAlign w:val="center"/>
          </w:tcPr>
          <w:p w14:paraId="272D88D1">
            <w:pPr>
              <w:keepNext w:val="0"/>
              <w:keepLines w:val="0"/>
              <w:pageBreakBefore w:val="0"/>
              <w:widowControl w:val="0"/>
              <w:suppressLineNumbers w:val="0"/>
              <w:kinsoku/>
              <w:wordWrap/>
              <w:overflowPunct/>
              <w:topLinePunct w:val="0"/>
              <w:bidi w:val="0"/>
              <w:adjustRightInd/>
              <w:snapToGrid/>
              <w:spacing w:beforeAutospacing="0" w:afterAutospacing="0" w:line="240" w:lineRule="auto"/>
              <w:ind w:left="0" w:right="0"/>
              <w:jc w:val="center"/>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交易场所</w:t>
            </w:r>
          </w:p>
          <w:p w14:paraId="01CA9789">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联系方式</w:t>
            </w:r>
          </w:p>
        </w:tc>
        <w:tc>
          <w:tcPr>
            <w:tcW w:w="3576" w:type="pct"/>
            <w:noWrap w:val="0"/>
            <w:vAlign w:val="center"/>
          </w:tcPr>
          <w:p w14:paraId="1297DEFB">
            <w:pPr>
              <w:keepNext w:val="0"/>
              <w:keepLines w:val="0"/>
              <w:pageBreakBefore w:val="0"/>
              <w:widowControl w:val="0"/>
              <w:suppressLineNumbers w:val="0"/>
              <w:wordWrap w:val="0"/>
              <w:overflowPunct/>
              <w:topLinePunct w:val="0"/>
              <w:bidi w:val="0"/>
              <w:spacing w:beforeAutospacing="0" w:afterAutospacing="0" w:line="240" w:lineRule="auto"/>
              <w:ind w:right="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单位名称：韶关市公共资源交易中心</w:t>
            </w:r>
          </w:p>
          <w:p w14:paraId="5C9B1B4F">
            <w:pPr>
              <w:keepNext w:val="0"/>
              <w:keepLines w:val="0"/>
              <w:pageBreakBefore w:val="0"/>
              <w:widowControl w:val="0"/>
              <w:suppressLineNumbers w:val="0"/>
              <w:wordWrap w:val="0"/>
              <w:overflowPunct/>
              <w:topLinePunct w:val="0"/>
              <w:bidi w:val="0"/>
              <w:spacing w:beforeAutospacing="0" w:afterAutospacing="0" w:line="240" w:lineRule="auto"/>
              <w:ind w:right="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办公地址：广东省韶关市武江区西联镇</w:t>
            </w:r>
          </w:p>
          <w:p w14:paraId="24FDC6A0">
            <w:pPr>
              <w:keepNext w:val="0"/>
              <w:keepLines w:val="0"/>
              <w:pageBreakBefore w:val="0"/>
              <w:widowControl w:val="0"/>
              <w:suppressLineNumbers w:val="0"/>
              <w:wordWrap w:val="0"/>
              <w:overflowPunct/>
              <w:topLinePunct w:val="0"/>
              <w:bidi w:val="0"/>
              <w:spacing w:beforeAutospacing="0" w:afterAutospacing="0" w:line="240" w:lineRule="auto"/>
              <w:ind w:right="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联系人（部门）：工程交易部</w:t>
            </w:r>
          </w:p>
          <w:p w14:paraId="10BDF805">
            <w:pPr>
              <w:keepNext w:val="0"/>
              <w:keepLines w:val="0"/>
              <w:pageBreakBefore w:val="0"/>
              <w:widowControl w:val="0"/>
              <w:suppressLineNumbers w:val="0"/>
              <w:wordWrap w:val="0"/>
              <w:overflowPunct/>
              <w:topLinePunct w:val="0"/>
              <w:bidi w:val="0"/>
              <w:spacing w:beforeAutospacing="0" w:afterAutospacing="0" w:line="240" w:lineRule="auto"/>
              <w:ind w:right="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联系电话：0751-8633211</w:t>
            </w:r>
          </w:p>
        </w:tc>
      </w:tr>
      <w:tr w14:paraId="430B9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3" w:type="pct"/>
            <w:gridSpan w:val="3"/>
            <w:noWrap w:val="0"/>
            <w:vAlign w:val="center"/>
          </w:tcPr>
          <w:p w14:paraId="7F212D48">
            <w:pPr>
              <w:keepNext w:val="0"/>
              <w:keepLines w:val="0"/>
              <w:pageBreakBefore w:val="0"/>
              <w:widowControl w:val="0"/>
              <w:suppressLineNumbers w:val="0"/>
              <w:kinsoku/>
              <w:wordWrap/>
              <w:overflowPunct/>
              <w:topLinePunct w:val="0"/>
              <w:bidi w:val="0"/>
              <w:adjustRightInd/>
              <w:snapToGrid/>
              <w:spacing w:beforeAutospacing="0" w:afterAutospacing="0" w:line="240" w:lineRule="auto"/>
              <w:ind w:left="0" w:right="0"/>
              <w:jc w:val="center"/>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行政监督部门</w:t>
            </w:r>
          </w:p>
          <w:p w14:paraId="5FB842CB">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联系方式</w:t>
            </w:r>
          </w:p>
        </w:tc>
        <w:tc>
          <w:tcPr>
            <w:tcW w:w="3576" w:type="pct"/>
            <w:noWrap w:val="0"/>
            <w:vAlign w:val="center"/>
          </w:tcPr>
          <w:p w14:paraId="52B85D2C">
            <w:pPr>
              <w:keepNext w:val="0"/>
              <w:keepLines w:val="0"/>
              <w:pageBreakBefore w:val="0"/>
              <w:widowControl w:val="0"/>
              <w:suppressLineNumbers w:val="0"/>
              <w:wordWrap w:val="0"/>
              <w:overflowPunct/>
              <w:topLinePunct w:val="0"/>
              <w:bidi w:val="0"/>
              <w:spacing w:beforeAutospacing="0" w:afterAutospacing="0" w:line="240" w:lineRule="auto"/>
              <w:ind w:right="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单位名称：</w:t>
            </w:r>
            <w:r>
              <w:rPr>
                <w:rFonts w:hint="eastAsia" w:ascii="宋体" w:hAnsi="宋体" w:cs="宋体"/>
                <w:color w:val="auto"/>
                <w:kern w:val="0"/>
                <w:sz w:val="24"/>
                <w:szCs w:val="24"/>
                <w:highlight w:val="none"/>
                <w:lang w:val="en-US" w:eastAsia="zh-CN" w:bidi="ar"/>
              </w:rPr>
              <w:t>韶关市武江区农业农村局</w:t>
            </w:r>
          </w:p>
          <w:p w14:paraId="3FE36687">
            <w:pPr>
              <w:keepNext w:val="0"/>
              <w:keepLines w:val="0"/>
              <w:pageBreakBefore w:val="0"/>
              <w:widowControl w:val="0"/>
              <w:suppressLineNumbers w:val="0"/>
              <w:wordWrap w:val="0"/>
              <w:overflowPunct/>
              <w:topLinePunct w:val="0"/>
              <w:bidi w:val="0"/>
              <w:spacing w:beforeAutospacing="0" w:afterAutospacing="0" w:line="240" w:lineRule="auto"/>
              <w:ind w:right="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办公地址：</w:t>
            </w:r>
            <w:r>
              <w:rPr>
                <w:rFonts w:hint="eastAsia" w:ascii="宋体" w:hAnsi="宋体" w:cs="宋体"/>
                <w:color w:val="auto"/>
                <w:kern w:val="0"/>
                <w:sz w:val="24"/>
                <w:szCs w:val="24"/>
                <w:highlight w:val="none"/>
                <w:lang w:val="en-US" w:eastAsia="zh-CN" w:bidi="ar"/>
              </w:rPr>
              <w:t>广东省韶关市武江区惠民南路128号</w:t>
            </w:r>
          </w:p>
          <w:p w14:paraId="6FBFDAC1">
            <w:pPr>
              <w:keepNext w:val="0"/>
              <w:keepLines w:val="0"/>
              <w:pageBreakBefore w:val="0"/>
              <w:widowControl w:val="0"/>
              <w:suppressLineNumbers w:val="0"/>
              <w:wordWrap w:val="0"/>
              <w:overflowPunct/>
              <w:topLinePunct w:val="0"/>
              <w:bidi w:val="0"/>
              <w:spacing w:beforeAutospacing="0" w:afterAutospacing="0" w:line="240" w:lineRule="auto"/>
              <w:ind w:right="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联系人(部门)：</w:t>
            </w:r>
            <w:r>
              <w:rPr>
                <w:rFonts w:hint="eastAsia" w:ascii="宋体" w:hAnsi="宋体" w:cs="宋体"/>
                <w:color w:val="auto"/>
                <w:kern w:val="0"/>
                <w:sz w:val="24"/>
                <w:szCs w:val="24"/>
                <w:highlight w:val="none"/>
                <w:lang w:val="en-US" w:eastAsia="zh-CN" w:bidi="ar"/>
              </w:rPr>
              <w:t>梁工</w:t>
            </w:r>
          </w:p>
          <w:p w14:paraId="5E94393D">
            <w:pPr>
              <w:keepNext w:val="0"/>
              <w:keepLines w:val="0"/>
              <w:pageBreakBefore w:val="0"/>
              <w:widowControl w:val="0"/>
              <w:suppressLineNumbers w:val="0"/>
              <w:wordWrap w:val="0"/>
              <w:overflowPunct/>
              <w:topLinePunct w:val="0"/>
              <w:bidi w:val="0"/>
              <w:spacing w:beforeAutospacing="0" w:afterAutospacing="0" w:line="240" w:lineRule="auto"/>
              <w:ind w:right="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联系电话：</w:t>
            </w:r>
            <w:r>
              <w:rPr>
                <w:rFonts w:hint="eastAsia" w:ascii="宋体" w:hAnsi="宋体" w:cs="宋体"/>
                <w:color w:val="auto"/>
                <w:kern w:val="0"/>
                <w:sz w:val="24"/>
                <w:szCs w:val="24"/>
                <w:highlight w:val="none"/>
                <w:lang w:val="en-US" w:eastAsia="zh-CN" w:bidi="ar"/>
              </w:rPr>
              <w:t>0751-8623830</w:t>
            </w:r>
          </w:p>
        </w:tc>
      </w:tr>
    </w:tbl>
    <w:p w14:paraId="45416124">
      <w:pPr>
        <w:rPr>
          <w:rFonts w:hint="eastAsia" w:ascii="宋体" w:hAnsi="宋体" w:eastAsia="宋体" w:cs="宋体"/>
          <w:color w:val="auto"/>
        </w:rPr>
      </w:pPr>
    </w:p>
    <w:p w14:paraId="51466C24">
      <w:pPr>
        <w:rPr>
          <w:rFonts w:hint="eastAsia" w:ascii="宋体" w:hAnsi="宋体" w:eastAsia="宋体" w:cs="宋体"/>
          <w:color w:val="auto"/>
        </w:rPr>
      </w:pPr>
    </w:p>
    <w:p w14:paraId="31E77E95">
      <w:pPr>
        <w:rPr>
          <w:rFonts w:hint="eastAsia" w:ascii="宋体" w:hAnsi="宋体" w:eastAsia="宋体" w:cs="宋体"/>
          <w:color w:val="auto"/>
        </w:rPr>
      </w:pPr>
    </w:p>
    <w:p w14:paraId="5F1C6145">
      <w:pPr>
        <w:rPr>
          <w:rFonts w:hint="eastAsia" w:ascii="宋体" w:hAnsi="宋体" w:eastAsia="宋体" w:cs="宋体"/>
          <w:color w:val="auto"/>
        </w:rPr>
      </w:pPr>
    </w:p>
    <w:p w14:paraId="64C9351A">
      <w:pPr>
        <w:rPr>
          <w:rFonts w:hint="eastAsia" w:ascii="宋体" w:hAnsi="宋体" w:eastAsia="宋体" w:cs="宋体"/>
          <w:color w:val="auto"/>
        </w:rPr>
      </w:pPr>
    </w:p>
    <w:p w14:paraId="13E29BC4">
      <w:pPr>
        <w:rPr>
          <w:rFonts w:hint="eastAsia" w:ascii="宋体" w:hAnsi="宋体" w:eastAsia="宋体" w:cs="宋体"/>
          <w:color w:val="auto"/>
        </w:rPr>
      </w:pPr>
    </w:p>
    <w:p w14:paraId="72D3A514">
      <w:pPr>
        <w:rPr>
          <w:rFonts w:hint="eastAsia" w:ascii="宋体" w:hAnsi="宋体" w:eastAsia="宋体" w:cs="宋体"/>
          <w:color w:val="auto"/>
        </w:rPr>
      </w:pPr>
    </w:p>
    <w:p w14:paraId="35472F00">
      <w:pPr>
        <w:rPr>
          <w:rFonts w:hint="eastAsia" w:ascii="宋体" w:hAnsi="宋体" w:eastAsia="宋体" w:cs="宋体"/>
          <w:color w:val="auto"/>
        </w:rPr>
      </w:pPr>
    </w:p>
    <w:p w14:paraId="3175EC0D">
      <w:pPr>
        <w:rPr>
          <w:rFonts w:hint="eastAsia" w:ascii="宋体" w:hAnsi="宋体" w:eastAsia="宋体" w:cs="宋体"/>
          <w:color w:val="auto"/>
        </w:rPr>
      </w:pPr>
    </w:p>
    <w:p w14:paraId="27017B16">
      <w:pPr>
        <w:rPr>
          <w:rFonts w:hint="eastAsia" w:ascii="宋体" w:hAnsi="宋体" w:eastAsia="宋体" w:cs="宋体"/>
          <w:color w:val="auto"/>
        </w:rPr>
      </w:pPr>
    </w:p>
    <w:p w14:paraId="5C8B0795">
      <w:pPr>
        <w:rPr>
          <w:rFonts w:hint="eastAsia" w:ascii="宋体" w:hAnsi="宋体" w:eastAsia="宋体" w:cs="宋体"/>
          <w:color w:val="auto"/>
        </w:rPr>
      </w:pPr>
    </w:p>
    <w:p w14:paraId="1C4C11A3">
      <w:pPr>
        <w:rPr>
          <w:rFonts w:hint="eastAsia" w:ascii="宋体" w:hAnsi="宋体" w:eastAsia="宋体" w:cs="宋体"/>
          <w:color w:val="auto"/>
        </w:rPr>
      </w:pPr>
    </w:p>
    <w:p w14:paraId="4F7ECCF0">
      <w:pPr>
        <w:rPr>
          <w:rFonts w:hint="eastAsia" w:ascii="宋体" w:hAnsi="宋体" w:eastAsia="宋体" w:cs="宋体"/>
          <w:color w:val="auto"/>
        </w:rPr>
      </w:pPr>
    </w:p>
    <w:p w14:paraId="62B124EA">
      <w:pPr>
        <w:rPr>
          <w:rFonts w:hint="eastAsia" w:ascii="宋体" w:hAnsi="宋体" w:eastAsia="宋体" w:cs="宋体"/>
          <w:color w:val="auto"/>
        </w:rPr>
      </w:pPr>
    </w:p>
    <w:p w14:paraId="3725C230">
      <w:pPr>
        <w:rPr>
          <w:rFonts w:hint="eastAsia" w:ascii="宋体" w:hAnsi="宋体" w:eastAsia="宋体" w:cs="宋体"/>
          <w:color w:val="auto"/>
        </w:rPr>
      </w:pPr>
    </w:p>
    <w:p w14:paraId="5BB78A13">
      <w:pPr>
        <w:rPr>
          <w:rFonts w:hint="eastAsia" w:ascii="宋体" w:hAnsi="宋体" w:eastAsia="宋体" w:cs="宋体"/>
          <w:color w:val="auto"/>
        </w:rPr>
      </w:pPr>
    </w:p>
    <w:p w14:paraId="76088601">
      <w:pPr>
        <w:rPr>
          <w:rFonts w:hint="eastAsia" w:ascii="宋体" w:hAnsi="宋体" w:eastAsia="宋体" w:cs="宋体"/>
          <w:color w:val="auto"/>
        </w:rPr>
      </w:pPr>
    </w:p>
    <w:p w14:paraId="2E09640D">
      <w:pPr>
        <w:rPr>
          <w:rFonts w:hint="eastAsia" w:ascii="宋体" w:hAnsi="宋体" w:eastAsia="宋体" w:cs="宋体"/>
          <w:color w:val="auto"/>
        </w:rPr>
      </w:pPr>
    </w:p>
    <w:p w14:paraId="23CC8A99">
      <w:pPr>
        <w:rPr>
          <w:rFonts w:hint="eastAsia" w:ascii="宋体" w:hAnsi="宋体" w:eastAsia="宋体" w:cs="宋体"/>
          <w:color w:val="auto"/>
        </w:rPr>
      </w:pPr>
    </w:p>
    <w:p w14:paraId="2449FA71">
      <w:pPr>
        <w:rPr>
          <w:rFonts w:hint="eastAsia" w:ascii="宋体" w:hAnsi="宋体" w:eastAsia="宋体" w:cs="宋体"/>
          <w:color w:val="auto"/>
        </w:rPr>
      </w:pPr>
    </w:p>
    <w:p w14:paraId="724371DC">
      <w:pPr>
        <w:rPr>
          <w:rFonts w:hint="eastAsia" w:ascii="宋体" w:hAnsi="宋体" w:eastAsia="宋体" w:cs="宋体"/>
          <w:color w:val="auto"/>
        </w:rPr>
      </w:pPr>
    </w:p>
    <w:p w14:paraId="6F209093">
      <w:pPr>
        <w:rPr>
          <w:rFonts w:hint="eastAsia" w:ascii="宋体" w:hAnsi="宋体" w:eastAsia="宋体" w:cs="宋体"/>
          <w:color w:val="auto"/>
        </w:rPr>
      </w:pPr>
    </w:p>
    <w:p w14:paraId="44C7200A">
      <w:pPr>
        <w:rPr>
          <w:rFonts w:hint="eastAsia" w:ascii="宋体" w:hAnsi="宋体" w:eastAsia="宋体" w:cs="宋体"/>
          <w:color w:val="auto"/>
        </w:rPr>
      </w:pPr>
    </w:p>
    <w:p w14:paraId="0FED8049">
      <w:pPr>
        <w:rPr>
          <w:rFonts w:hint="eastAsia" w:ascii="宋体" w:hAnsi="宋体" w:eastAsia="宋体" w:cs="宋体"/>
          <w:color w:val="auto"/>
        </w:rPr>
      </w:pPr>
    </w:p>
    <w:p w14:paraId="05E2486A">
      <w:pPr>
        <w:rPr>
          <w:rFonts w:hint="eastAsia" w:ascii="宋体" w:hAnsi="宋体" w:eastAsia="宋体" w:cs="宋体"/>
          <w:color w:val="auto"/>
        </w:rPr>
      </w:pPr>
    </w:p>
    <w:p w14:paraId="096EB6A3">
      <w:pPr>
        <w:pStyle w:val="3"/>
        <w:bidi w:val="0"/>
        <w:ind w:left="0" w:leftChars="0" w:firstLine="0" w:firstLineChars="0"/>
        <w:rPr>
          <w:rFonts w:hint="eastAsia" w:ascii="宋体" w:hAnsi="宋体" w:eastAsia="宋体" w:cs="宋体"/>
          <w:color w:val="auto"/>
          <w:lang w:val="en-US" w:eastAsia="zh-CN"/>
        </w:rPr>
      </w:pPr>
      <w:bookmarkStart w:id="6" w:name="_Toc11980"/>
      <w:r>
        <w:rPr>
          <w:rFonts w:hint="eastAsia" w:ascii="宋体" w:hAnsi="宋体" w:eastAsia="宋体" w:cs="宋体"/>
          <w:color w:val="auto"/>
          <w:lang w:val="en-US" w:eastAsia="zh-CN"/>
        </w:rPr>
        <w:t>二、重要事项时间地点一览表</w:t>
      </w:r>
      <w:bookmarkEnd w:id="6"/>
    </w:p>
    <w:tbl>
      <w:tblPr>
        <w:tblStyle w:val="21"/>
        <w:tblW w:w="9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60"/>
        <w:gridCol w:w="1470"/>
        <w:gridCol w:w="7466"/>
      </w:tblGrid>
      <w:tr w14:paraId="69CE0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94" w:hRule="atLeast"/>
          <w:jc w:val="center"/>
        </w:trPr>
        <w:tc>
          <w:tcPr>
            <w:tcW w:w="660" w:type="dxa"/>
            <w:shd w:val="clear" w:color="auto" w:fill="FFFFFF"/>
            <w:noWrap w:val="0"/>
            <w:vAlign w:val="center"/>
          </w:tcPr>
          <w:p w14:paraId="1ECD1777">
            <w:pPr>
              <w:pStyle w:val="29"/>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1</w:t>
            </w:r>
          </w:p>
        </w:tc>
        <w:tc>
          <w:tcPr>
            <w:tcW w:w="1470" w:type="dxa"/>
            <w:shd w:val="clear" w:color="auto" w:fill="FFFFFF"/>
            <w:noWrap w:val="0"/>
            <w:vAlign w:val="center"/>
          </w:tcPr>
          <w:p w14:paraId="75E600E5">
            <w:pPr>
              <w:pStyle w:val="29"/>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招标公告</w:t>
            </w:r>
          </w:p>
          <w:p w14:paraId="2159B1FB">
            <w:pPr>
              <w:pStyle w:val="29"/>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发布时间</w:t>
            </w:r>
          </w:p>
        </w:tc>
        <w:tc>
          <w:tcPr>
            <w:tcW w:w="7466" w:type="dxa"/>
            <w:shd w:val="clear" w:color="auto" w:fill="FFFFFF"/>
            <w:noWrap w:val="0"/>
            <w:vAlign w:val="center"/>
          </w:tcPr>
          <w:p w14:paraId="602DC850">
            <w:pPr>
              <w:pStyle w:val="29"/>
              <w:wordWrap w:val="0"/>
              <w:adjustRightInd w:val="0"/>
              <w:snapToGrid w:val="0"/>
              <w:spacing w:line="360" w:lineRule="auto"/>
              <w:ind w:firstLine="240" w:firstLineChars="100"/>
              <w:jc w:val="both"/>
              <w:rPr>
                <w:rFonts w:hint="eastAsia" w:ascii="宋体" w:hAnsi="宋体" w:eastAsia="宋体" w:cs="宋体"/>
                <w:color w:val="auto"/>
                <w:sz w:val="24"/>
                <w:szCs w:val="24"/>
                <w:highlight w:val="none"/>
              </w:rPr>
            </w:pPr>
            <w:r>
              <w:rPr>
                <w:rFonts w:hint="eastAsia" w:ascii="宋体" w:hAnsi="宋体" w:cs="宋体"/>
                <w:snapToGrid w:val="0"/>
                <w:color w:val="auto"/>
                <w:kern w:val="0"/>
                <w:sz w:val="24"/>
                <w:szCs w:val="24"/>
                <w:highlight w:val="none"/>
                <w:u w:val="none"/>
                <w:lang w:val="en-US" w:eastAsia="zh-CN"/>
              </w:rPr>
              <w:t>2026</w:t>
            </w:r>
            <w:r>
              <w:rPr>
                <w:rFonts w:hint="eastAsia" w:ascii="宋体" w:hAnsi="宋体" w:eastAsia="宋体" w:cs="宋体"/>
                <w:snapToGrid w:val="0"/>
                <w:color w:val="auto"/>
                <w:kern w:val="0"/>
                <w:sz w:val="24"/>
                <w:szCs w:val="24"/>
                <w:highlight w:val="none"/>
                <w:u w:val="none"/>
              </w:rPr>
              <w:t>年</w:t>
            </w:r>
            <w:r>
              <w:rPr>
                <w:rFonts w:hint="eastAsia" w:ascii="宋体" w:hAnsi="宋体" w:cs="宋体"/>
                <w:snapToGrid w:val="0"/>
                <w:color w:val="auto"/>
                <w:kern w:val="0"/>
                <w:sz w:val="24"/>
                <w:szCs w:val="24"/>
                <w:highlight w:val="none"/>
                <w:u w:val="none"/>
                <w:lang w:val="en-US" w:eastAsia="zh-CN"/>
              </w:rPr>
              <w:t>03</w:t>
            </w:r>
            <w:r>
              <w:rPr>
                <w:rFonts w:hint="eastAsia" w:ascii="宋体" w:hAnsi="宋体" w:eastAsia="宋体" w:cs="宋体"/>
                <w:snapToGrid w:val="0"/>
                <w:color w:val="auto"/>
                <w:kern w:val="0"/>
                <w:sz w:val="24"/>
                <w:szCs w:val="24"/>
                <w:highlight w:val="none"/>
                <w:u w:val="none"/>
              </w:rPr>
              <w:t>月</w:t>
            </w:r>
            <w:r>
              <w:rPr>
                <w:rFonts w:hint="eastAsia" w:ascii="宋体" w:hAnsi="宋体" w:cs="宋体"/>
                <w:snapToGrid w:val="0"/>
                <w:color w:val="auto"/>
                <w:kern w:val="0"/>
                <w:sz w:val="24"/>
                <w:szCs w:val="24"/>
                <w:highlight w:val="none"/>
                <w:u w:val="none"/>
                <w:lang w:val="en-US" w:eastAsia="zh-CN"/>
              </w:rPr>
              <w:t>30</w:t>
            </w:r>
            <w:r>
              <w:rPr>
                <w:rFonts w:hint="eastAsia" w:ascii="宋体" w:hAnsi="宋体" w:eastAsia="宋体" w:cs="宋体"/>
                <w:snapToGrid w:val="0"/>
                <w:color w:val="auto"/>
                <w:kern w:val="0"/>
                <w:sz w:val="24"/>
                <w:szCs w:val="24"/>
                <w:highlight w:val="none"/>
                <w:u w:val="none"/>
              </w:rPr>
              <w:t>日</w:t>
            </w:r>
            <w:r>
              <w:rPr>
                <w:rFonts w:hint="eastAsia" w:ascii="宋体" w:hAnsi="宋体" w:cs="宋体"/>
                <w:snapToGrid w:val="0"/>
                <w:color w:val="auto"/>
                <w:kern w:val="0"/>
                <w:sz w:val="24"/>
                <w:szCs w:val="24"/>
                <w:highlight w:val="none"/>
                <w:u w:val="none"/>
                <w:lang w:val="en-US" w:eastAsia="zh-CN"/>
              </w:rPr>
              <w:t>17</w:t>
            </w:r>
            <w:r>
              <w:rPr>
                <w:rFonts w:hint="eastAsia" w:ascii="宋体" w:hAnsi="宋体" w:eastAsia="宋体" w:cs="宋体"/>
                <w:snapToGrid w:val="0"/>
                <w:color w:val="auto"/>
                <w:kern w:val="0"/>
                <w:sz w:val="24"/>
                <w:szCs w:val="24"/>
                <w:highlight w:val="none"/>
                <w:u w:val="none"/>
              </w:rPr>
              <w:t>时</w:t>
            </w:r>
            <w:r>
              <w:rPr>
                <w:rFonts w:hint="eastAsia" w:ascii="宋体" w:hAnsi="宋体" w:cs="宋体"/>
                <w:snapToGrid w:val="0"/>
                <w:color w:val="auto"/>
                <w:kern w:val="0"/>
                <w:sz w:val="24"/>
                <w:szCs w:val="24"/>
                <w:highlight w:val="none"/>
                <w:u w:val="none"/>
                <w:lang w:val="en-US" w:eastAsia="zh-CN"/>
              </w:rPr>
              <w:t>00</w:t>
            </w:r>
            <w:r>
              <w:rPr>
                <w:rFonts w:hint="eastAsia" w:ascii="宋体" w:hAnsi="宋体" w:eastAsia="宋体" w:cs="宋体"/>
                <w:snapToGrid w:val="0"/>
                <w:color w:val="auto"/>
                <w:kern w:val="0"/>
                <w:sz w:val="24"/>
                <w:szCs w:val="24"/>
                <w:highlight w:val="none"/>
              </w:rPr>
              <w:t>分</w:t>
            </w:r>
          </w:p>
        </w:tc>
      </w:tr>
      <w:tr w14:paraId="381D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660" w:type="dxa"/>
            <w:shd w:val="clear" w:color="auto" w:fill="FFFFFF"/>
            <w:noWrap w:val="0"/>
            <w:vAlign w:val="center"/>
          </w:tcPr>
          <w:p w14:paraId="64D294D9">
            <w:pPr>
              <w:pStyle w:val="29"/>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2</w:t>
            </w:r>
          </w:p>
        </w:tc>
        <w:tc>
          <w:tcPr>
            <w:tcW w:w="1470" w:type="dxa"/>
            <w:shd w:val="clear" w:color="auto" w:fill="FFFFFF"/>
            <w:noWrap w:val="0"/>
            <w:vAlign w:val="center"/>
          </w:tcPr>
          <w:p w14:paraId="05F0BCC8">
            <w:pPr>
              <w:pStyle w:val="29"/>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获取招标文件</w:t>
            </w:r>
          </w:p>
          <w:p w14:paraId="4C5265B2">
            <w:pPr>
              <w:pStyle w:val="29"/>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截止时间</w:t>
            </w:r>
          </w:p>
        </w:tc>
        <w:tc>
          <w:tcPr>
            <w:tcW w:w="7466" w:type="dxa"/>
            <w:shd w:val="clear" w:color="auto" w:fill="FFFFFF"/>
            <w:noWrap w:val="0"/>
            <w:vAlign w:val="center"/>
          </w:tcPr>
          <w:p w14:paraId="6F173737">
            <w:pPr>
              <w:pStyle w:val="29"/>
              <w:wordWrap w:val="0"/>
              <w:adjustRightInd w:val="0"/>
              <w:snapToGrid w:val="0"/>
              <w:spacing w:line="360" w:lineRule="auto"/>
              <w:ind w:firstLine="240" w:firstLineChars="100"/>
              <w:jc w:val="both"/>
              <w:rPr>
                <w:rFonts w:hint="eastAsia" w:ascii="宋体" w:hAnsi="宋体" w:eastAsia="宋体" w:cs="宋体"/>
                <w:color w:val="auto"/>
                <w:sz w:val="24"/>
                <w:szCs w:val="24"/>
                <w:highlight w:val="none"/>
              </w:rPr>
            </w:pPr>
            <w:r>
              <w:rPr>
                <w:rFonts w:hint="eastAsia" w:ascii="宋体" w:hAnsi="宋体" w:cs="宋体"/>
                <w:color w:val="auto"/>
                <w:kern w:val="2"/>
                <w:sz w:val="24"/>
                <w:szCs w:val="24"/>
                <w:highlight w:val="none"/>
                <w:lang w:val="en-US" w:eastAsia="zh-CN" w:bidi="ar"/>
              </w:rPr>
              <w:t>2026</w:t>
            </w:r>
            <w:r>
              <w:rPr>
                <w:rFonts w:hint="eastAsia" w:ascii="宋体" w:hAnsi="宋体" w:eastAsia="宋体" w:cs="宋体"/>
                <w:color w:val="auto"/>
                <w:kern w:val="2"/>
                <w:sz w:val="24"/>
                <w:szCs w:val="24"/>
                <w:highlight w:val="none"/>
                <w:lang w:val="en-US" w:eastAsia="zh-CN" w:bidi="ar"/>
              </w:rPr>
              <w:t>年</w:t>
            </w:r>
            <w:r>
              <w:rPr>
                <w:rFonts w:hint="eastAsia" w:ascii="宋体" w:hAnsi="宋体" w:cs="宋体"/>
                <w:color w:val="auto"/>
                <w:kern w:val="2"/>
                <w:sz w:val="24"/>
                <w:szCs w:val="24"/>
                <w:highlight w:val="none"/>
                <w:lang w:val="en-US" w:eastAsia="zh-CN" w:bidi="ar"/>
              </w:rPr>
              <w:t>04</w:t>
            </w:r>
            <w:r>
              <w:rPr>
                <w:rFonts w:hint="eastAsia" w:ascii="宋体" w:hAnsi="宋体" w:eastAsia="宋体" w:cs="宋体"/>
                <w:color w:val="auto"/>
                <w:kern w:val="2"/>
                <w:sz w:val="24"/>
                <w:szCs w:val="24"/>
                <w:highlight w:val="none"/>
                <w:lang w:val="en-US" w:eastAsia="zh-CN" w:bidi="ar"/>
              </w:rPr>
              <w:t>月</w:t>
            </w:r>
            <w:r>
              <w:rPr>
                <w:rFonts w:hint="eastAsia" w:ascii="宋体" w:hAnsi="宋体" w:cs="宋体"/>
                <w:color w:val="auto"/>
                <w:kern w:val="2"/>
                <w:sz w:val="24"/>
                <w:szCs w:val="24"/>
                <w:highlight w:val="none"/>
                <w:lang w:val="en-US" w:eastAsia="zh-CN" w:bidi="ar"/>
              </w:rPr>
              <w:t>21</w:t>
            </w:r>
            <w:r>
              <w:rPr>
                <w:rFonts w:hint="eastAsia" w:ascii="宋体" w:hAnsi="宋体" w:eastAsia="宋体" w:cs="宋体"/>
                <w:color w:val="auto"/>
                <w:kern w:val="2"/>
                <w:sz w:val="24"/>
                <w:szCs w:val="24"/>
                <w:highlight w:val="none"/>
                <w:lang w:val="en-US" w:eastAsia="zh-CN" w:bidi="ar"/>
              </w:rPr>
              <w:t>日</w:t>
            </w:r>
            <w:r>
              <w:rPr>
                <w:rFonts w:hint="eastAsia" w:ascii="宋体" w:hAnsi="宋体" w:cs="宋体"/>
                <w:color w:val="auto"/>
                <w:kern w:val="2"/>
                <w:sz w:val="24"/>
                <w:szCs w:val="24"/>
                <w:highlight w:val="none"/>
                <w:lang w:val="en-US" w:eastAsia="zh-CN" w:bidi="ar"/>
              </w:rPr>
              <w:t>09</w:t>
            </w:r>
            <w:r>
              <w:rPr>
                <w:rFonts w:hint="eastAsia" w:ascii="宋体" w:hAnsi="宋体" w:eastAsia="宋体" w:cs="宋体"/>
                <w:color w:val="auto"/>
                <w:kern w:val="2"/>
                <w:sz w:val="24"/>
                <w:szCs w:val="24"/>
                <w:highlight w:val="none"/>
                <w:lang w:val="en-US" w:eastAsia="zh-CN" w:bidi="ar"/>
              </w:rPr>
              <w:t>时</w:t>
            </w:r>
            <w:r>
              <w:rPr>
                <w:rFonts w:hint="eastAsia" w:ascii="宋体" w:hAnsi="宋体" w:cs="宋体"/>
                <w:color w:val="auto"/>
                <w:kern w:val="2"/>
                <w:sz w:val="24"/>
                <w:szCs w:val="24"/>
                <w:highlight w:val="none"/>
                <w:lang w:val="en-US" w:eastAsia="zh-CN" w:bidi="ar"/>
              </w:rPr>
              <w:t>30</w:t>
            </w:r>
            <w:r>
              <w:rPr>
                <w:rFonts w:hint="eastAsia" w:ascii="宋体" w:hAnsi="宋体" w:eastAsia="宋体" w:cs="宋体"/>
                <w:color w:val="auto"/>
                <w:kern w:val="2"/>
                <w:sz w:val="24"/>
                <w:szCs w:val="24"/>
                <w:highlight w:val="none"/>
                <w:lang w:val="en-US" w:eastAsia="zh-CN" w:bidi="ar"/>
              </w:rPr>
              <w:t>分</w:t>
            </w:r>
          </w:p>
        </w:tc>
      </w:tr>
      <w:tr w14:paraId="0CCD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660" w:type="dxa"/>
            <w:shd w:val="clear" w:color="auto" w:fill="FFFFFF"/>
            <w:noWrap w:val="0"/>
            <w:vAlign w:val="center"/>
          </w:tcPr>
          <w:p w14:paraId="1B1CBC0E">
            <w:pPr>
              <w:pStyle w:val="29"/>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3</w:t>
            </w:r>
          </w:p>
        </w:tc>
        <w:tc>
          <w:tcPr>
            <w:tcW w:w="1470" w:type="dxa"/>
            <w:shd w:val="clear" w:color="auto" w:fill="FFFFFF"/>
            <w:noWrap w:val="0"/>
            <w:vAlign w:val="center"/>
          </w:tcPr>
          <w:p w14:paraId="6D42F957">
            <w:pPr>
              <w:pStyle w:val="29"/>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网上提问</w:t>
            </w:r>
          </w:p>
          <w:p w14:paraId="5E030563">
            <w:pPr>
              <w:pStyle w:val="29"/>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截止时间</w:t>
            </w:r>
          </w:p>
        </w:tc>
        <w:tc>
          <w:tcPr>
            <w:tcW w:w="7466" w:type="dxa"/>
            <w:shd w:val="clear" w:color="auto" w:fill="FFFFFF"/>
            <w:noWrap w:val="0"/>
            <w:vAlign w:val="center"/>
          </w:tcPr>
          <w:p w14:paraId="5558025F">
            <w:pPr>
              <w:ind w:firstLine="240" w:firstLineChars="100"/>
              <w:rPr>
                <w:rFonts w:hint="eastAsia" w:ascii="宋体" w:hAnsi="宋体" w:eastAsia="宋体" w:cs="宋体"/>
                <w:snapToGrid w:val="0"/>
                <w:color w:val="auto"/>
                <w:kern w:val="0"/>
                <w:sz w:val="24"/>
                <w:szCs w:val="24"/>
                <w:highlight w:val="none"/>
                <w:u w:val="none"/>
                <w:lang w:val="en-US" w:eastAsia="zh-CN" w:bidi="ar"/>
              </w:rPr>
            </w:pPr>
            <w:r>
              <w:rPr>
                <w:rFonts w:hint="eastAsia" w:ascii="宋体" w:hAnsi="宋体" w:cs="宋体"/>
                <w:snapToGrid w:val="0"/>
                <w:color w:val="auto"/>
                <w:kern w:val="0"/>
                <w:sz w:val="24"/>
                <w:szCs w:val="24"/>
                <w:highlight w:val="none"/>
                <w:u w:val="none"/>
                <w:lang w:val="en-US" w:eastAsia="zh-CN" w:bidi="ar"/>
              </w:rPr>
              <w:t>2026</w:t>
            </w:r>
            <w:r>
              <w:rPr>
                <w:rFonts w:hint="eastAsia" w:ascii="宋体" w:hAnsi="宋体" w:eastAsia="宋体" w:cs="宋体"/>
                <w:snapToGrid w:val="0"/>
                <w:color w:val="auto"/>
                <w:kern w:val="0"/>
                <w:sz w:val="24"/>
                <w:szCs w:val="24"/>
                <w:highlight w:val="none"/>
                <w:u w:val="none"/>
                <w:lang w:val="en-US" w:eastAsia="zh-CN" w:bidi="ar"/>
              </w:rPr>
              <w:t>年</w:t>
            </w:r>
            <w:r>
              <w:rPr>
                <w:rFonts w:hint="eastAsia" w:ascii="宋体" w:hAnsi="宋体" w:cs="宋体"/>
                <w:snapToGrid w:val="0"/>
                <w:color w:val="auto"/>
                <w:kern w:val="0"/>
                <w:sz w:val="24"/>
                <w:szCs w:val="24"/>
                <w:highlight w:val="none"/>
                <w:u w:val="none"/>
                <w:lang w:val="en-US" w:eastAsia="zh-CN" w:bidi="ar"/>
              </w:rPr>
              <w:t>04</w:t>
            </w:r>
            <w:r>
              <w:rPr>
                <w:rFonts w:hint="eastAsia" w:ascii="宋体" w:hAnsi="宋体" w:eastAsia="宋体" w:cs="宋体"/>
                <w:snapToGrid w:val="0"/>
                <w:color w:val="auto"/>
                <w:kern w:val="0"/>
                <w:sz w:val="24"/>
                <w:szCs w:val="24"/>
                <w:highlight w:val="none"/>
                <w:u w:val="none"/>
                <w:lang w:val="en-US" w:eastAsia="zh-CN" w:bidi="ar"/>
              </w:rPr>
              <w:t>月</w:t>
            </w:r>
            <w:r>
              <w:rPr>
                <w:rFonts w:hint="eastAsia" w:ascii="宋体" w:hAnsi="宋体" w:cs="宋体"/>
                <w:snapToGrid w:val="0"/>
                <w:color w:val="auto"/>
                <w:kern w:val="0"/>
                <w:sz w:val="24"/>
                <w:szCs w:val="24"/>
                <w:highlight w:val="none"/>
                <w:u w:val="none"/>
                <w:lang w:val="en-US" w:eastAsia="zh-CN" w:bidi="ar"/>
              </w:rPr>
              <w:t>11</w:t>
            </w:r>
            <w:r>
              <w:rPr>
                <w:rFonts w:hint="eastAsia" w:ascii="宋体" w:hAnsi="宋体" w:eastAsia="宋体" w:cs="宋体"/>
                <w:snapToGrid w:val="0"/>
                <w:color w:val="auto"/>
                <w:kern w:val="0"/>
                <w:sz w:val="24"/>
                <w:szCs w:val="24"/>
                <w:highlight w:val="none"/>
                <w:u w:val="none"/>
                <w:lang w:val="en-US" w:eastAsia="zh-CN" w:bidi="ar"/>
              </w:rPr>
              <w:t>日16时00分</w:t>
            </w:r>
          </w:p>
        </w:tc>
      </w:tr>
      <w:tr w14:paraId="78358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660" w:type="dxa"/>
            <w:shd w:val="clear" w:color="auto" w:fill="FFFFFF"/>
            <w:noWrap w:val="0"/>
            <w:vAlign w:val="center"/>
          </w:tcPr>
          <w:p w14:paraId="2136CF13">
            <w:pPr>
              <w:pStyle w:val="29"/>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4</w:t>
            </w:r>
          </w:p>
        </w:tc>
        <w:tc>
          <w:tcPr>
            <w:tcW w:w="1470" w:type="dxa"/>
            <w:shd w:val="clear" w:color="auto" w:fill="FFFFFF"/>
            <w:noWrap w:val="0"/>
            <w:vAlign w:val="center"/>
          </w:tcPr>
          <w:p w14:paraId="7E595664">
            <w:pPr>
              <w:pStyle w:val="29"/>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网上答疑</w:t>
            </w:r>
          </w:p>
          <w:p w14:paraId="793EB79D">
            <w:pPr>
              <w:pStyle w:val="29"/>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时间</w:t>
            </w:r>
          </w:p>
        </w:tc>
        <w:tc>
          <w:tcPr>
            <w:tcW w:w="7466" w:type="dxa"/>
            <w:shd w:val="clear" w:color="auto" w:fill="FFFFFF"/>
            <w:noWrap w:val="0"/>
            <w:vAlign w:val="center"/>
          </w:tcPr>
          <w:p w14:paraId="0BC510C8">
            <w:pPr>
              <w:ind w:firstLine="240" w:firstLineChars="100"/>
              <w:rPr>
                <w:rFonts w:hint="eastAsia" w:ascii="宋体" w:hAnsi="宋体" w:eastAsia="宋体" w:cs="宋体"/>
                <w:snapToGrid w:val="0"/>
                <w:color w:val="auto"/>
                <w:kern w:val="0"/>
                <w:sz w:val="24"/>
                <w:szCs w:val="24"/>
                <w:highlight w:val="none"/>
                <w:u w:val="none"/>
                <w:lang w:val="en-US" w:eastAsia="zh-CN" w:bidi="ar"/>
              </w:rPr>
            </w:pPr>
            <w:r>
              <w:rPr>
                <w:rFonts w:hint="eastAsia" w:ascii="宋体" w:hAnsi="宋体" w:cs="宋体"/>
                <w:snapToGrid w:val="0"/>
                <w:color w:val="auto"/>
                <w:kern w:val="0"/>
                <w:sz w:val="24"/>
                <w:szCs w:val="24"/>
                <w:highlight w:val="none"/>
                <w:u w:val="none"/>
                <w:lang w:val="en-US" w:eastAsia="zh-CN" w:bidi="ar"/>
              </w:rPr>
              <w:t>2026</w:t>
            </w:r>
            <w:r>
              <w:rPr>
                <w:rFonts w:hint="eastAsia" w:ascii="宋体" w:hAnsi="宋体" w:eastAsia="宋体" w:cs="宋体"/>
                <w:snapToGrid w:val="0"/>
                <w:color w:val="auto"/>
                <w:kern w:val="0"/>
                <w:sz w:val="24"/>
                <w:szCs w:val="24"/>
                <w:highlight w:val="none"/>
                <w:u w:val="none"/>
                <w:lang w:val="en-US" w:eastAsia="zh-CN" w:bidi="ar"/>
              </w:rPr>
              <w:t>年</w:t>
            </w:r>
            <w:r>
              <w:rPr>
                <w:rFonts w:hint="eastAsia" w:ascii="宋体" w:hAnsi="宋体" w:cs="宋体"/>
                <w:snapToGrid w:val="0"/>
                <w:color w:val="auto"/>
                <w:kern w:val="0"/>
                <w:sz w:val="24"/>
                <w:szCs w:val="24"/>
                <w:highlight w:val="none"/>
                <w:u w:val="none"/>
                <w:lang w:val="en-US" w:eastAsia="zh-CN" w:bidi="ar"/>
              </w:rPr>
              <w:t>04</w:t>
            </w:r>
            <w:r>
              <w:rPr>
                <w:rFonts w:hint="eastAsia" w:ascii="宋体" w:hAnsi="宋体" w:eastAsia="宋体" w:cs="宋体"/>
                <w:snapToGrid w:val="0"/>
                <w:color w:val="auto"/>
                <w:kern w:val="0"/>
                <w:sz w:val="24"/>
                <w:szCs w:val="24"/>
                <w:highlight w:val="none"/>
                <w:u w:val="none"/>
                <w:lang w:val="en-US" w:eastAsia="zh-CN" w:bidi="ar"/>
              </w:rPr>
              <w:t>月</w:t>
            </w:r>
            <w:r>
              <w:rPr>
                <w:rFonts w:hint="eastAsia" w:ascii="宋体" w:hAnsi="宋体" w:cs="宋体"/>
                <w:snapToGrid w:val="0"/>
                <w:color w:val="auto"/>
                <w:kern w:val="0"/>
                <w:sz w:val="24"/>
                <w:szCs w:val="24"/>
                <w:highlight w:val="none"/>
                <w:u w:val="none"/>
                <w:lang w:val="en-US" w:eastAsia="zh-CN" w:bidi="ar"/>
              </w:rPr>
              <w:t>11</w:t>
            </w:r>
            <w:r>
              <w:rPr>
                <w:rFonts w:hint="eastAsia" w:ascii="宋体" w:hAnsi="宋体" w:eastAsia="宋体" w:cs="宋体"/>
                <w:snapToGrid w:val="0"/>
                <w:color w:val="auto"/>
                <w:kern w:val="0"/>
                <w:sz w:val="24"/>
                <w:szCs w:val="24"/>
                <w:highlight w:val="none"/>
                <w:u w:val="none"/>
                <w:lang w:val="en-US" w:eastAsia="zh-CN" w:bidi="ar"/>
              </w:rPr>
              <w:t>日16时30分至</w:t>
            </w:r>
            <w:r>
              <w:rPr>
                <w:rFonts w:hint="eastAsia" w:ascii="宋体" w:hAnsi="宋体" w:cs="宋体"/>
                <w:snapToGrid w:val="0"/>
                <w:color w:val="auto"/>
                <w:kern w:val="0"/>
                <w:sz w:val="24"/>
                <w:szCs w:val="24"/>
                <w:highlight w:val="none"/>
                <w:u w:val="none"/>
                <w:lang w:val="en-US" w:eastAsia="zh-CN" w:bidi="ar"/>
              </w:rPr>
              <w:t>2026</w:t>
            </w:r>
            <w:r>
              <w:rPr>
                <w:rFonts w:hint="eastAsia" w:ascii="宋体" w:hAnsi="宋体" w:eastAsia="宋体" w:cs="宋体"/>
                <w:snapToGrid w:val="0"/>
                <w:color w:val="auto"/>
                <w:kern w:val="0"/>
                <w:sz w:val="24"/>
                <w:szCs w:val="24"/>
                <w:highlight w:val="none"/>
                <w:u w:val="none"/>
                <w:lang w:val="en-US" w:eastAsia="zh-CN" w:bidi="ar"/>
              </w:rPr>
              <w:t>年</w:t>
            </w:r>
            <w:r>
              <w:rPr>
                <w:rFonts w:hint="eastAsia" w:ascii="宋体" w:hAnsi="宋体" w:cs="宋体"/>
                <w:snapToGrid w:val="0"/>
                <w:color w:val="auto"/>
                <w:kern w:val="0"/>
                <w:sz w:val="24"/>
                <w:szCs w:val="24"/>
                <w:highlight w:val="none"/>
                <w:u w:val="none"/>
                <w:lang w:val="en-US" w:eastAsia="zh-CN" w:bidi="ar"/>
              </w:rPr>
              <w:t>04</w:t>
            </w:r>
            <w:r>
              <w:rPr>
                <w:rFonts w:hint="eastAsia" w:ascii="宋体" w:hAnsi="宋体" w:eastAsia="宋体" w:cs="宋体"/>
                <w:snapToGrid w:val="0"/>
                <w:color w:val="auto"/>
                <w:kern w:val="0"/>
                <w:sz w:val="24"/>
                <w:szCs w:val="24"/>
                <w:highlight w:val="none"/>
                <w:u w:val="none"/>
                <w:lang w:val="en-US" w:eastAsia="zh-CN" w:bidi="ar"/>
              </w:rPr>
              <w:t>月</w:t>
            </w:r>
            <w:r>
              <w:rPr>
                <w:rFonts w:hint="eastAsia" w:ascii="宋体" w:hAnsi="宋体" w:cs="宋体"/>
                <w:snapToGrid w:val="0"/>
                <w:color w:val="auto"/>
                <w:kern w:val="0"/>
                <w:sz w:val="24"/>
                <w:szCs w:val="24"/>
                <w:highlight w:val="none"/>
                <w:u w:val="none"/>
                <w:lang w:val="en-US" w:eastAsia="zh-CN" w:bidi="ar"/>
              </w:rPr>
              <w:t>14</w:t>
            </w:r>
            <w:r>
              <w:rPr>
                <w:rFonts w:hint="eastAsia" w:ascii="宋体" w:hAnsi="宋体" w:eastAsia="宋体" w:cs="宋体"/>
                <w:snapToGrid w:val="0"/>
                <w:color w:val="auto"/>
                <w:kern w:val="0"/>
                <w:sz w:val="24"/>
                <w:szCs w:val="24"/>
                <w:highlight w:val="none"/>
                <w:u w:val="none"/>
                <w:lang w:val="en-US" w:eastAsia="zh-CN" w:bidi="ar"/>
              </w:rPr>
              <w:t>日16时00分</w:t>
            </w:r>
          </w:p>
        </w:tc>
      </w:tr>
      <w:tr w14:paraId="510CC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660" w:type="dxa"/>
            <w:shd w:val="clear" w:color="auto" w:fill="FFFFFF"/>
            <w:noWrap w:val="0"/>
            <w:vAlign w:val="center"/>
          </w:tcPr>
          <w:p w14:paraId="4490816F">
            <w:pPr>
              <w:pStyle w:val="29"/>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5</w:t>
            </w:r>
          </w:p>
        </w:tc>
        <w:tc>
          <w:tcPr>
            <w:tcW w:w="1470" w:type="dxa"/>
            <w:shd w:val="clear" w:color="auto" w:fill="FFFFFF"/>
            <w:noWrap w:val="0"/>
            <w:vAlign w:val="center"/>
          </w:tcPr>
          <w:p w14:paraId="6EA8A05A">
            <w:pPr>
              <w:pStyle w:val="29"/>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投标保证缴</w:t>
            </w:r>
          </w:p>
          <w:p w14:paraId="4A3C97C7">
            <w:pPr>
              <w:pStyle w:val="29"/>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纳截止时间</w:t>
            </w:r>
          </w:p>
        </w:tc>
        <w:tc>
          <w:tcPr>
            <w:tcW w:w="7466" w:type="dxa"/>
            <w:shd w:val="clear" w:color="auto" w:fill="FFFFFF"/>
            <w:noWrap w:val="0"/>
            <w:vAlign w:val="center"/>
          </w:tcPr>
          <w:p w14:paraId="28C80425">
            <w:pPr>
              <w:pStyle w:val="29"/>
              <w:wordWrap w:val="0"/>
              <w:adjustRightInd w:val="0"/>
              <w:snapToGrid w:val="0"/>
              <w:spacing w:line="360" w:lineRule="auto"/>
              <w:ind w:firstLine="240" w:firstLineChars="100"/>
              <w:rPr>
                <w:rFonts w:hint="eastAsia" w:ascii="宋体" w:hAnsi="宋体" w:eastAsia="宋体" w:cs="宋体"/>
                <w:snapToGrid w:val="0"/>
                <w:color w:val="auto"/>
                <w:kern w:val="0"/>
                <w:sz w:val="24"/>
                <w:szCs w:val="24"/>
                <w:highlight w:val="none"/>
                <w:u w:val="none"/>
              </w:rPr>
            </w:pPr>
            <w:r>
              <w:rPr>
                <w:rFonts w:hint="eastAsia" w:ascii="宋体" w:hAnsi="宋体" w:eastAsia="宋体" w:cs="宋体"/>
                <w:snapToGrid w:val="0"/>
                <w:color w:val="auto"/>
                <w:kern w:val="0"/>
                <w:sz w:val="24"/>
                <w:szCs w:val="24"/>
                <w:highlight w:val="none"/>
                <w:u w:val="none"/>
              </w:rPr>
              <w:t>投标保证金到账截止时间：</w:t>
            </w:r>
            <w:r>
              <w:rPr>
                <w:rFonts w:hint="eastAsia" w:ascii="宋体" w:hAnsi="宋体" w:cs="宋体"/>
                <w:color w:val="auto"/>
                <w:kern w:val="2"/>
                <w:sz w:val="24"/>
                <w:szCs w:val="24"/>
                <w:highlight w:val="none"/>
                <w:lang w:val="en-US" w:eastAsia="zh-CN" w:bidi="ar"/>
              </w:rPr>
              <w:t>2026</w:t>
            </w:r>
            <w:r>
              <w:rPr>
                <w:rFonts w:hint="eastAsia" w:ascii="宋体" w:hAnsi="宋体" w:eastAsia="宋体" w:cs="宋体"/>
                <w:color w:val="auto"/>
                <w:kern w:val="2"/>
                <w:sz w:val="24"/>
                <w:szCs w:val="24"/>
                <w:highlight w:val="none"/>
                <w:lang w:val="en-US" w:eastAsia="zh-CN" w:bidi="ar"/>
              </w:rPr>
              <w:t>年</w:t>
            </w:r>
            <w:r>
              <w:rPr>
                <w:rFonts w:hint="eastAsia" w:ascii="宋体" w:hAnsi="宋体" w:cs="宋体"/>
                <w:color w:val="auto"/>
                <w:kern w:val="2"/>
                <w:sz w:val="24"/>
                <w:szCs w:val="24"/>
                <w:highlight w:val="none"/>
                <w:lang w:val="en-US" w:eastAsia="zh-CN" w:bidi="ar"/>
              </w:rPr>
              <w:t>04</w:t>
            </w:r>
            <w:r>
              <w:rPr>
                <w:rFonts w:hint="eastAsia" w:ascii="宋体" w:hAnsi="宋体" w:eastAsia="宋体" w:cs="宋体"/>
                <w:color w:val="auto"/>
                <w:kern w:val="2"/>
                <w:sz w:val="24"/>
                <w:szCs w:val="24"/>
                <w:highlight w:val="none"/>
                <w:lang w:val="en-US" w:eastAsia="zh-CN" w:bidi="ar"/>
              </w:rPr>
              <w:t>月</w:t>
            </w:r>
            <w:r>
              <w:rPr>
                <w:rFonts w:hint="eastAsia" w:ascii="宋体" w:hAnsi="宋体" w:cs="宋体"/>
                <w:color w:val="auto"/>
                <w:kern w:val="2"/>
                <w:sz w:val="24"/>
                <w:szCs w:val="24"/>
                <w:highlight w:val="none"/>
                <w:lang w:val="en-US" w:eastAsia="zh-CN" w:bidi="ar"/>
              </w:rPr>
              <w:t>20</w:t>
            </w:r>
            <w:r>
              <w:rPr>
                <w:rFonts w:hint="eastAsia" w:ascii="宋体" w:hAnsi="宋体" w:eastAsia="宋体" w:cs="宋体"/>
                <w:color w:val="auto"/>
                <w:kern w:val="2"/>
                <w:sz w:val="24"/>
                <w:szCs w:val="24"/>
                <w:highlight w:val="none"/>
                <w:lang w:val="en-US" w:eastAsia="zh-CN" w:bidi="ar"/>
              </w:rPr>
              <w:t>日</w:t>
            </w:r>
            <w:r>
              <w:rPr>
                <w:rFonts w:hint="eastAsia" w:ascii="宋体" w:hAnsi="宋体" w:cs="宋体"/>
                <w:color w:val="auto"/>
                <w:kern w:val="2"/>
                <w:sz w:val="24"/>
                <w:szCs w:val="24"/>
                <w:highlight w:val="none"/>
                <w:lang w:val="en-US" w:eastAsia="zh-CN" w:bidi="ar"/>
              </w:rPr>
              <w:t>09</w:t>
            </w:r>
            <w:r>
              <w:rPr>
                <w:rFonts w:hint="eastAsia" w:ascii="宋体" w:hAnsi="宋体" w:eastAsia="宋体" w:cs="宋体"/>
                <w:color w:val="auto"/>
                <w:kern w:val="2"/>
                <w:sz w:val="24"/>
                <w:szCs w:val="24"/>
                <w:highlight w:val="none"/>
                <w:lang w:val="en-US" w:eastAsia="zh-CN" w:bidi="ar"/>
              </w:rPr>
              <w:t>时</w:t>
            </w:r>
            <w:r>
              <w:rPr>
                <w:rFonts w:hint="eastAsia" w:ascii="宋体" w:hAnsi="宋体" w:cs="宋体"/>
                <w:color w:val="auto"/>
                <w:kern w:val="2"/>
                <w:sz w:val="24"/>
                <w:szCs w:val="24"/>
                <w:highlight w:val="none"/>
                <w:lang w:val="en-US" w:eastAsia="zh-CN" w:bidi="ar"/>
              </w:rPr>
              <w:t>30</w:t>
            </w:r>
            <w:r>
              <w:rPr>
                <w:rFonts w:hint="eastAsia" w:ascii="宋体" w:hAnsi="宋体" w:eastAsia="宋体" w:cs="宋体"/>
                <w:color w:val="auto"/>
                <w:kern w:val="2"/>
                <w:sz w:val="24"/>
                <w:szCs w:val="24"/>
                <w:highlight w:val="none"/>
                <w:lang w:val="en-US" w:eastAsia="zh-CN" w:bidi="ar"/>
              </w:rPr>
              <w:t>分</w:t>
            </w:r>
          </w:p>
          <w:p w14:paraId="187AA88E">
            <w:pPr>
              <w:pStyle w:val="29"/>
              <w:wordWrap w:val="0"/>
              <w:adjustRightInd w:val="0"/>
              <w:snapToGrid w:val="0"/>
              <w:spacing w:line="360" w:lineRule="auto"/>
              <w:ind w:firstLine="240" w:firstLineChars="100"/>
              <w:rPr>
                <w:rFonts w:hint="eastAsia" w:ascii="宋体" w:hAnsi="宋体" w:eastAsia="宋体" w:cs="宋体"/>
                <w:snapToGrid w:val="0"/>
                <w:color w:val="auto"/>
                <w:kern w:val="0"/>
                <w:sz w:val="24"/>
                <w:szCs w:val="24"/>
                <w:highlight w:val="none"/>
                <w:u w:val="none"/>
              </w:rPr>
            </w:pPr>
            <w:r>
              <w:rPr>
                <w:rFonts w:hint="eastAsia" w:ascii="宋体" w:hAnsi="宋体" w:eastAsia="宋体" w:cs="宋体"/>
                <w:snapToGrid w:val="0"/>
                <w:color w:val="auto"/>
                <w:kern w:val="0"/>
                <w:sz w:val="24"/>
                <w:szCs w:val="24"/>
                <w:highlight w:val="none"/>
                <w:u w:val="none"/>
              </w:rPr>
              <w:t>投标保证担保上传截止时间：</w:t>
            </w:r>
            <w:r>
              <w:rPr>
                <w:rFonts w:hint="eastAsia" w:ascii="宋体" w:hAnsi="宋体" w:cs="宋体"/>
                <w:color w:val="auto"/>
                <w:kern w:val="2"/>
                <w:sz w:val="24"/>
                <w:szCs w:val="24"/>
                <w:highlight w:val="none"/>
                <w:lang w:val="en-US" w:eastAsia="zh-CN" w:bidi="ar"/>
              </w:rPr>
              <w:t>2026</w:t>
            </w:r>
            <w:r>
              <w:rPr>
                <w:rFonts w:hint="eastAsia" w:ascii="宋体" w:hAnsi="宋体" w:eastAsia="宋体" w:cs="宋体"/>
                <w:color w:val="auto"/>
                <w:kern w:val="2"/>
                <w:sz w:val="24"/>
                <w:szCs w:val="24"/>
                <w:highlight w:val="none"/>
                <w:lang w:val="en-US" w:eastAsia="zh-CN" w:bidi="ar"/>
              </w:rPr>
              <w:t>年</w:t>
            </w:r>
            <w:r>
              <w:rPr>
                <w:rFonts w:hint="eastAsia" w:ascii="宋体" w:hAnsi="宋体" w:cs="宋体"/>
                <w:color w:val="auto"/>
                <w:kern w:val="2"/>
                <w:sz w:val="24"/>
                <w:szCs w:val="24"/>
                <w:highlight w:val="none"/>
                <w:lang w:val="en-US" w:eastAsia="zh-CN" w:bidi="ar"/>
              </w:rPr>
              <w:t>04</w:t>
            </w:r>
            <w:r>
              <w:rPr>
                <w:rFonts w:hint="eastAsia" w:ascii="宋体" w:hAnsi="宋体" w:eastAsia="宋体" w:cs="宋体"/>
                <w:color w:val="auto"/>
                <w:kern w:val="2"/>
                <w:sz w:val="24"/>
                <w:szCs w:val="24"/>
                <w:highlight w:val="none"/>
                <w:lang w:val="en-US" w:eastAsia="zh-CN" w:bidi="ar"/>
              </w:rPr>
              <w:t>月</w:t>
            </w:r>
            <w:r>
              <w:rPr>
                <w:rFonts w:hint="eastAsia" w:ascii="宋体" w:hAnsi="宋体" w:cs="宋体"/>
                <w:color w:val="auto"/>
                <w:kern w:val="2"/>
                <w:sz w:val="24"/>
                <w:szCs w:val="24"/>
                <w:highlight w:val="none"/>
                <w:lang w:val="en-US" w:eastAsia="zh-CN" w:bidi="ar"/>
              </w:rPr>
              <w:t>20</w:t>
            </w:r>
            <w:r>
              <w:rPr>
                <w:rFonts w:hint="eastAsia" w:ascii="宋体" w:hAnsi="宋体" w:eastAsia="宋体" w:cs="宋体"/>
                <w:color w:val="auto"/>
                <w:kern w:val="2"/>
                <w:sz w:val="24"/>
                <w:szCs w:val="24"/>
                <w:highlight w:val="none"/>
                <w:lang w:val="en-US" w:eastAsia="zh-CN" w:bidi="ar"/>
              </w:rPr>
              <w:t>日</w:t>
            </w:r>
            <w:r>
              <w:rPr>
                <w:rFonts w:hint="eastAsia" w:ascii="宋体" w:hAnsi="宋体" w:cs="宋体"/>
                <w:color w:val="auto"/>
                <w:kern w:val="2"/>
                <w:sz w:val="24"/>
                <w:szCs w:val="24"/>
                <w:highlight w:val="none"/>
                <w:lang w:val="en-US" w:eastAsia="zh-CN" w:bidi="ar"/>
              </w:rPr>
              <w:t>09</w:t>
            </w:r>
            <w:r>
              <w:rPr>
                <w:rFonts w:hint="eastAsia" w:ascii="宋体" w:hAnsi="宋体" w:eastAsia="宋体" w:cs="宋体"/>
                <w:color w:val="auto"/>
                <w:kern w:val="2"/>
                <w:sz w:val="24"/>
                <w:szCs w:val="24"/>
                <w:highlight w:val="none"/>
                <w:lang w:val="en-US" w:eastAsia="zh-CN" w:bidi="ar"/>
              </w:rPr>
              <w:t>时</w:t>
            </w:r>
            <w:r>
              <w:rPr>
                <w:rFonts w:hint="eastAsia" w:ascii="宋体" w:hAnsi="宋体" w:cs="宋体"/>
                <w:color w:val="auto"/>
                <w:kern w:val="2"/>
                <w:sz w:val="24"/>
                <w:szCs w:val="24"/>
                <w:highlight w:val="none"/>
                <w:lang w:val="en-US" w:eastAsia="zh-CN" w:bidi="ar"/>
              </w:rPr>
              <w:t>30</w:t>
            </w:r>
            <w:r>
              <w:rPr>
                <w:rFonts w:hint="eastAsia" w:ascii="宋体" w:hAnsi="宋体" w:eastAsia="宋体" w:cs="宋体"/>
                <w:color w:val="auto"/>
                <w:kern w:val="2"/>
                <w:sz w:val="24"/>
                <w:szCs w:val="24"/>
                <w:highlight w:val="none"/>
                <w:lang w:val="en-US" w:eastAsia="zh-CN" w:bidi="ar"/>
              </w:rPr>
              <w:t>分</w:t>
            </w:r>
          </w:p>
          <w:p w14:paraId="49ADAE65">
            <w:pPr>
              <w:pStyle w:val="29"/>
              <w:wordWrap w:val="0"/>
              <w:adjustRightInd w:val="0"/>
              <w:snapToGrid w:val="0"/>
              <w:spacing w:line="360" w:lineRule="auto"/>
              <w:ind w:firstLine="240" w:firstLineChars="100"/>
              <w:rPr>
                <w:rFonts w:hint="eastAsia" w:ascii="宋体" w:hAnsi="宋体" w:eastAsia="宋体" w:cs="宋体"/>
                <w:color w:val="auto"/>
                <w:sz w:val="24"/>
                <w:szCs w:val="24"/>
                <w:highlight w:val="none"/>
                <w:lang w:eastAsia="zh-CN"/>
              </w:rPr>
            </w:pPr>
            <w:r>
              <w:rPr>
                <w:rFonts w:hint="eastAsia" w:ascii="宋体" w:hAnsi="宋体" w:eastAsia="宋体" w:cs="宋体"/>
                <w:snapToGrid w:val="0"/>
                <w:color w:val="auto"/>
                <w:kern w:val="0"/>
                <w:sz w:val="24"/>
                <w:szCs w:val="24"/>
                <w:highlight w:val="none"/>
                <w:u w:val="none"/>
              </w:rPr>
              <w:t>投标保证保险投保截止时间：</w:t>
            </w:r>
            <w:r>
              <w:rPr>
                <w:rFonts w:hint="eastAsia" w:ascii="宋体" w:hAnsi="宋体" w:cs="宋体"/>
                <w:color w:val="auto"/>
                <w:kern w:val="2"/>
                <w:sz w:val="24"/>
                <w:szCs w:val="24"/>
                <w:highlight w:val="none"/>
                <w:lang w:val="en-US" w:eastAsia="zh-CN" w:bidi="ar"/>
              </w:rPr>
              <w:t>2026</w:t>
            </w:r>
            <w:r>
              <w:rPr>
                <w:rFonts w:hint="eastAsia" w:ascii="宋体" w:hAnsi="宋体" w:eastAsia="宋体" w:cs="宋体"/>
                <w:color w:val="auto"/>
                <w:kern w:val="2"/>
                <w:sz w:val="24"/>
                <w:szCs w:val="24"/>
                <w:highlight w:val="none"/>
                <w:lang w:val="en-US" w:eastAsia="zh-CN" w:bidi="ar"/>
              </w:rPr>
              <w:t>年</w:t>
            </w:r>
            <w:r>
              <w:rPr>
                <w:rFonts w:hint="eastAsia" w:ascii="宋体" w:hAnsi="宋体" w:cs="宋体"/>
                <w:color w:val="auto"/>
                <w:kern w:val="2"/>
                <w:sz w:val="24"/>
                <w:szCs w:val="24"/>
                <w:highlight w:val="none"/>
                <w:lang w:val="en-US" w:eastAsia="zh-CN" w:bidi="ar"/>
              </w:rPr>
              <w:t>04</w:t>
            </w:r>
            <w:r>
              <w:rPr>
                <w:rFonts w:hint="eastAsia" w:ascii="宋体" w:hAnsi="宋体" w:eastAsia="宋体" w:cs="宋体"/>
                <w:color w:val="auto"/>
                <w:kern w:val="2"/>
                <w:sz w:val="24"/>
                <w:szCs w:val="24"/>
                <w:highlight w:val="none"/>
                <w:lang w:val="en-US" w:eastAsia="zh-CN" w:bidi="ar"/>
              </w:rPr>
              <w:t>月</w:t>
            </w:r>
            <w:r>
              <w:rPr>
                <w:rFonts w:hint="eastAsia" w:ascii="宋体" w:hAnsi="宋体" w:cs="宋体"/>
                <w:color w:val="auto"/>
                <w:kern w:val="2"/>
                <w:sz w:val="24"/>
                <w:szCs w:val="24"/>
                <w:highlight w:val="none"/>
                <w:lang w:val="en-US" w:eastAsia="zh-CN" w:bidi="ar"/>
              </w:rPr>
              <w:t>20</w:t>
            </w:r>
            <w:r>
              <w:rPr>
                <w:rFonts w:hint="eastAsia" w:ascii="宋体" w:hAnsi="宋体" w:eastAsia="宋体" w:cs="宋体"/>
                <w:color w:val="auto"/>
                <w:kern w:val="2"/>
                <w:sz w:val="24"/>
                <w:szCs w:val="24"/>
                <w:highlight w:val="none"/>
                <w:lang w:val="en-US" w:eastAsia="zh-CN" w:bidi="ar"/>
              </w:rPr>
              <w:t>日</w:t>
            </w:r>
            <w:r>
              <w:rPr>
                <w:rFonts w:hint="eastAsia" w:ascii="宋体" w:hAnsi="宋体" w:cs="宋体"/>
                <w:color w:val="auto"/>
                <w:kern w:val="2"/>
                <w:sz w:val="24"/>
                <w:szCs w:val="24"/>
                <w:highlight w:val="none"/>
                <w:lang w:val="en-US" w:eastAsia="zh-CN" w:bidi="ar"/>
              </w:rPr>
              <w:t>09</w:t>
            </w:r>
            <w:r>
              <w:rPr>
                <w:rFonts w:hint="eastAsia" w:ascii="宋体" w:hAnsi="宋体" w:eastAsia="宋体" w:cs="宋体"/>
                <w:color w:val="auto"/>
                <w:kern w:val="2"/>
                <w:sz w:val="24"/>
                <w:szCs w:val="24"/>
                <w:highlight w:val="none"/>
                <w:lang w:val="en-US" w:eastAsia="zh-CN" w:bidi="ar"/>
              </w:rPr>
              <w:t>时</w:t>
            </w:r>
            <w:r>
              <w:rPr>
                <w:rFonts w:hint="eastAsia" w:ascii="宋体" w:hAnsi="宋体" w:cs="宋体"/>
                <w:color w:val="auto"/>
                <w:kern w:val="2"/>
                <w:sz w:val="24"/>
                <w:szCs w:val="24"/>
                <w:highlight w:val="none"/>
                <w:lang w:val="en-US" w:eastAsia="zh-CN" w:bidi="ar"/>
              </w:rPr>
              <w:t>30</w:t>
            </w:r>
            <w:r>
              <w:rPr>
                <w:rFonts w:hint="eastAsia" w:ascii="宋体" w:hAnsi="宋体" w:eastAsia="宋体" w:cs="宋体"/>
                <w:color w:val="auto"/>
                <w:kern w:val="2"/>
                <w:sz w:val="24"/>
                <w:szCs w:val="24"/>
                <w:highlight w:val="none"/>
                <w:lang w:val="en-US" w:eastAsia="zh-CN" w:bidi="ar"/>
              </w:rPr>
              <w:t>分</w:t>
            </w:r>
          </w:p>
        </w:tc>
      </w:tr>
      <w:tr w14:paraId="54CE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660" w:type="dxa"/>
            <w:shd w:val="clear" w:color="auto" w:fill="FFFFFF"/>
            <w:noWrap w:val="0"/>
            <w:vAlign w:val="center"/>
          </w:tcPr>
          <w:p w14:paraId="4430112C">
            <w:pPr>
              <w:pStyle w:val="29"/>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6</w:t>
            </w:r>
          </w:p>
        </w:tc>
        <w:tc>
          <w:tcPr>
            <w:tcW w:w="1470" w:type="dxa"/>
            <w:shd w:val="clear" w:color="auto" w:fill="FFFFFF"/>
            <w:noWrap w:val="0"/>
            <w:vAlign w:val="center"/>
          </w:tcPr>
          <w:p w14:paraId="5B3C2014">
            <w:pPr>
              <w:pStyle w:val="29"/>
              <w:wordWrap w:val="0"/>
              <w:adjustRightInd w:val="0"/>
              <w:snapToGrid w:val="0"/>
              <w:spacing w:line="360" w:lineRule="auto"/>
              <w:ind w:firstLine="240" w:firstLineChars="100"/>
              <w:jc w:val="both"/>
              <w:rPr>
                <w:rFonts w:hint="eastAsia" w:ascii="宋体" w:hAnsi="宋体" w:eastAsia="宋体" w:cs="宋体"/>
                <w:snapToGrid w:val="0"/>
                <w:color w:val="auto"/>
                <w:kern w:val="0"/>
                <w:sz w:val="24"/>
                <w:highlight w:val="none"/>
                <w:lang w:val="en-US" w:eastAsia="zh-CN"/>
              </w:rPr>
            </w:pPr>
            <w:r>
              <w:rPr>
                <w:rFonts w:hint="eastAsia" w:ascii="宋体" w:hAnsi="宋体" w:eastAsia="宋体" w:cs="宋体"/>
                <w:snapToGrid w:val="0"/>
                <w:color w:val="auto"/>
                <w:kern w:val="0"/>
                <w:sz w:val="24"/>
                <w:highlight w:val="none"/>
                <w:lang w:val="en-US" w:eastAsia="zh-CN"/>
              </w:rPr>
              <w:t>电子投标</w:t>
            </w:r>
          </w:p>
          <w:p w14:paraId="57BFA074">
            <w:pPr>
              <w:pStyle w:val="29"/>
              <w:wordWrap w:val="0"/>
              <w:adjustRightInd w:val="0"/>
              <w:snapToGrid w:val="0"/>
              <w:spacing w:line="360" w:lineRule="auto"/>
              <w:ind w:firstLine="240" w:firstLineChars="100"/>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highlight w:val="none"/>
                <w:lang w:val="en-US" w:eastAsia="zh-CN"/>
              </w:rPr>
              <w:t>截止时间</w:t>
            </w:r>
          </w:p>
        </w:tc>
        <w:tc>
          <w:tcPr>
            <w:tcW w:w="7466" w:type="dxa"/>
            <w:shd w:val="clear" w:color="auto" w:fill="FFFFFF"/>
            <w:noWrap w:val="0"/>
            <w:vAlign w:val="center"/>
          </w:tcPr>
          <w:p w14:paraId="31A4E8C4">
            <w:pPr>
              <w:pStyle w:val="29"/>
              <w:wordWrap w:val="0"/>
              <w:adjustRightInd w:val="0"/>
              <w:snapToGrid w:val="0"/>
              <w:spacing w:line="360" w:lineRule="auto"/>
              <w:ind w:firstLine="240" w:firstLineChars="100"/>
              <w:jc w:val="both"/>
              <w:rPr>
                <w:rFonts w:hint="eastAsia" w:ascii="宋体" w:hAnsi="宋体" w:eastAsia="宋体" w:cs="宋体"/>
                <w:color w:val="auto"/>
                <w:sz w:val="24"/>
                <w:szCs w:val="24"/>
                <w:highlight w:val="none"/>
              </w:rPr>
            </w:pPr>
            <w:r>
              <w:rPr>
                <w:rFonts w:hint="eastAsia" w:ascii="宋体" w:hAnsi="宋体" w:cs="宋体"/>
                <w:color w:val="auto"/>
                <w:kern w:val="2"/>
                <w:sz w:val="24"/>
                <w:szCs w:val="24"/>
                <w:highlight w:val="none"/>
                <w:lang w:val="en-US" w:eastAsia="zh-CN" w:bidi="ar"/>
              </w:rPr>
              <w:t>2026</w:t>
            </w:r>
            <w:r>
              <w:rPr>
                <w:rFonts w:hint="eastAsia" w:ascii="宋体" w:hAnsi="宋体" w:eastAsia="宋体" w:cs="宋体"/>
                <w:color w:val="auto"/>
                <w:kern w:val="2"/>
                <w:sz w:val="24"/>
                <w:szCs w:val="24"/>
                <w:highlight w:val="none"/>
                <w:lang w:val="en-US" w:eastAsia="zh-CN" w:bidi="ar"/>
              </w:rPr>
              <w:t>年</w:t>
            </w:r>
            <w:r>
              <w:rPr>
                <w:rFonts w:hint="eastAsia" w:ascii="宋体" w:hAnsi="宋体" w:cs="宋体"/>
                <w:color w:val="auto"/>
                <w:kern w:val="2"/>
                <w:sz w:val="24"/>
                <w:szCs w:val="24"/>
                <w:highlight w:val="none"/>
                <w:lang w:val="en-US" w:eastAsia="zh-CN" w:bidi="ar"/>
              </w:rPr>
              <w:t>04</w:t>
            </w:r>
            <w:r>
              <w:rPr>
                <w:rFonts w:hint="eastAsia" w:ascii="宋体" w:hAnsi="宋体" w:eastAsia="宋体" w:cs="宋体"/>
                <w:color w:val="auto"/>
                <w:kern w:val="2"/>
                <w:sz w:val="24"/>
                <w:szCs w:val="24"/>
                <w:highlight w:val="none"/>
                <w:lang w:val="en-US" w:eastAsia="zh-CN" w:bidi="ar"/>
              </w:rPr>
              <w:t>月</w:t>
            </w:r>
            <w:r>
              <w:rPr>
                <w:rFonts w:hint="eastAsia" w:ascii="宋体" w:hAnsi="宋体" w:cs="宋体"/>
                <w:color w:val="auto"/>
                <w:kern w:val="2"/>
                <w:sz w:val="24"/>
                <w:szCs w:val="24"/>
                <w:highlight w:val="none"/>
                <w:lang w:val="en-US" w:eastAsia="zh-CN" w:bidi="ar"/>
              </w:rPr>
              <w:t>21</w:t>
            </w:r>
            <w:r>
              <w:rPr>
                <w:rFonts w:hint="eastAsia" w:ascii="宋体" w:hAnsi="宋体" w:eastAsia="宋体" w:cs="宋体"/>
                <w:color w:val="auto"/>
                <w:kern w:val="2"/>
                <w:sz w:val="24"/>
                <w:szCs w:val="24"/>
                <w:highlight w:val="none"/>
                <w:lang w:val="en-US" w:eastAsia="zh-CN" w:bidi="ar"/>
              </w:rPr>
              <w:t>日</w:t>
            </w:r>
            <w:r>
              <w:rPr>
                <w:rFonts w:hint="eastAsia" w:ascii="宋体" w:hAnsi="宋体" w:cs="宋体"/>
                <w:color w:val="auto"/>
                <w:kern w:val="2"/>
                <w:sz w:val="24"/>
                <w:szCs w:val="24"/>
                <w:highlight w:val="none"/>
                <w:lang w:val="en-US" w:eastAsia="zh-CN" w:bidi="ar"/>
              </w:rPr>
              <w:t>09</w:t>
            </w:r>
            <w:r>
              <w:rPr>
                <w:rFonts w:hint="eastAsia" w:ascii="宋体" w:hAnsi="宋体" w:eastAsia="宋体" w:cs="宋体"/>
                <w:color w:val="auto"/>
                <w:kern w:val="2"/>
                <w:sz w:val="24"/>
                <w:szCs w:val="24"/>
                <w:highlight w:val="none"/>
                <w:lang w:val="en-US" w:eastAsia="zh-CN" w:bidi="ar"/>
              </w:rPr>
              <w:t>时</w:t>
            </w:r>
            <w:r>
              <w:rPr>
                <w:rFonts w:hint="eastAsia" w:ascii="宋体" w:hAnsi="宋体" w:cs="宋体"/>
                <w:color w:val="auto"/>
                <w:kern w:val="2"/>
                <w:sz w:val="24"/>
                <w:szCs w:val="24"/>
                <w:highlight w:val="none"/>
                <w:lang w:val="en-US" w:eastAsia="zh-CN" w:bidi="ar"/>
              </w:rPr>
              <w:t>30</w:t>
            </w:r>
            <w:r>
              <w:rPr>
                <w:rFonts w:hint="eastAsia" w:ascii="宋体" w:hAnsi="宋体" w:eastAsia="宋体" w:cs="宋体"/>
                <w:color w:val="auto"/>
                <w:kern w:val="2"/>
                <w:sz w:val="24"/>
                <w:szCs w:val="24"/>
                <w:highlight w:val="none"/>
                <w:lang w:val="en-US" w:eastAsia="zh-CN" w:bidi="ar"/>
              </w:rPr>
              <w:t>分</w:t>
            </w:r>
          </w:p>
        </w:tc>
      </w:tr>
      <w:tr w14:paraId="31313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660" w:type="dxa"/>
            <w:shd w:val="clear" w:color="auto" w:fill="FFFFFF"/>
            <w:noWrap w:val="0"/>
            <w:vAlign w:val="center"/>
          </w:tcPr>
          <w:p w14:paraId="6FDA8AD6">
            <w:pPr>
              <w:pStyle w:val="29"/>
              <w:wordWrap w:val="0"/>
              <w:adjustRightInd w:val="0"/>
              <w:snapToGrid w:val="0"/>
              <w:spacing w:line="360" w:lineRule="auto"/>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7</w:t>
            </w:r>
          </w:p>
        </w:tc>
        <w:tc>
          <w:tcPr>
            <w:tcW w:w="1470" w:type="dxa"/>
            <w:shd w:val="clear" w:color="auto" w:fill="FFFFFF"/>
            <w:noWrap w:val="0"/>
            <w:vAlign w:val="center"/>
          </w:tcPr>
          <w:p w14:paraId="6AA26F3E">
            <w:pPr>
              <w:pStyle w:val="29"/>
              <w:wordWrap w:val="0"/>
              <w:adjustRightInd w:val="0"/>
              <w:snapToGrid w:val="0"/>
              <w:spacing w:line="360" w:lineRule="auto"/>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投标相关资料（如有）递交时间</w:t>
            </w:r>
          </w:p>
        </w:tc>
        <w:tc>
          <w:tcPr>
            <w:tcW w:w="7466" w:type="dxa"/>
            <w:shd w:val="clear" w:color="auto" w:fill="FFFFFF"/>
            <w:noWrap w:val="0"/>
            <w:vAlign w:val="center"/>
          </w:tcPr>
          <w:p w14:paraId="4118D5E6">
            <w:pPr>
              <w:pStyle w:val="29"/>
              <w:wordWrap w:val="0"/>
              <w:adjustRightInd w:val="0"/>
              <w:snapToGrid w:val="0"/>
              <w:spacing w:line="360" w:lineRule="auto"/>
              <w:ind w:firstLine="240" w:firstLineChars="100"/>
              <w:jc w:val="left"/>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cs="宋体"/>
                <w:color w:val="auto"/>
                <w:kern w:val="2"/>
                <w:sz w:val="24"/>
                <w:szCs w:val="24"/>
                <w:highlight w:val="none"/>
                <w:lang w:val="en-US" w:eastAsia="zh-CN" w:bidi="ar"/>
              </w:rPr>
              <w:t>2026</w:t>
            </w:r>
            <w:r>
              <w:rPr>
                <w:rFonts w:hint="eastAsia" w:ascii="宋体" w:hAnsi="宋体" w:eastAsia="宋体" w:cs="宋体"/>
                <w:color w:val="auto"/>
                <w:kern w:val="2"/>
                <w:sz w:val="24"/>
                <w:szCs w:val="24"/>
                <w:highlight w:val="none"/>
                <w:lang w:val="en-US" w:eastAsia="zh-CN" w:bidi="ar"/>
              </w:rPr>
              <w:t>年</w:t>
            </w:r>
            <w:r>
              <w:rPr>
                <w:rFonts w:hint="eastAsia" w:ascii="宋体" w:hAnsi="宋体" w:cs="宋体"/>
                <w:color w:val="auto"/>
                <w:kern w:val="2"/>
                <w:sz w:val="24"/>
                <w:szCs w:val="24"/>
                <w:highlight w:val="none"/>
                <w:lang w:val="en-US" w:eastAsia="zh-CN" w:bidi="ar"/>
              </w:rPr>
              <w:t>04</w:t>
            </w:r>
            <w:r>
              <w:rPr>
                <w:rFonts w:hint="eastAsia" w:ascii="宋体" w:hAnsi="宋体" w:eastAsia="宋体" w:cs="宋体"/>
                <w:color w:val="auto"/>
                <w:kern w:val="2"/>
                <w:sz w:val="24"/>
                <w:szCs w:val="24"/>
                <w:highlight w:val="none"/>
                <w:lang w:val="en-US" w:eastAsia="zh-CN" w:bidi="ar"/>
              </w:rPr>
              <w:t>月</w:t>
            </w:r>
            <w:r>
              <w:rPr>
                <w:rFonts w:hint="eastAsia" w:ascii="宋体" w:hAnsi="宋体" w:cs="宋体"/>
                <w:color w:val="auto"/>
                <w:kern w:val="2"/>
                <w:sz w:val="24"/>
                <w:szCs w:val="24"/>
                <w:highlight w:val="none"/>
                <w:lang w:val="en-US" w:eastAsia="zh-CN" w:bidi="ar"/>
              </w:rPr>
              <w:t>21</w:t>
            </w:r>
            <w:r>
              <w:rPr>
                <w:rFonts w:hint="eastAsia" w:ascii="宋体" w:hAnsi="宋体" w:eastAsia="宋体" w:cs="宋体"/>
                <w:color w:val="auto"/>
                <w:kern w:val="2"/>
                <w:sz w:val="24"/>
                <w:szCs w:val="24"/>
                <w:highlight w:val="none"/>
                <w:lang w:val="en-US" w:eastAsia="zh-CN" w:bidi="ar"/>
              </w:rPr>
              <w:t>日</w:t>
            </w:r>
            <w:r>
              <w:rPr>
                <w:rFonts w:hint="eastAsia" w:ascii="宋体" w:hAnsi="宋体" w:cs="宋体"/>
                <w:color w:val="auto"/>
                <w:kern w:val="2"/>
                <w:sz w:val="24"/>
                <w:szCs w:val="24"/>
                <w:highlight w:val="none"/>
                <w:lang w:val="en-US" w:eastAsia="zh-CN" w:bidi="ar"/>
              </w:rPr>
              <w:t>09</w:t>
            </w:r>
            <w:r>
              <w:rPr>
                <w:rFonts w:hint="eastAsia" w:ascii="宋体" w:hAnsi="宋体" w:eastAsia="宋体" w:cs="宋体"/>
                <w:color w:val="auto"/>
                <w:kern w:val="2"/>
                <w:sz w:val="24"/>
                <w:szCs w:val="24"/>
                <w:highlight w:val="none"/>
                <w:lang w:val="en-US" w:eastAsia="zh-CN" w:bidi="ar"/>
              </w:rPr>
              <w:t>时</w:t>
            </w:r>
            <w:r>
              <w:rPr>
                <w:rFonts w:hint="eastAsia" w:ascii="宋体" w:hAnsi="宋体" w:cs="宋体"/>
                <w:color w:val="auto"/>
                <w:kern w:val="2"/>
                <w:sz w:val="24"/>
                <w:szCs w:val="24"/>
                <w:highlight w:val="none"/>
                <w:lang w:val="en-US" w:eastAsia="zh-CN" w:bidi="ar"/>
              </w:rPr>
              <w:t>00</w:t>
            </w:r>
            <w:r>
              <w:rPr>
                <w:rFonts w:hint="eastAsia" w:ascii="宋体" w:hAnsi="宋体" w:eastAsia="宋体" w:cs="宋体"/>
                <w:color w:val="auto"/>
                <w:kern w:val="2"/>
                <w:sz w:val="24"/>
                <w:szCs w:val="24"/>
                <w:highlight w:val="none"/>
                <w:lang w:val="en-US" w:eastAsia="zh-CN" w:bidi="ar"/>
              </w:rPr>
              <w:t>分</w:t>
            </w:r>
            <w:r>
              <w:rPr>
                <w:rFonts w:hint="eastAsia" w:ascii="宋体" w:hAnsi="宋体" w:eastAsia="宋体" w:cs="宋体"/>
                <w:snapToGrid w:val="0"/>
                <w:color w:val="auto"/>
                <w:kern w:val="0"/>
                <w:sz w:val="24"/>
                <w:szCs w:val="24"/>
                <w:highlight w:val="none"/>
                <w:u w:val="none"/>
              </w:rPr>
              <w:t>至</w:t>
            </w:r>
            <w:r>
              <w:rPr>
                <w:rFonts w:hint="eastAsia" w:ascii="宋体" w:hAnsi="宋体" w:cs="宋体"/>
                <w:color w:val="auto"/>
                <w:kern w:val="2"/>
                <w:sz w:val="24"/>
                <w:szCs w:val="24"/>
                <w:highlight w:val="none"/>
                <w:lang w:val="en-US" w:eastAsia="zh-CN" w:bidi="ar"/>
              </w:rPr>
              <w:t>2026</w:t>
            </w:r>
            <w:r>
              <w:rPr>
                <w:rFonts w:hint="eastAsia" w:ascii="宋体" w:hAnsi="宋体" w:eastAsia="宋体" w:cs="宋体"/>
                <w:color w:val="auto"/>
                <w:kern w:val="2"/>
                <w:sz w:val="24"/>
                <w:szCs w:val="24"/>
                <w:highlight w:val="none"/>
                <w:lang w:val="en-US" w:eastAsia="zh-CN" w:bidi="ar"/>
              </w:rPr>
              <w:t>年</w:t>
            </w:r>
            <w:r>
              <w:rPr>
                <w:rFonts w:hint="eastAsia" w:ascii="宋体" w:hAnsi="宋体" w:cs="宋体"/>
                <w:color w:val="auto"/>
                <w:kern w:val="2"/>
                <w:sz w:val="24"/>
                <w:szCs w:val="24"/>
                <w:highlight w:val="none"/>
                <w:lang w:val="en-US" w:eastAsia="zh-CN" w:bidi="ar"/>
              </w:rPr>
              <w:t>04</w:t>
            </w:r>
            <w:r>
              <w:rPr>
                <w:rFonts w:hint="eastAsia" w:ascii="宋体" w:hAnsi="宋体" w:eastAsia="宋体" w:cs="宋体"/>
                <w:color w:val="auto"/>
                <w:kern w:val="2"/>
                <w:sz w:val="24"/>
                <w:szCs w:val="24"/>
                <w:highlight w:val="none"/>
                <w:lang w:val="en-US" w:eastAsia="zh-CN" w:bidi="ar"/>
              </w:rPr>
              <w:t>月</w:t>
            </w:r>
            <w:r>
              <w:rPr>
                <w:rFonts w:hint="eastAsia" w:ascii="宋体" w:hAnsi="宋体" w:cs="宋体"/>
                <w:color w:val="auto"/>
                <w:kern w:val="2"/>
                <w:sz w:val="24"/>
                <w:szCs w:val="24"/>
                <w:highlight w:val="none"/>
                <w:lang w:val="en-US" w:eastAsia="zh-CN" w:bidi="ar"/>
              </w:rPr>
              <w:t>21</w:t>
            </w:r>
            <w:r>
              <w:rPr>
                <w:rFonts w:hint="eastAsia" w:ascii="宋体" w:hAnsi="宋体" w:eastAsia="宋体" w:cs="宋体"/>
                <w:color w:val="auto"/>
                <w:kern w:val="2"/>
                <w:sz w:val="24"/>
                <w:szCs w:val="24"/>
                <w:highlight w:val="none"/>
                <w:lang w:val="en-US" w:eastAsia="zh-CN" w:bidi="ar"/>
              </w:rPr>
              <w:t>日</w:t>
            </w:r>
            <w:r>
              <w:rPr>
                <w:rFonts w:hint="eastAsia" w:ascii="宋体" w:hAnsi="宋体" w:cs="宋体"/>
                <w:color w:val="auto"/>
                <w:kern w:val="2"/>
                <w:sz w:val="24"/>
                <w:szCs w:val="24"/>
                <w:highlight w:val="none"/>
                <w:lang w:val="en-US" w:eastAsia="zh-CN" w:bidi="ar"/>
              </w:rPr>
              <w:t>09</w:t>
            </w:r>
            <w:r>
              <w:rPr>
                <w:rFonts w:hint="eastAsia" w:ascii="宋体" w:hAnsi="宋体" w:eastAsia="宋体" w:cs="宋体"/>
                <w:color w:val="auto"/>
                <w:kern w:val="2"/>
                <w:sz w:val="24"/>
                <w:szCs w:val="24"/>
                <w:highlight w:val="none"/>
                <w:lang w:val="en-US" w:eastAsia="zh-CN" w:bidi="ar"/>
              </w:rPr>
              <w:t>时</w:t>
            </w:r>
            <w:r>
              <w:rPr>
                <w:rFonts w:hint="eastAsia" w:ascii="宋体" w:hAnsi="宋体" w:cs="宋体"/>
                <w:color w:val="auto"/>
                <w:kern w:val="2"/>
                <w:sz w:val="24"/>
                <w:szCs w:val="24"/>
                <w:highlight w:val="none"/>
                <w:lang w:val="en-US" w:eastAsia="zh-CN" w:bidi="ar"/>
              </w:rPr>
              <w:t>30</w:t>
            </w:r>
            <w:r>
              <w:rPr>
                <w:rFonts w:hint="eastAsia" w:ascii="宋体" w:hAnsi="宋体" w:eastAsia="宋体" w:cs="宋体"/>
                <w:color w:val="auto"/>
                <w:kern w:val="2"/>
                <w:sz w:val="24"/>
                <w:szCs w:val="24"/>
                <w:highlight w:val="none"/>
                <w:lang w:val="en-US" w:eastAsia="zh-CN" w:bidi="ar"/>
              </w:rPr>
              <w:t>分</w:t>
            </w:r>
          </w:p>
        </w:tc>
      </w:tr>
      <w:tr w14:paraId="26D1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660" w:type="dxa"/>
            <w:shd w:val="clear" w:color="auto" w:fill="FFFFFF"/>
            <w:noWrap w:val="0"/>
            <w:vAlign w:val="center"/>
          </w:tcPr>
          <w:p w14:paraId="0D34D715">
            <w:pPr>
              <w:pStyle w:val="29"/>
              <w:wordWrap w:val="0"/>
              <w:adjustRightInd w:val="0"/>
              <w:snapToGrid w:val="0"/>
              <w:spacing w:line="360" w:lineRule="auto"/>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8</w:t>
            </w:r>
          </w:p>
        </w:tc>
        <w:tc>
          <w:tcPr>
            <w:tcW w:w="1470" w:type="dxa"/>
            <w:shd w:val="clear" w:color="auto" w:fill="FFFFFF"/>
            <w:noWrap w:val="0"/>
            <w:vAlign w:val="center"/>
          </w:tcPr>
          <w:p w14:paraId="7B09109B">
            <w:pPr>
              <w:pStyle w:val="29"/>
              <w:wordWrap w:val="0"/>
              <w:adjustRightInd w:val="0"/>
              <w:snapToGrid w:val="0"/>
              <w:spacing w:line="360" w:lineRule="auto"/>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投标相关资料（如有）递交地点</w:t>
            </w:r>
          </w:p>
        </w:tc>
        <w:tc>
          <w:tcPr>
            <w:tcW w:w="7466" w:type="dxa"/>
            <w:shd w:val="clear" w:color="auto" w:fill="FFFFFF"/>
            <w:noWrap w:val="0"/>
            <w:vAlign w:val="center"/>
          </w:tcPr>
          <w:p w14:paraId="291901A9">
            <w:pPr>
              <w:pStyle w:val="17"/>
              <w:wordWrap w:val="0"/>
              <w:adjustRightInd w:val="0"/>
              <w:snapToGrid w:val="0"/>
              <w:spacing w:line="360" w:lineRule="auto"/>
              <w:ind w:firstLine="240" w:firstLineChars="100"/>
              <w:jc w:val="left"/>
              <w:rPr>
                <w:rFonts w:hint="eastAsia" w:ascii="宋体" w:hAnsi="宋体" w:eastAsia="宋体" w:cs="宋体"/>
                <w:snapToGrid w:val="0"/>
                <w:color w:val="auto"/>
                <w:kern w:val="0"/>
                <w:sz w:val="24"/>
                <w:szCs w:val="24"/>
                <w:highlight w:val="none"/>
                <w:u w:val="none"/>
                <w:lang w:eastAsia="zh-CN"/>
              </w:rPr>
            </w:pPr>
            <w:r>
              <w:rPr>
                <w:rFonts w:hint="eastAsia" w:ascii="宋体" w:hAnsi="宋体" w:eastAsia="宋体" w:cs="宋体"/>
                <w:snapToGrid w:val="0"/>
                <w:color w:val="auto"/>
                <w:kern w:val="0"/>
                <w:sz w:val="24"/>
                <w:szCs w:val="24"/>
                <w:highlight w:val="none"/>
                <w:u w:val="none"/>
                <w:lang w:eastAsia="zh-CN"/>
              </w:rPr>
              <w:t>递交</w:t>
            </w:r>
            <w:r>
              <w:rPr>
                <w:rFonts w:hint="eastAsia" w:ascii="宋体" w:hAnsi="宋体" w:eastAsia="宋体" w:cs="宋体"/>
                <w:snapToGrid w:val="0"/>
                <w:color w:val="auto"/>
                <w:kern w:val="0"/>
                <w:sz w:val="24"/>
                <w:szCs w:val="24"/>
                <w:highlight w:val="none"/>
                <w:u w:val="none"/>
              </w:rPr>
              <w:t>场所：</w:t>
            </w:r>
            <w:r>
              <w:rPr>
                <w:rFonts w:hint="eastAsia" w:ascii="宋体" w:hAnsi="宋体" w:eastAsia="宋体" w:cs="宋体"/>
                <w:snapToGrid w:val="0"/>
                <w:color w:val="auto"/>
                <w:kern w:val="0"/>
                <w:sz w:val="24"/>
                <w:szCs w:val="24"/>
                <w:highlight w:val="none"/>
                <w:u w:val="none"/>
                <w:lang w:val="en-US" w:eastAsia="zh-CN"/>
              </w:rPr>
              <w:t>韶关市公共资源交易中心</w:t>
            </w:r>
          </w:p>
          <w:p w14:paraId="6E7F3111">
            <w:pPr>
              <w:pStyle w:val="30"/>
              <w:widowControl w:val="0"/>
              <w:wordWrap w:val="0"/>
              <w:snapToGrid w:val="0"/>
              <w:spacing w:before="0" w:beforeAutospacing="0" w:after="0" w:afterAutospacing="0" w:line="360" w:lineRule="auto"/>
              <w:ind w:firstLine="240" w:firstLineChars="100"/>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u w:val="none"/>
                <w:lang w:val="en-US" w:eastAsia="zh-CN" w:bidi="ar-SA"/>
              </w:rPr>
              <w:t>地址：广东省韶关市武江区西联镇，具体房间号以当日现场通知为准。</w:t>
            </w:r>
          </w:p>
        </w:tc>
      </w:tr>
      <w:tr w14:paraId="7DF7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660" w:type="dxa"/>
            <w:shd w:val="clear" w:color="auto" w:fill="FFFFFF"/>
            <w:noWrap w:val="0"/>
            <w:vAlign w:val="center"/>
          </w:tcPr>
          <w:p w14:paraId="31E3BE7B">
            <w:pPr>
              <w:pStyle w:val="29"/>
              <w:wordWrap w:val="0"/>
              <w:adjustRightInd w:val="0"/>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highlight w:val="none"/>
              </w:rPr>
              <w:t>9</w:t>
            </w:r>
          </w:p>
        </w:tc>
        <w:tc>
          <w:tcPr>
            <w:tcW w:w="1470" w:type="dxa"/>
            <w:shd w:val="clear" w:color="auto" w:fill="FFFFFF"/>
            <w:noWrap w:val="0"/>
            <w:vAlign w:val="center"/>
          </w:tcPr>
          <w:p w14:paraId="6F526C1E">
            <w:pPr>
              <w:pStyle w:val="29"/>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highlight w:val="none"/>
              </w:rPr>
              <w:t>开标时间</w:t>
            </w:r>
          </w:p>
        </w:tc>
        <w:tc>
          <w:tcPr>
            <w:tcW w:w="7466" w:type="dxa"/>
            <w:shd w:val="clear" w:color="auto" w:fill="FFFFFF"/>
            <w:noWrap w:val="0"/>
            <w:vAlign w:val="center"/>
          </w:tcPr>
          <w:p w14:paraId="220196E9">
            <w:pPr>
              <w:pStyle w:val="29"/>
              <w:wordWrap w:val="0"/>
              <w:adjustRightInd w:val="0"/>
              <w:snapToGrid w:val="0"/>
              <w:spacing w:line="360" w:lineRule="auto"/>
              <w:ind w:firstLine="240" w:firstLineChars="100"/>
              <w:jc w:val="both"/>
              <w:rPr>
                <w:rFonts w:hint="eastAsia" w:ascii="宋体" w:hAnsi="宋体" w:eastAsia="宋体" w:cs="宋体"/>
                <w:color w:val="auto"/>
                <w:sz w:val="24"/>
                <w:szCs w:val="24"/>
                <w:highlight w:val="none"/>
              </w:rPr>
            </w:pPr>
            <w:r>
              <w:rPr>
                <w:rFonts w:hint="eastAsia" w:ascii="宋体" w:hAnsi="宋体" w:cs="宋体"/>
                <w:color w:val="auto"/>
                <w:kern w:val="2"/>
                <w:sz w:val="24"/>
                <w:szCs w:val="24"/>
                <w:highlight w:val="none"/>
                <w:lang w:val="en-US" w:eastAsia="zh-CN" w:bidi="ar"/>
              </w:rPr>
              <w:t>2026</w:t>
            </w:r>
            <w:r>
              <w:rPr>
                <w:rFonts w:hint="eastAsia" w:ascii="宋体" w:hAnsi="宋体" w:eastAsia="宋体" w:cs="宋体"/>
                <w:color w:val="auto"/>
                <w:kern w:val="2"/>
                <w:sz w:val="24"/>
                <w:szCs w:val="24"/>
                <w:highlight w:val="none"/>
                <w:lang w:val="en-US" w:eastAsia="zh-CN" w:bidi="ar"/>
              </w:rPr>
              <w:t>年</w:t>
            </w:r>
            <w:r>
              <w:rPr>
                <w:rFonts w:hint="eastAsia" w:ascii="宋体" w:hAnsi="宋体" w:cs="宋体"/>
                <w:color w:val="auto"/>
                <w:kern w:val="2"/>
                <w:sz w:val="24"/>
                <w:szCs w:val="24"/>
                <w:highlight w:val="none"/>
                <w:lang w:val="en-US" w:eastAsia="zh-CN" w:bidi="ar"/>
              </w:rPr>
              <w:t>04</w:t>
            </w:r>
            <w:r>
              <w:rPr>
                <w:rFonts w:hint="eastAsia" w:ascii="宋体" w:hAnsi="宋体" w:eastAsia="宋体" w:cs="宋体"/>
                <w:color w:val="auto"/>
                <w:kern w:val="2"/>
                <w:sz w:val="24"/>
                <w:szCs w:val="24"/>
                <w:highlight w:val="none"/>
                <w:lang w:val="en-US" w:eastAsia="zh-CN" w:bidi="ar"/>
              </w:rPr>
              <w:t>月</w:t>
            </w:r>
            <w:r>
              <w:rPr>
                <w:rFonts w:hint="eastAsia" w:ascii="宋体" w:hAnsi="宋体" w:cs="宋体"/>
                <w:color w:val="auto"/>
                <w:kern w:val="2"/>
                <w:sz w:val="24"/>
                <w:szCs w:val="24"/>
                <w:highlight w:val="none"/>
                <w:lang w:val="en-US" w:eastAsia="zh-CN" w:bidi="ar"/>
              </w:rPr>
              <w:t>21</w:t>
            </w:r>
            <w:r>
              <w:rPr>
                <w:rFonts w:hint="eastAsia" w:ascii="宋体" w:hAnsi="宋体" w:eastAsia="宋体" w:cs="宋体"/>
                <w:color w:val="auto"/>
                <w:kern w:val="2"/>
                <w:sz w:val="24"/>
                <w:szCs w:val="24"/>
                <w:highlight w:val="none"/>
                <w:lang w:val="en-US" w:eastAsia="zh-CN" w:bidi="ar"/>
              </w:rPr>
              <w:t>日</w:t>
            </w:r>
            <w:r>
              <w:rPr>
                <w:rFonts w:hint="eastAsia" w:ascii="宋体" w:hAnsi="宋体" w:cs="宋体"/>
                <w:color w:val="auto"/>
                <w:kern w:val="2"/>
                <w:sz w:val="24"/>
                <w:szCs w:val="24"/>
                <w:highlight w:val="none"/>
                <w:lang w:val="en-US" w:eastAsia="zh-CN" w:bidi="ar"/>
              </w:rPr>
              <w:t>09</w:t>
            </w:r>
            <w:r>
              <w:rPr>
                <w:rFonts w:hint="eastAsia" w:ascii="宋体" w:hAnsi="宋体" w:eastAsia="宋体" w:cs="宋体"/>
                <w:color w:val="auto"/>
                <w:kern w:val="2"/>
                <w:sz w:val="24"/>
                <w:szCs w:val="24"/>
                <w:highlight w:val="none"/>
                <w:lang w:val="en-US" w:eastAsia="zh-CN" w:bidi="ar"/>
              </w:rPr>
              <w:t>时</w:t>
            </w:r>
            <w:r>
              <w:rPr>
                <w:rFonts w:hint="eastAsia" w:ascii="宋体" w:hAnsi="宋体" w:cs="宋体"/>
                <w:color w:val="auto"/>
                <w:kern w:val="2"/>
                <w:sz w:val="24"/>
                <w:szCs w:val="24"/>
                <w:highlight w:val="none"/>
                <w:lang w:val="en-US" w:eastAsia="zh-CN" w:bidi="ar"/>
              </w:rPr>
              <w:t>30</w:t>
            </w:r>
            <w:r>
              <w:rPr>
                <w:rFonts w:hint="eastAsia" w:ascii="宋体" w:hAnsi="宋体" w:eastAsia="宋体" w:cs="宋体"/>
                <w:color w:val="auto"/>
                <w:kern w:val="2"/>
                <w:sz w:val="24"/>
                <w:szCs w:val="24"/>
                <w:highlight w:val="none"/>
                <w:lang w:val="en-US" w:eastAsia="zh-CN" w:bidi="ar"/>
              </w:rPr>
              <w:t>分</w:t>
            </w:r>
          </w:p>
        </w:tc>
      </w:tr>
      <w:tr w14:paraId="43FD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660" w:type="dxa"/>
            <w:shd w:val="clear" w:color="auto" w:fill="FFFFFF"/>
            <w:noWrap w:val="0"/>
            <w:vAlign w:val="center"/>
          </w:tcPr>
          <w:p w14:paraId="2A676CE8">
            <w:pPr>
              <w:pStyle w:val="29"/>
              <w:wordWrap w:val="0"/>
              <w:adjustRightInd w:val="0"/>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szCs w:val="24"/>
                <w:highlight w:val="none"/>
              </w:rPr>
              <w:t>10</w:t>
            </w:r>
          </w:p>
        </w:tc>
        <w:tc>
          <w:tcPr>
            <w:tcW w:w="1470" w:type="dxa"/>
            <w:shd w:val="clear" w:color="auto" w:fill="FFFFFF"/>
            <w:noWrap w:val="0"/>
            <w:vAlign w:val="center"/>
          </w:tcPr>
          <w:p w14:paraId="2971D890">
            <w:pPr>
              <w:pStyle w:val="29"/>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开标地点</w:t>
            </w:r>
          </w:p>
        </w:tc>
        <w:tc>
          <w:tcPr>
            <w:tcW w:w="7466" w:type="dxa"/>
            <w:shd w:val="clear" w:color="auto" w:fill="FFFFFF"/>
            <w:noWrap w:val="0"/>
            <w:vAlign w:val="center"/>
          </w:tcPr>
          <w:p w14:paraId="16A1BFFA">
            <w:pPr>
              <w:pStyle w:val="17"/>
              <w:wordWrap w:val="0"/>
              <w:adjustRightInd w:val="0"/>
              <w:snapToGrid w:val="0"/>
              <w:spacing w:line="360" w:lineRule="auto"/>
              <w:ind w:firstLine="240" w:firstLineChars="100"/>
              <w:jc w:val="lef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开标场所：</w:t>
            </w:r>
            <w:r>
              <w:rPr>
                <w:rFonts w:hint="eastAsia" w:ascii="宋体" w:hAnsi="宋体" w:eastAsia="宋体" w:cs="宋体"/>
                <w:snapToGrid w:val="0"/>
                <w:color w:val="auto"/>
                <w:kern w:val="0"/>
                <w:sz w:val="24"/>
                <w:szCs w:val="24"/>
                <w:highlight w:val="none"/>
                <w:lang w:val="en-US" w:eastAsia="zh-CN"/>
              </w:rPr>
              <w:t>韶关市公共资源交易中心</w:t>
            </w:r>
          </w:p>
          <w:p w14:paraId="2ED5063C">
            <w:pPr>
              <w:pStyle w:val="30"/>
              <w:widowControl w:val="0"/>
              <w:wordWrap w:val="0"/>
              <w:snapToGrid w:val="0"/>
              <w:spacing w:before="0" w:beforeAutospacing="0" w:after="0" w:afterAutospacing="0"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地址：广东省韶关市武江区西联镇</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具体房间号以当日现场通知为准。</w:t>
            </w:r>
          </w:p>
        </w:tc>
      </w:tr>
      <w:tr w14:paraId="1C48B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7" w:hRule="atLeast"/>
          <w:jc w:val="center"/>
        </w:trPr>
        <w:tc>
          <w:tcPr>
            <w:tcW w:w="660" w:type="dxa"/>
            <w:shd w:val="clear" w:color="auto" w:fill="FFFFFF"/>
            <w:noWrap w:val="0"/>
            <w:vAlign w:val="center"/>
          </w:tcPr>
          <w:p w14:paraId="18BEC9A9">
            <w:pPr>
              <w:pStyle w:val="29"/>
              <w:wordWrap w:val="0"/>
              <w:adjustRightInd w:val="0"/>
              <w:snapToGrid w:val="0"/>
              <w:spacing w:line="360" w:lineRule="auto"/>
              <w:jc w:val="center"/>
              <w:rPr>
                <w:rFonts w:hint="eastAsia" w:ascii="宋体" w:hAnsi="宋体" w:eastAsia="宋体" w:cs="宋体"/>
                <w:i w:val="0"/>
                <w:caps w:val="0"/>
                <w:color w:val="auto"/>
                <w:spacing w:val="0"/>
                <w:sz w:val="24"/>
                <w:szCs w:val="24"/>
                <w:highlight w:val="none"/>
                <w:lang w:val="en-US"/>
              </w:rPr>
            </w:pPr>
            <w:r>
              <w:rPr>
                <w:rFonts w:hint="eastAsia" w:ascii="宋体" w:hAnsi="宋体" w:eastAsia="宋体" w:cs="宋体"/>
                <w:snapToGrid w:val="0"/>
                <w:color w:val="auto"/>
                <w:kern w:val="0"/>
                <w:sz w:val="24"/>
                <w:szCs w:val="24"/>
                <w:highlight w:val="none"/>
              </w:rPr>
              <w:t>11</w:t>
            </w:r>
          </w:p>
        </w:tc>
        <w:tc>
          <w:tcPr>
            <w:tcW w:w="1470" w:type="dxa"/>
            <w:shd w:val="clear" w:color="auto" w:fill="FFFFFF"/>
            <w:noWrap w:val="0"/>
            <w:vAlign w:val="center"/>
          </w:tcPr>
          <w:p w14:paraId="4FC398B1">
            <w:pPr>
              <w:pStyle w:val="29"/>
              <w:wordWrap w:val="0"/>
              <w:adjustRightInd w:val="0"/>
              <w:snapToGrid w:val="0"/>
              <w:spacing w:line="360" w:lineRule="auto"/>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其他</w:t>
            </w:r>
          </w:p>
        </w:tc>
        <w:tc>
          <w:tcPr>
            <w:tcW w:w="7466" w:type="dxa"/>
            <w:shd w:val="clear" w:color="auto" w:fill="FFFFFF"/>
            <w:noWrap w:val="0"/>
            <w:vAlign w:val="center"/>
          </w:tcPr>
          <w:p w14:paraId="43A57DF3">
            <w:pPr>
              <w:pStyle w:val="17"/>
              <w:wordWrap w:val="0"/>
              <w:adjustRightInd w:val="0"/>
              <w:snapToGrid w:val="0"/>
              <w:spacing w:line="360" w:lineRule="auto"/>
              <w:ind w:firstLine="240" w:firstLineChars="100"/>
              <w:jc w:val="left"/>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color w:val="auto"/>
                <w:sz w:val="24"/>
                <w:szCs w:val="24"/>
                <w:highlight w:val="none"/>
                <w:shd w:val="clear" w:color="auto" w:fill="FFFFFF"/>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tbl>
    <w:p w14:paraId="64BC2611">
      <w:pPr>
        <w:rPr>
          <w:rFonts w:hint="eastAsia" w:ascii="宋体" w:hAnsi="宋体" w:eastAsia="宋体" w:cs="宋体"/>
          <w:b/>
          <w:bCs w:val="0"/>
          <w:color w:val="auto"/>
          <w:highlight w:val="none"/>
          <w:lang w:val="en-US" w:eastAsia="zh-CN"/>
        </w:rPr>
      </w:pPr>
    </w:p>
    <w:p w14:paraId="2F8FA2B6">
      <w:pPr>
        <w:rPr>
          <w:rFonts w:hint="eastAsia" w:ascii="宋体" w:hAnsi="宋体" w:eastAsia="宋体" w:cs="宋体"/>
          <w:b/>
          <w:bCs w:val="0"/>
          <w:color w:val="auto"/>
          <w:highlight w:val="none"/>
          <w:lang w:val="en-US" w:eastAsia="zh-CN"/>
        </w:rPr>
      </w:pPr>
    </w:p>
    <w:p w14:paraId="06EE79C4">
      <w:pPr>
        <w:rPr>
          <w:rFonts w:hint="eastAsia" w:ascii="宋体" w:hAnsi="宋体" w:eastAsia="宋体" w:cs="宋体"/>
          <w:b/>
          <w:bCs w:val="0"/>
          <w:color w:val="auto"/>
          <w:highlight w:val="none"/>
          <w:lang w:val="en-US" w:eastAsia="zh-CN"/>
        </w:rPr>
      </w:pPr>
    </w:p>
    <w:p w14:paraId="2EBB3325">
      <w:pPr>
        <w:rPr>
          <w:rFonts w:hint="eastAsia" w:ascii="宋体" w:hAnsi="宋体" w:eastAsia="宋体" w:cs="宋体"/>
          <w:b/>
          <w:bCs w:val="0"/>
          <w:color w:val="auto"/>
          <w:highlight w:val="none"/>
          <w:lang w:val="en-US" w:eastAsia="zh-CN"/>
        </w:rPr>
      </w:pPr>
    </w:p>
    <w:p w14:paraId="54E1342B">
      <w:pPr>
        <w:rPr>
          <w:rFonts w:hint="eastAsia" w:ascii="宋体" w:hAnsi="宋体" w:eastAsia="宋体" w:cs="宋体"/>
          <w:b/>
          <w:bCs w:val="0"/>
          <w:color w:val="auto"/>
          <w:highlight w:val="none"/>
          <w:lang w:val="en-US" w:eastAsia="zh-CN"/>
        </w:rPr>
      </w:pPr>
    </w:p>
    <w:p w14:paraId="24C0A71C">
      <w:pPr>
        <w:pStyle w:val="3"/>
        <w:bidi w:val="0"/>
        <w:ind w:left="0" w:leftChars="0" w:firstLine="0" w:firstLineChars="0"/>
        <w:rPr>
          <w:rFonts w:hint="eastAsia" w:ascii="宋体" w:hAnsi="宋体" w:eastAsia="宋体" w:cs="宋体"/>
          <w:color w:val="auto"/>
          <w:lang w:val="en-US" w:eastAsia="zh-CN"/>
        </w:rPr>
      </w:pPr>
      <w:bookmarkStart w:id="7" w:name="_Toc6353"/>
      <w:r>
        <w:rPr>
          <w:rFonts w:hint="eastAsia" w:ascii="宋体" w:hAnsi="宋体" w:eastAsia="宋体" w:cs="宋体"/>
          <w:color w:val="auto"/>
          <w:lang w:val="en-US" w:eastAsia="zh-CN"/>
        </w:rPr>
        <w:t>三、投标人须知</w:t>
      </w:r>
      <w:bookmarkEnd w:id="7"/>
    </w:p>
    <w:p w14:paraId="3BA111C0">
      <w:pPr>
        <w:pStyle w:val="4"/>
        <w:keepNext/>
        <w:keepLines/>
        <w:pageBreakBefore w:val="0"/>
        <w:widowControl/>
        <w:kinsoku/>
        <w:wordWrap/>
        <w:overflowPunct/>
        <w:topLinePunct w:val="0"/>
        <w:autoSpaceDE/>
        <w:autoSpaceDN/>
        <w:bidi w:val="0"/>
        <w:adjustRightInd/>
        <w:snapToGrid/>
        <w:spacing w:before="240" w:beforeAutospacing="0" w:after="120" w:afterAutospacing="0" w:line="360" w:lineRule="auto"/>
        <w:ind w:firstLine="420"/>
        <w:jc w:val="center"/>
        <w:textAlignment w:val="auto"/>
        <w:outlineLvl w:val="2"/>
        <w:rPr>
          <w:rFonts w:hint="eastAsia" w:ascii="宋体" w:hAnsi="宋体" w:eastAsia="宋体" w:cs="宋体"/>
          <w:b/>
          <w:bCs/>
          <w:color w:val="auto"/>
          <w:kern w:val="0"/>
          <w:sz w:val="28"/>
          <w:szCs w:val="28"/>
          <w:highlight w:val="none"/>
        </w:rPr>
      </w:pPr>
      <w:bookmarkStart w:id="8" w:name="_Toc788"/>
      <w:r>
        <w:rPr>
          <w:rFonts w:hint="eastAsia" w:ascii="宋体" w:hAnsi="宋体" w:eastAsia="宋体" w:cs="宋体"/>
          <w:b/>
          <w:bCs/>
          <w:color w:val="auto"/>
          <w:kern w:val="0"/>
          <w:sz w:val="28"/>
          <w:szCs w:val="28"/>
          <w:highlight w:val="none"/>
        </w:rPr>
        <w:t>（</w:t>
      </w:r>
      <w:r>
        <w:rPr>
          <w:rFonts w:hint="eastAsia" w:ascii="宋体" w:hAnsi="宋体" w:eastAsia="宋体" w:cs="宋体"/>
          <w:b/>
          <w:bCs/>
          <w:color w:val="auto"/>
          <w:kern w:val="0"/>
          <w:sz w:val="28"/>
          <w:szCs w:val="28"/>
          <w:highlight w:val="none"/>
          <w:lang w:eastAsia="zh-CN"/>
        </w:rPr>
        <w:t>一</w:t>
      </w:r>
      <w:r>
        <w:rPr>
          <w:rFonts w:hint="eastAsia" w:ascii="宋体" w:hAnsi="宋体" w:eastAsia="宋体" w:cs="宋体"/>
          <w:b/>
          <w:bCs/>
          <w:color w:val="auto"/>
          <w:kern w:val="0"/>
          <w:sz w:val="28"/>
          <w:szCs w:val="28"/>
          <w:highlight w:val="none"/>
        </w:rPr>
        <w:t>）总</w:t>
      </w:r>
      <w:r>
        <w:rPr>
          <w:rFonts w:hint="eastAsia" w:ascii="宋体" w:hAnsi="宋体" w:eastAsia="宋体" w:cs="宋体"/>
          <w:b/>
          <w:bCs/>
          <w:color w:val="auto"/>
          <w:kern w:val="0"/>
          <w:sz w:val="28"/>
          <w:szCs w:val="28"/>
          <w:highlight w:val="none"/>
          <w:lang w:val="en-US" w:eastAsia="zh-CN"/>
        </w:rPr>
        <w:t xml:space="preserve"> </w:t>
      </w:r>
      <w:r>
        <w:rPr>
          <w:rFonts w:hint="eastAsia" w:ascii="宋体" w:hAnsi="宋体" w:eastAsia="宋体" w:cs="宋体"/>
          <w:b/>
          <w:bCs/>
          <w:color w:val="auto"/>
          <w:kern w:val="0"/>
          <w:sz w:val="28"/>
          <w:szCs w:val="28"/>
          <w:highlight w:val="none"/>
        </w:rPr>
        <w:t>则</w:t>
      </w:r>
      <w:bookmarkEnd w:id="8"/>
    </w:p>
    <w:p w14:paraId="416DECCB">
      <w:pPr>
        <w:keepNext w:val="0"/>
        <w:keepLines w:val="0"/>
        <w:pageBreakBefore w:val="0"/>
        <w:kinsoku/>
        <w:wordWrap/>
        <w:overflowPunct/>
        <w:topLinePunct w:val="0"/>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eastAsia="zh-CN"/>
        </w:rPr>
        <w:t>招标</w:t>
      </w:r>
      <w:r>
        <w:rPr>
          <w:rFonts w:hint="eastAsia" w:ascii="宋体" w:hAnsi="宋体" w:eastAsia="宋体" w:cs="宋体"/>
          <w:b/>
          <w:bCs/>
          <w:color w:val="auto"/>
          <w:sz w:val="24"/>
          <w:szCs w:val="24"/>
          <w:highlight w:val="none"/>
        </w:rPr>
        <w:t>项目概况</w:t>
      </w:r>
    </w:p>
    <w:p w14:paraId="75F3CD25">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.1根据《中华人民共和国招标投标法》等有关法律、法规和规章的规定，本招标项目已具备招标条件，通过招标方式选定承包人。</w:t>
      </w:r>
    </w:p>
    <w:p w14:paraId="79CB891D">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项目业主：</w:t>
      </w:r>
      <w:r>
        <w:rPr>
          <w:rFonts w:hint="eastAsia" w:ascii="宋体" w:hAnsi="宋体" w:eastAsia="宋体" w:cs="宋体"/>
          <w:color w:val="auto"/>
          <w:sz w:val="24"/>
          <w:szCs w:val="24"/>
          <w:highlight w:val="none"/>
        </w:rPr>
        <w:t>见投标人须知前附表。</w:t>
      </w:r>
    </w:p>
    <w:p w14:paraId="6F4B8F7F">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.3招标人：见投标人须知前附表</w:t>
      </w:r>
      <w:r>
        <w:rPr>
          <w:rFonts w:hint="eastAsia" w:ascii="宋体" w:hAnsi="宋体" w:eastAsia="宋体" w:cs="宋体"/>
          <w:color w:val="auto"/>
          <w:sz w:val="24"/>
          <w:szCs w:val="24"/>
          <w:highlight w:val="none"/>
          <w:lang w:eastAsia="zh-CN"/>
        </w:rPr>
        <w:t>。</w:t>
      </w:r>
    </w:p>
    <w:p w14:paraId="3F2DDC48">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.4招标代理机构：见投标人须知前附表。</w:t>
      </w:r>
    </w:p>
    <w:p w14:paraId="3D35573D">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招标项目</w:t>
      </w:r>
      <w:r>
        <w:rPr>
          <w:rFonts w:hint="eastAsia" w:ascii="宋体" w:hAnsi="宋体" w:eastAsia="宋体" w:cs="宋体"/>
          <w:color w:val="auto"/>
          <w:sz w:val="24"/>
          <w:szCs w:val="24"/>
          <w:highlight w:val="none"/>
        </w:rPr>
        <w:t>名称：见投标人须知前附表。</w:t>
      </w:r>
    </w:p>
    <w:p w14:paraId="379F86E5">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.6项目建设地点：见投标人须知前附表。</w:t>
      </w:r>
    </w:p>
    <w:p w14:paraId="734A6CE1">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1.7</w:t>
      </w:r>
      <w:r>
        <w:rPr>
          <w:rFonts w:hint="eastAsia" w:ascii="宋体" w:hAnsi="宋体" w:eastAsia="宋体" w:cs="宋体"/>
          <w:color w:val="auto"/>
          <w:sz w:val="24"/>
          <w:szCs w:val="24"/>
          <w:highlight w:val="none"/>
        </w:rPr>
        <w:t>项目建设规模：见投标人须知前附表。</w:t>
      </w:r>
    </w:p>
    <w:p w14:paraId="212DCF32">
      <w:pPr>
        <w:keepNext w:val="0"/>
        <w:keepLines w:val="0"/>
        <w:pageBreakBefore w:val="0"/>
        <w:kinsoku/>
        <w:wordWrap/>
        <w:overflowPunct/>
        <w:topLinePunct w:val="0"/>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．资金来源和落实情况</w:t>
      </w:r>
    </w:p>
    <w:p w14:paraId="5ECA26B7">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.1资金来源及比例：</w:t>
      </w:r>
      <w:r>
        <w:rPr>
          <w:rFonts w:hint="eastAsia" w:ascii="宋体" w:hAnsi="宋体" w:eastAsia="宋体" w:cs="宋体"/>
          <w:color w:val="auto"/>
          <w:sz w:val="24"/>
          <w:szCs w:val="24"/>
          <w:highlight w:val="none"/>
        </w:rPr>
        <w:t>见投标人须知前附表。</w:t>
      </w:r>
    </w:p>
    <w:p w14:paraId="026A5414">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.2资金落实情况：见投标人须知前附表。</w:t>
      </w:r>
    </w:p>
    <w:p w14:paraId="15941488">
      <w:pPr>
        <w:keepNext w:val="0"/>
        <w:keepLines w:val="0"/>
        <w:pageBreakBefore w:val="0"/>
        <w:kinsoku/>
        <w:wordWrap/>
        <w:overflowPunct/>
        <w:topLinePunct w:val="0"/>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eastAsia="zh-CN"/>
        </w:rPr>
        <w:t>工程类型</w:t>
      </w:r>
      <w:r>
        <w:rPr>
          <w:rFonts w:hint="eastAsia" w:ascii="宋体" w:hAnsi="宋体" w:eastAsia="宋体" w:cs="宋体"/>
          <w:b/>
          <w:bCs/>
          <w:color w:val="auto"/>
          <w:sz w:val="24"/>
          <w:szCs w:val="24"/>
          <w:highlight w:val="none"/>
        </w:rPr>
        <w:t>及招标范围</w:t>
      </w:r>
    </w:p>
    <w:p w14:paraId="4D675447">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工程类型</w:t>
      </w:r>
      <w:r>
        <w:rPr>
          <w:rFonts w:hint="eastAsia" w:ascii="宋体" w:hAnsi="宋体" w:eastAsia="宋体" w:cs="宋体"/>
          <w:color w:val="auto"/>
          <w:sz w:val="24"/>
          <w:szCs w:val="24"/>
          <w:highlight w:val="none"/>
        </w:rPr>
        <w:t>：见投标人须知前附表。</w:t>
      </w:r>
    </w:p>
    <w:p w14:paraId="3799EC4E">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工程建设内容及</w:t>
      </w:r>
      <w:r>
        <w:rPr>
          <w:rFonts w:hint="eastAsia" w:ascii="宋体" w:hAnsi="宋体" w:eastAsia="宋体" w:cs="宋体"/>
          <w:color w:val="auto"/>
          <w:sz w:val="24"/>
          <w:szCs w:val="24"/>
          <w:highlight w:val="none"/>
        </w:rPr>
        <w:t>招标范围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标段划分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：见投标人须知前附表</w:t>
      </w:r>
    </w:p>
    <w:p w14:paraId="0960243F">
      <w:pPr>
        <w:keepNext w:val="0"/>
        <w:keepLines w:val="0"/>
        <w:pageBreakBefore w:val="0"/>
        <w:kinsoku/>
        <w:wordWrap/>
        <w:overflowPunct/>
        <w:topLinePunct w:val="0"/>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 投标人资格要求</w:t>
      </w:r>
    </w:p>
    <w:p w14:paraId="7AB8BBE3">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.1投标人应具备承担本招标项目资质条件、能力和信誉。</w:t>
      </w:r>
    </w:p>
    <w:p w14:paraId="757E590C">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（1）资质要求：见投标人须知前附表；</w:t>
      </w:r>
    </w:p>
    <w:p w14:paraId="1B0CBBF2">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（2）其他要求：见投标人须知前附表。</w:t>
      </w:r>
    </w:p>
    <w:p w14:paraId="1B681EBB">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 xml:space="preserve">2 </w:t>
      </w:r>
      <w:r>
        <w:rPr>
          <w:rFonts w:hint="eastAsia" w:ascii="宋体" w:hAnsi="宋体" w:eastAsia="宋体" w:cs="宋体"/>
          <w:color w:val="auto"/>
          <w:sz w:val="24"/>
          <w:szCs w:val="24"/>
          <w:highlight w:val="none"/>
        </w:rPr>
        <w:t>投标须知前附表规定接受联合体投标的，除应符合本章第</w:t>
      </w: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.1</w:t>
      </w:r>
      <w:r>
        <w:rPr>
          <w:rFonts w:hint="eastAsia" w:ascii="宋体" w:hAnsi="宋体" w:eastAsia="宋体" w:cs="宋体"/>
          <w:color w:val="auto"/>
          <w:sz w:val="24"/>
          <w:szCs w:val="24"/>
          <w:highlight w:val="none"/>
        </w:rPr>
        <w:t>款和投标人须知前附表的要求外，还应遵守以下规定：</w:t>
      </w:r>
    </w:p>
    <w:p w14:paraId="5B986128">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（1）联合体各方应按照招标文件提供的格式签订联合体共同投标协议书，明确联合体主办人和各方权利义务；</w:t>
      </w:r>
    </w:p>
    <w:p w14:paraId="6AA89D8D">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（2）由同一专业的单位组成的联合体，按照资质等级较低的单位确定资质等级；</w:t>
      </w:r>
    </w:p>
    <w:p w14:paraId="7E40DDF8">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（3）联合体各方不得再以自己名义单独或参加其他联合体在本招标项目中投标。</w:t>
      </w:r>
    </w:p>
    <w:p w14:paraId="0EA0CB12">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项目负责人资格要求：具体要求见投标人须知前附表；</w:t>
      </w:r>
    </w:p>
    <w:p w14:paraId="0A0BEECC">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.1</w:t>
      </w:r>
      <w:r>
        <w:rPr>
          <w:rFonts w:hint="eastAsia" w:ascii="宋体" w:hAnsi="宋体" w:eastAsia="宋体" w:cs="宋体"/>
          <w:bCs/>
          <w:color w:val="auto"/>
          <w:kern w:val="0"/>
          <w:sz w:val="24"/>
          <w:szCs w:val="24"/>
          <w:highlight w:val="none"/>
        </w:rPr>
        <w:t>投标人拟派的项目负责人从投标截止时间起不得在其他建设工程担任项目负责人。</w:t>
      </w:r>
    </w:p>
    <w:p w14:paraId="22DD8F4E">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 本招标项目采用本投标人须知前附表所述的资格后审方式确定合格投标人。</w:t>
      </w:r>
    </w:p>
    <w:p w14:paraId="6746A77F">
      <w:pPr>
        <w:pStyle w:val="29"/>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 </w:t>
      </w:r>
      <w:r>
        <w:rPr>
          <w:rFonts w:hint="eastAsia" w:ascii="宋体" w:hAnsi="宋体" w:eastAsia="宋体" w:cs="宋体"/>
          <w:snapToGrid w:val="0"/>
          <w:color w:val="auto"/>
          <w:kern w:val="0"/>
          <w:sz w:val="24"/>
          <w:highlight w:val="none"/>
        </w:rPr>
        <w:t>禁止投标条款</w:t>
      </w:r>
    </w:p>
    <w:p w14:paraId="7EC5063B">
      <w:pPr>
        <w:pStyle w:val="29"/>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lang w:val="en-US" w:eastAsia="zh-CN"/>
        </w:rPr>
        <w:t>4.5</w:t>
      </w:r>
      <w:r>
        <w:rPr>
          <w:rFonts w:hint="eastAsia" w:ascii="宋体" w:hAnsi="宋体" w:eastAsia="宋体" w:cs="宋体"/>
          <w:snapToGrid w:val="0"/>
          <w:color w:val="auto"/>
          <w:kern w:val="0"/>
          <w:sz w:val="24"/>
          <w:highlight w:val="none"/>
        </w:rPr>
        <w:t>.1 投标人不得存在下列情形之一：</w:t>
      </w:r>
    </w:p>
    <w:p w14:paraId="04DD15C5">
      <w:pPr>
        <w:pStyle w:val="29"/>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（1）为招标人不具有独立法人资格的附属机构（单位）；</w:t>
      </w:r>
    </w:p>
    <w:p w14:paraId="7B661B35">
      <w:pPr>
        <w:pStyle w:val="29"/>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（2）为本招标项目前期准备提供设计或咨询服务的；</w:t>
      </w:r>
    </w:p>
    <w:p w14:paraId="12ECABF7">
      <w:pPr>
        <w:pStyle w:val="29"/>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（3）与本招标项目的其他投标人为同一个单位负责人；</w:t>
      </w:r>
    </w:p>
    <w:p w14:paraId="6EC3A00F">
      <w:pPr>
        <w:pStyle w:val="29"/>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（4）与本招标项目的其他投标人存在控股、管理关系；</w:t>
      </w:r>
    </w:p>
    <w:p w14:paraId="1D2A5500">
      <w:pPr>
        <w:pStyle w:val="29"/>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（5）为本招标项目的监理人；</w:t>
      </w:r>
    </w:p>
    <w:p w14:paraId="31114652">
      <w:pPr>
        <w:pStyle w:val="29"/>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（6）为本招标项目的代建人；</w:t>
      </w:r>
    </w:p>
    <w:p w14:paraId="493084D7">
      <w:pPr>
        <w:pStyle w:val="29"/>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（7）为本招标项目的招标代理机构；</w:t>
      </w:r>
    </w:p>
    <w:p w14:paraId="0B8520E5">
      <w:pPr>
        <w:pStyle w:val="29"/>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（8）与本招标项目的监理人或代建人或招标代理机构同为一个法定代表人；</w:t>
      </w:r>
    </w:p>
    <w:p w14:paraId="4649E6C0">
      <w:pPr>
        <w:pStyle w:val="29"/>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（9）与本招标项目的监理人或代建人或招标代理机构存在控股或参股关系；</w:t>
      </w:r>
    </w:p>
    <w:p w14:paraId="3545F9D7">
      <w:pPr>
        <w:pStyle w:val="29"/>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（10）与本招标项目的监理人或代建人或招标代理机构存在相互任职或工作关系；</w:t>
      </w:r>
    </w:p>
    <w:p w14:paraId="01B4C30E">
      <w:pPr>
        <w:pStyle w:val="29"/>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（11）被依法暂停或者取消投标资格；</w:t>
      </w:r>
    </w:p>
    <w:p w14:paraId="389ED542">
      <w:pPr>
        <w:pStyle w:val="29"/>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（12）被责令停产停业、暂扣或者吊销许可证、暂扣或者吊销执照；</w:t>
      </w:r>
    </w:p>
    <w:p w14:paraId="1FE3AFC2">
      <w:pPr>
        <w:pStyle w:val="29"/>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（13）进入清算程序，或被宣告破产，或其他丧失履约能力的情形；</w:t>
      </w:r>
    </w:p>
    <w:p w14:paraId="63E4F95C">
      <w:pPr>
        <w:pStyle w:val="29"/>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（14）在最近三年内发生重大工程质量或安全问题（以相关行业主管部门的行政处罚决定或司法机关出具的有关法律文书为准）；</w:t>
      </w:r>
    </w:p>
    <w:p w14:paraId="46446BBE">
      <w:pPr>
        <w:pStyle w:val="29"/>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（15）被“信用中国”网站（https://www.creditchina.gov.cn）发布的《法人和非法人组织公共信用信息报告》列为严重失信主体名单的。</w:t>
      </w:r>
    </w:p>
    <w:p w14:paraId="649C11A2">
      <w:pPr>
        <w:pStyle w:val="29"/>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lang w:val="en-US" w:eastAsia="zh-CN"/>
        </w:rPr>
        <w:t>4.5</w:t>
      </w:r>
      <w:r>
        <w:rPr>
          <w:rFonts w:hint="eastAsia" w:ascii="宋体" w:hAnsi="宋体" w:eastAsia="宋体" w:cs="宋体"/>
          <w:snapToGrid w:val="0"/>
          <w:color w:val="auto"/>
          <w:kern w:val="0"/>
          <w:sz w:val="24"/>
          <w:highlight w:val="none"/>
        </w:rPr>
        <w:t>.</w:t>
      </w:r>
      <w:r>
        <w:rPr>
          <w:rFonts w:hint="eastAsia" w:ascii="宋体" w:hAnsi="宋体" w:eastAsia="宋体" w:cs="宋体"/>
          <w:snapToGrid w:val="0"/>
          <w:color w:val="auto"/>
          <w:kern w:val="0"/>
          <w:sz w:val="24"/>
          <w:highlight w:val="none"/>
          <w:lang w:val="en-US" w:eastAsia="zh-CN"/>
        </w:rPr>
        <w:t>2</w:t>
      </w:r>
      <w:r>
        <w:rPr>
          <w:rFonts w:hint="eastAsia" w:ascii="宋体" w:hAnsi="宋体" w:eastAsia="宋体" w:cs="宋体"/>
          <w:snapToGrid w:val="0"/>
          <w:color w:val="auto"/>
          <w:kern w:val="0"/>
          <w:sz w:val="24"/>
          <w:highlight w:val="none"/>
        </w:rPr>
        <w:t xml:space="preserve"> 招标人拒绝以下名单中的单位参加本次投标：</w:t>
      </w:r>
    </w:p>
    <w:tbl>
      <w:tblPr>
        <w:tblStyle w:val="21"/>
        <w:tblW w:w="0" w:type="auto"/>
        <w:tblInd w:w="4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4015"/>
        <w:gridCol w:w="3858"/>
      </w:tblGrid>
      <w:tr w14:paraId="32B01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50" w:type="dxa"/>
            <w:noWrap w:val="0"/>
            <w:vAlign w:val="center"/>
          </w:tcPr>
          <w:p w14:paraId="2D8837EB">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序</w:t>
            </w:r>
            <w:r>
              <w:rPr>
                <w:rFonts w:hint="eastAsia" w:ascii="宋体" w:hAnsi="宋体" w:eastAsia="宋体" w:cs="宋体"/>
                <w:snapToGrid w:val="0"/>
                <w:color w:val="auto"/>
                <w:kern w:val="0"/>
                <w:sz w:val="24"/>
                <w:szCs w:val="24"/>
                <w:highlight w:val="none"/>
              </w:rPr>
              <w:t>号</w:t>
            </w:r>
          </w:p>
        </w:tc>
        <w:tc>
          <w:tcPr>
            <w:tcW w:w="4015" w:type="dxa"/>
            <w:noWrap w:val="0"/>
            <w:vAlign w:val="center"/>
          </w:tcPr>
          <w:p w14:paraId="3FFB1B0E">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3858" w:type="dxa"/>
            <w:noWrap w:val="0"/>
            <w:vAlign w:val="center"/>
          </w:tcPr>
          <w:p w14:paraId="55D71DF3">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14:paraId="1FDE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50" w:type="dxa"/>
            <w:noWrap w:val="0"/>
            <w:vAlign w:val="center"/>
          </w:tcPr>
          <w:p w14:paraId="08B98370">
            <w:pPr>
              <w:pStyle w:val="29"/>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1</w:t>
            </w:r>
          </w:p>
        </w:tc>
        <w:tc>
          <w:tcPr>
            <w:tcW w:w="4015" w:type="dxa"/>
            <w:noWrap w:val="0"/>
            <w:vAlign w:val="center"/>
          </w:tcPr>
          <w:p w14:paraId="65102B06">
            <w:pPr>
              <w:pStyle w:val="29"/>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cs="宋体"/>
                <w:snapToGrid w:val="0"/>
                <w:color w:val="auto"/>
                <w:kern w:val="0"/>
                <w:sz w:val="24"/>
                <w:szCs w:val="24"/>
                <w:highlight w:val="none"/>
                <w:lang w:val="en-US" w:eastAsia="zh-CN" w:bidi="ar-SA"/>
              </w:rPr>
              <w:t>韶关市武江区江湾镇人民政府</w:t>
            </w:r>
          </w:p>
        </w:tc>
        <w:tc>
          <w:tcPr>
            <w:tcW w:w="3858" w:type="dxa"/>
            <w:noWrap w:val="0"/>
            <w:vAlign w:val="center"/>
          </w:tcPr>
          <w:p w14:paraId="2466662E">
            <w:pPr>
              <w:pStyle w:val="29"/>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为本项目的项目业主、招标人</w:t>
            </w:r>
          </w:p>
        </w:tc>
      </w:tr>
      <w:tr w14:paraId="07BC0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50" w:type="dxa"/>
            <w:noWrap w:val="0"/>
            <w:vAlign w:val="center"/>
          </w:tcPr>
          <w:p w14:paraId="163C32EC">
            <w:pPr>
              <w:pStyle w:val="29"/>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2</w:t>
            </w:r>
          </w:p>
        </w:tc>
        <w:tc>
          <w:tcPr>
            <w:tcW w:w="4015" w:type="dxa"/>
            <w:noWrap w:val="0"/>
            <w:vAlign w:val="center"/>
          </w:tcPr>
          <w:p w14:paraId="1802E19F">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广东明正项目管理有限公司</w:t>
            </w:r>
          </w:p>
        </w:tc>
        <w:tc>
          <w:tcPr>
            <w:tcW w:w="3858" w:type="dxa"/>
            <w:noWrap w:val="0"/>
            <w:vAlign w:val="center"/>
          </w:tcPr>
          <w:p w14:paraId="559FADC8">
            <w:pPr>
              <w:pStyle w:val="29"/>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为本项目的招标代理机构</w:t>
            </w:r>
          </w:p>
        </w:tc>
      </w:tr>
      <w:tr w14:paraId="0932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50" w:type="dxa"/>
            <w:noWrap w:val="0"/>
            <w:vAlign w:val="center"/>
          </w:tcPr>
          <w:p w14:paraId="78FAD523">
            <w:pPr>
              <w:pStyle w:val="29"/>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3</w:t>
            </w:r>
          </w:p>
        </w:tc>
        <w:tc>
          <w:tcPr>
            <w:tcW w:w="4015" w:type="dxa"/>
            <w:noWrap w:val="0"/>
            <w:vAlign w:val="center"/>
          </w:tcPr>
          <w:p w14:paraId="588EBBCD">
            <w:pPr>
              <w:pStyle w:val="29"/>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cs="宋体"/>
                <w:snapToGrid w:val="0"/>
                <w:color w:val="auto"/>
                <w:kern w:val="0"/>
                <w:sz w:val="24"/>
                <w:szCs w:val="24"/>
                <w:highlight w:val="none"/>
                <w:lang w:val="en-US" w:eastAsia="zh-CN" w:bidi="ar-SA"/>
              </w:rPr>
              <w:t>中潮博雅设计有限公司</w:t>
            </w:r>
          </w:p>
        </w:tc>
        <w:tc>
          <w:tcPr>
            <w:tcW w:w="3858" w:type="dxa"/>
            <w:noWrap w:val="0"/>
            <w:vAlign w:val="center"/>
          </w:tcPr>
          <w:p w14:paraId="3CA3E1E9">
            <w:pPr>
              <w:pStyle w:val="29"/>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为本项目造价咨询单位</w:t>
            </w:r>
          </w:p>
        </w:tc>
      </w:tr>
      <w:tr w14:paraId="2CB58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50" w:type="dxa"/>
            <w:noWrap w:val="0"/>
            <w:vAlign w:val="center"/>
          </w:tcPr>
          <w:p w14:paraId="06A75A2F">
            <w:pPr>
              <w:pStyle w:val="29"/>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4</w:t>
            </w:r>
          </w:p>
        </w:tc>
        <w:tc>
          <w:tcPr>
            <w:tcW w:w="4015" w:type="dxa"/>
            <w:noWrap w:val="0"/>
            <w:vAlign w:val="center"/>
          </w:tcPr>
          <w:p w14:paraId="58AD6CCE">
            <w:pPr>
              <w:pStyle w:val="29"/>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智埔国际建设集团有限公司</w:t>
            </w:r>
          </w:p>
        </w:tc>
        <w:tc>
          <w:tcPr>
            <w:tcW w:w="3858" w:type="dxa"/>
            <w:noWrap w:val="0"/>
            <w:vAlign w:val="center"/>
          </w:tcPr>
          <w:p w14:paraId="1EEE6B66">
            <w:pPr>
              <w:pStyle w:val="29"/>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为本项目</w:t>
            </w:r>
            <w:r>
              <w:rPr>
                <w:rFonts w:hint="eastAsia" w:ascii="宋体" w:hAnsi="宋体" w:cs="宋体"/>
                <w:snapToGrid w:val="0"/>
                <w:color w:val="auto"/>
                <w:kern w:val="0"/>
                <w:sz w:val="24"/>
                <w:szCs w:val="24"/>
                <w:highlight w:val="none"/>
                <w:lang w:val="en-US" w:eastAsia="zh-CN" w:bidi="ar-SA"/>
              </w:rPr>
              <w:t>造价咨询审核</w:t>
            </w:r>
            <w:r>
              <w:rPr>
                <w:rFonts w:hint="eastAsia" w:ascii="宋体" w:hAnsi="宋体" w:eastAsia="宋体" w:cs="宋体"/>
                <w:snapToGrid w:val="0"/>
                <w:color w:val="auto"/>
                <w:kern w:val="0"/>
                <w:sz w:val="24"/>
                <w:szCs w:val="24"/>
                <w:highlight w:val="none"/>
                <w:lang w:val="en-US" w:eastAsia="zh-CN" w:bidi="ar-SA"/>
              </w:rPr>
              <w:t>单位</w:t>
            </w:r>
          </w:p>
        </w:tc>
      </w:tr>
      <w:tr w14:paraId="1ACC2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50" w:type="dxa"/>
            <w:noWrap w:val="0"/>
            <w:vAlign w:val="center"/>
          </w:tcPr>
          <w:p w14:paraId="2F1E34A3">
            <w:pPr>
              <w:pStyle w:val="29"/>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5</w:t>
            </w:r>
          </w:p>
        </w:tc>
        <w:tc>
          <w:tcPr>
            <w:tcW w:w="4015" w:type="dxa"/>
            <w:noWrap w:val="0"/>
            <w:vAlign w:val="center"/>
          </w:tcPr>
          <w:p w14:paraId="72D823B6">
            <w:pPr>
              <w:pStyle w:val="29"/>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中联合创设计有限公司</w:t>
            </w:r>
          </w:p>
        </w:tc>
        <w:tc>
          <w:tcPr>
            <w:tcW w:w="3858" w:type="dxa"/>
            <w:noWrap w:val="0"/>
            <w:vAlign w:val="center"/>
          </w:tcPr>
          <w:p w14:paraId="08375236">
            <w:pPr>
              <w:pStyle w:val="29"/>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为本项目工程设计单位</w:t>
            </w:r>
          </w:p>
        </w:tc>
      </w:tr>
      <w:tr w14:paraId="4554F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50" w:type="dxa"/>
            <w:noWrap w:val="0"/>
            <w:vAlign w:val="center"/>
          </w:tcPr>
          <w:p w14:paraId="43A3DAD6">
            <w:pPr>
              <w:pStyle w:val="29"/>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宋体" w:hAnsi="宋体" w:eastAsia="宋体" w:cs="宋体"/>
                <w:snapToGrid w:val="0"/>
                <w:color w:val="auto"/>
                <w:kern w:val="0"/>
                <w:sz w:val="24"/>
                <w:szCs w:val="24"/>
                <w:highlight w:val="none"/>
                <w:lang w:val="en-US" w:eastAsia="zh-CN" w:bidi="ar-SA"/>
              </w:rPr>
            </w:pPr>
            <w:r>
              <w:rPr>
                <w:rFonts w:hint="eastAsia" w:ascii="宋体" w:hAnsi="宋体" w:cs="宋体"/>
                <w:snapToGrid w:val="0"/>
                <w:color w:val="auto"/>
                <w:kern w:val="0"/>
                <w:sz w:val="24"/>
                <w:szCs w:val="24"/>
                <w:highlight w:val="none"/>
                <w:lang w:val="en-US" w:eastAsia="zh-CN" w:bidi="ar-SA"/>
              </w:rPr>
              <w:t>6</w:t>
            </w:r>
          </w:p>
        </w:tc>
        <w:tc>
          <w:tcPr>
            <w:tcW w:w="4015" w:type="dxa"/>
            <w:noWrap w:val="0"/>
            <w:vAlign w:val="center"/>
          </w:tcPr>
          <w:p w14:paraId="53539BAF">
            <w:pPr>
              <w:pStyle w:val="29"/>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深圳建昌工程设计有限公司</w:t>
            </w:r>
          </w:p>
        </w:tc>
        <w:tc>
          <w:tcPr>
            <w:tcW w:w="3858" w:type="dxa"/>
            <w:noWrap w:val="0"/>
            <w:vAlign w:val="center"/>
          </w:tcPr>
          <w:p w14:paraId="1BC72884">
            <w:pPr>
              <w:pStyle w:val="29"/>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为本项目可行性研究报告单位</w:t>
            </w:r>
          </w:p>
        </w:tc>
      </w:tr>
    </w:tbl>
    <w:p w14:paraId="4BDE4FD5">
      <w:pPr>
        <w:keepNext w:val="0"/>
        <w:keepLines w:val="0"/>
        <w:pageBreakBefore w:val="0"/>
        <w:kinsoku/>
        <w:wordWrap/>
        <w:overflowPunct/>
        <w:topLinePunct w:val="0"/>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w:t>
      </w:r>
      <w:r>
        <w:rPr>
          <w:rFonts w:hint="eastAsia" w:ascii="宋体" w:hAnsi="宋体" w:eastAsia="宋体" w:cs="宋体"/>
          <w:b/>
          <w:color w:val="auto"/>
          <w:sz w:val="24"/>
          <w:szCs w:val="24"/>
          <w:highlight w:val="none"/>
        </w:rPr>
        <w:t xml:space="preserve"> 分包</w:t>
      </w:r>
    </w:p>
    <w:p w14:paraId="663D78AF">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投标人须知前附表规定允许分包的，招标人不得直接指定分包工程承包人，也不得对依法实施的分包活动进行干预，应当允许</w:t>
      </w:r>
      <w:r>
        <w:rPr>
          <w:rFonts w:hint="eastAsia" w:ascii="宋体" w:hAnsi="宋体" w:eastAsia="宋体" w:cs="宋体"/>
          <w:color w:val="auto"/>
          <w:sz w:val="24"/>
          <w:szCs w:val="24"/>
          <w:highlight w:val="none"/>
          <w:lang w:eastAsia="zh-CN"/>
        </w:rPr>
        <w:t>中标</w:t>
      </w:r>
      <w:r>
        <w:rPr>
          <w:rFonts w:hint="eastAsia" w:ascii="宋体" w:hAnsi="宋体" w:eastAsia="宋体" w:cs="宋体"/>
          <w:color w:val="auto"/>
          <w:sz w:val="24"/>
          <w:szCs w:val="24"/>
          <w:highlight w:val="none"/>
        </w:rPr>
        <w:t>人将中标项目的部分非主体、非关键性工作进行分包。</w:t>
      </w:r>
    </w:p>
    <w:p w14:paraId="0617616E">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  投标人拟将允许分包的中标项目的部分非主体、非关键性工作进行分包的，应当符合有关法律法规规章的规定</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kern w:val="0"/>
          <w:sz w:val="24"/>
          <w:szCs w:val="24"/>
          <w:highlight w:val="none"/>
        </w:rPr>
        <w:t>施工总承包的，建筑工程主体结构的施工必须由总承包单位自行完成。禁止总承包单位</w:t>
      </w:r>
    </w:p>
    <w:p w14:paraId="53885F2D">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b w:val="0"/>
          <w:bCs w:val="0"/>
          <w:color w:val="auto"/>
          <w:kern w:val="0"/>
          <w:sz w:val="24"/>
          <w:szCs w:val="24"/>
          <w:highlight w:val="none"/>
        </w:rPr>
        <w:t>将工程分包给不具备相应资质条件的单位。禁止分包单位将其承包的工程再分包。</w:t>
      </w:r>
      <w:r>
        <w:rPr>
          <w:rFonts w:hint="eastAsia" w:ascii="宋体" w:hAnsi="宋体" w:eastAsia="宋体" w:cs="宋体"/>
          <w:color w:val="auto"/>
          <w:sz w:val="24"/>
          <w:szCs w:val="24"/>
          <w:highlight w:val="none"/>
          <w:lang w:eastAsia="zh-CN"/>
        </w:rPr>
        <w:t>拟分包工程前，中标人应当将拟分包工程内容、分包金额、分包工程理由、拟分包人名称及分包人资质等情况书面报送招标人同意</w:t>
      </w:r>
      <w:r>
        <w:rPr>
          <w:rFonts w:hint="eastAsia" w:ascii="宋体" w:hAnsi="宋体" w:eastAsia="宋体" w:cs="宋体"/>
          <w:color w:val="auto"/>
          <w:sz w:val="24"/>
          <w:szCs w:val="24"/>
          <w:highlight w:val="none"/>
        </w:rPr>
        <w:t>。</w:t>
      </w:r>
    </w:p>
    <w:p w14:paraId="397DE14E">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lang w:val="en-US" w:eastAsia="zh-CN"/>
        </w:rPr>
        <w:t>6</w:t>
      </w:r>
      <w:r>
        <w:rPr>
          <w:rFonts w:hint="eastAsia" w:ascii="宋体" w:hAnsi="宋体" w:eastAsia="宋体" w:cs="宋体"/>
          <w:b/>
          <w:color w:val="auto"/>
          <w:sz w:val="24"/>
          <w:szCs w:val="24"/>
          <w:highlight w:val="none"/>
        </w:rPr>
        <w:t>.</w:t>
      </w:r>
      <w:r>
        <w:rPr>
          <w:rFonts w:hint="eastAsia" w:ascii="宋体" w:hAnsi="宋体" w:eastAsia="宋体" w:cs="宋体"/>
          <w:b/>
          <w:bCs/>
          <w:color w:val="auto"/>
          <w:sz w:val="24"/>
          <w:szCs w:val="24"/>
          <w:highlight w:val="none"/>
        </w:rPr>
        <w:t xml:space="preserve"> 踏勘现场</w:t>
      </w:r>
    </w:p>
    <w:p w14:paraId="036E4FE8">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  招标人不集中组织踏勘现场，由投标人按投标人须知前附表所述地点，自己组织对工程现场及周围环境进行踏勘，以便投标人获取有关编制投标文件和签署合同所涉及的现场资料。投标人承担踏勘现场所发生的自身费用及一切责任事故。</w:t>
      </w:r>
    </w:p>
    <w:p w14:paraId="6D211EDB">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.2  招标人向投标人提供的有关现场的数据和资料，是招标人现有的能被投标人利用的资料，招标人对投标人做出的任何推论、理解和结论均不负责任。</w:t>
      </w:r>
    </w:p>
    <w:p w14:paraId="7E51753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lang w:val="en-US" w:eastAsia="zh-CN"/>
        </w:rPr>
        <w:t>7</w:t>
      </w:r>
      <w:r>
        <w:rPr>
          <w:rFonts w:hint="eastAsia" w:ascii="宋体" w:hAnsi="宋体" w:eastAsia="宋体" w:cs="宋体"/>
          <w:b/>
          <w:color w:val="auto"/>
          <w:sz w:val="24"/>
          <w:szCs w:val="24"/>
          <w:highlight w:val="none"/>
        </w:rPr>
        <w:t>.</w:t>
      </w:r>
      <w:r>
        <w:rPr>
          <w:rFonts w:hint="eastAsia" w:ascii="宋体" w:hAnsi="宋体" w:eastAsia="宋体" w:cs="宋体"/>
          <w:b/>
          <w:bCs/>
          <w:color w:val="auto"/>
          <w:sz w:val="24"/>
          <w:szCs w:val="24"/>
          <w:highlight w:val="none"/>
        </w:rPr>
        <w:t xml:space="preserve"> </w:t>
      </w:r>
      <w:r>
        <w:rPr>
          <w:rFonts w:hint="eastAsia" w:ascii="宋体" w:hAnsi="宋体" w:eastAsia="宋体" w:cs="宋体"/>
          <w:b/>
          <w:color w:val="auto"/>
          <w:sz w:val="24"/>
          <w:szCs w:val="24"/>
          <w:highlight w:val="none"/>
        </w:rPr>
        <w:t>通用规定</w:t>
      </w:r>
    </w:p>
    <w:p w14:paraId="6829FA92">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.1</w:t>
      </w:r>
      <w:r>
        <w:rPr>
          <w:rFonts w:hint="eastAsia" w:ascii="宋体" w:hAnsi="宋体" w:eastAsia="宋体" w:cs="宋体"/>
          <w:color w:val="auto"/>
          <w:sz w:val="24"/>
          <w:szCs w:val="24"/>
          <w:highlight w:val="none"/>
        </w:rPr>
        <w:t>语言文字</w:t>
      </w:r>
    </w:p>
    <w:p w14:paraId="6E699AB6">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招标投标文件使用的语言文字为中文。专用术语使用外文的，应附有中文注释。</w:t>
      </w:r>
    </w:p>
    <w:p w14:paraId="0305D335">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.2</w:t>
      </w:r>
      <w:r>
        <w:rPr>
          <w:rFonts w:hint="eastAsia" w:ascii="宋体" w:hAnsi="宋体" w:eastAsia="宋体" w:cs="宋体"/>
          <w:bCs/>
          <w:color w:val="auto"/>
          <w:sz w:val="24"/>
          <w:szCs w:val="24"/>
          <w:highlight w:val="none"/>
        </w:rPr>
        <w:t>货币名称</w:t>
      </w:r>
    </w:p>
    <w:p w14:paraId="7152A806">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招标投标文件采用的币种为人民币。</w:t>
      </w:r>
    </w:p>
    <w:p w14:paraId="69B6E375">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.3计量单位</w:t>
      </w:r>
    </w:p>
    <w:p w14:paraId="41920D34">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招标投标文件所有计量均采用中华人民共和国法定计量单位。</w:t>
      </w:r>
    </w:p>
    <w:p w14:paraId="613A4721">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.4费用承担</w:t>
      </w:r>
    </w:p>
    <w:p w14:paraId="48710EE3">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投标人准备和参加投标活动发生的费用自理。</w:t>
      </w:r>
    </w:p>
    <w:p w14:paraId="18B2AD14">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.5保密责任</w:t>
      </w:r>
    </w:p>
    <w:p w14:paraId="3887354E">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参与招标投标活动的各方应对招标文件和投标文件中的商业和技术等秘密保密，否则应承担相应的法律责任。</w:t>
      </w:r>
    </w:p>
    <w:p w14:paraId="01B9FECF">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7.6本招标文件中所称网上</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交易平台或网站，除特别指明外，是指</w:t>
      </w:r>
      <w:r>
        <w:rPr>
          <w:rFonts w:hint="eastAsia" w:ascii="宋体" w:hAnsi="宋体" w:eastAsia="宋体" w:cs="宋体"/>
          <w:strike w:val="0"/>
          <w:dstrike w:val="0"/>
          <w:color w:val="auto"/>
          <w:sz w:val="24"/>
          <w:highlight w:val="none"/>
        </w:rPr>
        <w:t>全国公共资源交易平台（广东省·韶关市）</w:t>
      </w:r>
      <w:r>
        <w:rPr>
          <w:rFonts w:hint="eastAsia" w:ascii="宋体" w:hAnsi="宋体" w:eastAsia="宋体" w:cs="宋体"/>
          <w:color w:val="auto"/>
          <w:sz w:val="24"/>
          <w:highlight w:val="none"/>
        </w:rPr>
        <w:t>。</w:t>
      </w:r>
    </w:p>
    <w:p w14:paraId="0944BCDB">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.7本招标文件所指天或日均为日历天，工作日均为国家机关法定工作日，时间均为北京时间。</w:t>
      </w:r>
    </w:p>
    <w:p w14:paraId="74CE1D1D">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rPr>
        <w:t>.8 本招标文件所称本人身份证是指自然人的《居民身份证》或《临时居民身份证》。</w:t>
      </w:r>
    </w:p>
    <w:p w14:paraId="4B11C8A0">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color w:val="auto"/>
          <w:sz w:val="24"/>
          <w:szCs w:val="24"/>
          <w:highlight w:val="none"/>
          <w:lang w:eastAsia="zh-CN"/>
        </w:rPr>
      </w:pPr>
      <w:r>
        <w:rPr>
          <w:rFonts w:hint="eastAsia" w:ascii="宋体" w:hAnsi="宋体" w:eastAsia="宋体" w:cs="宋体"/>
          <w:b w:val="0"/>
          <w:bCs/>
          <w:color w:val="auto"/>
          <w:sz w:val="24"/>
          <w:highlight w:val="none"/>
          <w:lang w:val="en-US" w:eastAsia="zh-CN"/>
        </w:rPr>
        <w:t>7</w:t>
      </w:r>
      <w:r>
        <w:rPr>
          <w:rFonts w:hint="eastAsia" w:ascii="宋体" w:hAnsi="宋体" w:eastAsia="宋体" w:cs="宋体"/>
          <w:b w:val="0"/>
          <w:bCs/>
          <w:color w:val="auto"/>
          <w:sz w:val="24"/>
          <w:highlight w:val="none"/>
        </w:rPr>
        <w:t>.9</w:t>
      </w:r>
      <w:r>
        <w:rPr>
          <w:rFonts w:hint="eastAsia" w:ascii="宋体" w:hAnsi="宋体" w:eastAsia="宋体" w:cs="宋体"/>
          <w:b w:val="0"/>
          <w:bCs/>
          <w:color w:val="auto"/>
          <w:sz w:val="24"/>
          <w:szCs w:val="24"/>
          <w:highlight w:val="none"/>
        </w:rPr>
        <w:t>本招标文件所称的承包人报价浮动率（中标下浮率），其计算公式为：承包人报价浮动率（中标下浮率）=[1-(中标价格-</w:t>
      </w:r>
      <w:r>
        <w:rPr>
          <w:rFonts w:hint="eastAsia" w:ascii="宋体" w:hAnsi="宋体" w:eastAsia="宋体" w:cs="宋体"/>
          <w:b w:val="0"/>
          <w:bCs/>
          <w:iCs/>
          <w:color w:val="auto"/>
          <w:sz w:val="24"/>
          <w:highlight w:val="none"/>
        </w:rPr>
        <w:t>安全生产措施费</w:t>
      </w:r>
      <w:r>
        <w:rPr>
          <w:rFonts w:hint="eastAsia" w:ascii="宋体" w:hAnsi="宋体" w:eastAsia="宋体" w:cs="宋体"/>
          <w:b w:val="0"/>
          <w:bCs/>
          <w:iCs/>
          <w:color w:val="auto"/>
          <w:sz w:val="24"/>
          <w:highlight w:val="none"/>
          <w:lang w:val="en-US" w:eastAsia="zh-CN"/>
        </w:rPr>
        <w:t>-暂列金-暂估价</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eastAsia="zh-CN"/>
        </w:rPr>
        <w:t>最高投标限</w:t>
      </w:r>
      <w:r>
        <w:rPr>
          <w:rFonts w:hint="eastAsia" w:ascii="宋体" w:hAnsi="宋体" w:eastAsia="宋体" w:cs="宋体"/>
          <w:b w:val="0"/>
          <w:bCs/>
          <w:color w:val="auto"/>
          <w:sz w:val="24"/>
          <w:szCs w:val="24"/>
          <w:highlight w:val="none"/>
        </w:rPr>
        <w:t>价-</w:t>
      </w:r>
      <w:r>
        <w:rPr>
          <w:rFonts w:hint="eastAsia" w:ascii="宋体" w:hAnsi="宋体" w:eastAsia="宋体" w:cs="宋体"/>
          <w:b w:val="0"/>
          <w:bCs/>
          <w:iCs/>
          <w:color w:val="auto"/>
          <w:sz w:val="24"/>
          <w:highlight w:val="none"/>
        </w:rPr>
        <w:t>安全生产措施费</w:t>
      </w:r>
      <w:r>
        <w:rPr>
          <w:rFonts w:hint="eastAsia" w:ascii="宋体" w:hAnsi="宋体" w:eastAsia="宋体" w:cs="宋体"/>
          <w:b w:val="0"/>
          <w:bCs/>
          <w:iCs/>
          <w:color w:val="auto"/>
          <w:sz w:val="24"/>
          <w:highlight w:val="none"/>
          <w:lang w:val="en-US" w:eastAsia="zh-CN"/>
        </w:rPr>
        <w:t>-暂列金-暂估价</w:t>
      </w:r>
      <w:r>
        <w:rPr>
          <w:rFonts w:hint="eastAsia" w:ascii="宋体" w:hAnsi="宋体" w:eastAsia="宋体" w:cs="宋体"/>
          <w:b w:val="0"/>
          <w:bCs/>
          <w:color w:val="auto"/>
          <w:sz w:val="24"/>
          <w:szCs w:val="24"/>
          <w:highlight w:val="none"/>
        </w:rPr>
        <w:t>)]×100%。</w:t>
      </w:r>
      <w:r>
        <w:rPr>
          <w:rFonts w:hint="eastAsia" w:ascii="宋体" w:hAnsi="宋体" w:eastAsia="宋体" w:cs="宋体"/>
          <w:b/>
          <w:bCs w:val="0"/>
          <w:color w:val="auto"/>
          <w:sz w:val="24"/>
          <w:szCs w:val="24"/>
          <w:highlight w:val="none"/>
          <w:lang w:eastAsia="zh-CN"/>
        </w:rPr>
        <w:t>其中，本招标文件所称</w:t>
      </w:r>
      <w:r>
        <w:rPr>
          <w:rFonts w:hint="eastAsia" w:ascii="宋体" w:hAnsi="宋体" w:eastAsia="宋体" w:cs="宋体"/>
          <w:b/>
          <w:bCs w:val="0"/>
          <w:iCs/>
          <w:color w:val="auto"/>
          <w:sz w:val="24"/>
          <w:highlight w:val="none"/>
        </w:rPr>
        <w:t>安</w:t>
      </w:r>
      <w:r>
        <w:rPr>
          <w:rFonts w:hint="eastAsia" w:ascii="宋体" w:hAnsi="宋体" w:eastAsia="宋体" w:cs="宋体"/>
          <w:b/>
          <w:bCs w:val="0"/>
          <w:iCs/>
          <w:color w:val="auto"/>
          <w:sz w:val="24"/>
          <w:szCs w:val="24"/>
          <w:highlight w:val="none"/>
        </w:rPr>
        <w:t>全生产措施费</w:t>
      </w:r>
      <w:r>
        <w:rPr>
          <w:rFonts w:hint="eastAsia" w:ascii="宋体" w:hAnsi="宋体" w:eastAsia="宋体" w:cs="宋体"/>
          <w:b/>
          <w:bCs w:val="0"/>
          <w:iCs/>
          <w:color w:val="auto"/>
          <w:sz w:val="24"/>
          <w:szCs w:val="24"/>
          <w:highlight w:val="none"/>
          <w:lang w:eastAsia="zh-CN"/>
        </w:rPr>
        <w:t>，已</w:t>
      </w:r>
      <w:r>
        <w:rPr>
          <w:rFonts w:hint="eastAsia" w:ascii="宋体" w:hAnsi="宋体" w:eastAsia="宋体" w:cs="宋体"/>
          <w:b/>
          <w:bCs/>
          <w:i w:val="0"/>
          <w:iCs w:val="0"/>
          <w:color w:val="auto"/>
          <w:sz w:val="24"/>
          <w:szCs w:val="24"/>
          <w:highlight w:val="none"/>
        </w:rPr>
        <w:t>含安全生产责任险</w:t>
      </w:r>
      <w:r>
        <w:rPr>
          <w:rFonts w:hint="eastAsia" w:ascii="宋体" w:hAnsi="宋体" w:eastAsia="宋体" w:cs="宋体"/>
          <w:b/>
          <w:bCs/>
          <w:i w:val="0"/>
          <w:iCs w:val="0"/>
          <w:color w:val="auto"/>
          <w:sz w:val="24"/>
          <w:szCs w:val="24"/>
          <w:highlight w:val="none"/>
          <w:lang w:eastAsia="zh-CN"/>
        </w:rPr>
        <w:t>保费。</w:t>
      </w:r>
    </w:p>
    <w:p w14:paraId="5228980F">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7.10 投标文件中的大写金额和小写金额不一致的，以大写金额为准，总价金额与单价金额不一致的，以单价金额为准，但单价金额小数点有明显错误的除外。</w:t>
      </w:r>
    </w:p>
    <w:p w14:paraId="5362EC9B">
      <w:pPr>
        <w:keepNext w:val="0"/>
        <w:keepLines w:val="0"/>
        <w:pageBreakBefore w:val="0"/>
        <w:kinsoku/>
        <w:wordWrap/>
        <w:overflowPunct/>
        <w:topLinePunct w:val="0"/>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7.11本招标文件所称的投标人拟派的项目负责人从投标截止时间起不得在其他建设工程担任项目负责人，其中“在其他建设工程担任项目负责人(以取得竣工验收备案为准)”的起止时间是指：在本招标项目以外的招标项目以中标结果公示时间首日起至工程竣工验收合格之日期间；直接发包项目以签订施工合同之日起至工程竣工验收合格之日期间。</w:t>
      </w:r>
    </w:p>
    <w:p w14:paraId="61DF6368">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.12 本招标文件所称其他利害关系人是指投标人以外，与招标项目或者招标活动有直接和间接利益关系的法人、其他组织和自然人。</w:t>
      </w:r>
    </w:p>
    <w:p w14:paraId="5A7ED7C2">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.13 本招标文件所指</w:t>
      </w:r>
      <w:r>
        <w:rPr>
          <w:rFonts w:hint="eastAsia" w:ascii="宋体" w:hAnsi="宋体" w:eastAsia="宋体" w:cs="宋体"/>
          <w:bCs/>
          <w:color w:val="auto"/>
          <w:kern w:val="0"/>
          <w:sz w:val="24"/>
          <w:szCs w:val="24"/>
          <w:highlight w:val="none"/>
        </w:rPr>
        <w:t>政府投资项目，是指使用市、县本级财政一般预算资金、政府性基金、财政专户管理资金以及政府融资等其他财政性资金进行的固定资产投资建设项目。</w:t>
      </w:r>
    </w:p>
    <w:p w14:paraId="738DA32D">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rPr>
        <w:t>.1</w:t>
      </w:r>
      <w:r>
        <w:rPr>
          <w:rFonts w:hint="eastAsia" w:ascii="宋体" w:hAnsi="宋体" w:eastAsia="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rPr>
        <w:t xml:space="preserve"> </w:t>
      </w:r>
      <w:r>
        <w:rPr>
          <w:rFonts w:hint="eastAsia" w:ascii="宋体" w:hAnsi="宋体" w:eastAsia="宋体" w:cs="宋体"/>
          <w:b w:val="0"/>
          <w:bCs/>
          <w:color w:val="auto"/>
          <w:sz w:val="24"/>
          <w:szCs w:val="24"/>
          <w:highlight w:val="none"/>
          <w:lang w:eastAsia="zh-CN"/>
        </w:rPr>
        <w:t>招标文件要求提供相关的证书、证照如已推行或实施电子证书、证照的，投标人应按规定</w:t>
      </w:r>
      <w:r>
        <w:rPr>
          <w:rFonts w:hint="eastAsia" w:ascii="宋体" w:hAnsi="宋体" w:eastAsia="宋体" w:cs="宋体"/>
          <w:b w:val="0"/>
          <w:bCs/>
          <w:color w:val="auto"/>
          <w:sz w:val="24"/>
          <w:szCs w:val="24"/>
          <w:highlight w:val="none"/>
        </w:rPr>
        <w:t>提供其有效的</w:t>
      </w:r>
      <w:r>
        <w:rPr>
          <w:rFonts w:hint="eastAsia" w:ascii="宋体" w:hAnsi="宋体" w:eastAsia="宋体" w:cs="宋体"/>
          <w:b w:val="0"/>
          <w:bCs/>
          <w:color w:val="auto"/>
          <w:sz w:val="24"/>
          <w:szCs w:val="24"/>
          <w:highlight w:val="none"/>
          <w:lang w:eastAsia="zh-CN"/>
        </w:rPr>
        <w:t>电子证书、证照</w:t>
      </w:r>
      <w:r>
        <w:rPr>
          <w:rFonts w:hint="eastAsia" w:ascii="宋体" w:hAnsi="宋体" w:eastAsia="宋体" w:cs="宋体"/>
          <w:b w:val="0"/>
          <w:bCs/>
          <w:color w:val="auto"/>
          <w:sz w:val="24"/>
          <w:szCs w:val="24"/>
          <w:highlight w:val="none"/>
        </w:rPr>
        <w:t>或</w:t>
      </w:r>
      <w:r>
        <w:rPr>
          <w:rFonts w:hint="eastAsia" w:ascii="宋体" w:hAnsi="宋体" w:eastAsia="宋体" w:cs="宋体"/>
          <w:b w:val="0"/>
          <w:bCs/>
          <w:color w:val="auto"/>
          <w:sz w:val="24"/>
          <w:szCs w:val="24"/>
          <w:highlight w:val="none"/>
          <w:lang w:eastAsia="zh-CN"/>
        </w:rPr>
        <w:t>其</w:t>
      </w:r>
      <w:r>
        <w:rPr>
          <w:rFonts w:hint="eastAsia" w:ascii="宋体" w:hAnsi="宋体" w:eastAsia="宋体" w:cs="宋体"/>
          <w:b w:val="0"/>
          <w:bCs/>
          <w:color w:val="auto"/>
          <w:sz w:val="24"/>
          <w:szCs w:val="24"/>
          <w:highlight w:val="none"/>
        </w:rPr>
        <w:t>原件扫描件。电子</w:t>
      </w:r>
      <w:r>
        <w:rPr>
          <w:rFonts w:hint="eastAsia" w:ascii="宋体" w:hAnsi="宋体" w:eastAsia="宋体" w:cs="宋体"/>
          <w:b w:val="0"/>
          <w:bCs/>
          <w:color w:val="auto"/>
          <w:sz w:val="24"/>
          <w:szCs w:val="24"/>
          <w:highlight w:val="none"/>
          <w:lang w:eastAsia="zh-CN"/>
        </w:rPr>
        <w:t>证书、</w:t>
      </w:r>
      <w:r>
        <w:rPr>
          <w:rFonts w:hint="eastAsia" w:ascii="宋体" w:hAnsi="宋体" w:eastAsia="宋体" w:cs="宋体"/>
          <w:b w:val="0"/>
          <w:bCs/>
          <w:color w:val="auto"/>
          <w:sz w:val="24"/>
          <w:szCs w:val="24"/>
          <w:highlight w:val="none"/>
        </w:rPr>
        <w:t>证照与纸质</w:t>
      </w:r>
      <w:r>
        <w:rPr>
          <w:rFonts w:hint="eastAsia" w:ascii="宋体" w:hAnsi="宋体" w:eastAsia="宋体" w:cs="宋体"/>
          <w:b w:val="0"/>
          <w:bCs/>
          <w:color w:val="auto"/>
          <w:sz w:val="24"/>
          <w:szCs w:val="24"/>
          <w:highlight w:val="none"/>
          <w:lang w:eastAsia="zh-CN"/>
        </w:rPr>
        <w:t>证书、</w:t>
      </w:r>
      <w:r>
        <w:rPr>
          <w:rFonts w:hint="eastAsia" w:ascii="宋体" w:hAnsi="宋体" w:eastAsia="宋体" w:cs="宋体"/>
          <w:b w:val="0"/>
          <w:bCs/>
          <w:color w:val="auto"/>
          <w:sz w:val="24"/>
          <w:szCs w:val="24"/>
          <w:highlight w:val="none"/>
        </w:rPr>
        <w:t>证照具有同等法律效力。</w:t>
      </w:r>
      <w:r>
        <w:rPr>
          <w:rFonts w:hint="eastAsia" w:ascii="宋体" w:hAnsi="宋体" w:eastAsia="宋体" w:cs="宋体"/>
          <w:b w:val="0"/>
          <w:bCs/>
          <w:color w:val="auto"/>
          <w:sz w:val="24"/>
          <w:szCs w:val="24"/>
          <w:highlight w:val="none"/>
          <w:lang w:eastAsia="zh-CN"/>
        </w:rPr>
        <w:t>有关人员可在相关网站（平台）下载、查看或打印其相关</w:t>
      </w:r>
      <w:r>
        <w:rPr>
          <w:rFonts w:hint="eastAsia" w:ascii="宋体" w:hAnsi="宋体" w:eastAsia="宋体" w:cs="宋体"/>
          <w:b w:val="0"/>
          <w:bCs/>
          <w:color w:val="auto"/>
          <w:sz w:val="24"/>
          <w:szCs w:val="24"/>
          <w:highlight w:val="none"/>
        </w:rPr>
        <w:t>电子</w:t>
      </w:r>
      <w:r>
        <w:rPr>
          <w:rFonts w:hint="eastAsia" w:ascii="宋体" w:hAnsi="宋体" w:eastAsia="宋体" w:cs="宋体"/>
          <w:b w:val="0"/>
          <w:bCs/>
          <w:color w:val="auto"/>
          <w:sz w:val="24"/>
          <w:szCs w:val="24"/>
          <w:highlight w:val="none"/>
          <w:lang w:eastAsia="zh-CN"/>
        </w:rPr>
        <w:t>证书、</w:t>
      </w:r>
      <w:r>
        <w:rPr>
          <w:rFonts w:hint="eastAsia" w:ascii="宋体" w:hAnsi="宋体" w:eastAsia="宋体" w:cs="宋体"/>
          <w:b w:val="0"/>
          <w:bCs/>
          <w:color w:val="auto"/>
          <w:sz w:val="24"/>
          <w:szCs w:val="24"/>
          <w:highlight w:val="none"/>
        </w:rPr>
        <w:t>证照</w:t>
      </w:r>
      <w:r>
        <w:rPr>
          <w:rFonts w:hint="eastAsia" w:ascii="宋体" w:hAnsi="宋体" w:eastAsia="宋体" w:cs="宋体"/>
          <w:b w:val="0"/>
          <w:bCs/>
          <w:color w:val="auto"/>
          <w:sz w:val="24"/>
          <w:szCs w:val="24"/>
          <w:highlight w:val="none"/>
          <w:lang w:eastAsia="zh-CN"/>
        </w:rPr>
        <w:t>，并可在相关网站（平台）或通过扫描电子证书、证照上的二维码对其信息真伪进行验证。</w:t>
      </w:r>
    </w:p>
    <w:p w14:paraId="2B971238">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sz w:val="24"/>
          <w:szCs w:val="24"/>
          <w:highlight w:val="none"/>
        </w:rPr>
        <w:t>7.1</w:t>
      </w:r>
      <w:r>
        <w:rPr>
          <w:rFonts w:hint="eastAsia" w:ascii="宋体" w:hAnsi="宋体" w:eastAsia="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rPr>
        <w:t xml:space="preserve"> </w:t>
      </w:r>
      <w:r>
        <w:rPr>
          <w:rFonts w:hint="eastAsia" w:ascii="宋体" w:hAnsi="宋体" w:eastAsia="宋体" w:cs="宋体"/>
          <w:b w:val="0"/>
          <w:bCs/>
          <w:color w:val="auto"/>
          <w:sz w:val="24"/>
          <w:szCs w:val="24"/>
          <w:highlight w:val="none"/>
          <w:lang w:eastAsia="zh-CN"/>
        </w:rPr>
        <w:t>本招标文件所指</w:t>
      </w:r>
      <w:r>
        <w:rPr>
          <w:rFonts w:hint="eastAsia" w:ascii="宋体" w:hAnsi="宋体" w:eastAsia="宋体" w:cs="宋体"/>
          <w:b w:val="0"/>
          <w:bCs/>
          <w:color w:val="auto"/>
          <w:kern w:val="0"/>
          <w:sz w:val="24"/>
          <w:szCs w:val="24"/>
          <w:highlight w:val="none"/>
        </w:rPr>
        <w:t>电子招标投标交易活动</w:t>
      </w:r>
      <w:r>
        <w:rPr>
          <w:rFonts w:hint="eastAsia" w:ascii="宋体" w:hAnsi="宋体" w:eastAsia="宋体" w:cs="宋体"/>
          <w:b w:val="0"/>
          <w:bCs/>
          <w:color w:val="auto"/>
          <w:kern w:val="0"/>
          <w:sz w:val="24"/>
          <w:szCs w:val="24"/>
          <w:highlight w:val="none"/>
          <w:lang w:eastAsia="zh-CN"/>
        </w:rPr>
        <w:t>，</w:t>
      </w:r>
      <w:r>
        <w:rPr>
          <w:rFonts w:hint="eastAsia" w:ascii="宋体" w:hAnsi="宋体" w:eastAsia="宋体" w:cs="宋体"/>
          <w:b w:val="0"/>
          <w:bCs/>
          <w:color w:val="auto"/>
          <w:kern w:val="0"/>
          <w:sz w:val="24"/>
          <w:szCs w:val="24"/>
          <w:highlight w:val="none"/>
        </w:rPr>
        <w:t>包括：发布招标公告；接受投标申请人网上下载招标资料（含招标公告、招标文件、施工图纸、施工</w:t>
      </w:r>
      <w:r>
        <w:rPr>
          <w:rFonts w:hint="eastAsia" w:ascii="宋体" w:hAnsi="宋体" w:eastAsia="宋体" w:cs="宋体"/>
          <w:b w:val="0"/>
          <w:bCs/>
          <w:color w:val="auto"/>
          <w:kern w:val="0"/>
          <w:sz w:val="24"/>
          <w:szCs w:val="24"/>
          <w:highlight w:val="none"/>
          <w:lang w:val="en-US" w:eastAsia="zh-CN"/>
        </w:rPr>
        <w:t>合同</w:t>
      </w:r>
      <w:r>
        <w:rPr>
          <w:rFonts w:hint="eastAsia" w:ascii="宋体" w:hAnsi="宋体" w:eastAsia="宋体" w:cs="宋体"/>
          <w:b w:val="0"/>
          <w:bCs/>
          <w:color w:val="auto"/>
          <w:kern w:val="0"/>
          <w:sz w:val="24"/>
          <w:szCs w:val="24"/>
          <w:highlight w:val="none"/>
        </w:rPr>
        <w:t>、</w:t>
      </w:r>
      <w:r>
        <w:rPr>
          <w:rFonts w:hint="eastAsia" w:ascii="宋体" w:hAnsi="宋体" w:eastAsia="宋体" w:cs="宋体"/>
          <w:b w:val="0"/>
          <w:bCs/>
          <w:color w:val="auto"/>
          <w:kern w:val="0"/>
          <w:sz w:val="24"/>
          <w:szCs w:val="24"/>
          <w:highlight w:val="none"/>
          <w:lang w:val="en-US" w:eastAsia="zh-CN"/>
        </w:rPr>
        <w:t>最高投标限价</w:t>
      </w:r>
      <w:r>
        <w:rPr>
          <w:rFonts w:hint="eastAsia" w:ascii="宋体" w:hAnsi="宋体" w:eastAsia="宋体" w:cs="宋体"/>
          <w:b w:val="0"/>
          <w:bCs/>
          <w:color w:val="auto"/>
          <w:kern w:val="0"/>
          <w:sz w:val="24"/>
          <w:szCs w:val="24"/>
          <w:highlight w:val="none"/>
        </w:rPr>
        <w:t>及工程量清单等）；网上</w:t>
      </w:r>
      <w:r>
        <w:rPr>
          <w:rFonts w:hint="eastAsia" w:ascii="宋体" w:hAnsi="宋体" w:eastAsia="宋体" w:cs="宋体"/>
          <w:b w:val="0"/>
          <w:bCs/>
          <w:color w:val="auto"/>
          <w:kern w:val="0"/>
          <w:sz w:val="24"/>
          <w:szCs w:val="24"/>
          <w:highlight w:val="none"/>
          <w:lang w:eastAsia="zh-CN"/>
        </w:rPr>
        <w:t>澄清、</w:t>
      </w:r>
      <w:r>
        <w:rPr>
          <w:rFonts w:hint="eastAsia" w:ascii="宋体" w:hAnsi="宋体" w:eastAsia="宋体" w:cs="宋体"/>
          <w:b w:val="0"/>
          <w:bCs/>
          <w:color w:val="auto"/>
          <w:kern w:val="0"/>
          <w:sz w:val="24"/>
          <w:szCs w:val="24"/>
          <w:highlight w:val="none"/>
        </w:rPr>
        <w:t>质疑答疑；网上投标；抽取评委；在电子招标投标系统进行开标、评标（含远程评标）</w:t>
      </w:r>
      <w:r>
        <w:rPr>
          <w:rFonts w:hint="eastAsia" w:ascii="宋体" w:hAnsi="宋体" w:eastAsia="宋体" w:cs="宋体"/>
          <w:b w:val="0"/>
          <w:bCs/>
          <w:color w:val="auto"/>
          <w:kern w:val="0"/>
          <w:sz w:val="24"/>
          <w:szCs w:val="24"/>
          <w:highlight w:val="none"/>
          <w:lang w:eastAsia="zh-CN"/>
        </w:rPr>
        <w:t>；</w:t>
      </w:r>
      <w:r>
        <w:rPr>
          <w:rFonts w:hint="eastAsia" w:ascii="宋体" w:hAnsi="宋体" w:eastAsia="宋体" w:cs="宋体"/>
          <w:b w:val="0"/>
          <w:bCs/>
          <w:color w:val="auto"/>
          <w:kern w:val="0"/>
          <w:sz w:val="24"/>
          <w:szCs w:val="24"/>
          <w:highlight w:val="none"/>
          <w:lang w:val="en-US" w:eastAsia="zh-CN"/>
        </w:rPr>
        <w:t>定</w:t>
      </w:r>
      <w:r>
        <w:rPr>
          <w:rFonts w:hint="eastAsia" w:ascii="宋体" w:hAnsi="宋体" w:eastAsia="宋体" w:cs="宋体"/>
          <w:b w:val="0"/>
          <w:bCs/>
          <w:color w:val="auto"/>
          <w:kern w:val="0"/>
          <w:sz w:val="24"/>
          <w:szCs w:val="24"/>
          <w:highlight w:val="none"/>
        </w:rPr>
        <w:t>标</w:t>
      </w:r>
      <w:r>
        <w:rPr>
          <w:rFonts w:hint="eastAsia" w:ascii="宋体" w:hAnsi="宋体" w:eastAsia="宋体" w:cs="宋体"/>
          <w:b w:val="0"/>
          <w:bCs/>
          <w:color w:val="auto"/>
          <w:kern w:val="0"/>
          <w:sz w:val="24"/>
          <w:szCs w:val="24"/>
          <w:highlight w:val="none"/>
          <w:lang w:eastAsia="zh-CN"/>
        </w:rPr>
        <w:t>候选人</w:t>
      </w:r>
      <w:r>
        <w:rPr>
          <w:rFonts w:hint="eastAsia" w:ascii="宋体" w:hAnsi="宋体" w:eastAsia="宋体" w:cs="宋体"/>
          <w:b w:val="0"/>
          <w:bCs/>
          <w:color w:val="auto"/>
          <w:kern w:val="0"/>
          <w:sz w:val="24"/>
          <w:szCs w:val="24"/>
          <w:highlight w:val="none"/>
        </w:rPr>
        <w:t>公示；定标</w:t>
      </w:r>
      <w:r>
        <w:rPr>
          <w:rFonts w:hint="eastAsia" w:ascii="宋体" w:hAnsi="宋体" w:eastAsia="宋体" w:cs="宋体"/>
          <w:b w:val="0"/>
          <w:bCs/>
          <w:color w:val="auto"/>
          <w:kern w:val="0"/>
          <w:sz w:val="24"/>
          <w:szCs w:val="24"/>
          <w:highlight w:val="none"/>
          <w:lang w:eastAsia="zh-CN"/>
        </w:rPr>
        <w:t>（</w:t>
      </w:r>
      <w:r>
        <w:rPr>
          <w:rFonts w:hint="eastAsia" w:ascii="宋体" w:hAnsi="宋体" w:eastAsia="宋体" w:cs="宋体"/>
          <w:b w:val="0"/>
          <w:bCs/>
          <w:color w:val="auto"/>
          <w:kern w:val="0"/>
          <w:sz w:val="24"/>
          <w:szCs w:val="24"/>
          <w:highlight w:val="none"/>
          <w:lang w:val="en-US" w:eastAsia="zh-CN"/>
        </w:rPr>
        <w:t>如</w:t>
      </w:r>
      <w:r>
        <w:rPr>
          <w:rFonts w:hint="eastAsia" w:ascii="宋体" w:hAnsi="宋体" w:eastAsia="宋体" w:cs="宋体"/>
          <w:color w:val="auto"/>
          <w:sz w:val="24"/>
          <w:highlight w:val="none"/>
        </w:rPr>
        <w:t>交易平台</w:t>
      </w:r>
      <w:r>
        <w:rPr>
          <w:rFonts w:hint="eastAsia" w:ascii="宋体" w:hAnsi="宋体" w:eastAsia="宋体" w:cs="宋体"/>
          <w:b w:val="0"/>
          <w:bCs/>
          <w:color w:val="auto"/>
          <w:kern w:val="0"/>
          <w:sz w:val="24"/>
          <w:szCs w:val="24"/>
          <w:highlight w:val="none"/>
          <w:lang w:val="en-US" w:eastAsia="zh-CN"/>
        </w:rPr>
        <w:t>不支持，则在线下进行</w:t>
      </w:r>
      <w:r>
        <w:rPr>
          <w:rFonts w:hint="eastAsia" w:ascii="宋体" w:hAnsi="宋体" w:eastAsia="宋体" w:cs="宋体"/>
          <w:b w:val="0"/>
          <w:bCs/>
          <w:color w:val="auto"/>
          <w:kern w:val="0"/>
          <w:sz w:val="24"/>
          <w:szCs w:val="24"/>
          <w:highlight w:val="none"/>
          <w:lang w:eastAsia="zh-CN"/>
        </w:rPr>
        <w:t>）</w:t>
      </w:r>
      <w:r>
        <w:rPr>
          <w:rFonts w:hint="eastAsia" w:ascii="宋体" w:hAnsi="宋体" w:eastAsia="宋体" w:cs="宋体"/>
          <w:b w:val="0"/>
          <w:bCs/>
          <w:color w:val="auto"/>
          <w:kern w:val="0"/>
          <w:sz w:val="24"/>
          <w:szCs w:val="24"/>
          <w:highlight w:val="none"/>
        </w:rPr>
        <w:t>；中标</w:t>
      </w:r>
      <w:r>
        <w:rPr>
          <w:rFonts w:hint="eastAsia" w:ascii="宋体" w:hAnsi="宋体" w:eastAsia="宋体" w:cs="宋体"/>
          <w:b w:val="0"/>
          <w:bCs/>
          <w:color w:val="auto"/>
          <w:kern w:val="0"/>
          <w:sz w:val="24"/>
          <w:szCs w:val="24"/>
          <w:highlight w:val="none"/>
          <w:lang w:eastAsia="zh-CN"/>
        </w:rPr>
        <w:t>候选人</w:t>
      </w:r>
      <w:r>
        <w:rPr>
          <w:rFonts w:hint="eastAsia" w:ascii="宋体" w:hAnsi="宋体" w:eastAsia="宋体" w:cs="宋体"/>
          <w:b w:val="0"/>
          <w:bCs/>
          <w:color w:val="auto"/>
          <w:kern w:val="0"/>
          <w:sz w:val="24"/>
          <w:szCs w:val="24"/>
          <w:highlight w:val="none"/>
        </w:rPr>
        <w:t>公示；确定中标人</w:t>
      </w:r>
      <w:r>
        <w:rPr>
          <w:rFonts w:hint="eastAsia" w:ascii="宋体" w:hAnsi="宋体" w:eastAsia="宋体" w:cs="宋体"/>
          <w:b w:val="0"/>
          <w:bCs/>
          <w:color w:val="auto"/>
          <w:kern w:val="0"/>
          <w:sz w:val="24"/>
          <w:szCs w:val="24"/>
          <w:highlight w:val="none"/>
          <w:lang w:eastAsia="zh-CN"/>
        </w:rPr>
        <w:t>；发放中标通知书；中标结果公示；</w:t>
      </w:r>
      <w:r>
        <w:rPr>
          <w:rFonts w:hint="eastAsia" w:ascii="宋体" w:hAnsi="宋体" w:eastAsia="宋体" w:cs="宋体"/>
          <w:b w:val="0"/>
          <w:bCs/>
          <w:color w:val="auto"/>
          <w:kern w:val="0"/>
          <w:sz w:val="24"/>
          <w:szCs w:val="24"/>
          <w:highlight w:val="none"/>
          <w:lang w:val="en-US" w:eastAsia="zh-CN"/>
        </w:rPr>
        <w:t>上传</w:t>
      </w:r>
      <w:r>
        <w:rPr>
          <w:rFonts w:hint="eastAsia" w:ascii="宋体" w:hAnsi="宋体" w:eastAsia="宋体" w:cs="宋体"/>
          <w:b w:val="0"/>
          <w:bCs/>
          <w:color w:val="auto"/>
          <w:kern w:val="0"/>
          <w:sz w:val="24"/>
          <w:szCs w:val="24"/>
          <w:highlight w:val="none"/>
          <w:lang w:eastAsia="zh-CN"/>
        </w:rPr>
        <w:t>承包合同；</w:t>
      </w:r>
      <w:r>
        <w:rPr>
          <w:rFonts w:hint="eastAsia" w:ascii="宋体" w:hAnsi="宋体" w:eastAsia="宋体" w:cs="宋体"/>
          <w:b w:val="0"/>
          <w:bCs/>
          <w:color w:val="auto"/>
          <w:kern w:val="0"/>
          <w:sz w:val="24"/>
          <w:szCs w:val="24"/>
          <w:highlight w:val="none"/>
        </w:rPr>
        <w:t>招标投标情况报告</w:t>
      </w:r>
      <w:r>
        <w:rPr>
          <w:rFonts w:hint="eastAsia" w:ascii="宋体" w:hAnsi="宋体" w:eastAsia="宋体" w:cs="宋体"/>
          <w:b w:val="0"/>
          <w:bCs/>
          <w:color w:val="auto"/>
          <w:kern w:val="0"/>
          <w:sz w:val="24"/>
          <w:szCs w:val="24"/>
          <w:highlight w:val="none"/>
          <w:lang w:eastAsia="zh-CN"/>
        </w:rPr>
        <w:t>；异议和投诉</w:t>
      </w:r>
      <w:r>
        <w:rPr>
          <w:rFonts w:hint="eastAsia" w:ascii="宋体" w:hAnsi="宋体" w:eastAsia="宋体" w:cs="宋体"/>
          <w:b w:val="0"/>
          <w:bCs/>
          <w:color w:val="auto"/>
          <w:kern w:val="0"/>
          <w:sz w:val="24"/>
          <w:szCs w:val="24"/>
          <w:highlight w:val="none"/>
        </w:rPr>
        <w:t>等。</w:t>
      </w:r>
      <w:r>
        <w:rPr>
          <w:rFonts w:hint="eastAsia" w:ascii="宋体" w:hAnsi="宋体" w:eastAsia="宋体" w:cs="宋体"/>
          <w:b w:val="0"/>
          <w:bCs/>
          <w:color w:val="auto"/>
          <w:kern w:val="0"/>
          <w:sz w:val="24"/>
          <w:szCs w:val="24"/>
          <w:highlight w:val="none"/>
          <w:lang w:eastAsia="zh-CN"/>
        </w:rPr>
        <w:t>本招标文件所指的招标项目</w:t>
      </w:r>
      <w:r>
        <w:rPr>
          <w:rFonts w:hint="eastAsia" w:ascii="宋体" w:hAnsi="宋体" w:cs="宋体"/>
          <w:b w:val="0"/>
          <w:bCs/>
          <w:color w:val="auto"/>
          <w:kern w:val="0"/>
          <w:sz w:val="24"/>
          <w:szCs w:val="24"/>
          <w:highlight w:val="none"/>
          <w:lang w:eastAsia="zh-CN"/>
        </w:rPr>
        <w:t>采用</w:t>
      </w:r>
      <w:r>
        <w:rPr>
          <w:rFonts w:hint="eastAsia" w:ascii="宋体" w:hAnsi="宋体" w:eastAsia="宋体" w:cs="宋体"/>
          <w:b w:val="0"/>
          <w:bCs/>
          <w:color w:val="auto"/>
          <w:kern w:val="0"/>
          <w:sz w:val="24"/>
          <w:szCs w:val="24"/>
          <w:highlight w:val="none"/>
          <w:lang w:eastAsia="zh-CN"/>
        </w:rPr>
        <w:t>韶关市建设工程交易系统全流程电子开标评标方式。</w:t>
      </w:r>
    </w:p>
    <w:p w14:paraId="43AC1A9A">
      <w:pPr>
        <w:keepNext w:val="0"/>
        <w:keepLines w:val="0"/>
        <w:pageBreakBefore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7.1</w:t>
      </w:r>
      <w:r>
        <w:rPr>
          <w:rFonts w:hint="eastAsia" w:ascii="宋体" w:hAnsi="宋体" w:eastAsia="宋体" w:cs="宋体"/>
          <w:b w:val="0"/>
          <w:bCs/>
          <w:color w:val="auto"/>
          <w:sz w:val="24"/>
          <w:szCs w:val="24"/>
          <w:highlight w:val="none"/>
          <w:lang w:val="en-US" w:eastAsia="zh-CN"/>
        </w:rPr>
        <w:t>6</w:t>
      </w:r>
      <w:r>
        <w:rPr>
          <w:rFonts w:hint="eastAsia" w:ascii="宋体" w:hAnsi="宋体" w:eastAsia="宋体" w:cs="宋体"/>
          <w:b w:val="0"/>
          <w:bCs/>
          <w:color w:val="auto"/>
          <w:kern w:val="0"/>
          <w:sz w:val="24"/>
          <w:szCs w:val="24"/>
          <w:highlight w:val="none"/>
        </w:rPr>
        <w:t>本</w:t>
      </w:r>
      <w:r>
        <w:rPr>
          <w:rFonts w:hint="eastAsia" w:ascii="宋体" w:hAnsi="宋体" w:eastAsia="宋体" w:cs="宋体"/>
          <w:b w:val="0"/>
          <w:bCs/>
          <w:color w:val="auto"/>
          <w:kern w:val="0"/>
          <w:sz w:val="24"/>
          <w:szCs w:val="24"/>
          <w:highlight w:val="none"/>
          <w:lang w:eastAsia="zh-CN"/>
        </w:rPr>
        <w:t>招标文件所</w:t>
      </w:r>
      <w:r>
        <w:rPr>
          <w:rFonts w:hint="eastAsia" w:ascii="宋体" w:hAnsi="宋体" w:eastAsia="宋体" w:cs="宋体"/>
          <w:b w:val="0"/>
          <w:bCs/>
          <w:color w:val="auto"/>
          <w:kern w:val="0"/>
          <w:sz w:val="24"/>
          <w:szCs w:val="24"/>
          <w:highlight w:val="none"/>
        </w:rPr>
        <w:t>称远程异地评标活动，是指以数据电文形式，依托电子交易系统通过远程调度、视频语音实时交互等方式，评标委员会成员在两个及以上不同电子评标场所对同一工程建设项目进行评标的活动。</w:t>
      </w:r>
    </w:p>
    <w:p w14:paraId="16993E7B">
      <w:pPr>
        <w:keepNext w:val="0"/>
        <w:keepLines w:val="0"/>
        <w:pageBreakBefore w:val="0"/>
        <w:widowControl/>
        <w:shd w:val="clear" w:color="auto" w:fill="auto"/>
        <w:kinsoku/>
        <w:wordWrap/>
        <w:overflowPunct/>
        <w:topLinePunct w:val="0"/>
        <w:autoSpaceDE/>
        <w:autoSpaceDN/>
        <w:bidi w:val="0"/>
        <w:adjustRightInd/>
        <w:snapToGrid/>
        <w:spacing w:line="340" w:lineRule="exact"/>
        <w:ind w:left="0" w:leftChars="0" w:firstLine="482" w:firstLineChars="200"/>
        <w:jc w:val="both"/>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bCs w:val="0"/>
          <w:color w:val="auto"/>
          <w:kern w:val="0"/>
          <w:sz w:val="24"/>
          <w:szCs w:val="24"/>
          <w:highlight w:val="none"/>
          <w:lang w:val="en-US" w:eastAsia="zh-CN"/>
        </w:rPr>
        <w:t>7</w:t>
      </w:r>
      <w:r>
        <w:rPr>
          <w:rFonts w:hint="eastAsia" w:ascii="宋体" w:hAnsi="宋体" w:eastAsia="宋体" w:cs="宋体"/>
          <w:b/>
          <w:bCs w:val="0"/>
          <w:color w:val="auto"/>
          <w:kern w:val="0"/>
          <w:sz w:val="24"/>
          <w:szCs w:val="24"/>
          <w:highlight w:val="none"/>
          <w:lang w:eastAsia="zh-CN"/>
        </w:rPr>
        <w:t>.1</w:t>
      </w:r>
      <w:r>
        <w:rPr>
          <w:rFonts w:hint="eastAsia" w:ascii="宋体" w:hAnsi="宋体" w:eastAsia="宋体" w:cs="宋体"/>
          <w:b/>
          <w:bCs w:val="0"/>
          <w:color w:val="auto"/>
          <w:kern w:val="0"/>
          <w:sz w:val="24"/>
          <w:szCs w:val="24"/>
          <w:highlight w:val="none"/>
          <w:lang w:val="en-US" w:eastAsia="zh-CN"/>
        </w:rPr>
        <w:t xml:space="preserve">7 </w:t>
      </w:r>
      <w:r>
        <w:rPr>
          <w:rFonts w:hint="eastAsia" w:ascii="宋体" w:hAnsi="宋体" w:eastAsia="宋体" w:cs="宋体"/>
          <w:b/>
          <w:bCs w:val="0"/>
          <w:color w:val="auto"/>
          <w:kern w:val="0"/>
          <w:sz w:val="24"/>
          <w:szCs w:val="24"/>
          <w:highlight w:val="none"/>
          <w:lang w:eastAsia="zh-CN"/>
        </w:rPr>
        <w:t>远程异地评标活动场所分为主场和副场。招标人应当选择韶关市公共资源交易中心的评标场所为主场，主场以外的省内、省外其他交易评标场所为副场。副场由招标人按规定从韶关市公共资源交易中心已与签订远程异地评标协议的其他公共资源交易中心中确定。</w:t>
      </w:r>
    </w:p>
    <w:p w14:paraId="1D4A500D">
      <w:pPr>
        <w:pStyle w:val="4"/>
        <w:keepNext/>
        <w:keepLines/>
        <w:pageBreakBefore w:val="0"/>
        <w:widowControl/>
        <w:kinsoku/>
        <w:wordWrap/>
        <w:overflowPunct/>
        <w:topLinePunct w:val="0"/>
        <w:autoSpaceDE/>
        <w:autoSpaceDN/>
        <w:bidi w:val="0"/>
        <w:adjustRightInd/>
        <w:snapToGrid/>
        <w:spacing w:before="240" w:beforeAutospacing="0" w:after="120" w:afterAutospacing="0" w:line="360" w:lineRule="auto"/>
        <w:ind w:firstLine="420"/>
        <w:jc w:val="center"/>
        <w:textAlignment w:val="auto"/>
        <w:outlineLvl w:val="2"/>
        <w:rPr>
          <w:rFonts w:hint="eastAsia" w:ascii="宋体" w:hAnsi="宋体" w:eastAsia="宋体" w:cs="宋体"/>
          <w:b/>
          <w:bCs/>
          <w:color w:val="auto"/>
          <w:sz w:val="24"/>
          <w:highlight w:val="none"/>
          <w:lang w:val="en-US" w:eastAsia="zh-CN"/>
        </w:rPr>
      </w:pPr>
      <w:bookmarkStart w:id="9" w:name="_Toc15625"/>
      <w:r>
        <w:rPr>
          <w:rFonts w:hint="eastAsia" w:ascii="宋体" w:hAnsi="宋体" w:eastAsia="宋体" w:cs="宋体"/>
          <w:b/>
          <w:bCs/>
          <w:color w:val="auto"/>
          <w:kern w:val="0"/>
          <w:sz w:val="28"/>
          <w:szCs w:val="28"/>
          <w:highlight w:val="none"/>
        </w:rPr>
        <w:t>（</w:t>
      </w:r>
      <w:r>
        <w:rPr>
          <w:rFonts w:hint="eastAsia" w:ascii="宋体" w:hAnsi="宋体" w:eastAsia="宋体" w:cs="宋体"/>
          <w:b/>
          <w:bCs/>
          <w:color w:val="auto"/>
          <w:kern w:val="0"/>
          <w:sz w:val="28"/>
          <w:szCs w:val="28"/>
          <w:highlight w:val="none"/>
          <w:lang w:eastAsia="zh-CN"/>
        </w:rPr>
        <w:t>二</w:t>
      </w:r>
      <w:r>
        <w:rPr>
          <w:rFonts w:hint="eastAsia" w:ascii="宋体" w:hAnsi="宋体" w:eastAsia="宋体" w:cs="宋体"/>
          <w:b/>
          <w:bCs/>
          <w:color w:val="auto"/>
          <w:kern w:val="0"/>
          <w:sz w:val="28"/>
          <w:szCs w:val="28"/>
          <w:highlight w:val="none"/>
        </w:rPr>
        <w:t>）</w:t>
      </w:r>
      <w:r>
        <w:rPr>
          <w:rFonts w:hint="eastAsia" w:ascii="宋体" w:hAnsi="宋体" w:eastAsia="宋体" w:cs="宋体"/>
          <w:b/>
          <w:bCs/>
          <w:color w:val="auto"/>
          <w:kern w:val="0"/>
          <w:sz w:val="28"/>
          <w:szCs w:val="28"/>
          <w:highlight w:val="none"/>
          <w:lang w:eastAsia="zh-CN"/>
        </w:rPr>
        <w:t>投标否决</w:t>
      </w:r>
      <w:bookmarkEnd w:id="9"/>
    </w:p>
    <w:p w14:paraId="5A8FCF3D">
      <w:pPr>
        <w:keepNext w:val="0"/>
        <w:keepLines w:val="0"/>
        <w:pageBreakBefore w:val="0"/>
        <w:shd w:val="clear" w:color="auto" w:fill="auto"/>
        <w:kinsoku/>
        <w:wordWrap/>
        <w:overflowPunct/>
        <w:topLinePunct w:val="0"/>
        <w:bidi w:val="0"/>
        <w:adjustRightInd/>
        <w:snapToGrid/>
        <w:spacing w:line="340" w:lineRule="exact"/>
        <w:ind w:left="0" w:leftChars="0" w:firstLine="482" w:firstLineChars="200"/>
        <w:jc w:val="both"/>
        <w:textAlignment w:val="auto"/>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8</w:t>
      </w:r>
      <w:r>
        <w:rPr>
          <w:rFonts w:hint="eastAsia" w:ascii="宋体" w:hAnsi="宋体" w:eastAsia="宋体" w:cs="宋体"/>
          <w:b/>
          <w:bCs/>
          <w:color w:val="auto"/>
          <w:sz w:val="24"/>
          <w:highlight w:val="none"/>
        </w:rPr>
        <w:t>.否决投标条款</w:t>
      </w:r>
    </w:p>
    <w:p w14:paraId="1B479DCE">
      <w:pPr>
        <w:keepNext w:val="0"/>
        <w:keepLines w:val="0"/>
        <w:pageBreakBefore w:val="0"/>
        <w:shd w:val="clear" w:color="auto" w:fill="auto"/>
        <w:kinsoku/>
        <w:wordWrap/>
        <w:overflowPunct/>
        <w:topLinePunct w:val="0"/>
        <w:bidi w:val="0"/>
        <w:adjustRightInd/>
        <w:snapToGrid/>
        <w:spacing w:line="340" w:lineRule="exact"/>
        <w:ind w:left="0" w:leftChars="0" w:firstLine="482"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b/>
          <w:color w:val="auto"/>
          <w:sz w:val="24"/>
          <w:highlight w:val="none"/>
          <w:lang w:val="en-US" w:eastAsia="zh-CN"/>
        </w:rPr>
        <w:t>8</w:t>
      </w:r>
      <w:r>
        <w:rPr>
          <w:rFonts w:hint="eastAsia" w:ascii="宋体" w:hAnsi="宋体" w:eastAsia="宋体" w:cs="宋体"/>
          <w:b/>
          <w:color w:val="auto"/>
          <w:sz w:val="24"/>
          <w:highlight w:val="none"/>
        </w:rPr>
        <w:t>.1 开标时，投标人有下列情形之一其投标文件视为无效投标文件，</w:t>
      </w:r>
      <w:r>
        <w:rPr>
          <w:rFonts w:hint="eastAsia" w:ascii="宋体" w:hAnsi="宋体" w:eastAsia="宋体" w:cs="宋体"/>
          <w:b/>
          <w:bCs/>
          <w:color w:val="auto"/>
          <w:sz w:val="24"/>
          <w:highlight w:val="none"/>
        </w:rPr>
        <w:t>不得进入资格后审和评标：</w:t>
      </w:r>
    </w:p>
    <w:p w14:paraId="39C9D880">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（1）投标人的电子投标文件逾期上传或者未上传送达指定交易平台</w:t>
      </w:r>
      <w:r>
        <w:rPr>
          <w:rFonts w:hint="eastAsia" w:ascii="宋体" w:hAnsi="宋体" w:eastAsia="宋体" w:cs="宋体"/>
          <w:color w:val="auto"/>
          <w:sz w:val="24"/>
          <w:highlight w:val="none"/>
          <w:lang w:eastAsia="zh-CN"/>
        </w:rPr>
        <w:t>。</w:t>
      </w:r>
    </w:p>
    <w:p w14:paraId="681CB1F7">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（2）投标人未能按照本招标文件要求提交投标保证金及其相关手续</w:t>
      </w:r>
      <w:r>
        <w:rPr>
          <w:rFonts w:hint="eastAsia" w:ascii="宋体" w:hAnsi="宋体" w:eastAsia="宋体" w:cs="宋体"/>
          <w:color w:val="auto"/>
          <w:sz w:val="24"/>
          <w:highlight w:val="none"/>
          <w:lang w:eastAsia="zh-CN"/>
        </w:rPr>
        <w:t>。</w:t>
      </w:r>
    </w:p>
    <w:p w14:paraId="41CFE660">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（3）投标人的电子投标文件无法解密或无法打开</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 xml:space="preserve"> </w:t>
      </w:r>
    </w:p>
    <w:p w14:paraId="147A5865">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（4）投标人上传递交的电子投标文件不符合招标文件要求</w:t>
      </w:r>
      <w:r>
        <w:rPr>
          <w:rFonts w:hint="eastAsia" w:ascii="宋体" w:hAnsi="宋体" w:eastAsia="宋体" w:cs="宋体"/>
          <w:color w:val="auto"/>
          <w:sz w:val="24"/>
          <w:highlight w:val="none"/>
          <w:lang w:eastAsia="zh-CN"/>
        </w:rPr>
        <w:t>。</w:t>
      </w:r>
    </w:p>
    <w:p w14:paraId="17B0FA1A">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（5）投标人的投标报价超过投标报价上限</w:t>
      </w:r>
      <w:r>
        <w:rPr>
          <w:rFonts w:hint="eastAsia" w:ascii="宋体" w:hAnsi="宋体" w:eastAsia="宋体" w:cs="宋体"/>
          <w:color w:val="auto"/>
          <w:sz w:val="24"/>
          <w:highlight w:val="none"/>
          <w:lang w:eastAsia="zh-CN"/>
        </w:rPr>
        <w:t>。</w:t>
      </w:r>
    </w:p>
    <w:p w14:paraId="122F4A91">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（6）开标现场电子招投标系统没有显示投标人的项目负责人姓名。</w:t>
      </w:r>
    </w:p>
    <w:p w14:paraId="63C03350">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投标文件编制及上传存在</w:t>
      </w:r>
      <w:r>
        <w:rPr>
          <w:rFonts w:hint="eastAsia" w:ascii="宋体" w:hAnsi="宋体" w:eastAsia="宋体" w:cs="宋体"/>
          <w:color w:val="auto"/>
          <w:sz w:val="24"/>
          <w:highlight w:val="none"/>
          <w:lang w:eastAsia="zh-CN"/>
        </w:rPr>
        <w:t>有与不同投标人</w:t>
      </w:r>
      <w:r>
        <w:rPr>
          <w:rFonts w:hint="eastAsia" w:ascii="宋体" w:hAnsi="宋体" w:eastAsia="宋体" w:cs="宋体"/>
          <w:color w:val="auto"/>
          <w:sz w:val="24"/>
          <w:highlight w:val="none"/>
        </w:rPr>
        <w:t>同一网卡地址、硬盘序列号、软件序列号或投标文件异常一致（通过交易中心计算机编制或上传的除外）</w:t>
      </w:r>
      <w:r>
        <w:rPr>
          <w:rFonts w:hint="eastAsia" w:ascii="宋体" w:hAnsi="宋体" w:eastAsia="宋体" w:cs="宋体"/>
          <w:color w:val="auto"/>
          <w:sz w:val="24"/>
          <w:highlight w:val="none"/>
          <w:lang w:eastAsia="zh-CN"/>
        </w:rPr>
        <w:t>。</w:t>
      </w:r>
    </w:p>
    <w:p w14:paraId="699FD9A9">
      <w:pPr>
        <w:keepNext w:val="0"/>
        <w:keepLines w:val="0"/>
        <w:pageBreakBefore w:val="0"/>
        <w:shd w:val="clear" w:color="auto" w:fill="auto"/>
        <w:kinsoku/>
        <w:wordWrap/>
        <w:overflowPunct/>
        <w:topLinePunct w:val="0"/>
        <w:bidi w:val="0"/>
        <w:adjustRightInd/>
        <w:snapToGrid/>
        <w:spacing w:line="340" w:lineRule="exact"/>
        <w:ind w:left="0" w:leftChars="0" w:firstLine="482" w:firstLineChars="200"/>
        <w:jc w:val="both"/>
        <w:textAlignment w:val="auto"/>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8</w:t>
      </w: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2</w:t>
      </w:r>
      <w:r>
        <w:rPr>
          <w:rFonts w:hint="eastAsia" w:ascii="宋体" w:hAnsi="宋体" w:eastAsia="宋体" w:cs="宋体"/>
          <w:b/>
          <w:bCs/>
          <w:color w:val="auto"/>
          <w:sz w:val="24"/>
          <w:highlight w:val="none"/>
        </w:rPr>
        <w:t xml:space="preserve"> 经现场确认，投标人有下列情形之一，一律按照</w:t>
      </w:r>
      <w:r>
        <w:rPr>
          <w:rFonts w:hint="eastAsia" w:ascii="宋体" w:hAnsi="宋体" w:eastAsia="宋体" w:cs="宋体"/>
          <w:b/>
          <w:bCs/>
          <w:color w:val="auto"/>
          <w:sz w:val="24"/>
          <w:highlight w:val="none"/>
          <w:lang w:eastAsia="zh-CN"/>
        </w:rPr>
        <w:t>无</w:t>
      </w:r>
      <w:r>
        <w:rPr>
          <w:rFonts w:hint="eastAsia" w:ascii="宋体" w:hAnsi="宋体" w:eastAsia="宋体" w:cs="宋体"/>
          <w:b/>
          <w:bCs/>
          <w:color w:val="auto"/>
          <w:sz w:val="24"/>
          <w:highlight w:val="none"/>
        </w:rPr>
        <w:t>提交投标保证金处理，视为投标人自动放弃投标资格：</w:t>
      </w:r>
    </w:p>
    <w:p w14:paraId="59CF0431">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contextualSpacing/>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（1）投标人的投标现金保证金不是从本企业银行基本账户转入。</w:t>
      </w:r>
    </w:p>
    <w:p w14:paraId="6A0D19D2">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（2）投标人未按照招标文件指定的账户转入投标保证金</w:t>
      </w:r>
      <w:r>
        <w:rPr>
          <w:rFonts w:hint="eastAsia" w:ascii="宋体" w:hAnsi="宋体" w:eastAsia="宋体" w:cs="宋体"/>
          <w:color w:val="auto"/>
          <w:sz w:val="24"/>
          <w:highlight w:val="none"/>
          <w:lang w:eastAsia="zh-CN"/>
        </w:rPr>
        <w:t>。</w:t>
      </w:r>
    </w:p>
    <w:p w14:paraId="1298C967">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highlight w:val="none"/>
        </w:rPr>
        <w:t>（3）投标人未按照招标文件规定的金额或时间转入或提交本项目的投标保证金。</w:t>
      </w:r>
    </w:p>
    <w:p w14:paraId="698A8184">
      <w:pPr>
        <w:keepNext w:val="0"/>
        <w:keepLines w:val="0"/>
        <w:pageBreakBefore w:val="0"/>
        <w:shd w:val="clear" w:color="auto" w:fill="auto"/>
        <w:kinsoku/>
        <w:wordWrap/>
        <w:overflowPunct/>
        <w:topLinePunct w:val="0"/>
        <w:bidi w:val="0"/>
        <w:adjustRightInd/>
        <w:snapToGrid/>
        <w:spacing w:line="340" w:lineRule="exact"/>
        <w:ind w:left="0" w:leftChars="0" w:firstLine="482" w:firstLineChars="200"/>
        <w:jc w:val="both"/>
        <w:textAlignment w:val="auto"/>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8</w:t>
      </w: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 xml:space="preserve">3 </w:t>
      </w:r>
      <w:r>
        <w:rPr>
          <w:rFonts w:hint="eastAsia" w:ascii="宋体" w:hAnsi="宋体" w:eastAsia="宋体" w:cs="宋体"/>
          <w:b/>
          <w:bCs/>
          <w:color w:val="auto"/>
          <w:sz w:val="24"/>
          <w:highlight w:val="none"/>
        </w:rPr>
        <w:t>资格评审环节</w:t>
      </w:r>
    </w:p>
    <w:p w14:paraId="7464281B">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投标人有下列情形之一的，评标委员会应否决其投标。被否决的投标人，不进入形式评审环节。</w:t>
      </w:r>
    </w:p>
    <w:p w14:paraId="05BE77A9">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（1）有本章节第</w:t>
      </w:r>
      <w:r>
        <w:rPr>
          <w:rFonts w:hint="eastAsia" w:ascii="宋体" w:hAnsi="宋体" w:eastAsia="宋体" w:cs="宋体"/>
          <w:color w:val="auto"/>
          <w:sz w:val="24"/>
          <w:highlight w:val="none"/>
          <w:lang w:val="en-US" w:eastAsia="zh-CN"/>
        </w:rPr>
        <w:t>4.5</w:t>
      </w:r>
      <w:r>
        <w:rPr>
          <w:rFonts w:hint="eastAsia" w:ascii="宋体" w:hAnsi="宋体" w:eastAsia="宋体" w:cs="宋体"/>
          <w:color w:val="auto"/>
          <w:sz w:val="24"/>
          <w:highlight w:val="none"/>
        </w:rPr>
        <w:t>条“禁止投标条款”规定的任何一种情形；</w:t>
      </w:r>
    </w:p>
    <w:p w14:paraId="46D65B8C">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（2）投标人资质不符合规定的；</w:t>
      </w:r>
    </w:p>
    <w:p w14:paraId="65D4139C">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6A6C9D16">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2CAA22C6">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根据有关文件精神，投标人的企业资质证书、安全生产许可证有效期届满的，但投标人提供了发证机构相关行业主管部门的证明材料（如自动顺延或推迟办理延期业务的通知），证明在开标日继续有效的，不得否决其投标。</w:t>
      </w:r>
    </w:p>
    <w:p w14:paraId="01EC98A0">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（4）拟派项目经理、项目技术负责人、专职安全员的条件不符合规定的；拟派专职安全员数量不符合规定的；</w:t>
      </w:r>
    </w:p>
    <w:p w14:paraId="10B4CD3C">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5）《项目经理简历表》中拟派项目经理与《开标一览表》不一致的；一级建造师的注册证书不是国家住建部颁发的；二级建造师的电子注册证书不是住建厅颁发的；建造师的注册单位与投标人不一致的；项目管理班子组成人员的各类证书、证件、证明不在有效期内的（建造师注册证书不在使用有效期内的）；擅自修改、遗漏《项目经理任职声明》实质性内容的；</w:t>
      </w:r>
    </w:p>
    <w:p w14:paraId="43C4FB0D">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注：投标人已经工商变更，但其员工执业资格注册证书的注册单位名称未完成变更的，不得否决其投标。</w:t>
      </w:r>
    </w:p>
    <w:p w14:paraId="29BBBD98">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（6）招标文件规定不接受联合体投标，但以联合体投标的；</w:t>
      </w:r>
    </w:p>
    <w:p w14:paraId="51080B29">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（7）投标人为外省建筑企业，但未提供“进粤企业和人员诚信信息登记平台”企业和拟派人员信息情况网页截图的。</w:t>
      </w:r>
    </w:p>
    <w:p w14:paraId="528B8DD7">
      <w:pPr>
        <w:keepNext w:val="0"/>
        <w:keepLines w:val="0"/>
        <w:pageBreakBefore w:val="0"/>
        <w:shd w:val="clear" w:color="auto" w:fill="auto"/>
        <w:kinsoku/>
        <w:wordWrap/>
        <w:overflowPunct/>
        <w:topLinePunct w:val="0"/>
        <w:bidi w:val="0"/>
        <w:adjustRightInd/>
        <w:snapToGrid/>
        <w:spacing w:line="340" w:lineRule="exact"/>
        <w:ind w:left="0" w:leftChars="0" w:firstLine="482" w:firstLineChars="200"/>
        <w:jc w:val="both"/>
        <w:textAlignment w:val="auto"/>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8</w:t>
      </w:r>
      <w:r>
        <w:rPr>
          <w:rFonts w:hint="eastAsia" w:ascii="宋体" w:hAnsi="宋体" w:eastAsia="宋体" w:cs="宋体"/>
          <w:b/>
          <w:bCs/>
          <w:color w:val="auto"/>
          <w:sz w:val="24"/>
          <w:highlight w:val="none"/>
        </w:rPr>
        <w:t>.4 形式评审环节</w:t>
      </w:r>
    </w:p>
    <w:p w14:paraId="2C7B2348">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投标人有下列情形之一的，评标委员会应否决其投标。被否决的投标人，不进入响应性评审环节。</w:t>
      </w:r>
    </w:p>
    <w:p w14:paraId="297A7F1D">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（1）各分册没按招标文件规定加盖电子印章；</w:t>
      </w:r>
    </w:p>
    <w:p w14:paraId="038CFE46">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（2）本章规定的“所有投标人均应提供”的组成内容（包括该组成内容的所附资料）中，任何一项有缺漏的；</w:t>
      </w:r>
    </w:p>
    <w:p w14:paraId="5B57378B">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关键字迹模糊、无法辨认，且该种过错将导致评标委员会无法判断投标文件是否响应招标文件实质性要求的；有涂改、行间插字或删除，但未加盖单位章或由投标人的法定代表人或其委托代理人签字确认的；</w:t>
      </w:r>
    </w:p>
    <w:p w14:paraId="32708143">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（4）投标文件未按规定签字、盖章的。</w:t>
      </w:r>
    </w:p>
    <w:p w14:paraId="394E66B4">
      <w:pPr>
        <w:keepNext w:val="0"/>
        <w:keepLines w:val="0"/>
        <w:pageBreakBefore w:val="0"/>
        <w:shd w:val="clear" w:color="auto" w:fill="auto"/>
        <w:kinsoku/>
        <w:wordWrap/>
        <w:overflowPunct/>
        <w:topLinePunct w:val="0"/>
        <w:bidi w:val="0"/>
        <w:adjustRightInd/>
        <w:snapToGrid/>
        <w:spacing w:line="340" w:lineRule="exact"/>
        <w:ind w:left="0" w:leftChars="0" w:firstLine="482" w:firstLineChars="200"/>
        <w:jc w:val="both"/>
        <w:textAlignment w:val="auto"/>
        <w:outlineLvl w:val="9"/>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8.5 响应性评审环节</w:t>
      </w:r>
    </w:p>
    <w:p w14:paraId="1B431B8A">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投标人有下列情形之一的，评标委员会应否决其投标。被否决的投标人，不进入详细评审阶段。</w:t>
      </w:r>
    </w:p>
    <w:p w14:paraId="37B01476">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（1）承诺的投标有效期短于规定的；质量标准低于规定的；工期超出规定的；擅自修改、遗漏《投标函》《各项承诺一览表》实质性内容的；</w:t>
      </w:r>
    </w:p>
    <w:p w14:paraId="1233045E">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（2）编制《投标总价》的造价工程师，其注册证书不是住建部门颁发的；其注册单位与投标人（或造价咨询人）不一致的；其注册证书不在有效期内的。</w:t>
      </w:r>
    </w:p>
    <w:p w14:paraId="360FEC6A">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注：投标人（或造价咨询人）已经工商变更，但其员工的执业资格注册证书的注册单位名称未完成变更的，不得否决其投标。</w:t>
      </w:r>
    </w:p>
    <w:p w14:paraId="51BB157B">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（3）投标人委托造价咨询单位编制《投标总价》，但未在《投标总价扉页》（即扉—3）“投标人”栏目加盖造价咨询人公章的；未提供造价咨询人的营业执照扫描件的；</w:t>
      </w:r>
    </w:p>
    <w:p w14:paraId="25E641E2">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（4）出现两个或两个以上投标总价的（同一个投标总价大、小写不一致的除外）；投标总价超出</w:t>
      </w:r>
      <w:r>
        <w:rPr>
          <w:rFonts w:hint="eastAsia" w:ascii="宋体" w:hAnsi="宋体" w:eastAsia="宋体" w:cs="宋体"/>
          <w:color w:val="auto"/>
          <w:sz w:val="24"/>
          <w:highlight w:val="none"/>
          <w:lang w:val="en-US" w:eastAsia="zh-CN"/>
        </w:rPr>
        <w:t>最高投标限价</w:t>
      </w:r>
      <w:r>
        <w:rPr>
          <w:rFonts w:hint="eastAsia" w:ascii="宋体" w:hAnsi="宋体" w:eastAsia="宋体" w:cs="宋体"/>
          <w:color w:val="auto"/>
          <w:sz w:val="24"/>
          <w:highlight w:val="none"/>
        </w:rPr>
        <w:t>的；安全生产措施费少于规定的；暂列金额、暂估价未按照招标工程量清单统一报价的；擅自修改、增减招标工程量清单项目（包括措施项目）的；投标人的投标报价低于招标项目的成本警示价但未提供成本分析资料等报价依据</w:t>
      </w:r>
      <w:r>
        <w:rPr>
          <w:rFonts w:hint="eastAsia" w:ascii="宋体" w:hAnsi="宋体" w:eastAsia="宋体" w:cs="宋体"/>
          <w:color w:val="auto"/>
          <w:sz w:val="24"/>
          <w:highlight w:val="none"/>
          <w:lang w:eastAsia="zh-CN"/>
        </w:rPr>
        <w:t>；</w:t>
      </w:r>
    </w:p>
    <w:p w14:paraId="47DCCCAB">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注：成本警示价＝最高投标限价×85%。如果某投标人的投标报价低于招标项目的成本警示价，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6ED9E174">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（5）在施工组织设计评审中，评标委员会认定质量、进度保障措施与国家和省市现行有关规范、规定、标准有重大偏差，且该种过错将导致工程质量、进度管理目标无法实现的。</w:t>
      </w:r>
    </w:p>
    <w:p w14:paraId="342A367C">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color w:val="auto"/>
          <w:sz w:val="24"/>
          <w:highlight w:val="none"/>
        </w:rPr>
      </w:pPr>
      <w:r>
        <w:rPr>
          <w:rFonts w:hint="eastAsia" w:ascii="宋体" w:hAnsi="宋体" w:eastAsia="宋体" w:cs="宋体"/>
          <w:b/>
          <w:color w:val="auto"/>
          <w:sz w:val="24"/>
          <w:szCs w:val="24"/>
          <w:highlight w:val="none"/>
          <w:lang w:val="en-US" w:eastAsia="zh-CN"/>
        </w:rPr>
        <w:t>8</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 xml:space="preserve">6 </w:t>
      </w:r>
      <w:r>
        <w:rPr>
          <w:rFonts w:hint="eastAsia" w:ascii="宋体" w:hAnsi="宋体" w:eastAsia="宋体" w:cs="宋体"/>
          <w:b/>
          <w:color w:val="auto"/>
          <w:sz w:val="24"/>
          <w:highlight w:val="none"/>
        </w:rPr>
        <w:t>串通投标和以其他方式弄虚作假行为的认定</w:t>
      </w:r>
    </w:p>
    <w:p w14:paraId="4809BB2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.1下列情形之一的，属于投标人相互串通投标：</w:t>
      </w:r>
    </w:p>
    <w:p w14:paraId="3E8648DA">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（1）投标人之间协商投标报价等投标文件的实质性内容；</w:t>
      </w:r>
    </w:p>
    <w:p w14:paraId="68F79027">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（2）投标人之间约定中标人；</w:t>
      </w:r>
    </w:p>
    <w:p w14:paraId="7C3EFBD1">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（3）投标人之间约定部分投标人放弃投标或者中标；</w:t>
      </w:r>
    </w:p>
    <w:p w14:paraId="22834B9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（4）属于同一集团、协会、商会等组织成员的投标人按照该组织要求协同投标；</w:t>
      </w:r>
    </w:p>
    <w:p w14:paraId="18746CB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（5）投标人之间为谋取中标或者排斥特定投标人而采取的其他联合行动。</w:t>
      </w:r>
    </w:p>
    <w:p w14:paraId="2F0754C8">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.2有下列情形之一的，视为投标人相互串通投标：</w:t>
      </w:r>
    </w:p>
    <w:p w14:paraId="1B5614F1">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（1）不同投标人的投标文件由同一单位或者个人编制；</w:t>
      </w:r>
    </w:p>
    <w:p w14:paraId="32827A0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（2）不同投标人委托同一单位或者个人办理投标事宜；</w:t>
      </w:r>
    </w:p>
    <w:p w14:paraId="6BAFAAF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）不同投标人的投标文件载明的项目管理成员为同一人；</w:t>
      </w:r>
    </w:p>
    <w:p w14:paraId="3C6050BC">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（4）不同投标人的投标文件异常一致或者投标报价呈规律性差异；</w:t>
      </w:r>
    </w:p>
    <w:p w14:paraId="1A300F9C">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（5）不同投标人的投标文件相互混装；</w:t>
      </w:r>
    </w:p>
    <w:p w14:paraId="62A0B64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（6）不同投标人的投标保证金从同一单位或者个人的账户转出</w:t>
      </w:r>
      <w:r>
        <w:rPr>
          <w:rFonts w:hint="eastAsia" w:ascii="宋体" w:hAnsi="宋体" w:eastAsia="宋体" w:cs="宋体"/>
          <w:color w:val="auto"/>
          <w:sz w:val="24"/>
          <w:highlight w:val="none"/>
          <w:lang w:eastAsia="zh-CN"/>
        </w:rPr>
        <w:t>；</w:t>
      </w:r>
    </w:p>
    <w:p w14:paraId="02CB0C2F">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（7）监督部门于韶关市公共交易一体化平台发现系统提示风险预警，如提示投标单位上传投标文件使用的电脑IP地址一致等</w:t>
      </w:r>
      <w:r>
        <w:rPr>
          <w:rFonts w:hint="eastAsia" w:ascii="宋体" w:hAnsi="宋体" w:eastAsia="宋体" w:cs="宋体"/>
          <w:color w:val="auto"/>
          <w:sz w:val="24"/>
          <w:highlight w:val="none"/>
        </w:rPr>
        <w:t>。</w:t>
      </w:r>
    </w:p>
    <w:p w14:paraId="273AFB6A">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.3有下列情形之一的，属于招标人与投标人串通投标：</w:t>
      </w:r>
    </w:p>
    <w:p w14:paraId="4672568C">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（1）招标人在开标前开启投标文件并将有关信息泄露给其他投标人；</w:t>
      </w:r>
    </w:p>
    <w:p w14:paraId="0F0E951E">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（2）招标人直接或者间接向投标人泄露标底、评标委员会成员等信息；</w:t>
      </w:r>
    </w:p>
    <w:p w14:paraId="1259C63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（3）招标人明示或者暗示投标人压低或者抬高投标报价；</w:t>
      </w:r>
    </w:p>
    <w:p w14:paraId="210141D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（4）招标人授意投标人撤换、修改投标文件；</w:t>
      </w:r>
    </w:p>
    <w:p w14:paraId="321BB858">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（5）招标人明示或者暗示投标人为特定投标人中标提供方便；</w:t>
      </w:r>
    </w:p>
    <w:p w14:paraId="444D308A">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（6）招标人与投标人为谋求特定投标人中标而采取的其他串通行为。</w:t>
      </w:r>
    </w:p>
    <w:p w14:paraId="5566501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.4有下列情形之一的，属于投标人以其他方式弄虚作假：</w:t>
      </w:r>
    </w:p>
    <w:p w14:paraId="10AF73A8">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（1）使用伪造、变造的许可证件；</w:t>
      </w:r>
    </w:p>
    <w:p w14:paraId="75B2B01E">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（2）提供虚假的财务状况或者业绩；</w:t>
      </w:r>
    </w:p>
    <w:p w14:paraId="130A165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（3）提供虚假的项目负责人或者主要技术人员简历、劳动关系证明；</w:t>
      </w:r>
    </w:p>
    <w:p w14:paraId="71D730DB">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（4）提供虚假的信用状况；</w:t>
      </w:r>
    </w:p>
    <w:p w14:paraId="0B25A73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（5）其他弄虚作假的行为。</w:t>
      </w:r>
    </w:p>
    <w:p w14:paraId="69C3CA51">
      <w:pPr>
        <w:pStyle w:val="4"/>
        <w:keepNext/>
        <w:keepLines/>
        <w:pageBreakBefore w:val="0"/>
        <w:widowControl/>
        <w:kinsoku/>
        <w:wordWrap/>
        <w:overflowPunct/>
        <w:topLinePunct w:val="0"/>
        <w:autoSpaceDE/>
        <w:autoSpaceDN/>
        <w:bidi w:val="0"/>
        <w:adjustRightInd/>
        <w:snapToGrid/>
        <w:spacing w:before="240" w:beforeAutospacing="0" w:after="120" w:afterAutospacing="0" w:line="360" w:lineRule="auto"/>
        <w:ind w:firstLine="420"/>
        <w:jc w:val="center"/>
        <w:textAlignment w:val="auto"/>
        <w:outlineLvl w:val="2"/>
        <w:rPr>
          <w:rFonts w:hint="eastAsia" w:ascii="宋体" w:hAnsi="宋体" w:eastAsia="宋体" w:cs="宋体"/>
          <w:b/>
          <w:bCs/>
          <w:color w:val="auto"/>
          <w:sz w:val="24"/>
          <w:highlight w:val="none"/>
        </w:rPr>
      </w:pPr>
      <w:bookmarkStart w:id="10" w:name="_Toc4062"/>
      <w:r>
        <w:rPr>
          <w:rFonts w:hint="eastAsia" w:ascii="宋体" w:hAnsi="宋体" w:eastAsia="宋体" w:cs="宋体"/>
          <w:b/>
          <w:bCs/>
          <w:color w:val="auto"/>
          <w:kern w:val="0"/>
          <w:sz w:val="28"/>
          <w:szCs w:val="28"/>
          <w:highlight w:val="none"/>
        </w:rPr>
        <w:t>（</w:t>
      </w:r>
      <w:r>
        <w:rPr>
          <w:rFonts w:hint="eastAsia" w:ascii="宋体" w:hAnsi="宋体" w:eastAsia="宋体" w:cs="宋体"/>
          <w:b/>
          <w:bCs/>
          <w:color w:val="auto"/>
          <w:kern w:val="0"/>
          <w:sz w:val="28"/>
          <w:szCs w:val="28"/>
          <w:highlight w:val="none"/>
          <w:lang w:eastAsia="zh-CN"/>
        </w:rPr>
        <w:t>三</w:t>
      </w:r>
      <w:r>
        <w:rPr>
          <w:rFonts w:hint="eastAsia" w:ascii="宋体" w:hAnsi="宋体" w:eastAsia="宋体" w:cs="宋体"/>
          <w:b/>
          <w:bCs/>
          <w:color w:val="auto"/>
          <w:kern w:val="0"/>
          <w:sz w:val="28"/>
          <w:szCs w:val="28"/>
          <w:highlight w:val="none"/>
        </w:rPr>
        <w:t>）招标文件</w:t>
      </w:r>
      <w:bookmarkEnd w:id="10"/>
    </w:p>
    <w:p w14:paraId="4B321C2D">
      <w:pPr>
        <w:keepNext w:val="0"/>
        <w:keepLines w:val="0"/>
        <w:pageBreakBefore w:val="0"/>
        <w:kinsoku/>
        <w:wordWrap/>
        <w:overflowPunct/>
        <w:topLinePunct w:val="0"/>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9</w:t>
      </w:r>
      <w:r>
        <w:rPr>
          <w:rFonts w:hint="eastAsia" w:ascii="宋体" w:hAnsi="宋体" w:eastAsia="宋体" w:cs="宋体"/>
          <w:b/>
          <w:bCs/>
          <w:color w:val="auto"/>
          <w:sz w:val="24"/>
          <w:highlight w:val="none"/>
        </w:rPr>
        <w:t>.招标文件</w:t>
      </w:r>
    </w:p>
    <w:p w14:paraId="33A7B806">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.1 招标文件包括下列内容：</w:t>
      </w:r>
    </w:p>
    <w:p w14:paraId="4CD95529">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第一章  招标公告</w:t>
      </w:r>
    </w:p>
    <w:p w14:paraId="25608706">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第二章  投标人须知</w:t>
      </w:r>
    </w:p>
    <w:p w14:paraId="3875EA05">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第三章  评标定标办法</w:t>
      </w:r>
    </w:p>
    <w:p w14:paraId="1B75CDCD">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第四章  投标文件格式</w:t>
      </w:r>
    </w:p>
    <w:p w14:paraId="5CDDB7AD">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第五章  合同文件格式</w:t>
      </w:r>
    </w:p>
    <w:p w14:paraId="6F22C290">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第六章  施工图纸</w:t>
      </w:r>
    </w:p>
    <w:p w14:paraId="6B424685">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第七章  工程量清单</w:t>
      </w:r>
    </w:p>
    <w:p w14:paraId="280DEE05">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第八章  </w:t>
      </w:r>
      <w:r>
        <w:rPr>
          <w:rFonts w:hint="eastAsia" w:ascii="宋体" w:hAnsi="宋体" w:eastAsia="宋体" w:cs="宋体"/>
          <w:color w:val="auto"/>
          <w:sz w:val="24"/>
          <w:szCs w:val="24"/>
          <w:highlight w:val="none"/>
          <w:lang w:val="en-US" w:eastAsia="zh-CN"/>
        </w:rPr>
        <w:t>最高投标限价</w:t>
      </w:r>
    </w:p>
    <w:p w14:paraId="2BF04440">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.2 除</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.1款内容外，招标人按规定在网上发出对本招标文件的澄清、修改、补充和答疑内容，构成招标文件的组成部分，对招标人和投标人起约束作用。</w:t>
      </w:r>
    </w:p>
    <w:p w14:paraId="17161325">
      <w:pPr>
        <w:keepNext w:val="0"/>
        <w:keepLines w:val="0"/>
        <w:pageBreakBefore w:val="0"/>
        <w:kinsoku/>
        <w:wordWrap/>
        <w:overflowPunct/>
        <w:topLinePunct w:val="0"/>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10</w:t>
      </w:r>
      <w:r>
        <w:rPr>
          <w:rFonts w:hint="eastAsia" w:ascii="宋体" w:hAnsi="宋体" w:eastAsia="宋体" w:cs="宋体"/>
          <w:b/>
          <w:bCs/>
          <w:color w:val="auto"/>
          <w:sz w:val="24"/>
          <w:highlight w:val="none"/>
        </w:rPr>
        <w:t>.招标文件发布、获取、修改或澄清</w:t>
      </w:r>
    </w:p>
    <w:p w14:paraId="06AFC212">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.1招标人应按照招标公告、招标文件示范文本，并结合招标</w:t>
      </w:r>
      <w:r>
        <w:rPr>
          <w:rFonts w:hint="eastAsia" w:ascii="宋体" w:hAnsi="宋体" w:eastAsia="宋体" w:cs="宋体"/>
          <w:color w:val="auto"/>
          <w:sz w:val="24"/>
          <w:highlight w:val="none"/>
          <w:lang w:eastAsia="zh-CN"/>
        </w:rPr>
        <w:t>项目</w:t>
      </w:r>
      <w:r>
        <w:rPr>
          <w:rFonts w:hint="eastAsia" w:ascii="宋体" w:hAnsi="宋体" w:eastAsia="宋体" w:cs="宋体"/>
          <w:color w:val="auto"/>
          <w:sz w:val="24"/>
          <w:highlight w:val="none"/>
        </w:rPr>
        <w:t>实际编制招标公告和招标文件，经招标管理部门招标备案后方可发布。</w:t>
      </w:r>
    </w:p>
    <w:p w14:paraId="4B2F2BD8">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10</w:t>
      </w:r>
      <w:r>
        <w:rPr>
          <w:rFonts w:hint="eastAsia" w:ascii="宋体" w:hAnsi="宋体" w:eastAsia="宋体" w:cs="宋体"/>
          <w:b w:val="0"/>
          <w:bCs w:val="0"/>
          <w:color w:val="auto"/>
          <w:sz w:val="24"/>
          <w:highlight w:val="none"/>
        </w:rPr>
        <w:t>.2 招标公告应按规定在</w:t>
      </w:r>
      <w:r>
        <w:rPr>
          <w:rFonts w:hint="eastAsia" w:ascii="宋体" w:hAnsi="宋体" w:eastAsia="宋体" w:cs="宋体"/>
          <w:b/>
          <w:bCs/>
          <w:snapToGrid w:val="0"/>
          <w:color w:val="auto"/>
          <w:kern w:val="0"/>
          <w:sz w:val="24"/>
          <w:szCs w:val="24"/>
          <w:highlight w:val="none"/>
          <w:lang w:eastAsia="zh-CN"/>
        </w:rPr>
        <w:t>全国公共资源交易平台（广东省·韶关市）</w:t>
      </w:r>
      <w:r>
        <w:rPr>
          <w:rFonts w:hint="eastAsia" w:ascii="宋体" w:hAnsi="宋体" w:eastAsia="宋体" w:cs="宋体"/>
          <w:b w:val="0"/>
          <w:bCs w:val="0"/>
          <w:color w:val="auto"/>
          <w:sz w:val="24"/>
          <w:szCs w:val="24"/>
          <w:highlight w:val="none"/>
          <w:lang w:eastAsia="zh-CN"/>
        </w:rPr>
        <w:t>和</w:t>
      </w:r>
      <w:r>
        <w:rPr>
          <w:rFonts w:hint="eastAsia" w:ascii="宋体" w:hAnsi="宋体" w:eastAsia="宋体" w:cs="宋体"/>
          <w:b w:val="0"/>
          <w:bCs w:val="0"/>
          <w:color w:val="auto"/>
          <w:sz w:val="24"/>
          <w:szCs w:val="24"/>
          <w:highlight w:val="none"/>
        </w:rPr>
        <w:t>广东省招标投标监管网上同时发布，其中招标文件（含图纸、工程量清单、</w:t>
      </w:r>
      <w:r>
        <w:rPr>
          <w:rFonts w:hint="eastAsia" w:ascii="宋体" w:hAnsi="宋体" w:eastAsia="宋体" w:cs="宋体"/>
          <w:color w:val="auto"/>
          <w:sz w:val="24"/>
          <w:szCs w:val="24"/>
          <w:highlight w:val="none"/>
          <w:lang w:val="en-US" w:eastAsia="zh-CN"/>
        </w:rPr>
        <w:t>最高投标限价</w:t>
      </w:r>
      <w:r>
        <w:rPr>
          <w:rFonts w:hint="eastAsia" w:ascii="宋体" w:hAnsi="宋体" w:eastAsia="宋体" w:cs="宋体"/>
          <w:b w:val="0"/>
          <w:bCs w:val="0"/>
          <w:color w:val="auto"/>
          <w:sz w:val="24"/>
          <w:szCs w:val="24"/>
          <w:highlight w:val="none"/>
        </w:rPr>
        <w:t>等）及相关资料须一</w:t>
      </w:r>
      <w:r>
        <w:rPr>
          <w:rFonts w:hint="eastAsia" w:ascii="宋体" w:hAnsi="宋体" w:eastAsia="宋体" w:cs="宋体"/>
          <w:b w:val="0"/>
          <w:bCs w:val="0"/>
          <w:color w:val="auto"/>
          <w:sz w:val="24"/>
          <w:szCs w:val="24"/>
          <w:highlight w:val="none"/>
          <w:lang w:eastAsia="zh-CN"/>
        </w:rPr>
        <w:t>并</w:t>
      </w:r>
      <w:r>
        <w:rPr>
          <w:rFonts w:hint="eastAsia" w:ascii="宋体" w:hAnsi="宋体" w:eastAsia="宋体" w:cs="宋体"/>
          <w:b w:val="0"/>
          <w:bCs w:val="0"/>
          <w:color w:val="auto"/>
          <w:sz w:val="24"/>
          <w:szCs w:val="24"/>
          <w:highlight w:val="none"/>
        </w:rPr>
        <w:t>在</w:t>
      </w:r>
      <w:r>
        <w:rPr>
          <w:rFonts w:hint="eastAsia" w:ascii="宋体" w:hAnsi="宋体" w:eastAsia="宋体" w:cs="宋体"/>
          <w:b/>
          <w:bCs/>
          <w:color w:val="auto"/>
          <w:sz w:val="24"/>
          <w:szCs w:val="24"/>
          <w:highlight w:val="none"/>
          <w:lang w:val="en-US" w:eastAsia="zh-CN"/>
        </w:rPr>
        <w:t>全国公共资源交易平台（广东省·韶关市）</w:t>
      </w:r>
      <w:r>
        <w:rPr>
          <w:rFonts w:hint="eastAsia" w:ascii="宋体" w:hAnsi="宋体" w:eastAsia="宋体" w:cs="宋体"/>
          <w:b w:val="0"/>
          <w:bCs w:val="0"/>
          <w:color w:val="auto"/>
          <w:sz w:val="24"/>
          <w:szCs w:val="24"/>
          <w:highlight w:val="none"/>
          <w:lang w:eastAsia="zh-CN"/>
        </w:rPr>
        <w:t>交易系统</w:t>
      </w:r>
      <w:r>
        <w:rPr>
          <w:rFonts w:hint="eastAsia" w:ascii="宋体" w:hAnsi="宋体" w:eastAsia="宋体" w:cs="宋体"/>
          <w:b w:val="0"/>
          <w:bCs w:val="0"/>
          <w:color w:val="auto"/>
          <w:sz w:val="24"/>
          <w:szCs w:val="24"/>
          <w:highlight w:val="none"/>
        </w:rPr>
        <w:t>上发布。招标公告及招标文件发布之日起至截标时间止，最短不得少于20日。投标人应自行在</w:t>
      </w:r>
      <w:r>
        <w:rPr>
          <w:rFonts w:hint="eastAsia" w:ascii="宋体" w:hAnsi="宋体" w:eastAsia="宋体" w:cs="宋体"/>
          <w:b/>
          <w:bCs/>
          <w:color w:val="auto"/>
          <w:sz w:val="24"/>
          <w:szCs w:val="24"/>
          <w:highlight w:val="none"/>
        </w:rPr>
        <w:t>全国公共资源交易平台（广东省·韶关市）</w:t>
      </w:r>
      <w:r>
        <w:rPr>
          <w:rFonts w:hint="eastAsia" w:ascii="宋体" w:hAnsi="宋体" w:eastAsia="宋体" w:cs="宋体"/>
          <w:b w:val="0"/>
          <w:bCs w:val="0"/>
          <w:color w:val="auto"/>
          <w:sz w:val="24"/>
          <w:highlight w:val="none"/>
        </w:rPr>
        <w:t>下载招标文件（含图纸、工程量清单、</w:t>
      </w:r>
      <w:r>
        <w:rPr>
          <w:rFonts w:hint="eastAsia" w:ascii="宋体" w:hAnsi="宋体" w:eastAsia="宋体" w:cs="宋体"/>
          <w:color w:val="auto"/>
          <w:sz w:val="24"/>
          <w:szCs w:val="24"/>
          <w:highlight w:val="none"/>
          <w:lang w:val="en-US" w:eastAsia="zh-CN"/>
        </w:rPr>
        <w:t>最高投标限价</w:t>
      </w:r>
      <w:r>
        <w:rPr>
          <w:rFonts w:hint="eastAsia" w:ascii="宋体" w:hAnsi="宋体" w:eastAsia="宋体" w:cs="宋体"/>
          <w:b w:val="0"/>
          <w:bCs w:val="0"/>
          <w:color w:val="auto"/>
          <w:sz w:val="24"/>
          <w:highlight w:val="none"/>
        </w:rPr>
        <w:t>等）及相关资料。</w:t>
      </w:r>
    </w:p>
    <w:p w14:paraId="356F6D43">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10.2.1</w:t>
      </w:r>
      <w:r>
        <w:rPr>
          <w:rFonts w:hint="eastAsia" w:ascii="宋体" w:hAnsi="宋体" w:eastAsia="宋体" w:cs="宋体"/>
          <w:b w:val="0"/>
          <w:bCs w:val="0"/>
          <w:color w:val="auto"/>
          <w:sz w:val="24"/>
          <w:highlight w:val="none"/>
        </w:rPr>
        <w:t>请于招标文件获取期间（见本章第二节“重要事项时间地点一览表”招标文件获取期间与招标公告发布时间一致），投标人须登录全国公共资源交易平台（广东省·韶关市）（https://ygp.gdzwfw.gov.cn/ggzy-portal/#/440200/index），使用新建设工程交易系统进行下载招标文件及相关附件，并于电子投标截止时间（见本章第二节“重要事项时间地点一览表”）前完成电子投标。投标人可登录全国公共资源交易平台（广东省·韶关市），在【交易指引】栏目中建设工程交易中下载《全国公共资源交易平台（广东省·韶关市）整合建设项目建设工程交易（投标人）用户手册》（附件2），了解网上获取招标文件操作流程。技术咨询电话：18819797080/0751-8379671 伍先生，业务咨询电话：0751-8633211。</w:t>
      </w:r>
    </w:p>
    <w:p w14:paraId="54DEF66A">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10.2.2 只有申领了数字证书（CA）、“粤企签”或GDCA/SZCA/NETCA等符合法律法规规定的电子印章，并在交易系统中完成企业信息数据入库的投标人，方可使用建设工程交易系统进行招标文件及附件获取和电子投标。</w:t>
      </w:r>
    </w:p>
    <w:p w14:paraId="094DC056">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首次在韶关市参与建设工程招标投标活动的投标人，必须在平台系统上传企业相关资料办理企业入库事宜。投标人可登录全国公共资源交易平台（广东省·韶关市）（https://ygp.gdzwfw.gov.cn/ggzy-portal/#/440200/index）</w:t>
      </w:r>
      <w:r>
        <w:rPr>
          <w:rFonts w:hint="eastAsia" w:ascii="宋体" w:hAnsi="宋体" w:cs="宋体"/>
          <w:b w:val="0"/>
          <w:bCs w:val="0"/>
          <w:color w:val="auto"/>
          <w:sz w:val="24"/>
          <w:highlight w:val="none"/>
          <w:lang w:val="en-US" w:eastAsia="zh-CN"/>
        </w:rPr>
        <w:t>办理</w:t>
      </w:r>
      <w:r>
        <w:rPr>
          <w:rFonts w:hint="eastAsia" w:ascii="宋体" w:hAnsi="宋体" w:eastAsia="宋体" w:cs="宋体"/>
          <w:b w:val="0"/>
          <w:bCs w:val="0"/>
          <w:color w:val="auto"/>
          <w:sz w:val="24"/>
          <w:highlight w:val="none"/>
          <w:lang w:val="en-US" w:eastAsia="zh-CN"/>
        </w:rPr>
        <w:t>企业入库、数字证书及电子印章事宜，具体请在平台查阅相应的交易指引。</w:t>
      </w:r>
    </w:p>
    <w:p w14:paraId="410272E5">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已入库企业有关信息（如单位名称、基本账号、资质、人员等）发生变化的，须及时在交易系统进行相应变更。投标人未及时变更信息而造成的损失和后果，由投标人自行承担。</w:t>
      </w:r>
    </w:p>
    <w:p w14:paraId="65893364">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eastAsia="zh-CN"/>
        </w:rPr>
      </w:pPr>
      <w:r>
        <w:rPr>
          <w:rFonts w:hint="eastAsia" w:ascii="宋体" w:hAnsi="宋体" w:eastAsia="宋体" w:cs="宋体"/>
          <w:b w:val="0"/>
          <w:bCs w:val="0"/>
          <w:color w:val="auto"/>
          <w:sz w:val="24"/>
          <w:highlight w:val="none"/>
          <w:lang w:val="en-US" w:eastAsia="zh-CN"/>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r>
        <w:rPr>
          <w:rFonts w:hint="eastAsia" w:ascii="宋体" w:hAnsi="宋体" w:eastAsia="宋体" w:cs="宋体"/>
          <w:b w:val="0"/>
          <w:bCs w:val="0"/>
          <w:color w:val="auto"/>
          <w:sz w:val="24"/>
          <w:highlight w:val="none"/>
        </w:rPr>
        <w:t xml:space="preserve"> </w:t>
      </w:r>
    </w:p>
    <w:p w14:paraId="3E91B1E0">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招标文件在网上发布后，招标人发现招标文件有遗漏或不够完善的，可以对已发布招标文件在网上发布后，招标人发现招标文件有遗漏或不够完善的，可以对已发布的招标文件进行必要的澄清、修改或补充，其澄清、修改或补充内容应当形成补遗文件报招标管理部门备案后以书面形式在网上公布。澄清、修改或补充招标文件的时间距投标截止时间不足15日的，并且其澄清、修改或补充内容影响投标文件编制的，招标人应相应顺延截标时间。补遗文件作为招标文件的补充，是招标文件的组成部分。</w:t>
      </w:r>
    </w:p>
    <w:p w14:paraId="6430042A">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10.4当招标文件、招标文件的澄清、修改或补充等在同一内容的表述上不一致时，以网上最后发出的书面文件为准。</w:t>
      </w:r>
    </w:p>
    <w:p w14:paraId="2BEFC49F">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10.5 招标文件的澄清、修改或补充内容作为招标文件的组成部分，具有约束作用。投标人应从网上下载招标人对招标文件的澄清、修改或补充内容，招标人不再另行通知。投标人因自身原因未能获取澄清、修改或补充资料所造成的后果，由投标人自行承担。</w:t>
      </w:r>
    </w:p>
    <w:p w14:paraId="14F47909">
      <w:pPr>
        <w:keepNext w:val="0"/>
        <w:keepLines w:val="0"/>
        <w:pageBreakBefore w:val="0"/>
        <w:shd w:val="clear" w:color="auto" w:fill="auto"/>
        <w:kinsoku/>
        <w:wordWrap/>
        <w:overflowPunct/>
        <w:topLinePunct w:val="0"/>
        <w:bidi w:val="0"/>
        <w:adjustRightInd/>
        <w:snapToGrid/>
        <w:spacing w:line="340" w:lineRule="exact"/>
        <w:ind w:left="0" w:leftChars="0" w:firstLine="482" w:firstLineChars="200"/>
        <w:jc w:val="both"/>
        <w:textAlignment w:val="auto"/>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lang w:val="en-US" w:eastAsia="zh-CN"/>
        </w:rPr>
        <w:t>1</w:t>
      </w:r>
      <w:r>
        <w:rPr>
          <w:rFonts w:hint="eastAsia" w:ascii="宋体" w:hAnsi="宋体" w:eastAsia="宋体" w:cs="宋体"/>
          <w:b/>
          <w:bCs/>
          <w:color w:val="auto"/>
          <w:sz w:val="24"/>
          <w:highlight w:val="none"/>
        </w:rPr>
        <w:t>.招标文件</w:t>
      </w:r>
      <w:r>
        <w:rPr>
          <w:rFonts w:hint="eastAsia" w:ascii="宋体" w:hAnsi="宋体" w:eastAsia="宋体" w:cs="宋体"/>
          <w:b/>
          <w:bCs/>
          <w:color w:val="auto"/>
          <w:sz w:val="24"/>
          <w:highlight w:val="none"/>
          <w:lang w:val="en-US" w:eastAsia="zh-CN"/>
        </w:rPr>
        <w:t>提问</w:t>
      </w:r>
      <w:r>
        <w:rPr>
          <w:rFonts w:hint="eastAsia" w:ascii="宋体" w:hAnsi="宋体" w:eastAsia="宋体" w:cs="宋体"/>
          <w:b/>
          <w:bCs/>
          <w:color w:val="auto"/>
          <w:sz w:val="24"/>
          <w:highlight w:val="none"/>
        </w:rPr>
        <w:t>和答疑</w:t>
      </w:r>
    </w:p>
    <w:p w14:paraId="774F68BD">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.1 投标人在网上获取招标文件后，应该详细检查招标文件的所有内容，同时审阅招标文件中的所有事项、格式、条款和规范要求等，如发现招标文件缺损、错漏或对招标文件有任何疑问，应在提问截止时间（见本章第二节“重要事项时间地点一览表”）前使用建设工程交易系统提出问题且不得有任何可识别投标人及其人员的标识。未在指定时间前、未采用指定方式提出的，招标人不予受理。</w:t>
      </w:r>
    </w:p>
    <w:p w14:paraId="74D36036">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.2 对于投标人的任何有关招标文件的网上疑问，招标人在提问截止时间（见本章第二节“重要事项时间地点一览表”）后3日内，一次性对收到的所有问题作出答复，并形成答疑（或修改）公告在发布招标公告的媒介上公开发布。答疑（或修改）公告一旦发布，即</w:t>
      </w:r>
      <w:r>
        <w:rPr>
          <w:rFonts w:hint="eastAsia" w:ascii="宋体" w:hAnsi="宋体" w:cs="宋体"/>
          <w:color w:val="auto"/>
          <w:sz w:val="24"/>
          <w:highlight w:val="none"/>
          <w:lang w:eastAsia="zh-CN"/>
        </w:rPr>
        <w:t>视为</w:t>
      </w:r>
      <w:r>
        <w:rPr>
          <w:rFonts w:hint="eastAsia" w:ascii="宋体" w:hAnsi="宋体" w:eastAsia="宋体" w:cs="宋体"/>
          <w:color w:val="auto"/>
          <w:sz w:val="24"/>
          <w:highlight w:val="none"/>
        </w:rPr>
        <w:t>所有潜在投标人已经知悉答疑（或修改）内容，投标人未及时关注而造成的损失和后果，由投标人自行承担。补遗文件作为招标文件的补充，是招标文件的组成部分。</w:t>
      </w:r>
    </w:p>
    <w:p w14:paraId="0D58E342">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.3 招标文件的答疑内容作为招标文件的组成部分，具有约束作用。投标人应从网上下载招标人对招标文件的答疑，招标人不再另行通知。投标人因自身原因未能获取答疑资料所造成的后果，由投标人自行承担。</w:t>
      </w:r>
    </w:p>
    <w:p w14:paraId="79CB4680">
      <w:pPr>
        <w:keepNext w:val="0"/>
        <w:keepLines w:val="0"/>
        <w:pageBreakBefore w:val="0"/>
        <w:shd w:val="clear" w:color="auto" w:fill="auto"/>
        <w:kinsoku/>
        <w:wordWrap/>
        <w:overflowPunct/>
        <w:topLinePunct w:val="0"/>
        <w:bidi w:val="0"/>
        <w:adjustRightInd/>
        <w:snapToGrid/>
        <w:spacing w:line="340" w:lineRule="exact"/>
        <w:ind w:left="0" w:leftChars="0" w:firstLine="482" w:firstLineChars="200"/>
        <w:jc w:val="both"/>
        <w:textAlignment w:val="auto"/>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lang w:val="en-US" w:eastAsia="zh-CN"/>
        </w:rPr>
        <w:t>2</w:t>
      </w:r>
      <w:r>
        <w:rPr>
          <w:rFonts w:hint="eastAsia" w:ascii="宋体" w:hAnsi="宋体" w:eastAsia="宋体" w:cs="宋体"/>
          <w:b/>
          <w:bCs/>
          <w:color w:val="auto"/>
          <w:sz w:val="24"/>
          <w:highlight w:val="none"/>
        </w:rPr>
        <w:t>.工程承包方式</w:t>
      </w:r>
    </w:p>
    <w:p w14:paraId="671FE58B">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.1 本招标工程合同承包方式</w:t>
      </w:r>
      <w:r>
        <w:rPr>
          <w:rFonts w:hint="eastAsia" w:ascii="宋体" w:hAnsi="宋体" w:eastAsia="宋体" w:cs="宋体"/>
          <w:color w:val="auto"/>
          <w:sz w:val="24"/>
          <w:szCs w:val="24"/>
          <w:highlight w:val="none"/>
        </w:rPr>
        <w:t>采用单价合同承包方式</w:t>
      </w:r>
      <w:r>
        <w:rPr>
          <w:rFonts w:hint="eastAsia" w:ascii="宋体" w:hAnsi="宋体" w:eastAsia="宋体" w:cs="宋体"/>
          <w:color w:val="auto"/>
          <w:sz w:val="24"/>
          <w:highlight w:val="none"/>
        </w:rPr>
        <w:t>。</w:t>
      </w:r>
    </w:p>
    <w:p w14:paraId="3083CA9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 工程所需材料全部由中标单位自行组织采购供应，但所有材料必须与投标文件材料相符，并符合设计和规范要求，经建设单位和监理单位同意后，方能投入使用。</w:t>
      </w:r>
    </w:p>
    <w:p w14:paraId="7F0BC356">
      <w:pPr>
        <w:keepNext w:val="0"/>
        <w:keepLines w:val="0"/>
        <w:pageBreakBefore w:val="0"/>
        <w:kinsoku/>
        <w:wordWrap/>
        <w:overflowPunct/>
        <w:topLinePunct w:val="0"/>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lang w:val="en-US" w:eastAsia="zh-CN"/>
        </w:rPr>
        <w:t>3</w:t>
      </w:r>
      <w:r>
        <w:rPr>
          <w:rFonts w:hint="eastAsia" w:ascii="宋体" w:hAnsi="宋体" w:eastAsia="宋体" w:cs="宋体"/>
          <w:b/>
          <w:bCs/>
          <w:color w:val="auto"/>
          <w:sz w:val="24"/>
          <w:highlight w:val="none"/>
        </w:rPr>
        <w:t>.工程质量、工期及有关要求</w:t>
      </w:r>
    </w:p>
    <w:p w14:paraId="0E09A10D">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.1 中标单位应按照投标人须知前附表要求的工程质量标准完成本工程施工任务。工程验收以国家现行的施工验收技术规范、工程质量验评标准、施工图纸、设计变更及技术说明书等设计、技术文件为依据。如施工质量不合格，中标单位须负责返工直至达到合格要求，所造成的损失和一切费用由中标单位负责。</w:t>
      </w:r>
    </w:p>
    <w:p w14:paraId="3187ED97">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鼓励中标单位采购节能环保产品。</w:t>
      </w:r>
    </w:p>
    <w:p w14:paraId="4B29BE05">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 xml:space="preserve"> 工期要求及</w:t>
      </w:r>
      <w:r>
        <w:rPr>
          <w:rFonts w:hint="eastAsia" w:ascii="宋体" w:hAnsi="宋体" w:eastAsia="宋体" w:cs="宋体"/>
          <w:color w:val="auto"/>
          <w:sz w:val="24"/>
          <w:highlight w:val="none"/>
          <w:lang w:eastAsia="zh-CN"/>
        </w:rPr>
        <w:t>其</w:t>
      </w:r>
      <w:r>
        <w:rPr>
          <w:rFonts w:hint="eastAsia" w:ascii="宋体" w:hAnsi="宋体" w:eastAsia="宋体" w:cs="宋体"/>
          <w:color w:val="auto"/>
          <w:sz w:val="24"/>
          <w:highlight w:val="none"/>
        </w:rPr>
        <w:t>规定</w:t>
      </w:r>
    </w:p>
    <w:p w14:paraId="20871AD3">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(1)中标单位应按照投标人须知前附表要求的日历天（含节假日、停水、停电、风雨天在内）内完成招标内容全部施工项目。开工及竣工日期以承包合同签订规定为准。</w:t>
      </w:r>
    </w:p>
    <w:p w14:paraId="35F0FD3D">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因建设单位原因或不可抗力的自然灾害造成施工工期延误的其工期可相应顺延，但必须经建设单位现场签证。</w:t>
      </w:r>
    </w:p>
    <w:p w14:paraId="3BC7BDFA">
      <w:pPr>
        <w:spacing w:line="4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lang w:val="en-US" w:eastAsia="zh-CN"/>
        </w:rPr>
        <w:t>4</w:t>
      </w:r>
      <w:r>
        <w:rPr>
          <w:rFonts w:hint="eastAsia" w:ascii="宋体" w:hAnsi="宋体" w:eastAsia="宋体" w:cs="宋体"/>
          <w:b/>
          <w:bCs/>
          <w:color w:val="auto"/>
          <w:sz w:val="24"/>
          <w:highlight w:val="none"/>
        </w:rPr>
        <w:t>.</w:t>
      </w:r>
      <w:r>
        <w:rPr>
          <w:rFonts w:hint="eastAsia" w:ascii="宋体" w:hAnsi="宋体" w:eastAsia="宋体" w:cs="宋体"/>
          <w:color w:val="auto"/>
          <w:sz w:val="24"/>
          <w:szCs w:val="24"/>
          <w:highlight w:val="none"/>
        </w:rPr>
        <w:t>本工程最高投标限价编制依据及说明</w:t>
      </w:r>
    </w:p>
    <w:p w14:paraId="13AD6794">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（1）《建设工程工程量清单计价标准》（GB/T50500—2024）</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以下简称</w:t>
      </w:r>
      <w:r>
        <w:rPr>
          <w:rFonts w:hint="eastAsia" w:ascii="宋体" w:hAnsi="宋体" w:eastAsia="宋体" w:cs="宋体"/>
          <w:b w:val="0"/>
          <w:bCs w:val="0"/>
          <w:color w:val="auto"/>
          <w:sz w:val="24"/>
          <w:highlight w:val="none"/>
          <w:lang w:val="en-US" w:eastAsia="zh-CN"/>
        </w:rPr>
        <w:t>《2024标准》</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w:t>
      </w:r>
    </w:p>
    <w:p w14:paraId="42897214">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广东省建设工程计价依据（2018）》和《关于调整〈广东省建设工程计价依据2018〉计价规则的通知》（粤标定函〔2025〕22号）。具体包括：《广东省房屋建筑与装饰工程综合定额（2018）》《广东省市政工程综合定额（2018）》《广东省通用安装工程综合定额（2018）》《广东省园林绿化工程综合定额（2018）》《广东省建设工程施工机具台班费用编制规则（2018）》等；</w:t>
      </w:r>
    </w:p>
    <w:p w14:paraId="5174C7B6">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（3）施工图及相关资料；</w:t>
      </w:r>
    </w:p>
    <w:p w14:paraId="14719424">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（4）招标文件及招标工程量清单；</w:t>
      </w:r>
    </w:p>
    <w:p w14:paraId="55013204">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（5）施工现场情况、工程特点及常规施工方案；</w:t>
      </w:r>
    </w:p>
    <w:p w14:paraId="0846211C">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（6）项目所在地工程造价管理机构发布的工程造价信息，工程造价信息缺项的，参照市场价格；</w:t>
      </w:r>
    </w:p>
    <w:p w14:paraId="3E58D9E8">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color w:val="auto"/>
          <w:sz w:val="24"/>
          <w:highlight w:val="none"/>
        </w:rPr>
        <w:t>（7）与建设项目相关的标准、规范、技术资料。</w:t>
      </w:r>
    </w:p>
    <w:p w14:paraId="0565CF24">
      <w:pPr>
        <w:pStyle w:val="4"/>
        <w:bidi w:val="0"/>
        <w:rPr>
          <w:rFonts w:hint="eastAsia" w:ascii="宋体" w:hAnsi="宋体" w:eastAsia="宋体" w:cs="宋体"/>
          <w:color w:val="auto"/>
        </w:rPr>
      </w:pPr>
      <w:bookmarkStart w:id="11" w:name="_Toc5230"/>
      <w:r>
        <w:rPr>
          <w:rFonts w:hint="eastAsia" w:ascii="宋体" w:hAnsi="宋体" w:eastAsia="宋体" w:cs="宋体"/>
          <w:color w:val="auto"/>
        </w:rPr>
        <w:t>（</w:t>
      </w:r>
      <w:r>
        <w:rPr>
          <w:rFonts w:hint="eastAsia" w:ascii="宋体" w:hAnsi="宋体" w:eastAsia="宋体" w:cs="宋体"/>
          <w:color w:val="auto"/>
          <w:lang w:eastAsia="zh-CN"/>
        </w:rPr>
        <w:t>四</w:t>
      </w:r>
      <w:r>
        <w:rPr>
          <w:rFonts w:hint="eastAsia" w:ascii="宋体" w:hAnsi="宋体" w:eastAsia="宋体" w:cs="宋体"/>
          <w:color w:val="auto"/>
        </w:rPr>
        <w:t>）投标文件</w:t>
      </w:r>
      <w:bookmarkEnd w:id="11"/>
    </w:p>
    <w:p w14:paraId="2AAECBE7">
      <w:pPr>
        <w:keepNext w:val="0"/>
        <w:keepLines w:val="0"/>
        <w:pageBreakBefore w:val="0"/>
        <w:kinsoku/>
        <w:wordWrap/>
        <w:overflowPunct/>
        <w:topLinePunct w:val="0"/>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lang w:val="en-US" w:eastAsia="zh-CN"/>
        </w:rPr>
        <w:t>5</w:t>
      </w:r>
      <w:r>
        <w:rPr>
          <w:rFonts w:hint="eastAsia" w:ascii="宋体" w:hAnsi="宋体" w:eastAsia="宋体" w:cs="宋体"/>
          <w:b/>
          <w:bCs/>
          <w:color w:val="auto"/>
          <w:sz w:val="24"/>
          <w:highlight w:val="none"/>
        </w:rPr>
        <w:t>.投标文件组成</w:t>
      </w:r>
    </w:p>
    <w:p w14:paraId="5009642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投标文件包括商务标书、经济标书、施工组织设计</w:t>
      </w:r>
      <w:r>
        <w:rPr>
          <w:rFonts w:hint="eastAsia" w:ascii="宋体" w:hAnsi="宋体" w:eastAsia="宋体" w:cs="宋体"/>
          <w:b w:val="0"/>
          <w:bCs w:val="0"/>
          <w:color w:val="auto"/>
          <w:sz w:val="24"/>
          <w:highlight w:val="none"/>
          <w:lang w:val="en-US" w:eastAsia="zh-CN"/>
        </w:rPr>
        <w:t>和定标文件四</w:t>
      </w:r>
      <w:r>
        <w:rPr>
          <w:rFonts w:hint="eastAsia" w:ascii="宋体" w:hAnsi="宋体" w:eastAsia="宋体" w:cs="宋体"/>
          <w:b w:val="0"/>
          <w:bCs w:val="0"/>
          <w:color w:val="auto"/>
          <w:sz w:val="24"/>
          <w:highlight w:val="none"/>
        </w:rPr>
        <w:t>个分册。投标文件在电子投标时全部采用电子文档，投标文件所附证书证件均为彩色扫描件，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交易指引。</w:t>
      </w:r>
    </w:p>
    <w:p w14:paraId="6FD053D2">
      <w:pPr>
        <w:keepNext w:val="0"/>
        <w:keepLines w:val="0"/>
        <w:pageBreakBefore w:val="0"/>
        <w:kinsoku/>
        <w:wordWrap/>
        <w:overflowPunct/>
        <w:topLinePunct w:val="0"/>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16</w:t>
      </w:r>
      <w:r>
        <w:rPr>
          <w:rFonts w:hint="eastAsia" w:ascii="宋体" w:hAnsi="宋体" w:eastAsia="宋体" w:cs="宋体"/>
          <w:b/>
          <w:color w:val="auto"/>
          <w:sz w:val="24"/>
          <w:highlight w:val="none"/>
        </w:rPr>
        <w:t>.投标文件编制</w:t>
      </w:r>
    </w:p>
    <w:p w14:paraId="4EBD4EEF">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投标文件应按第</w:t>
      </w:r>
      <w:r>
        <w:rPr>
          <w:rFonts w:hint="eastAsia" w:ascii="宋体" w:hAnsi="宋体" w:eastAsia="宋体" w:cs="宋体"/>
          <w:b w:val="0"/>
          <w:bCs w:val="0"/>
          <w:color w:val="auto"/>
          <w:sz w:val="24"/>
          <w:highlight w:val="none"/>
          <w:lang w:val="en-US" w:eastAsia="zh-CN"/>
        </w:rPr>
        <w:t>四</w:t>
      </w:r>
      <w:r>
        <w:rPr>
          <w:rFonts w:hint="eastAsia" w:ascii="宋体" w:hAnsi="宋体" w:eastAsia="宋体" w:cs="宋体"/>
          <w:b w:val="0"/>
          <w:bCs w:val="0"/>
          <w:color w:val="auto"/>
          <w:sz w:val="24"/>
          <w:highlight w:val="none"/>
        </w:rPr>
        <w:t>章 投标文件格式规定的内容，投标人提交的投标文件应当使用招标文件所提供的投标文件全部格式。</w:t>
      </w:r>
    </w:p>
    <w:p w14:paraId="2513A79B">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 xml:space="preserve">16.1 </w:t>
      </w:r>
      <w:r>
        <w:rPr>
          <w:rFonts w:hint="eastAsia" w:ascii="宋体" w:hAnsi="宋体" w:eastAsia="宋体" w:cs="宋体"/>
          <w:b w:val="0"/>
          <w:bCs w:val="0"/>
          <w:color w:val="auto"/>
          <w:sz w:val="24"/>
          <w:highlight w:val="none"/>
        </w:rPr>
        <w:t>投标人必须响应招标文件，并在充分理解招标人提供的全部文件、设计图纸、资料及现场条件的基础上编制投标文件。因投标文件不符合招标文件的要求而造成的损失和后果，由投标人自行承担。</w:t>
      </w:r>
    </w:p>
    <w:p w14:paraId="7C4C4C4C">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 xml:space="preserve">16.2 </w:t>
      </w:r>
      <w:r>
        <w:rPr>
          <w:rFonts w:hint="eastAsia" w:ascii="宋体" w:hAnsi="宋体" w:eastAsia="宋体" w:cs="宋体"/>
          <w:b w:val="0"/>
          <w:bCs w:val="0"/>
          <w:color w:val="auto"/>
          <w:sz w:val="24"/>
          <w:highlight w:val="none"/>
        </w:rPr>
        <w:t>投标文件在电子投标时全部采用电子文档，投标文件所附证书证件均为彩色扫描件，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交易指引。</w:t>
      </w:r>
    </w:p>
    <w:p w14:paraId="2CA87A8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16.3</w:t>
      </w:r>
      <w:r>
        <w:rPr>
          <w:rFonts w:hint="eastAsia" w:ascii="宋体" w:hAnsi="宋体" w:eastAsia="宋体" w:cs="宋体"/>
          <w:b w:val="0"/>
          <w:bCs w:val="0"/>
          <w:color w:val="auto"/>
          <w:sz w:val="24"/>
          <w:highlight w:val="none"/>
        </w:rPr>
        <w:t xml:space="preserve"> 投标文件需按以下要求签字、盖章：</w:t>
      </w:r>
    </w:p>
    <w:p w14:paraId="330A6622">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电子投标文件：</w:t>
      </w:r>
    </w:p>
    <w:p w14:paraId="49F12B9D">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16.3.1</w:t>
      </w:r>
      <w:r>
        <w:rPr>
          <w:rFonts w:hint="eastAsia" w:ascii="宋体" w:hAnsi="宋体" w:eastAsia="宋体" w:cs="宋体"/>
          <w:b w:val="0"/>
          <w:bCs w:val="0"/>
          <w:color w:val="auto"/>
          <w:sz w:val="24"/>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14:paraId="578B690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16.3.2</w:t>
      </w:r>
      <w:r>
        <w:rPr>
          <w:rFonts w:hint="eastAsia" w:ascii="宋体" w:hAnsi="宋体" w:eastAsia="宋体" w:cs="宋体"/>
          <w:b w:val="0"/>
          <w:bCs w:val="0"/>
          <w:color w:val="auto"/>
          <w:sz w:val="24"/>
          <w:highlight w:val="none"/>
        </w:rPr>
        <w:t xml:space="preserve"> 投标文件封套、封面、组成内容中凡要求录入投标人名称且注明“盖单位章”处盖单位法人公章（电子印章）。</w:t>
      </w:r>
    </w:p>
    <w:p w14:paraId="18CAA65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16.3.3</w:t>
      </w:r>
      <w:r>
        <w:rPr>
          <w:rFonts w:hint="eastAsia" w:ascii="宋体" w:hAnsi="宋体" w:eastAsia="宋体" w:cs="宋体"/>
          <w:b w:val="0"/>
          <w:bCs w:val="0"/>
          <w:color w:val="auto"/>
          <w:sz w:val="24"/>
          <w:highlight w:val="none"/>
        </w:rPr>
        <w:t xml:space="preserve"> 投标文件的签字均为签字人本人亲笔署名或签章（电子印章），其余部分的彩色扫描件无须另行签字、盖章。</w:t>
      </w:r>
    </w:p>
    <w:p w14:paraId="3C994D47">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bookmarkStart w:id="12" w:name="_Toc27757"/>
      <w:bookmarkStart w:id="13" w:name="_Toc18556"/>
      <w:r>
        <w:rPr>
          <w:rFonts w:hint="eastAsia" w:ascii="宋体" w:hAnsi="宋体" w:eastAsia="宋体" w:cs="宋体"/>
          <w:b w:val="0"/>
          <w:bCs w:val="0"/>
          <w:color w:val="auto"/>
          <w:sz w:val="24"/>
          <w:highlight w:val="none"/>
          <w:lang w:val="en-US" w:eastAsia="zh-CN"/>
        </w:rPr>
        <w:t>16.4</w:t>
      </w:r>
      <w:r>
        <w:rPr>
          <w:rFonts w:hint="eastAsia" w:ascii="宋体" w:hAnsi="宋体" w:eastAsia="宋体" w:cs="宋体"/>
          <w:b w:val="0"/>
          <w:bCs w:val="0"/>
          <w:color w:val="auto"/>
          <w:sz w:val="24"/>
          <w:highlight w:val="none"/>
        </w:rPr>
        <w:t xml:space="preserve"> 商务标书的编制要求</w:t>
      </w:r>
      <w:bookmarkEnd w:id="12"/>
      <w:bookmarkEnd w:id="13"/>
    </w:p>
    <w:p w14:paraId="4759B839">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16.4.1</w:t>
      </w:r>
      <w:r>
        <w:rPr>
          <w:rFonts w:hint="eastAsia" w:ascii="宋体" w:hAnsi="宋体" w:eastAsia="宋体" w:cs="宋体"/>
          <w:b w:val="0"/>
          <w:bCs w:val="0"/>
          <w:color w:val="auto"/>
          <w:sz w:val="24"/>
          <w:highlight w:val="none"/>
        </w:rPr>
        <w:t xml:space="preserve"> 商务标书包括但不限于以下内容：</w:t>
      </w:r>
    </w:p>
    <w:p w14:paraId="382FB2A2">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（1）封面（格式一）；</w:t>
      </w:r>
    </w:p>
    <w:p w14:paraId="41AF84F7">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 xml:space="preserve">（2）目录； </w:t>
      </w:r>
    </w:p>
    <w:p w14:paraId="0EDE06AE">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（3）《投标函》（格式二）；</w:t>
      </w:r>
    </w:p>
    <w:p w14:paraId="1D2C470D">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（4）《各项承诺一览表》（格式三）；</w:t>
      </w:r>
    </w:p>
    <w:p w14:paraId="5FDA536B">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（5）《法定代表人身份证明》（格式四）；</w:t>
      </w:r>
    </w:p>
    <w:p w14:paraId="63E43671">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（6）《授权委托书》（格式五）；</w:t>
      </w:r>
    </w:p>
    <w:p w14:paraId="09A8551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7）投标保证缴纳证明（投标人采用投标保证金的，附交易平台《缴纳投标保证金通知书》页面截图和银行转账单扫描件；采用投标保证担保的，附银行保函彩色扫描件；采用投标保证担保的，附电子保单和《韶关市公共资源交易一体化平台保证金缴纳信息》页面截图打印页）；</w:t>
      </w:r>
    </w:p>
    <w:p w14:paraId="1C40EE7F">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（8） 《投标人基本情况表》（格式六）及所附资料；</w:t>
      </w:r>
    </w:p>
    <w:p w14:paraId="158E75B7">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（9） 《项目经理简历表》（格式七）及所附资料；</w:t>
      </w:r>
    </w:p>
    <w:p w14:paraId="52C9198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（10）《项目经理任职声明》（格式八）；</w:t>
      </w:r>
    </w:p>
    <w:p w14:paraId="5C3AC409">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（11）《项目技术负责人简历表》（格式九）及所附资料；</w:t>
      </w:r>
    </w:p>
    <w:p w14:paraId="2FD32B3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（12）《专职安全员简历表》（格式十）及所附资料；</w:t>
      </w:r>
    </w:p>
    <w:p w14:paraId="741FE5F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（13）《项目管理机构组成表》（格式十一）及所附资料；</w:t>
      </w:r>
    </w:p>
    <w:p w14:paraId="5E9E2F2D">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（14） 建造师查询页（有效期）（格式十二）；</w:t>
      </w:r>
    </w:p>
    <w:p w14:paraId="049C0C4D">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（15）</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lang w:val="en-US" w:eastAsia="zh-CN"/>
        </w:rPr>
        <w:t>危险性较大的分部分项工程清单及超过一定规模的危险性较大的分部分项工程清单</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rPr>
        <w:t>（格式十三）</w:t>
      </w:r>
    </w:p>
    <w:p w14:paraId="461B220B">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（16）《助力项目承诺书》（格式十五）；</w:t>
      </w:r>
    </w:p>
    <w:p w14:paraId="1130595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（17）《原件一览表》（格式十</w:t>
      </w:r>
      <w:r>
        <w:rPr>
          <w:rFonts w:hint="eastAsia" w:ascii="宋体" w:hAnsi="宋体" w:eastAsia="宋体" w:cs="宋体"/>
          <w:b w:val="0"/>
          <w:bCs w:val="0"/>
          <w:color w:val="auto"/>
          <w:sz w:val="24"/>
          <w:highlight w:val="none"/>
          <w:lang w:val="en-US" w:eastAsia="zh-CN"/>
        </w:rPr>
        <w:t>六</w:t>
      </w:r>
      <w:r>
        <w:rPr>
          <w:rFonts w:hint="eastAsia" w:ascii="宋体" w:hAnsi="宋体" w:eastAsia="宋体" w:cs="宋体"/>
          <w:b w:val="0"/>
          <w:bCs w:val="0"/>
          <w:color w:val="auto"/>
          <w:sz w:val="24"/>
          <w:highlight w:val="none"/>
        </w:rPr>
        <w:t>）；</w:t>
      </w:r>
    </w:p>
    <w:p w14:paraId="61873E0F">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8</w:t>
      </w:r>
      <w:r>
        <w:rPr>
          <w:rFonts w:hint="eastAsia" w:ascii="宋体" w:hAnsi="宋体" w:eastAsia="宋体" w:cs="宋体"/>
          <w:b w:val="0"/>
          <w:bCs w:val="0"/>
          <w:color w:val="auto"/>
          <w:sz w:val="24"/>
          <w:highlight w:val="none"/>
        </w:rPr>
        <w:t>）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w:t>
      </w:r>
    </w:p>
    <w:p w14:paraId="76F0F7FD">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16.4</w:t>
      </w:r>
      <w:r>
        <w:rPr>
          <w:rFonts w:hint="eastAsia" w:ascii="宋体" w:hAnsi="宋体" w:eastAsia="宋体" w:cs="宋体"/>
          <w:b w:val="0"/>
          <w:bCs w:val="0"/>
          <w:color w:val="auto"/>
          <w:sz w:val="24"/>
          <w:highlight w:val="none"/>
        </w:rPr>
        <w:t>.2 本节第1</w:t>
      </w:r>
      <w:r>
        <w:rPr>
          <w:rFonts w:hint="eastAsia" w:ascii="宋体" w:hAnsi="宋体" w:eastAsia="宋体" w:cs="宋体"/>
          <w:b w:val="0"/>
          <w:bCs w:val="0"/>
          <w:color w:val="auto"/>
          <w:sz w:val="24"/>
          <w:highlight w:val="none"/>
          <w:lang w:val="en-US" w:eastAsia="zh-CN"/>
        </w:rPr>
        <w:t>6.4</w:t>
      </w:r>
      <w:r>
        <w:rPr>
          <w:rFonts w:hint="eastAsia" w:ascii="宋体" w:hAnsi="宋体" w:eastAsia="宋体" w:cs="宋体"/>
          <w:b w:val="0"/>
          <w:bCs w:val="0"/>
          <w:color w:val="auto"/>
          <w:sz w:val="24"/>
          <w:highlight w:val="none"/>
        </w:rPr>
        <w:t>.1目中所列出的商务标书组成内容中，第（1）至第（</w:t>
      </w:r>
      <w:r>
        <w:rPr>
          <w:rFonts w:hint="eastAsia" w:ascii="宋体" w:hAnsi="宋体" w:eastAsia="宋体" w:cs="宋体"/>
          <w:b w:val="0"/>
          <w:bCs w:val="0"/>
          <w:color w:val="auto"/>
          <w:sz w:val="24"/>
          <w:highlight w:val="none"/>
          <w:lang w:val="en-US" w:eastAsia="zh-CN"/>
        </w:rPr>
        <w:t>17</w:t>
      </w:r>
      <w:r>
        <w:rPr>
          <w:rFonts w:hint="eastAsia" w:ascii="宋体" w:hAnsi="宋体" w:eastAsia="宋体" w:cs="宋体"/>
          <w:b w:val="0"/>
          <w:bCs w:val="0"/>
          <w:color w:val="auto"/>
          <w:sz w:val="24"/>
          <w:highlight w:val="none"/>
        </w:rPr>
        <w:t>）项所有投标人均应提供</w:t>
      </w:r>
      <w:r>
        <w:rPr>
          <w:rFonts w:hint="eastAsia" w:ascii="宋体" w:hAnsi="宋体" w:eastAsia="宋体" w:cs="宋体"/>
          <w:b w:val="0"/>
          <w:bCs w:val="0"/>
          <w:color w:val="auto"/>
          <w:sz w:val="24"/>
          <w:highlight w:val="none"/>
          <w:lang w:val="en-US" w:eastAsia="zh-CN"/>
        </w:rPr>
        <w:t>。</w:t>
      </w:r>
    </w:p>
    <w:p w14:paraId="3B0EAD29">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highlight w:val="none"/>
        </w:rPr>
      </w:pPr>
      <w:r>
        <w:rPr>
          <w:rFonts w:hint="eastAsia" w:ascii="宋体" w:hAnsi="宋体" w:eastAsia="宋体" w:cs="宋体"/>
          <w:b w:val="0"/>
          <w:bCs w:val="0"/>
          <w:color w:val="auto"/>
          <w:sz w:val="24"/>
          <w:highlight w:val="none"/>
          <w:lang w:val="en-US" w:eastAsia="zh-CN"/>
        </w:rPr>
        <w:t>16.4.3商务标书的组成内容按本节16.4.1目规定的顺序整理、编排后，逐页（页码起始从封面开始）连续标记页码</w:t>
      </w:r>
      <w:r>
        <w:rPr>
          <w:rFonts w:hint="eastAsia" w:ascii="宋体" w:hAnsi="宋体" w:eastAsia="宋体" w:cs="宋体"/>
          <w:b w:val="0"/>
          <w:bCs w:val="0"/>
          <w:color w:val="auto"/>
          <w:sz w:val="24"/>
          <w:highlight w:val="none"/>
        </w:rPr>
        <w:t>。</w:t>
      </w:r>
    </w:p>
    <w:p w14:paraId="74990F12">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bookmarkStart w:id="14" w:name="_Hlt69670029"/>
      <w:bookmarkEnd w:id="14"/>
      <w:bookmarkStart w:id="15" w:name="_Hlt87783273"/>
      <w:bookmarkEnd w:id="15"/>
      <w:bookmarkStart w:id="16" w:name="_Toc12870"/>
      <w:bookmarkStart w:id="17" w:name="_Toc3328"/>
      <w:bookmarkStart w:id="18" w:name="_Toc274313881"/>
      <w:r>
        <w:rPr>
          <w:rFonts w:hint="eastAsia" w:ascii="宋体" w:hAnsi="宋体" w:eastAsia="宋体" w:cs="宋体"/>
          <w:b w:val="0"/>
          <w:bCs w:val="0"/>
          <w:color w:val="auto"/>
          <w:sz w:val="24"/>
          <w:highlight w:val="none"/>
        </w:rPr>
        <w:t>1</w:t>
      </w:r>
      <w:bookmarkStart w:id="19" w:name="_Hlt69670035"/>
      <w:bookmarkEnd w:id="19"/>
      <w:r>
        <w:rPr>
          <w:rFonts w:hint="eastAsia" w:ascii="宋体" w:hAnsi="宋体" w:eastAsia="宋体" w:cs="宋体"/>
          <w:b w:val="0"/>
          <w:bCs w:val="0"/>
          <w:color w:val="auto"/>
          <w:sz w:val="24"/>
          <w:highlight w:val="none"/>
          <w:lang w:val="en-US" w:eastAsia="zh-CN"/>
        </w:rPr>
        <w:t>6.5</w:t>
      </w:r>
      <w:r>
        <w:rPr>
          <w:rFonts w:hint="eastAsia" w:ascii="宋体" w:hAnsi="宋体" w:eastAsia="宋体" w:cs="宋体"/>
          <w:b w:val="0"/>
          <w:bCs w:val="0"/>
          <w:color w:val="auto"/>
          <w:sz w:val="24"/>
          <w:highlight w:val="none"/>
        </w:rPr>
        <w:t xml:space="preserve"> 经济标书的编制要求</w:t>
      </w:r>
      <w:bookmarkEnd w:id="16"/>
      <w:bookmarkEnd w:id="17"/>
      <w:bookmarkEnd w:id="18"/>
    </w:p>
    <w:p w14:paraId="50385217">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6.5</w:t>
      </w:r>
      <w:r>
        <w:rPr>
          <w:rFonts w:hint="eastAsia" w:ascii="宋体" w:hAnsi="宋体" w:eastAsia="宋体" w:cs="宋体"/>
          <w:b w:val="0"/>
          <w:bCs w:val="0"/>
          <w:color w:val="auto"/>
          <w:sz w:val="24"/>
          <w:highlight w:val="none"/>
        </w:rPr>
        <w:t>.1 经济标书包括以下内容：</w:t>
      </w:r>
    </w:p>
    <w:p w14:paraId="7CDA8CC1">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（1）封面（格式一）；</w:t>
      </w:r>
    </w:p>
    <w:p w14:paraId="52409C58">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（2）目录；</w:t>
      </w:r>
    </w:p>
    <w:p w14:paraId="7FF4F59A">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bookmarkStart w:id="20" w:name="_Hlt69699579"/>
      <w:bookmarkEnd w:id="20"/>
      <w:r>
        <w:rPr>
          <w:rFonts w:hint="eastAsia" w:ascii="宋体" w:hAnsi="宋体" w:eastAsia="宋体" w:cs="宋体"/>
          <w:b w:val="0"/>
          <w:bCs w:val="0"/>
          <w:color w:val="auto"/>
          <w:sz w:val="24"/>
          <w:highlight w:val="none"/>
        </w:rPr>
        <w:t>（3）《投标总价》；</w:t>
      </w:r>
    </w:p>
    <w:p w14:paraId="457E767D">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说明：《投标总价》的格式按照《建设工程工程量清单计价标准》（GB/T50500—2024）执行，并应满足以下要求：</w:t>
      </w:r>
    </w:p>
    <w:p w14:paraId="5C8E650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a．《投标总价扉页》（即扉—3）后应附编制人的造价工程师注册证书彩色扫描件（非电子证书须扫描至变更注册栏）；投标人委托造价咨询单位编制《投标总价》的，在该扉页“投标人”栏目加盖造价咨询人公章，并在该扉页后附造价咨询人的营业执照副本彩色扫描件。</w:t>
      </w:r>
    </w:p>
    <w:p w14:paraId="71BFC2E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b．《总说明》（即表—01）中的填写内容除按照《建设工程工程量清单计价标准》（GB/T50500—2024）第16.0.4条第3项执行外，尚应就造价软件的名称、版本、加密锁编号作出专项说明。</w:t>
      </w:r>
    </w:p>
    <w:p w14:paraId="36443512">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（4）投标人认为有必要补充的其他资料（例如关于</w:t>
      </w:r>
      <w:r>
        <w:rPr>
          <w:rFonts w:hint="eastAsia" w:ascii="宋体" w:hAnsi="宋体" w:eastAsia="宋体" w:cs="宋体"/>
          <w:color w:val="auto"/>
          <w:sz w:val="24"/>
          <w:highlight w:val="none"/>
        </w:rPr>
        <w:t>投标报价低于招标项目的成本警示价</w:t>
      </w:r>
      <w:r>
        <w:rPr>
          <w:rFonts w:hint="eastAsia" w:ascii="宋体" w:hAnsi="宋体" w:eastAsia="宋体" w:cs="宋体"/>
          <w:b w:val="0"/>
          <w:bCs w:val="0"/>
          <w:color w:val="auto"/>
          <w:sz w:val="24"/>
          <w:highlight w:val="none"/>
        </w:rPr>
        <w:t>的书面说明和佐证材料）。</w:t>
      </w:r>
    </w:p>
    <w:p w14:paraId="4C76766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6.5</w:t>
      </w:r>
      <w:r>
        <w:rPr>
          <w:rFonts w:hint="eastAsia" w:ascii="宋体" w:hAnsi="宋体" w:eastAsia="宋体" w:cs="宋体"/>
          <w:b w:val="0"/>
          <w:bCs w:val="0"/>
          <w:color w:val="auto"/>
          <w:sz w:val="24"/>
          <w:highlight w:val="none"/>
        </w:rPr>
        <w:t>.2 本节第1</w:t>
      </w:r>
      <w:r>
        <w:rPr>
          <w:rFonts w:hint="eastAsia" w:ascii="宋体" w:hAnsi="宋体" w:eastAsia="宋体" w:cs="宋体"/>
          <w:b w:val="0"/>
          <w:bCs w:val="0"/>
          <w:color w:val="auto"/>
          <w:sz w:val="24"/>
          <w:highlight w:val="none"/>
          <w:lang w:val="en-US" w:eastAsia="zh-CN"/>
        </w:rPr>
        <w:t>6.5</w:t>
      </w:r>
      <w:r>
        <w:rPr>
          <w:rFonts w:hint="eastAsia" w:ascii="宋体" w:hAnsi="宋体" w:eastAsia="宋体" w:cs="宋体"/>
          <w:b w:val="0"/>
          <w:bCs w:val="0"/>
          <w:color w:val="auto"/>
          <w:sz w:val="24"/>
          <w:highlight w:val="none"/>
        </w:rPr>
        <w:t>.1目中所列出的经济标书组成内容中，第（1）至第（3）项所有投标人均应提供</w:t>
      </w:r>
      <w:bookmarkStart w:id="21" w:name="_Hlt145127239"/>
      <w:bookmarkEnd w:id="21"/>
      <w:r>
        <w:rPr>
          <w:rFonts w:hint="eastAsia" w:ascii="宋体" w:hAnsi="宋体" w:eastAsia="宋体" w:cs="宋体"/>
          <w:b w:val="0"/>
          <w:bCs w:val="0"/>
          <w:color w:val="auto"/>
          <w:sz w:val="24"/>
          <w:highlight w:val="none"/>
        </w:rPr>
        <w:t>。</w:t>
      </w:r>
    </w:p>
    <w:p w14:paraId="3254CD1C">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6.5</w:t>
      </w:r>
      <w:r>
        <w:rPr>
          <w:rFonts w:hint="eastAsia" w:ascii="宋体" w:hAnsi="宋体" w:eastAsia="宋体" w:cs="宋体"/>
          <w:b w:val="0"/>
          <w:bCs w:val="0"/>
          <w:color w:val="auto"/>
          <w:sz w:val="24"/>
          <w:highlight w:val="none"/>
        </w:rPr>
        <w:t>.3 经济标书的组成内容按本节</w:t>
      </w:r>
      <w:r>
        <w:rPr>
          <w:rFonts w:hint="eastAsia" w:ascii="宋体" w:hAnsi="宋体" w:eastAsia="宋体" w:cs="宋体"/>
          <w:b w:val="0"/>
          <w:bCs w:val="0"/>
          <w:color w:val="auto"/>
          <w:sz w:val="24"/>
          <w:highlight w:val="none"/>
          <w:lang w:val="en-US" w:eastAsia="zh-CN"/>
        </w:rPr>
        <w:t>16.5</w:t>
      </w:r>
      <w:r>
        <w:rPr>
          <w:rFonts w:hint="eastAsia" w:ascii="宋体" w:hAnsi="宋体" w:eastAsia="宋体" w:cs="宋体"/>
          <w:b w:val="0"/>
          <w:bCs w:val="0"/>
          <w:color w:val="auto"/>
          <w:sz w:val="24"/>
          <w:highlight w:val="none"/>
        </w:rPr>
        <w:t>.1目规定的顺序整理、编排后，逐页（页码起始从封面开始）连续标记页码。</w:t>
      </w:r>
    </w:p>
    <w:p w14:paraId="383631F2">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bookmarkStart w:id="22" w:name="_Toc16279"/>
      <w:bookmarkStart w:id="23" w:name="_Toc27751"/>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6.6</w:t>
      </w:r>
      <w:r>
        <w:rPr>
          <w:rFonts w:hint="eastAsia" w:ascii="宋体" w:hAnsi="宋体" w:eastAsia="宋体" w:cs="宋体"/>
          <w:b w:val="0"/>
          <w:bCs w:val="0"/>
          <w:color w:val="auto"/>
          <w:sz w:val="24"/>
          <w:highlight w:val="none"/>
        </w:rPr>
        <w:t xml:space="preserve"> 施工组织设计的编制要求</w:t>
      </w:r>
      <w:bookmarkEnd w:id="22"/>
      <w:bookmarkEnd w:id="23"/>
    </w:p>
    <w:p w14:paraId="1FD7F25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6.6</w:t>
      </w:r>
      <w:r>
        <w:rPr>
          <w:rFonts w:hint="eastAsia" w:ascii="宋体" w:hAnsi="宋体" w:eastAsia="宋体" w:cs="宋体"/>
          <w:b w:val="0"/>
          <w:bCs w:val="0"/>
          <w:color w:val="auto"/>
          <w:sz w:val="24"/>
          <w:highlight w:val="none"/>
        </w:rPr>
        <w:t>.1 施工组织设计的编制依据包括且不限于：</w:t>
      </w:r>
    </w:p>
    <w:p w14:paraId="1B028A3E">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（1）招标文件及其答疑（或修改）公告；</w:t>
      </w:r>
    </w:p>
    <w:p w14:paraId="109A3B0F">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（2）施工图及相关资料；</w:t>
      </w:r>
    </w:p>
    <w:p w14:paraId="3FA3DA9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（3）施工现场情况、工程特点；</w:t>
      </w:r>
    </w:p>
    <w:p w14:paraId="5BE6AAD7">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（4）相关法律、法规、规定；</w:t>
      </w:r>
    </w:p>
    <w:p w14:paraId="2F9FEAF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622A5A47">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（6）企业内部标准、工法。</w:t>
      </w:r>
    </w:p>
    <w:p w14:paraId="30E8D9CF">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6.6</w:t>
      </w:r>
      <w:r>
        <w:rPr>
          <w:rFonts w:hint="eastAsia" w:ascii="宋体" w:hAnsi="宋体" w:eastAsia="宋体" w:cs="宋体"/>
          <w:b w:val="0"/>
          <w:bCs w:val="0"/>
          <w:color w:val="auto"/>
          <w:sz w:val="24"/>
          <w:highlight w:val="none"/>
        </w:rPr>
        <w:t>.2 施工组织设计包括但不限于以下内容：</w:t>
      </w:r>
    </w:p>
    <w:p w14:paraId="15BAEA19">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（1）封面（格式一）；</w:t>
      </w:r>
    </w:p>
    <w:p w14:paraId="2C1914C8">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（2）目录；</w:t>
      </w:r>
    </w:p>
    <w:p w14:paraId="3A424742">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（3）总体概述（包括施工程序总体设想及施工段划分等内容）；</w:t>
      </w:r>
    </w:p>
    <w:p w14:paraId="372D258A">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（4）施工总进度计划及保证措施（包括进度管理目标；以横道图或标明关键线路的网络进度计划；保障进度计划需要的人、材、机需求计划及保证措施；违约责任承诺等内容）；</w:t>
      </w:r>
    </w:p>
    <w:p w14:paraId="391D409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（5）质量保证措施（包括质量管理目标；相应保证措施；违约责任承诺等内容）；</w:t>
      </w:r>
    </w:p>
    <w:p w14:paraId="5849279C">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（6）施工技术措施（包括关键施工技术、工艺及工程项目实施的重点、难点分析和解决方案；新技术应用与承诺等内容）；</w:t>
      </w:r>
    </w:p>
    <w:p w14:paraId="73068F8F">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（7）绿色施工、安全防护、文明施工措施计划；</w:t>
      </w:r>
    </w:p>
    <w:p w14:paraId="0B5E396A">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2C5B6F38">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（9）项目管理机构；</w:t>
      </w:r>
    </w:p>
    <w:p w14:paraId="2DD9EC99">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（10）投标人认为有必要补充的其他内容（例如对总包管理的认识以及对专业分包工程的管理、协调、配合、服务方案）。</w:t>
      </w:r>
    </w:p>
    <w:p w14:paraId="1B9ABE72">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6.6</w:t>
      </w:r>
      <w:r>
        <w:rPr>
          <w:rFonts w:hint="eastAsia" w:ascii="宋体" w:hAnsi="宋体" w:eastAsia="宋体" w:cs="宋体"/>
          <w:b w:val="0"/>
          <w:bCs w:val="0"/>
          <w:color w:val="auto"/>
          <w:sz w:val="24"/>
          <w:highlight w:val="none"/>
        </w:rPr>
        <w:t>.3 本节第1</w:t>
      </w:r>
      <w:r>
        <w:rPr>
          <w:rFonts w:hint="eastAsia" w:ascii="宋体" w:hAnsi="宋体" w:eastAsia="宋体" w:cs="宋体"/>
          <w:b w:val="0"/>
          <w:bCs w:val="0"/>
          <w:color w:val="auto"/>
          <w:sz w:val="24"/>
          <w:highlight w:val="none"/>
          <w:lang w:val="en-US" w:eastAsia="zh-CN"/>
        </w:rPr>
        <w:t>6.6</w:t>
      </w:r>
      <w:r>
        <w:rPr>
          <w:rFonts w:hint="eastAsia" w:ascii="宋体" w:hAnsi="宋体" w:eastAsia="宋体" w:cs="宋体"/>
          <w:b w:val="0"/>
          <w:bCs w:val="0"/>
          <w:color w:val="auto"/>
          <w:sz w:val="24"/>
          <w:highlight w:val="none"/>
        </w:rPr>
        <w:t>.2目中所列出的施工组织设计组成内容中，第（1）至第（</w:t>
      </w:r>
      <w:r>
        <w:rPr>
          <w:rFonts w:hint="eastAsia" w:ascii="宋体" w:hAnsi="宋体" w:eastAsia="宋体" w:cs="宋体"/>
          <w:b w:val="0"/>
          <w:bCs w:val="0"/>
          <w:color w:val="auto"/>
          <w:sz w:val="24"/>
          <w:highlight w:val="none"/>
          <w:lang w:val="en-US" w:eastAsia="zh-CN"/>
        </w:rPr>
        <w:t>9</w:t>
      </w:r>
      <w:r>
        <w:rPr>
          <w:rFonts w:hint="eastAsia" w:ascii="宋体" w:hAnsi="宋体" w:eastAsia="宋体" w:cs="宋体"/>
          <w:b w:val="0"/>
          <w:bCs w:val="0"/>
          <w:color w:val="auto"/>
          <w:sz w:val="24"/>
          <w:highlight w:val="none"/>
        </w:rPr>
        <w:t>）项所有投标人均应提供。</w:t>
      </w:r>
    </w:p>
    <w:p w14:paraId="61DE04DC">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6.6</w:t>
      </w:r>
      <w:r>
        <w:rPr>
          <w:rFonts w:hint="eastAsia" w:ascii="宋体" w:hAnsi="宋体" w:eastAsia="宋体" w:cs="宋体"/>
          <w:b w:val="0"/>
          <w:bCs w:val="0"/>
          <w:color w:val="auto"/>
          <w:sz w:val="24"/>
          <w:highlight w:val="none"/>
        </w:rPr>
        <w:t>.4 施工组织设计的组成内容按本节第</w:t>
      </w:r>
      <w:r>
        <w:rPr>
          <w:rFonts w:hint="eastAsia" w:ascii="宋体" w:hAnsi="宋体" w:eastAsia="宋体" w:cs="宋体"/>
          <w:b w:val="0"/>
          <w:bCs w:val="0"/>
          <w:color w:val="auto"/>
          <w:sz w:val="24"/>
          <w:highlight w:val="none"/>
          <w:lang w:val="en-US" w:eastAsia="zh-CN"/>
        </w:rPr>
        <w:t>16.6</w:t>
      </w:r>
      <w:r>
        <w:rPr>
          <w:rFonts w:hint="eastAsia" w:ascii="宋体" w:hAnsi="宋体" w:eastAsia="宋体" w:cs="宋体"/>
          <w:b w:val="0"/>
          <w:bCs w:val="0"/>
          <w:color w:val="auto"/>
          <w:sz w:val="24"/>
          <w:highlight w:val="none"/>
        </w:rPr>
        <w:t>.2目规定的顺序整理、编排后，逐页（页码起始从封面开始）连续标记页码。</w:t>
      </w:r>
    </w:p>
    <w:p w14:paraId="4354ADFF">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16.6.5 施工组织设计的正文除施工现场平面布置图和进度计划图用白色标准A3纸设置外，其他内容一律用白色标准A4纸设置。施工组织设计的正文建议不</w:t>
      </w:r>
      <w:r>
        <w:rPr>
          <w:rFonts w:hint="eastAsia" w:ascii="宋体" w:hAnsi="宋体" w:cs="宋体"/>
          <w:b w:val="0"/>
          <w:bCs w:val="0"/>
          <w:color w:val="auto"/>
          <w:sz w:val="24"/>
          <w:highlight w:val="none"/>
          <w:lang w:val="en-US" w:eastAsia="zh-CN"/>
        </w:rPr>
        <w:t>超过</w:t>
      </w:r>
      <w:r>
        <w:rPr>
          <w:rFonts w:hint="eastAsia" w:ascii="宋体" w:hAnsi="宋体" w:eastAsia="宋体" w:cs="宋体"/>
          <w:b w:val="0"/>
          <w:bCs w:val="0"/>
          <w:color w:val="auto"/>
          <w:sz w:val="24"/>
          <w:highlight w:val="none"/>
          <w:lang w:val="en-US" w:eastAsia="zh-CN"/>
        </w:rPr>
        <w:t>500页。</w:t>
      </w:r>
    </w:p>
    <w:p w14:paraId="67F1ED5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16.7定标文件的编制要求：</w:t>
      </w:r>
    </w:p>
    <w:p w14:paraId="1A78C1C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6.7</w:t>
      </w:r>
      <w:r>
        <w:rPr>
          <w:rFonts w:hint="eastAsia" w:ascii="宋体" w:hAnsi="宋体" w:eastAsia="宋体" w:cs="宋体"/>
          <w:b w:val="0"/>
          <w:bCs w:val="0"/>
          <w:color w:val="auto"/>
          <w:sz w:val="24"/>
          <w:highlight w:val="none"/>
        </w:rPr>
        <w:t xml:space="preserve">.1 </w:t>
      </w:r>
      <w:r>
        <w:rPr>
          <w:rFonts w:hint="eastAsia" w:ascii="宋体" w:hAnsi="宋体" w:eastAsia="宋体" w:cs="宋体"/>
          <w:b w:val="0"/>
          <w:bCs w:val="0"/>
          <w:color w:val="auto"/>
          <w:sz w:val="24"/>
          <w:highlight w:val="none"/>
          <w:lang w:val="en-US" w:eastAsia="zh-CN"/>
        </w:rPr>
        <w:t>定标文件</w:t>
      </w:r>
      <w:r>
        <w:rPr>
          <w:rFonts w:hint="eastAsia" w:ascii="宋体" w:hAnsi="宋体" w:eastAsia="宋体" w:cs="宋体"/>
          <w:b w:val="0"/>
          <w:bCs w:val="0"/>
          <w:color w:val="auto"/>
          <w:sz w:val="24"/>
          <w:highlight w:val="none"/>
        </w:rPr>
        <w:t>包括以下内容：</w:t>
      </w:r>
    </w:p>
    <w:p w14:paraId="5E92782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color w:val="auto"/>
          <w:sz w:val="24"/>
          <w:szCs w:val="24"/>
          <w:highlight w:val="none"/>
        </w:rPr>
        <w:t>(</w:t>
      </w:r>
      <w:r>
        <w:rPr>
          <w:rFonts w:hint="eastAsia" w:ascii="宋体" w:hAnsi="宋体" w:eastAsia="宋体" w:cs="宋体"/>
          <w:b w:val="0"/>
          <w:bCs w:val="0"/>
          <w:color w:val="auto"/>
          <w:sz w:val="24"/>
          <w:highlight w:val="none"/>
          <w:lang w:val="en-US" w:eastAsia="zh-CN"/>
        </w:rPr>
        <w:t>1) 定标因素评审资料（格式十七）</w:t>
      </w:r>
    </w:p>
    <w:p w14:paraId="3A1A69AF">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6.7</w:t>
      </w:r>
      <w:r>
        <w:rPr>
          <w:rFonts w:hint="eastAsia" w:ascii="宋体" w:hAnsi="宋体" w:eastAsia="宋体" w:cs="宋体"/>
          <w:b w:val="0"/>
          <w:bCs w:val="0"/>
          <w:color w:val="auto"/>
          <w:sz w:val="24"/>
          <w:highlight w:val="none"/>
        </w:rPr>
        <w:t>.</w:t>
      </w:r>
      <w:r>
        <w:rPr>
          <w:rFonts w:hint="eastAsia" w:ascii="宋体" w:hAnsi="宋体" w:eastAsia="宋体" w:cs="宋体"/>
          <w:b w:val="0"/>
          <w:bCs w:val="0"/>
          <w:color w:val="auto"/>
          <w:sz w:val="24"/>
          <w:highlight w:val="none"/>
          <w:lang w:val="en-US" w:eastAsia="zh-CN"/>
        </w:rPr>
        <w:t>2</w:t>
      </w:r>
      <w:r>
        <w:rPr>
          <w:rFonts w:hint="eastAsia" w:ascii="宋体" w:hAnsi="宋体" w:eastAsia="宋体" w:cs="宋体"/>
          <w:b w:val="0"/>
          <w:bCs w:val="0"/>
          <w:color w:val="auto"/>
          <w:sz w:val="24"/>
          <w:highlight w:val="none"/>
        </w:rPr>
        <w:t xml:space="preserve"> 本节第1</w:t>
      </w:r>
      <w:r>
        <w:rPr>
          <w:rFonts w:hint="eastAsia" w:ascii="宋体" w:hAnsi="宋体" w:eastAsia="宋体" w:cs="宋体"/>
          <w:b w:val="0"/>
          <w:bCs w:val="0"/>
          <w:color w:val="auto"/>
          <w:sz w:val="24"/>
          <w:highlight w:val="none"/>
          <w:lang w:val="en-US" w:eastAsia="zh-CN"/>
        </w:rPr>
        <w:t>6.7</w:t>
      </w:r>
      <w:r>
        <w:rPr>
          <w:rFonts w:hint="eastAsia" w:ascii="宋体" w:hAnsi="宋体" w:eastAsia="宋体" w:cs="宋体"/>
          <w:b w:val="0"/>
          <w:bCs w:val="0"/>
          <w:color w:val="auto"/>
          <w:sz w:val="24"/>
          <w:highlight w:val="none"/>
        </w:rPr>
        <w:t>.</w:t>
      </w:r>
      <w:r>
        <w:rPr>
          <w:rFonts w:hint="eastAsia" w:ascii="宋体" w:hAnsi="宋体" w:eastAsia="宋体" w:cs="宋体"/>
          <w:b w:val="0"/>
          <w:bCs w:val="0"/>
          <w:color w:val="auto"/>
          <w:sz w:val="24"/>
          <w:highlight w:val="none"/>
          <w:lang w:val="en-US" w:eastAsia="zh-CN"/>
        </w:rPr>
        <w:t>1</w:t>
      </w:r>
      <w:r>
        <w:rPr>
          <w:rFonts w:hint="eastAsia" w:ascii="宋体" w:hAnsi="宋体" w:eastAsia="宋体" w:cs="宋体"/>
          <w:b w:val="0"/>
          <w:bCs w:val="0"/>
          <w:color w:val="auto"/>
          <w:sz w:val="24"/>
          <w:highlight w:val="none"/>
        </w:rPr>
        <w:t>目中所列出的组成内容中，第（1）项所有投标人均应提供。</w:t>
      </w:r>
    </w:p>
    <w:p w14:paraId="7A068CE7">
      <w:pPr>
        <w:keepNext w:val="0"/>
        <w:keepLines w:val="0"/>
        <w:pageBreakBefore w:val="0"/>
        <w:shd w:val="clear" w:color="auto" w:fill="auto"/>
        <w:kinsoku/>
        <w:wordWrap/>
        <w:overflowPunct/>
        <w:topLinePunct w:val="0"/>
        <w:bidi w:val="0"/>
        <w:adjustRightInd/>
        <w:snapToGrid/>
        <w:spacing w:line="340" w:lineRule="exact"/>
        <w:ind w:left="0" w:leftChars="0"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.投标报价</w:t>
      </w:r>
    </w:p>
    <w:p w14:paraId="3C92007E">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17.1投标人报价可依据《建设工程工程量清单计价标准》（GB/T 50500-2024）（以下简称《2024标准》）规定自主确定投标报价，并应对已标价工程量清单填报价格的一致性及合理性负责，承担不合理报价及总价合同的工程量清单缺陷等风险。</w:t>
      </w:r>
    </w:p>
    <w:p w14:paraId="0D0030E1">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（1）《2024标准》和相关工程国家级行业工程量计算标准；</w:t>
      </w:r>
    </w:p>
    <w:p w14:paraId="59A9F7D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（2）招标文件（包括招标工程量清单、合同条款、招标图纸、计算标准规范等）及其补遗、答疑、异议澄清或修正；</w:t>
      </w:r>
    </w:p>
    <w:p w14:paraId="5C752A0F">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（3）国家及省级、行业建设主管部门颁发的工程计量与计价相关规定，以及根据工程需要补充的工程量计算规则；</w:t>
      </w:r>
    </w:p>
    <w:p w14:paraId="1791F1F8">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（4）与招标工程相关的技术标准规范等技术资料；</w:t>
      </w:r>
    </w:p>
    <w:p w14:paraId="557D3E7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（5）工程特点及交付标准、地勘水文资料、现场踏勘情况；</w:t>
      </w:r>
    </w:p>
    <w:p w14:paraId="69FD8BF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（6）投标人的工程实施方案及投标工期；</w:t>
      </w:r>
    </w:p>
    <w:p w14:paraId="4488697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（7）投标人企业定额、工程造价数据、市场价格信息及价格变动预期、装备及管理水平、造价资讯等；</w:t>
      </w:r>
    </w:p>
    <w:p w14:paraId="6D30593A">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（8）其他相关资料。</w:t>
      </w:r>
    </w:p>
    <w:p w14:paraId="3FADDCC9">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17.2投标人的投标报价不得高于招标人公布的最高投标限价。</w:t>
      </w:r>
    </w:p>
    <w:p w14:paraId="70073BEE">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17.3 投标人的安全生产措施费报价必须达到或超过最高投标限价中提供的安全生产措施费。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p>
    <w:p w14:paraId="7AC6D47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17.4投标人应在接收招标文件后，在规定时间内根据工程特点、合同要求及现场踏勘情况，复查措施项目清单列项的完整性和适用性。如投标人对措施项目清单有疑问或异议的，可按招标文件的规定以书面形式提请招标人澄清或修正，若投标人认为需要增加措施项目的，可在措施项目中补充列项及报价并对措施</w:t>
      </w:r>
      <w:r>
        <w:rPr>
          <w:rFonts w:hint="eastAsia" w:ascii="宋体" w:hAnsi="宋体" w:cs="宋体"/>
          <w:b w:val="0"/>
          <w:bCs w:val="0"/>
          <w:color w:val="auto"/>
          <w:sz w:val="24"/>
          <w:highlight w:val="none"/>
          <w:lang w:val="en-US" w:eastAsia="zh-CN"/>
        </w:rPr>
        <w:t>项目</w:t>
      </w:r>
      <w:r>
        <w:rPr>
          <w:rFonts w:hint="eastAsia" w:ascii="宋体" w:hAnsi="宋体" w:eastAsia="宋体" w:cs="宋体"/>
          <w:b w:val="0"/>
          <w:bCs w:val="0"/>
          <w:color w:val="auto"/>
          <w:sz w:val="24"/>
          <w:highlight w:val="none"/>
          <w:lang w:val="en-US" w:eastAsia="zh-CN"/>
        </w:rPr>
        <w:t>清单的准确性和完整性负责。</w:t>
      </w:r>
    </w:p>
    <w:p w14:paraId="04E84D45">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17.5 采用单价合同的招标工程，投标人应在接收招标文件后，在规定时间内对招标工程量清单的分部分项工程项目清单进行复核。如投标人对分部分项工程项目清单有疑问或异议的，应按招标文件的规定以书面形式提请招标人澄清，招标人核实后作出修正的，投标人应按修正后的分部分项工程项目清单进行投标报价。无论投标人是否已提出疑问或异议，分部分项工程项目清单的完整性和准确性由招标人负责，清单项目或修正后(如有)的清单项目存在工程量清单缺陷的，应按《2024标准》第8.2节的规定调整相关价款及合同总价。</w:t>
      </w:r>
    </w:p>
    <w:p w14:paraId="442AA16B">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17.6 采用总价合同的招标工程，投标人应在接收招标文件后，在规定时间内对招标工程量清单进行复核。如投标人对工程项目清单有疑问或异议的，应按招标文件的规定以书面形式提请招标人澄清，招标人核实后作出修正的投标人应按修正后的工程量清单进行报价。如投标人经复核认为招标工程量清单及其修正后(如有)的分部分项工程项目清单存在工程量清单缺陷的，可在已标价工程量清单的分部分项工程项目清单中进行补充完善及报价，并对已标价分部分项工程项目清单的完整性和准确性负责。无论投标人是否已提出疑问、异议或按已修正后的工程量清单报价、或对分部分项工程项目清单做出补充完善及报价除招标工程量清单说明为暂定数量的单价计价分部分项工程项目清单外，合同价格不应因存在工程量清单缺陷而调整。</w:t>
      </w:r>
    </w:p>
    <w:p w14:paraId="02FD10D5">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17.7 投标人的投标价应包括招标文件中规定的由承包人承担范围及幅度内的风险费用。如招标文件中未明确相关风险责任的，投标人应在接</w:t>
      </w:r>
      <w:r>
        <w:rPr>
          <w:rFonts w:hint="eastAsia" w:ascii="宋体" w:hAnsi="宋体" w:cs="宋体"/>
          <w:b w:val="0"/>
          <w:bCs w:val="0"/>
          <w:color w:val="auto"/>
          <w:sz w:val="24"/>
          <w:highlight w:val="none"/>
          <w:lang w:val="en-US" w:eastAsia="zh-CN"/>
        </w:rPr>
        <w:t>收到</w:t>
      </w:r>
      <w:r>
        <w:rPr>
          <w:rFonts w:hint="eastAsia" w:ascii="宋体" w:hAnsi="宋体" w:eastAsia="宋体" w:cs="宋体"/>
          <w:b w:val="0"/>
          <w:bCs w:val="0"/>
          <w:color w:val="auto"/>
          <w:sz w:val="24"/>
          <w:highlight w:val="none"/>
          <w:lang w:val="en-US" w:eastAsia="zh-CN"/>
        </w:rPr>
        <w:t>招标文件后，在规定的时间内提请招标人明确，招标人应在规定时间内</w:t>
      </w:r>
      <w:r>
        <w:rPr>
          <w:rFonts w:hint="eastAsia" w:ascii="宋体" w:hAnsi="宋体" w:cs="宋体"/>
          <w:b w:val="0"/>
          <w:bCs w:val="0"/>
          <w:color w:val="auto"/>
          <w:sz w:val="24"/>
          <w:highlight w:val="none"/>
          <w:lang w:val="en-US" w:eastAsia="zh-CN"/>
        </w:rPr>
        <w:t>予以</w:t>
      </w:r>
      <w:r>
        <w:rPr>
          <w:rFonts w:hint="eastAsia" w:ascii="宋体" w:hAnsi="宋体" w:eastAsia="宋体" w:cs="宋体"/>
          <w:b w:val="0"/>
          <w:bCs w:val="0"/>
          <w:color w:val="auto"/>
          <w:sz w:val="24"/>
          <w:highlight w:val="none"/>
          <w:lang w:val="en-US" w:eastAsia="zh-CN"/>
        </w:rPr>
        <w:t>书面答复。</w:t>
      </w:r>
    </w:p>
    <w:p w14:paraId="079E589C">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17.8采用单价合同的工程，投标人应按要求完整填报工程量清单中所有清单项目的综合单价及其合价和(或)总价计价项目的价格，且每个清单项目应只填报一个报价，未按要求填报(漏填或未填)综合单价及其合价和(或)清单项目价格的，宜按《2024标准》第3.5.4条的规定完成相关的投标报价澄清或谈明，相关清单项目报价可视为已包含在投标总价中。</w:t>
      </w:r>
    </w:p>
    <w:p w14:paraId="641CA8B1">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17.9 采用总价合同的工程，投标人应按《2024标准》第6.1.7条的定补充完善工程量清单，并完整填报工程量清单中所有清单项目的综合单价及合价和(或)总价计价项目的价格，且每个清单项目应只填报一个报价，未</w:t>
      </w:r>
      <w:r>
        <w:rPr>
          <w:rFonts w:hint="eastAsia" w:ascii="宋体" w:hAnsi="宋体" w:cs="宋体"/>
          <w:b w:val="0"/>
          <w:bCs w:val="0"/>
          <w:color w:val="auto"/>
          <w:sz w:val="24"/>
          <w:highlight w:val="none"/>
          <w:lang w:val="en-US" w:eastAsia="zh-CN"/>
        </w:rPr>
        <w:t>按要</w:t>
      </w:r>
      <w:r>
        <w:rPr>
          <w:rFonts w:hint="eastAsia" w:ascii="宋体" w:hAnsi="宋体" w:eastAsia="宋体" w:cs="宋体"/>
          <w:b w:val="0"/>
          <w:bCs w:val="0"/>
          <w:color w:val="auto"/>
          <w:sz w:val="24"/>
          <w:highlight w:val="none"/>
          <w:lang w:val="en-US" w:eastAsia="zh-CN"/>
        </w:rPr>
        <w:t>求填报(漏填或未填)综合单价及其合价和(或)清单项目价格的，可按《2024标准》第3.5.4条的规定完成相关的投标报价澄清或说明，相关清单项目报价可视为已包含在其他的清单项目中。</w:t>
      </w:r>
    </w:p>
    <w:p w14:paraId="1652786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17.10 投标人的投标总价应与分部分项工程项目清单、措施项清单、其他项目清单、增值税的</w:t>
      </w:r>
      <w:r>
        <w:rPr>
          <w:rFonts w:hint="eastAsia" w:ascii="宋体" w:hAnsi="宋体" w:cs="宋体"/>
          <w:b w:val="0"/>
          <w:bCs w:val="0"/>
          <w:color w:val="auto"/>
          <w:sz w:val="24"/>
          <w:highlight w:val="none"/>
          <w:lang w:val="en-US" w:eastAsia="zh-CN"/>
        </w:rPr>
        <w:t>合计</w:t>
      </w:r>
      <w:r>
        <w:rPr>
          <w:rFonts w:hint="eastAsia" w:ascii="宋体" w:hAnsi="宋体" w:eastAsia="宋体" w:cs="宋体"/>
          <w:b w:val="0"/>
          <w:bCs w:val="0"/>
          <w:color w:val="auto"/>
          <w:sz w:val="24"/>
          <w:highlight w:val="none"/>
          <w:lang w:val="en-US" w:eastAsia="zh-CN"/>
        </w:rPr>
        <w:t>总额一致。如投标总价与前述合价总额不符的、应在保持投标总价不变的前提下，按《2024标准》第3.5节的规定调整已标价程量清单。</w:t>
      </w:r>
    </w:p>
    <w:p w14:paraId="0108CF2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17.11 投标人的投标总价应与分部分项工程项目清单、措施项清单、其他项目清单、增值税的合计总额一致。如投标总价与前述合价总额不符的、应在保持投标总价不变的前提下，按《2024标准》第3.5节的规定调整已标价程量清单。</w:t>
      </w:r>
    </w:p>
    <w:p w14:paraId="38ECF61C">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 xml:space="preserve">17.12 </w:t>
      </w:r>
      <w:r>
        <w:rPr>
          <w:rFonts w:hint="eastAsia" w:ascii="宋体" w:hAnsi="宋体" w:eastAsia="宋体" w:cs="宋体"/>
          <w:b w:val="0"/>
          <w:bCs w:val="0"/>
          <w:color w:val="auto"/>
          <w:sz w:val="24"/>
          <w:highlight w:val="none"/>
          <w:lang w:val="en-US" w:eastAsia="en-US"/>
        </w:rPr>
        <w:t>预算包干费：根据《市政工程工程量计算标准》（GB/T 50857-2024）、《房屋建筑与装饰工程工程量计算标准》（GB/T 50854-2024）、《通用安装工程工程量计算标准》（GB/T 50856-2024）、《园林绿化工程工程量计算标准》（GB/T 50858-2024），以各专业分部分项的人工费与施工机具费之和为基础计算预算包干费。本工程的预算包干内容包括：按《广东省建设工程计价依据（2024）》相关规定。若发生工程签证变更，应按合同约定计取预算包干费。</w:t>
      </w:r>
    </w:p>
    <w:p w14:paraId="3F6D97D8">
      <w:pPr>
        <w:keepNext w:val="0"/>
        <w:keepLines w:val="0"/>
        <w:pageBreakBefore w:val="0"/>
        <w:kinsoku/>
        <w:wordWrap/>
        <w:overflowPunct/>
        <w:topLinePunct w:val="0"/>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18</w:t>
      </w:r>
      <w:r>
        <w:rPr>
          <w:rFonts w:hint="eastAsia" w:ascii="宋体" w:hAnsi="宋体" w:eastAsia="宋体" w:cs="宋体"/>
          <w:b/>
          <w:bCs/>
          <w:color w:val="auto"/>
          <w:sz w:val="24"/>
          <w:highlight w:val="none"/>
        </w:rPr>
        <w:t>.投标有效期</w:t>
      </w:r>
    </w:p>
    <w:p w14:paraId="1C1DF45C">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18</w:t>
      </w:r>
      <w:r>
        <w:rPr>
          <w:rFonts w:hint="eastAsia" w:ascii="宋体" w:hAnsi="宋体" w:eastAsia="宋体" w:cs="宋体"/>
          <w:color w:val="auto"/>
          <w:sz w:val="24"/>
          <w:highlight w:val="none"/>
        </w:rPr>
        <w:t>.1 投标有效期从提交投标文件的截止之日起算。本招标工程投标有效期见本投标人须知前附表规定的期限，在此期间，凡符合本招标文件要求的投标文件均保持有效。</w:t>
      </w:r>
    </w:p>
    <w:p w14:paraId="1637B34D">
      <w:pPr>
        <w:keepNext w:val="0"/>
        <w:keepLines w:val="0"/>
        <w:pageBreakBefore w:val="0"/>
        <w:widowControl/>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val="en-US" w:eastAsia="zh-CN"/>
        </w:rPr>
        <w:t>18</w:t>
      </w:r>
      <w:r>
        <w:rPr>
          <w:rFonts w:hint="eastAsia" w:ascii="宋体" w:hAnsi="宋体" w:eastAsia="宋体" w:cs="宋体"/>
          <w:color w:val="auto"/>
          <w:sz w:val="24"/>
          <w:highlight w:val="none"/>
        </w:rPr>
        <w:t>.2 在投标有效期结束前出现特殊情况的，</w:t>
      </w:r>
      <w:r>
        <w:rPr>
          <w:rFonts w:hint="eastAsia" w:ascii="宋体" w:hAnsi="宋体" w:eastAsia="宋体" w:cs="宋体"/>
          <w:color w:val="auto"/>
          <w:kern w:val="0"/>
          <w:sz w:val="24"/>
          <w:highlight w:val="none"/>
        </w:rPr>
        <w:t>招标人可形成延长投标有效期的书面文件</w:t>
      </w:r>
      <w:r>
        <w:rPr>
          <w:rFonts w:hint="eastAsia" w:ascii="宋体" w:hAnsi="宋体" w:eastAsia="宋体" w:cs="宋体"/>
          <w:color w:val="auto"/>
          <w:sz w:val="24"/>
          <w:highlight w:val="none"/>
        </w:rPr>
        <w:t>报招标管理部门备案后在网上发布告知所有投标人</w:t>
      </w:r>
      <w:r>
        <w:rPr>
          <w:rFonts w:hint="eastAsia" w:ascii="宋体" w:hAnsi="宋体" w:eastAsia="宋体" w:cs="宋体"/>
          <w:color w:val="auto"/>
          <w:kern w:val="0"/>
          <w:sz w:val="24"/>
          <w:highlight w:val="none"/>
        </w:rPr>
        <w:t>。投标人同意延长的，不得要求或者被允许修改其投标文件的实质性内容，但应当相应延长其投标保证金的有效期；投标人拒绝延长的，其投标无效，但投标人有权收回其投标保证金。</w:t>
      </w:r>
    </w:p>
    <w:p w14:paraId="1E796BF3">
      <w:pPr>
        <w:keepNext w:val="0"/>
        <w:keepLines w:val="0"/>
        <w:pageBreakBefore w:val="0"/>
        <w:widowControl/>
        <w:kinsoku/>
        <w:wordWrap/>
        <w:overflowPunct/>
        <w:topLinePunct w:val="0"/>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szCs w:val="24"/>
          <w:highlight w:val="none"/>
          <w:lang w:val="en-US" w:eastAsia="zh-CN"/>
        </w:rPr>
        <w:t>19.</w:t>
      </w:r>
      <w:r>
        <w:rPr>
          <w:rFonts w:hint="eastAsia" w:ascii="宋体" w:hAnsi="宋体" w:eastAsia="宋体" w:cs="宋体"/>
          <w:b/>
          <w:bCs/>
          <w:color w:val="auto"/>
          <w:sz w:val="24"/>
          <w:highlight w:val="none"/>
          <w:lang w:val="en-US" w:eastAsia="zh-CN"/>
        </w:rPr>
        <w:t>绿色建筑与装配式</w:t>
      </w:r>
    </w:p>
    <w:p w14:paraId="3FC075FE">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1</w:t>
      </w:r>
      <w:r>
        <w:rPr>
          <w:rFonts w:hint="eastAsia" w:ascii="宋体" w:hAnsi="宋体" w:eastAsia="宋体" w:cs="宋体"/>
          <w:color w:val="auto"/>
          <w:spacing w:val="0"/>
          <w:sz w:val="24"/>
          <w:szCs w:val="24"/>
          <w:highlight w:val="none"/>
          <w:lang w:val="en-US" w:eastAsia="zh-CN"/>
        </w:rPr>
        <w:t>9.1根据韶关市人民政府《关于加快推进全市绿色建筑发展工作的通知》（韶府办明电〔2013〕277号）及《韶关市住建管理局关于贯彻落实&lt;广东省绿色建筑条例&gt;有关工作的通知》（韶市建字〔2021〕85号）等有关规定，本招标项目不纳入绿色建设实施范围。</w:t>
      </w:r>
    </w:p>
    <w:p w14:paraId="19A9458C">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19.2 根据《韶关市人民政府办公厅关于大力发展装配式建筑的实施意见》（韶府办〔2019〕25号）等文件要求，本招标项目不纳入装配式建造建设实施范围。</w:t>
      </w:r>
    </w:p>
    <w:p w14:paraId="045B0319">
      <w:pPr>
        <w:keepNext w:val="0"/>
        <w:keepLines w:val="0"/>
        <w:pageBreakBefore w:val="0"/>
        <w:widowControl/>
        <w:kinsoku/>
        <w:wordWrap/>
        <w:overflowPunct/>
        <w:topLinePunct w:val="0"/>
        <w:bidi w:val="0"/>
        <w:adjustRightInd/>
        <w:snapToGrid/>
        <w:spacing w:line="400" w:lineRule="exact"/>
        <w:ind w:right="0" w:rightChars="0" w:firstLine="482" w:firstLineChars="200"/>
        <w:jc w:val="both"/>
        <w:textAlignment w:val="auto"/>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w:t>
      </w:r>
      <w:r>
        <w:rPr>
          <w:rFonts w:hint="eastAsia" w:ascii="宋体" w:hAnsi="宋体" w:eastAsia="宋体" w:cs="宋体"/>
          <w:b/>
          <w:bCs/>
          <w:color w:val="auto"/>
          <w:sz w:val="24"/>
          <w:highlight w:val="none"/>
          <w:lang w:val="en-US" w:eastAsia="zh-CN"/>
        </w:rPr>
        <w:t>0</w:t>
      </w:r>
      <w:r>
        <w:rPr>
          <w:rFonts w:hint="eastAsia" w:ascii="宋体" w:hAnsi="宋体" w:eastAsia="宋体" w:cs="宋体"/>
          <w:b/>
          <w:bCs/>
          <w:color w:val="auto"/>
          <w:sz w:val="24"/>
          <w:highlight w:val="none"/>
        </w:rPr>
        <w:t>投标保证金</w:t>
      </w:r>
    </w:p>
    <w:p w14:paraId="64D04C71">
      <w:pPr>
        <w:keepNext w:val="0"/>
        <w:keepLines w:val="0"/>
        <w:pageBreakBefore w:val="0"/>
        <w:widowControl/>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.1 投标人应按本投标人须知前附表所规定的数额和方式提交投标保证金，</w:t>
      </w:r>
      <w:r>
        <w:rPr>
          <w:rFonts w:hint="eastAsia" w:ascii="宋体" w:hAnsi="宋体" w:eastAsia="宋体" w:cs="宋体"/>
          <w:color w:val="auto"/>
          <w:sz w:val="24"/>
          <w:highlight w:val="none"/>
          <w:lang w:eastAsia="zh-CN"/>
        </w:rPr>
        <w:t>不按照</w:t>
      </w:r>
      <w:r>
        <w:rPr>
          <w:rFonts w:hint="eastAsia" w:ascii="宋体" w:hAnsi="宋体" w:eastAsia="宋体" w:cs="宋体"/>
          <w:color w:val="auto"/>
          <w:sz w:val="24"/>
          <w:highlight w:val="none"/>
        </w:rPr>
        <w:t>招标文件要求提交投标保证金</w:t>
      </w:r>
      <w:r>
        <w:rPr>
          <w:rFonts w:hint="eastAsia" w:ascii="宋体" w:hAnsi="宋体" w:eastAsia="宋体" w:cs="宋体"/>
          <w:color w:val="auto"/>
          <w:sz w:val="24"/>
          <w:highlight w:val="none"/>
          <w:lang w:eastAsia="zh-CN"/>
        </w:rPr>
        <w:t>的投标人</w:t>
      </w:r>
      <w:r>
        <w:rPr>
          <w:rFonts w:hint="eastAsia" w:ascii="宋体" w:hAnsi="宋体" w:eastAsia="宋体" w:cs="宋体"/>
          <w:color w:val="auto"/>
          <w:sz w:val="24"/>
          <w:highlight w:val="none"/>
        </w:rPr>
        <w:t>不得进入资格后审和评标；投标保证金有效期应当与投标有效期一致。</w:t>
      </w:r>
    </w:p>
    <w:p w14:paraId="7E641017">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 xml:space="preserve"> 联合体投标的，应当以联合体各方或者联合体中</w:t>
      </w:r>
      <w:r>
        <w:rPr>
          <w:rFonts w:hint="eastAsia" w:ascii="宋体" w:hAnsi="宋体" w:eastAsia="宋体" w:cs="宋体"/>
          <w:color w:val="auto"/>
          <w:sz w:val="24"/>
          <w:highlight w:val="none"/>
          <w:lang w:val="en-US" w:eastAsia="zh-CN"/>
        </w:rPr>
        <w:t>牵头</w:t>
      </w:r>
      <w:r>
        <w:rPr>
          <w:rFonts w:hint="eastAsia" w:ascii="宋体" w:hAnsi="宋体" w:eastAsia="宋体" w:cs="宋体"/>
          <w:color w:val="auto"/>
          <w:sz w:val="24"/>
          <w:highlight w:val="none"/>
        </w:rPr>
        <w:t>人的名义提交投标保证金。以联合体中</w:t>
      </w:r>
      <w:r>
        <w:rPr>
          <w:rFonts w:hint="eastAsia" w:ascii="宋体" w:hAnsi="宋体" w:eastAsia="宋体" w:cs="宋体"/>
          <w:color w:val="auto"/>
          <w:sz w:val="24"/>
          <w:highlight w:val="none"/>
          <w:lang w:val="en-US" w:eastAsia="zh-CN"/>
        </w:rPr>
        <w:t>牵头</w:t>
      </w:r>
      <w:r>
        <w:rPr>
          <w:rFonts w:hint="eastAsia" w:ascii="宋体" w:hAnsi="宋体" w:eastAsia="宋体" w:cs="宋体"/>
          <w:color w:val="auto"/>
          <w:sz w:val="24"/>
          <w:highlight w:val="none"/>
        </w:rPr>
        <w:t>人名义提交的投标保证金，对联合体各成员具有约束力。</w:t>
      </w:r>
    </w:p>
    <w:p w14:paraId="5D810731">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szCs w:val="24"/>
          <w:highlight w:val="none"/>
          <w:u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 xml:space="preserve"> </w:t>
      </w:r>
      <w:r>
        <w:rPr>
          <w:rFonts w:hint="eastAsia" w:ascii="宋体" w:hAnsi="宋体" w:eastAsia="宋体" w:cs="宋体"/>
          <w:color w:val="auto"/>
          <w:spacing w:val="0"/>
          <w:sz w:val="24"/>
          <w:szCs w:val="24"/>
          <w:highlight w:val="none"/>
        </w:rPr>
        <w:t>设有投标保证金的，</w:t>
      </w:r>
      <w:r>
        <w:rPr>
          <w:rFonts w:hint="eastAsia" w:ascii="宋体" w:hAnsi="宋体" w:eastAsia="宋体" w:cs="宋体"/>
          <w:color w:val="auto"/>
          <w:kern w:val="0"/>
          <w:sz w:val="24"/>
          <w:szCs w:val="24"/>
          <w:highlight w:val="none"/>
          <w:u w:val="none"/>
        </w:rPr>
        <w:t>招标人应当在中标通知书发出之日起</w:t>
      </w:r>
      <w:r>
        <w:rPr>
          <w:rFonts w:hint="eastAsia" w:ascii="宋体" w:hAnsi="宋体" w:eastAsia="宋体" w:cs="宋体"/>
          <w:color w:val="auto"/>
          <w:kern w:val="0"/>
          <w:sz w:val="24"/>
          <w:szCs w:val="24"/>
          <w:highlight w:val="none"/>
          <w:u w:val="none"/>
          <w:lang w:val="en-US" w:eastAsia="zh-CN"/>
        </w:rPr>
        <w:t>5</w:t>
      </w:r>
      <w:r>
        <w:rPr>
          <w:rFonts w:hint="eastAsia" w:ascii="宋体" w:hAnsi="宋体" w:eastAsia="宋体" w:cs="宋体"/>
          <w:color w:val="auto"/>
          <w:kern w:val="0"/>
          <w:sz w:val="24"/>
          <w:szCs w:val="24"/>
          <w:highlight w:val="none"/>
          <w:u w:val="none"/>
        </w:rPr>
        <w:t>日内将投标保证金及银行同期存款利息退回中标候选人以外的投标人，在书面合同订立之日起</w:t>
      </w:r>
      <w:r>
        <w:rPr>
          <w:rFonts w:hint="eastAsia" w:ascii="宋体" w:hAnsi="宋体" w:eastAsia="宋体" w:cs="宋体"/>
          <w:color w:val="auto"/>
          <w:kern w:val="0"/>
          <w:sz w:val="24"/>
          <w:szCs w:val="24"/>
          <w:highlight w:val="none"/>
          <w:u w:val="none"/>
          <w:lang w:val="en-US" w:eastAsia="zh-CN"/>
        </w:rPr>
        <w:t>5</w:t>
      </w:r>
      <w:r>
        <w:rPr>
          <w:rFonts w:hint="eastAsia" w:ascii="宋体" w:hAnsi="宋体" w:eastAsia="宋体" w:cs="宋体"/>
          <w:color w:val="auto"/>
          <w:kern w:val="0"/>
          <w:sz w:val="24"/>
          <w:szCs w:val="24"/>
          <w:highlight w:val="none"/>
          <w:u w:val="none"/>
        </w:rPr>
        <w:t>日内将投标保证金及银行同期存款利息退回中标人和其他中标候选人。</w:t>
      </w:r>
    </w:p>
    <w:p w14:paraId="280880FC">
      <w:pPr>
        <w:pStyle w:val="31"/>
        <w:keepNext w:val="0"/>
        <w:keepLines w:val="0"/>
        <w:pageBreakBefore w:val="0"/>
        <w:kinsoku/>
        <w:wordWrap/>
        <w:overflowPunct/>
        <w:topLinePunct w:val="0"/>
        <w:bidi w:val="0"/>
        <w:adjustRightInd/>
        <w:snapToGrid/>
        <w:spacing w:before="0" w:beforeLines="0" w:beforeAutospacing="0" w:after="0" w:afterLines="0" w:afterAutospacing="0" w:line="400" w:lineRule="exact"/>
        <w:ind w:left="0" w:leftChars="0" w:right="0" w:rightChars="0" w:firstLine="480" w:firstLineChars="200"/>
        <w:jc w:val="both"/>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 xml:space="preserve"> 有下列情形之一，招标人应在发生后5个工作日内全额退还投标人的投标保证金及银行同期存款利息：</w:t>
      </w:r>
    </w:p>
    <w:p w14:paraId="379BE6A0">
      <w:pPr>
        <w:pStyle w:val="31"/>
        <w:keepNext w:val="0"/>
        <w:keepLines w:val="0"/>
        <w:pageBreakBefore w:val="0"/>
        <w:kinsoku/>
        <w:wordWrap/>
        <w:overflowPunct/>
        <w:topLinePunct w:val="0"/>
        <w:bidi w:val="0"/>
        <w:adjustRightInd/>
        <w:snapToGrid/>
        <w:spacing w:before="0" w:beforeLines="0" w:beforeAutospacing="0" w:after="0" w:afterLines="0" w:afterAutospacing="0" w:line="400" w:lineRule="exact"/>
        <w:ind w:left="0" w:leftChars="0" w:right="0" w:rightChars="0" w:firstLine="480" w:firstLineChars="200"/>
        <w:jc w:val="both"/>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（1）招标终止</w:t>
      </w:r>
      <w:r>
        <w:rPr>
          <w:rFonts w:hint="eastAsia" w:ascii="宋体" w:hAnsi="宋体" w:eastAsia="宋体" w:cs="宋体"/>
          <w:color w:val="auto"/>
          <w:highlight w:val="none"/>
          <w:lang w:eastAsia="zh-CN"/>
        </w:rPr>
        <w:t>或</w:t>
      </w:r>
      <w:r>
        <w:rPr>
          <w:rFonts w:hint="eastAsia" w:ascii="宋体" w:hAnsi="宋体" w:eastAsia="宋体" w:cs="宋体"/>
          <w:color w:val="auto"/>
          <w:highlight w:val="none"/>
        </w:rPr>
        <w:t>招标失败需要重新招标；</w:t>
      </w:r>
    </w:p>
    <w:p w14:paraId="26DCA35F">
      <w:pPr>
        <w:pStyle w:val="31"/>
        <w:keepNext w:val="0"/>
        <w:keepLines w:val="0"/>
        <w:pageBreakBefore w:val="0"/>
        <w:kinsoku/>
        <w:wordWrap/>
        <w:overflowPunct/>
        <w:topLinePunct w:val="0"/>
        <w:bidi w:val="0"/>
        <w:adjustRightInd/>
        <w:snapToGrid/>
        <w:spacing w:before="0" w:beforeLines="0" w:beforeAutospacing="0" w:after="0" w:afterLines="0" w:afterAutospacing="0" w:line="400" w:lineRule="exact"/>
        <w:ind w:left="0" w:leftChars="0" w:right="0" w:rightChars="0" w:firstLine="480" w:firstLineChars="200"/>
        <w:jc w:val="both"/>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（2）投标人拒绝在投标有效期限终止之后延长投标有效期限。</w:t>
      </w:r>
    </w:p>
    <w:p w14:paraId="25F325CB">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 xml:space="preserve"> 有下列情形之一，招标人可以没收投标人的投标保证金：</w:t>
      </w:r>
    </w:p>
    <w:p w14:paraId="45C975EF">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highlight w:val="none"/>
        </w:rPr>
        <w:t>在投标截止时间之后至投标有效期限终止期间撤回投标文件的；</w:t>
      </w:r>
    </w:p>
    <w:p w14:paraId="4E66EE48">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highlight w:val="none"/>
        </w:rPr>
        <w:t>中标人无正当理由放弃中标或未能在规定期限内提交履约担保或不与招标人签订承包合同或在签订合同时向招标人提出附加条件的；</w:t>
      </w:r>
    </w:p>
    <w:p w14:paraId="7301A89A">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highlight w:val="none"/>
        </w:rPr>
        <w:t>由于违法行为被取消投标资格、中标无效的；</w:t>
      </w:r>
    </w:p>
    <w:p w14:paraId="3C418608">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highlight w:val="none"/>
        </w:rPr>
        <w:t>法律、法规、规章或招标文件规定可以没收投标保证金的其他情形。</w:t>
      </w:r>
      <w:r>
        <w:rPr>
          <w:rFonts w:hint="eastAsia" w:ascii="宋体" w:hAnsi="宋体" w:eastAsia="宋体" w:cs="宋体"/>
          <w:b/>
          <w:color w:val="auto"/>
          <w:sz w:val="24"/>
          <w:highlight w:val="none"/>
        </w:rPr>
        <w:t xml:space="preserve">      </w:t>
      </w:r>
    </w:p>
    <w:p w14:paraId="425FAA5B">
      <w:pPr>
        <w:keepNext w:val="0"/>
        <w:keepLines w:val="0"/>
        <w:pageBreakBefore w:val="0"/>
        <w:shd w:val="clear" w:color="auto" w:fill="auto"/>
        <w:kinsoku/>
        <w:wordWrap/>
        <w:overflowPunct/>
        <w:topLinePunct w:val="0"/>
        <w:bidi w:val="0"/>
        <w:adjustRightInd/>
        <w:snapToGrid/>
        <w:spacing w:line="340" w:lineRule="exact"/>
        <w:ind w:left="0" w:leftChars="0" w:firstLine="482"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.投标文件提交</w:t>
      </w:r>
    </w:p>
    <w:p w14:paraId="0BE4C032">
      <w:pPr>
        <w:keepNext w:val="0"/>
        <w:keepLines w:val="0"/>
        <w:pageBreakBefore w:val="0"/>
        <w:widowControl w:val="0"/>
        <w:shd w:val="clear" w:color="auto" w:fill="auto"/>
        <w:kinsoku w:val="0"/>
        <w:wordWrap w:val="0"/>
        <w:overflowPunct/>
        <w:topLinePunct w:val="0"/>
        <w:autoSpaceDE/>
        <w:autoSpaceDN/>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 投标人应按照投标人须知前附表要求，在投标文件提交截止时间前，投标人通过全国公共资源交易平台（广东省·韶关市）（https://ygp.gdzwfw.gov.cn/ggzy-portal/#/440200/index）提交已加密投标文件。逾期提交的电子投标文件，全国公共资源交易平台（广东省·韶关市）（https://ygp.gdzwfw.gov.cn/ggzy-portal/#/440200/index）将予以拒收。</w:t>
      </w:r>
    </w:p>
    <w:p w14:paraId="1B919723">
      <w:pPr>
        <w:keepNext w:val="0"/>
        <w:keepLines w:val="0"/>
        <w:pageBreakBefore w:val="0"/>
        <w:widowControl w:val="0"/>
        <w:shd w:val="clear" w:color="auto" w:fill="auto"/>
        <w:kinsoku w:val="0"/>
        <w:wordWrap w:val="0"/>
        <w:overflowPunct/>
        <w:topLinePunct w:val="0"/>
        <w:autoSpaceDE/>
        <w:autoSpaceDN/>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21.2 在建设工程交易系统上传加盖了电子印章的投标文件、录入相关信息及标书页码信息，并提交投标标书。提交标书为已加密投标文件。具体操作参照《韶关市公共资源一体化平台——建设工程交易投标人操作指南（电子评标）V1.6》。本项目评标采用全流程电子化进行招标投标（投标人应根据韶关市公共资源建设工程交易系统-招标人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1C779F45">
      <w:pPr>
        <w:keepNext w:val="0"/>
        <w:keepLines w:val="0"/>
        <w:pageBreakBefore w:val="0"/>
        <w:widowControl w:val="0"/>
        <w:shd w:val="clear" w:color="auto" w:fill="auto"/>
        <w:kinsoku w:val="0"/>
        <w:wordWrap w:val="0"/>
        <w:overflowPunct/>
        <w:topLinePunct w:val="0"/>
        <w:autoSpaceDE/>
        <w:autoSpaceDN/>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21.3 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1833FEE5">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21.4</w:t>
      </w:r>
      <w:r>
        <w:rPr>
          <w:rFonts w:hint="eastAsia" w:ascii="宋体" w:hAnsi="宋体" w:eastAsia="宋体" w:cs="宋体"/>
          <w:b w:val="0"/>
          <w:bCs w:val="0"/>
          <w:color w:val="auto"/>
          <w:sz w:val="24"/>
          <w:highlight w:val="none"/>
          <w:lang w:val="en-US" w:eastAsia="zh-CN"/>
        </w:rPr>
        <w:t xml:space="preserve"> 若</w:t>
      </w:r>
      <w:r>
        <w:rPr>
          <w:rFonts w:hint="eastAsia" w:ascii="宋体" w:hAnsi="宋体" w:eastAsia="宋体" w:cs="宋体"/>
          <w:color w:val="auto"/>
          <w:sz w:val="24"/>
          <w:szCs w:val="24"/>
          <w:highlight w:val="none"/>
          <w:lang w:val="en-US" w:eastAsia="zh-CN"/>
        </w:rPr>
        <w:t>招标文件要求提交的用于评审的证书、证件、证明原件的，投标人应自行将所需原件密封于文件袋（箱）中，并自行准备两张“原件一览表”(详见格式十六，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p w14:paraId="4B9CC06C">
      <w:pPr>
        <w:pStyle w:val="4"/>
        <w:bidi w:val="0"/>
        <w:rPr>
          <w:rFonts w:hint="eastAsia" w:ascii="宋体" w:hAnsi="宋体" w:eastAsia="宋体" w:cs="宋体"/>
          <w:color w:val="auto"/>
        </w:rPr>
      </w:pPr>
      <w:bookmarkStart w:id="24" w:name="_Toc20998"/>
      <w:r>
        <w:rPr>
          <w:rFonts w:hint="eastAsia" w:ascii="宋体" w:hAnsi="宋体" w:eastAsia="宋体" w:cs="宋体"/>
          <w:color w:val="auto"/>
        </w:rPr>
        <w:t>（</w:t>
      </w:r>
      <w:r>
        <w:rPr>
          <w:rFonts w:hint="eastAsia" w:ascii="宋体" w:hAnsi="宋体" w:eastAsia="宋体" w:cs="宋体"/>
          <w:color w:val="auto"/>
          <w:lang w:eastAsia="zh-CN"/>
        </w:rPr>
        <w:t>五</w:t>
      </w:r>
      <w:r>
        <w:rPr>
          <w:rFonts w:hint="eastAsia" w:ascii="宋体" w:hAnsi="宋体" w:eastAsia="宋体" w:cs="宋体"/>
          <w:color w:val="auto"/>
        </w:rPr>
        <w:t>） 开标规定</w:t>
      </w:r>
      <w:bookmarkEnd w:id="24"/>
    </w:p>
    <w:p w14:paraId="42265933">
      <w:pPr>
        <w:pStyle w:val="12"/>
        <w:keepNext w:val="0"/>
        <w:keepLines w:val="0"/>
        <w:pageBreakBefore w:val="0"/>
        <w:shd w:val="clear" w:color="auto" w:fill="auto"/>
        <w:kinsoku/>
        <w:wordWrap/>
        <w:overflowPunct/>
        <w:topLinePunct w:val="0"/>
        <w:bidi w:val="0"/>
        <w:adjustRightInd/>
        <w:snapToGrid/>
        <w:spacing w:line="340" w:lineRule="exact"/>
        <w:ind w:left="0" w:leftChars="0" w:firstLine="482" w:firstLineChars="200"/>
        <w:jc w:val="both"/>
        <w:textAlignment w:val="auto"/>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2</w:t>
      </w:r>
      <w:r>
        <w:rPr>
          <w:rFonts w:hint="eastAsia" w:ascii="宋体" w:hAnsi="宋体" w:eastAsia="宋体" w:cs="宋体"/>
          <w:b/>
          <w:color w:val="auto"/>
          <w:sz w:val="24"/>
          <w:highlight w:val="none"/>
        </w:rPr>
        <w:t>． 开标</w:t>
      </w:r>
    </w:p>
    <w:p w14:paraId="3A0B0A3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.1 招标人邀请所有正确获取招标文件、电子投标、缴纳投标保证的投标人参加开标，投标人可自主决定是否参加。投标人可</w:t>
      </w:r>
      <w:r>
        <w:rPr>
          <w:rFonts w:hint="eastAsia" w:ascii="宋体" w:hAnsi="宋体" w:cs="宋体"/>
          <w:color w:val="auto"/>
          <w:sz w:val="24"/>
          <w:highlight w:val="none"/>
          <w:lang w:eastAsia="zh-CN"/>
        </w:rPr>
        <w:t>登录</w:t>
      </w:r>
      <w:r>
        <w:rPr>
          <w:rFonts w:hint="eastAsia" w:ascii="宋体" w:hAnsi="宋体" w:eastAsia="宋体" w:cs="宋体"/>
          <w:color w:val="auto"/>
          <w:sz w:val="24"/>
          <w:highlight w:val="none"/>
        </w:rPr>
        <w:t>交易平台观看开标实况、提出异议或进行澄清、确认等操作（具体按招标文件和系统操作手册为准）。投标人不参加开标的，视其默认开标结果，以及放弃在开标期间见证、监督、投诉、申辩的权利。</w:t>
      </w:r>
    </w:p>
    <w:p w14:paraId="3231B70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22.1.1开标时间和地点：见本章第二节“重要事项时间地点一览表”。</w:t>
      </w:r>
    </w:p>
    <w:p w14:paraId="6F55AECE">
      <w:pPr>
        <w:keepNext w:val="0"/>
        <w:keepLines w:val="0"/>
        <w:pageBreakBefore w:val="0"/>
        <w:widowControl w:val="0"/>
        <w:kinsoku w:val="0"/>
        <w:wordWrap w:val="0"/>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22.1.2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全国公共资源交易平台（广东省·韶关市）（https://ygp.gdzwfw.gov.cn/ggzy-portal/#/440200/index）查询是否发布了取消开标活动的相关信息。</w:t>
      </w:r>
    </w:p>
    <w:p w14:paraId="28B4A72E">
      <w:pPr>
        <w:keepNext w:val="0"/>
        <w:keepLines w:val="0"/>
        <w:pageBreakBefore w:val="0"/>
        <w:widowControl w:val="0"/>
        <w:kinsoku w:val="0"/>
        <w:wordWrap w:val="0"/>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22.1.3本项目实行全流程电子化招标投标，投标人在交易平台按要求上传加盖电子印章并经加密的电子投标文件，并在交易平台录入准确的页码信息即可完成在线投标。由于投标人原因导致未按投标</w:t>
      </w:r>
      <w:r>
        <w:rPr>
          <w:rFonts w:hint="eastAsia" w:ascii="宋体" w:hAnsi="宋体" w:cs="宋体"/>
          <w:color w:val="auto"/>
          <w:sz w:val="24"/>
          <w:highlight w:val="none"/>
          <w:lang w:val="en-US" w:eastAsia="zh-CN"/>
        </w:rPr>
        <w:t>截止</w:t>
      </w:r>
      <w:r>
        <w:rPr>
          <w:rFonts w:hint="eastAsia" w:ascii="宋体" w:hAnsi="宋体" w:eastAsia="宋体" w:cs="宋体"/>
          <w:color w:val="auto"/>
          <w:sz w:val="24"/>
          <w:highlight w:val="none"/>
          <w:lang w:val="en-US" w:eastAsia="zh-CN"/>
        </w:rPr>
        <w:t>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25ACB46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strike w:val="0"/>
          <w:color w:val="auto"/>
          <w:sz w:val="24"/>
          <w:szCs w:val="24"/>
          <w:highlight w:val="none"/>
        </w:rPr>
      </w:pPr>
      <w:r>
        <w:rPr>
          <w:rFonts w:hint="eastAsia" w:ascii="宋体" w:hAnsi="宋体" w:eastAsia="宋体" w:cs="宋体"/>
          <w:color w:val="auto"/>
          <w:sz w:val="24"/>
          <w:szCs w:val="24"/>
          <w:highlight w:val="none"/>
          <w:lang w:val="en-US" w:eastAsia="zh-CN"/>
        </w:rPr>
        <w:t>22.2</w:t>
      </w:r>
      <w:r>
        <w:rPr>
          <w:rFonts w:hint="eastAsia" w:ascii="宋体" w:hAnsi="宋体" w:eastAsia="宋体" w:cs="宋体"/>
          <w:color w:val="auto"/>
          <w:sz w:val="24"/>
          <w:szCs w:val="24"/>
          <w:highlight w:val="none"/>
          <w:lang w:eastAsia="zh-CN"/>
        </w:rPr>
        <w:t>本项目的开标起始时间即为投标人递交</w:t>
      </w:r>
      <w:r>
        <w:rPr>
          <w:rFonts w:hint="eastAsia" w:ascii="宋体" w:hAnsi="宋体" w:eastAsia="宋体" w:cs="宋体"/>
          <w:b w:val="0"/>
          <w:bCs w:val="0"/>
          <w:color w:val="auto"/>
          <w:sz w:val="24"/>
          <w:szCs w:val="24"/>
          <w:highlight w:val="none"/>
          <w:lang w:val="en-US" w:eastAsia="zh-CN"/>
        </w:rPr>
        <w:t>投标文件的截止时间。投标人使用全国互认CA的，必须由投标人自行解密外，投标人电子</w:t>
      </w:r>
      <w:r>
        <w:rPr>
          <w:rFonts w:hint="eastAsia" w:ascii="宋体" w:hAnsi="宋体" w:eastAsia="宋体" w:cs="宋体"/>
          <w:color w:val="auto"/>
          <w:sz w:val="24"/>
          <w:szCs w:val="24"/>
          <w:highlight w:val="none"/>
          <w:lang w:val="en-US" w:eastAsia="zh-CN"/>
        </w:rPr>
        <w:t>投标信息由招标代理进行解密，建设工程交易系统自动生成《投标保证缴纳情况表》和《开标一览表》。</w:t>
      </w:r>
    </w:p>
    <w:p w14:paraId="162C0C1E">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bCs/>
          <w:color w:val="auto"/>
          <w:sz w:val="24"/>
          <w:highlight w:val="none"/>
        </w:rPr>
        <w:t>2</w:t>
      </w:r>
      <w:r>
        <w:rPr>
          <w:rFonts w:hint="eastAsia" w:ascii="宋体" w:hAnsi="宋体" w:eastAsia="宋体" w:cs="宋体"/>
          <w:bCs/>
          <w:color w:val="auto"/>
          <w:sz w:val="24"/>
          <w:highlight w:val="none"/>
          <w:lang w:val="en-US" w:eastAsia="zh-CN"/>
        </w:rPr>
        <w:t>2</w:t>
      </w:r>
      <w:r>
        <w:rPr>
          <w:rFonts w:hint="eastAsia" w:ascii="宋体" w:hAnsi="宋体" w:eastAsia="宋体" w:cs="宋体"/>
          <w:bCs/>
          <w:color w:val="auto"/>
          <w:sz w:val="24"/>
          <w:highlight w:val="none"/>
        </w:rPr>
        <w:t>.</w:t>
      </w:r>
      <w:r>
        <w:rPr>
          <w:rFonts w:hint="eastAsia" w:ascii="宋体" w:hAnsi="宋体" w:eastAsia="宋体" w:cs="宋体"/>
          <w:bCs/>
          <w:color w:val="auto"/>
          <w:sz w:val="24"/>
          <w:highlight w:val="none"/>
          <w:lang w:val="en-US" w:eastAsia="zh-CN"/>
        </w:rPr>
        <w:t>3</w:t>
      </w:r>
      <w:r>
        <w:rPr>
          <w:rFonts w:hint="eastAsia" w:ascii="宋体" w:hAnsi="宋体" w:eastAsia="宋体" w:cs="宋体"/>
          <w:bCs/>
          <w:color w:val="auto"/>
          <w:sz w:val="24"/>
          <w:highlight w:val="none"/>
        </w:rPr>
        <w:t xml:space="preserve"> </w:t>
      </w:r>
      <w:r>
        <w:rPr>
          <w:rFonts w:hint="eastAsia" w:ascii="宋体" w:hAnsi="宋体" w:eastAsia="宋体" w:cs="宋体"/>
          <w:color w:val="auto"/>
          <w:sz w:val="24"/>
          <w:highlight w:val="none"/>
        </w:rPr>
        <w:t>开标由招标人或其招标代理机构主持，其程序如下：</w:t>
      </w:r>
    </w:p>
    <w:p w14:paraId="1E04A7FA">
      <w:pPr>
        <w:keepNext w:val="0"/>
        <w:keepLines w:val="0"/>
        <w:pageBreakBefore w:val="0"/>
        <w:shd w:val="clear" w:color="auto" w:fill="auto"/>
        <w:kinsoku/>
        <w:wordWrap/>
        <w:overflowPunct/>
        <w:topLinePunct w:val="0"/>
        <w:autoSpaceDE/>
        <w:autoSpaceDN/>
        <w:bidi w:val="0"/>
        <w:adjustRightInd/>
        <w:snapToGrid/>
        <w:spacing w:line="340" w:lineRule="exact"/>
        <w:ind w:left="0" w:leftChars="0" w:firstLine="480" w:firstLineChars="200"/>
        <w:jc w:val="both"/>
        <w:textAlignment w:val="auto"/>
        <w:outlineLvl w:val="9"/>
        <w:rPr>
          <w:rFonts w:hint="eastAsia" w:ascii="宋体" w:hAnsi="宋体" w:eastAsia="宋体" w:cs="宋体"/>
          <w:strike w:val="0"/>
          <w:dstrike w:val="0"/>
          <w:color w:val="auto"/>
          <w:sz w:val="24"/>
          <w:highlight w:val="none"/>
        </w:rPr>
      </w:pPr>
      <w:r>
        <w:rPr>
          <w:rFonts w:hint="eastAsia" w:ascii="宋体" w:hAnsi="宋体" w:eastAsia="宋体" w:cs="宋体"/>
          <w:strike w:val="0"/>
          <w:dstrike w:val="0"/>
          <w:color w:val="auto"/>
          <w:sz w:val="24"/>
          <w:highlight w:val="none"/>
        </w:rPr>
        <w:t>（1）主持人（招标人代表或招标人授权的招标代理机构人员）宣读开标纪律。</w:t>
      </w:r>
    </w:p>
    <w:p w14:paraId="5D4F8775">
      <w:pPr>
        <w:keepNext w:val="0"/>
        <w:keepLines w:val="0"/>
        <w:pageBreakBefore w:val="0"/>
        <w:shd w:val="clear" w:color="auto" w:fill="auto"/>
        <w:kinsoku/>
        <w:wordWrap/>
        <w:overflowPunct/>
        <w:topLinePunct w:val="0"/>
        <w:autoSpaceDE/>
        <w:autoSpaceDN/>
        <w:bidi w:val="0"/>
        <w:adjustRightInd/>
        <w:snapToGrid/>
        <w:spacing w:line="340" w:lineRule="exact"/>
        <w:ind w:left="0" w:leftChars="0" w:firstLine="480" w:firstLineChars="200"/>
        <w:jc w:val="both"/>
        <w:textAlignment w:val="auto"/>
        <w:outlineLvl w:val="9"/>
        <w:rPr>
          <w:rFonts w:hint="eastAsia" w:ascii="宋体" w:hAnsi="宋体" w:eastAsia="宋体" w:cs="宋体"/>
          <w:strike w:val="0"/>
          <w:dstrike w:val="0"/>
          <w:color w:val="auto"/>
          <w:sz w:val="24"/>
          <w:highlight w:val="none"/>
        </w:rPr>
      </w:pPr>
      <w:r>
        <w:rPr>
          <w:rFonts w:hint="eastAsia" w:ascii="宋体" w:hAnsi="宋体" w:eastAsia="宋体" w:cs="宋体"/>
          <w:strike w:val="0"/>
          <w:dstrike w:val="0"/>
          <w:color w:val="auto"/>
          <w:sz w:val="24"/>
          <w:highlight w:val="none"/>
        </w:rPr>
        <w:t>（2）主持人宣布唱标人、记录人、见证人、监督人等有关人员姓名。</w:t>
      </w:r>
    </w:p>
    <w:p w14:paraId="621FF29A">
      <w:pPr>
        <w:keepNext w:val="0"/>
        <w:keepLines w:val="0"/>
        <w:pageBreakBefore w:val="0"/>
        <w:shd w:val="clear" w:color="auto" w:fill="auto"/>
        <w:kinsoku/>
        <w:wordWrap/>
        <w:overflowPunct/>
        <w:topLinePunct w:val="0"/>
        <w:autoSpaceDE/>
        <w:autoSpaceDN/>
        <w:bidi w:val="0"/>
        <w:adjustRightInd/>
        <w:snapToGrid/>
        <w:spacing w:line="340" w:lineRule="exact"/>
        <w:ind w:left="0" w:leftChars="0" w:firstLine="480" w:firstLineChars="200"/>
        <w:jc w:val="both"/>
        <w:textAlignment w:val="auto"/>
        <w:outlineLvl w:val="9"/>
        <w:rPr>
          <w:rFonts w:hint="eastAsia" w:ascii="宋体" w:hAnsi="宋体" w:eastAsia="宋体" w:cs="宋体"/>
          <w:strike w:val="0"/>
          <w:dstrike w:val="0"/>
          <w:color w:val="auto"/>
          <w:sz w:val="24"/>
          <w:highlight w:val="none"/>
        </w:rPr>
      </w:pPr>
      <w:r>
        <w:rPr>
          <w:rFonts w:hint="eastAsia" w:ascii="宋体" w:hAnsi="宋体" w:eastAsia="宋体" w:cs="宋体"/>
          <w:strike w:val="0"/>
          <w:dstrike w:val="0"/>
          <w:color w:val="auto"/>
          <w:sz w:val="24"/>
          <w:highlight w:val="none"/>
        </w:rPr>
        <w:t>（3）招标代理机构会同交易场所工作人员对投标人的电子投标信息进行解密，建设工程交易系统自动生成《投标保证缴纳情况表》和《开标一览表》。</w:t>
      </w:r>
    </w:p>
    <w:p w14:paraId="39FC9CAE">
      <w:pPr>
        <w:keepNext w:val="0"/>
        <w:keepLines w:val="0"/>
        <w:pageBreakBefore w:val="0"/>
        <w:shd w:val="clear" w:color="auto" w:fill="auto"/>
        <w:kinsoku/>
        <w:wordWrap/>
        <w:overflowPunct/>
        <w:topLinePunct w:val="0"/>
        <w:autoSpaceDE/>
        <w:autoSpaceDN/>
        <w:bidi w:val="0"/>
        <w:adjustRightInd/>
        <w:snapToGrid/>
        <w:spacing w:line="340" w:lineRule="exact"/>
        <w:ind w:left="0" w:leftChars="0" w:firstLine="480" w:firstLineChars="200"/>
        <w:jc w:val="both"/>
        <w:textAlignment w:val="auto"/>
        <w:outlineLvl w:val="9"/>
        <w:rPr>
          <w:rFonts w:hint="eastAsia" w:ascii="宋体" w:hAnsi="宋体" w:eastAsia="宋体" w:cs="宋体"/>
          <w:strike w:val="0"/>
          <w:dstrike w:val="0"/>
          <w:color w:val="auto"/>
          <w:sz w:val="24"/>
          <w:highlight w:val="none"/>
        </w:rPr>
      </w:pPr>
      <w:r>
        <w:rPr>
          <w:rFonts w:hint="eastAsia" w:ascii="宋体" w:hAnsi="宋体" w:eastAsia="宋体" w:cs="宋体"/>
          <w:strike w:val="0"/>
          <w:dstrike w:val="0"/>
          <w:color w:val="auto"/>
          <w:sz w:val="24"/>
          <w:highlight w:val="none"/>
        </w:rPr>
        <w:t>温馨提示：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2EEA78C9">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 xml:space="preserve"> </w:t>
      </w:r>
      <w:r>
        <w:rPr>
          <w:rFonts w:hint="eastAsia" w:ascii="宋体" w:hAnsi="宋体" w:eastAsia="宋体" w:cs="宋体"/>
          <w:color w:val="auto"/>
          <w:sz w:val="24"/>
          <w:szCs w:val="24"/>
          <w:highlight w:val="none"/>
          <w:lang w:val="en-US" w:eastAsia="zh-CN"/>
        </w:rPr>
        <w:t>开标会上，符合要求的</w:t>
      </w:r>
      <w:r>
        <w:rPr>
          <w:rFonts w:hint="eastAsia" w:ascii="宋体" w:hAnsi="宋体" w:eastAsia="宋体" w:cs="宋体"/>
          <w:color w:val="auto"/>
          <w:sz w:val="24"/>
          <w:szCs w:val="24"/>
          <w:highlight w:val="none"/>
        </w:rPr>
        <w:t>投标人少于3</w:t>
      </w:r>
      <w:r>
        <w:rPr>
          <w:rFonts w:hint="eastAsia" w:ascii="宋体" w:hAnsi="宋体" w:eastAsia="宋体" w:cs="宋体"/>
          <w:color w:val="auto"/>
          <w:sz w:val="24"/>
          <w:szCs w:val="24"/>
          <w:highlight w:val="none"/>
          <w:lang w:eastAsia="zh-CN"/>
        </w:rPr>
        <w:t>家时</w:t>
      </w:r>
      <w:r>
        <w:rPr>
          <w:rFonts w:hint="eastAsia" w:ascii="宋体" w:hAnsi="宋体" w:eastAsia="宋体" w:cs="宋体"/>
          <w:color w:val="auto"/>
          <w:sz w:val="24"/>
          <w:szCs w:val="24"/>
          <w:highlight w:val="none"/>
        </w:rPr>
        <w:t>，该项目招标失败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highlight w:val="none"/>
        </w:rPr>
        <w:t>招标人应依法重新招标或</w:t>
      </w:r>
      <w:r>
        <w:rPr>
          <w:rFonts w:hint="eastAsia" w:ascii="宋体" w:hAnsi="宋体" w:eastAsia="宋体" w:cs="宋体"/>
          <w:color w:val="auto"/>
          <w:sz w:val="24"/>
          <w:highlight w:val="none"/>
          <w:lang w:eastAsia="zh-CN"/>
        </w:rPr>
        <w:t>按规定</w:t>
      </w:r>
      <w:r>
        <w:rPr>
          <w:rFonts w:hint="eastAsia" w:ascii="宋体" w:hAnsi="宋体" w:eastAsia="宋体" w:cs="宋体"/>
          <w:color w:val="auto"/>
          <w:sz w:val="24"/>
          <w:highlight w:val="none"/>
        </w:rPr>
        <w:t>报原项目审批</w:t>
      </w:r>
      <w:r>
        <w:rPr>
          <w:rFonts w:hint="eastAsia" w:ascii="宋体" w:hAnsi="宋体" w:eastAsia="宋体" w:cs="宋体"/>
          <w:color w:val="auto"/>
          <w:sz w:val="24"/>
          <w:highlight w:val="none"/>
          <w:lang w:eastAsia="zh-CN"/>
        </w:rPr>
        <w:t>、核准</w:t>
      </w:r>
      <w:r>
        <w:rPr>
          <w:rFonts w:hint="eastAsia" w:ascii="宋体" w:hAnsi="宋体" w:eastAsia="宋体" w:cs="宋体"/>
          <w:color w:val="auto"/>
          <w:sz w:val="24"/>
          <w:highlight w:val="none"/>
        </w:rPr>
        <w:t>部门重新</w:t>
      </w:r>
      <w:r>
        <w:rPr>
          <w:rFonts w:hint="eastAsia" w:ascii="宋体" w:hAnsi="宋体" w:eastAsia="宋体" w:cs="宋体"/>
          <w:color w:val="auto"/>
          <w:sz w:val="24"/>
          <w:highlight w:val="none"/>
          <w:lang w:eastAsia="zh-CN"/>
        </w:rPr>
        <w:t>审批、</w:t>
      </w:r>
      <w:r>
        <w:rPr>
          <w:rFonts w:hint="eastAsia" w:ascii="宋体" w:hAnsi="宋体" w:eastAsia="宋体" w:cs="宋体"/>
          <w:color w:val="auto"/>
          <w:sz w:val="24"/>
          <w:highlight w:val="none"/>
        </w:rPr>
        <w:t>核准招标方式。</w:t>
      </w:r>
    </w:p>
    <w:p w14:paraId="5331F172">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32"/>
          <w:szCs w:val="32"/>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.5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763BD4ED">
      <w:pPr>
        <w:pStyle w:val="4"/>
        <w:bidi w:val="0"/>
        <w:rPr>
          <w:rFonts w:hint="eastAsia" w:ascii="宋体" w:hAnsi="宋体" w:eastAsia="宋体" w:cs="宋体"/>
          <w:b/>
          <w:color w:val="auto"/>
          <w:sz w:val="24"/>
          <w:highlight w:val="none"/>
        </w:rPr>
      </w:pPr>
      <w:bookmarkStart w:id="25" w:name="_Toc12314"/>
      <w:r>
        <w:rPr>
          <w:rFonts w:hint="eastAsia" w:ascii="宋体" w:hAnsi="宋体" w:eastAsia="宋体" w:cs="宋体"/>
          <w:color w:val="auto"/>
        </w:rPr>
        <w:t>（</w:t>
      </w:r>
      <w:r>
        <w:rPr>
          <w:rFonts w:hint="eastAsia" w:ascii="宋体" w:hAnsi="宋体" w:eastAsia="宋体" w:cs="宋体"/>
          <w:color w:val="auto"/>
          <w:lang w:eastAsia="zh-CN"/>
        </w:rPr>
        <w:t>六</w:t>
      </w:r>
      <w:r>
        <w:rPr>
          <w:rFonts w:hint="eastAsia" w:ascii="宋体" w:hAnsi="宋体" w:eastAsia="宋体" w:cs="宋体"/>
          <w:color w:val="auto"/>
        </w:rPr>
        <w:t>）评标</w:t>
      </w:r>
      <w:r>
        <w:rPr>
          <w:rFonts w:hint="eastAsia" w:ascii="宋体" w:hAnsi="宋体" w:eastAsia="宋体" w:cs="宋体"/>
          <w:color w:val="auto"/>
          <w:lang w:eastAsia="zh-CN"/>
        </w:rPr>
        <w:t>规定</w:t>
      </w:r>
      <w:bookmarkEnd w:id="25"/>
    </w:p>
    <w:p w14:paraId="4B326770">
      <w:pPr>
        <w:keepNext w:val="0"/>
        <w:keepLines w:val="0"/>
        <w:pageBreakBefore w:val="0"/>
        <w:shd w:val="clear" w:color="auto" w:fill="auto"/>
        <w:kinsoku/>
        <w:wordWrap/>
        <w:overflowPunct/>
        <w:topLinePunct w:val="0"/>
        <w:bidi w:val="0"/>
        <w:adjustRightInd/>
        <w:snapToGrid/>
        <w:spacing w:line="340" w:lineRule="exact"/>
        <w:ind w:left="0" w:leftChars="0" w:firstLine="482"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3</w:t>
      </w:r>
      <w:r>
        <w:rPr>
          <w:rFonts w:hint="eastAsia" w:ascii="宋体" w:hAnsi="宋体" w:eastAsia="宋体" w:cs="宋体"/>
          <w:b/>
          <w:color w:val="auto"/>
          <w:sz w:val="24"/>
          <w:highlight w:val="none"/>
        </w:rPr>
        <w:t>.</w:t>
      </w: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lang w:eastAsia="zh-CN"/>
        </w:rPr>
        <w:t>评标委员会</w:t>
      </w:r>
    </w:p>
    <w:p w14:paraId="2C3E3B69">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 xml:space="preserve">.1 </w:t>
      </w:r>
      <w:r>
        <w:rPr>
          <w:rFonts w:hint="eastAsia" w:ascii="宋体" w:hAnsi="宋体" w:eastAsia="宋体" w:cs="宋体"/>
          <w:b w:val="0"/>
          <w:bCs w:val="0"/>
          <w:color w:val="auto"/>
          <w:sz w:val="24"/>
          <w:szCs w:val="24"/>
          <w:highlight w:val="none"/>
          <w:lang w:eastAsia="zh-CN"/>
        </w:rPr>
        <w:t>本项目采用韶关市公共资源交易中心交易系统电子评标。</w:t>
      </w:r>
      <w:r>
        <w:rPr>
          <w:rFonts w:hint="eastAsia" w:ascii="宋体" w:hAnsi="宋体" w:eastAsia="宋体" w:cs="宋体"/>
          <w:color w:val="auto"/>
          <w:sz w:val="24"/>
          <w:highlight w:val="none"/>
        </w:rPr>
        <w:t>评标委员会由招标人依法组建，</w:t>
      </w:r>
      <w:r>
        <w:rPr>
          <w:rFonts w:hint="eastAsia" w:ascii="宋体" w:hAnsi="宋体" w:eastAsia="宋体" w:cs="宋体"/>
          <w:color w:val="auto"/>
          <w:sz w:val="24"/>
          <w:highlight w:val="none"/>
          <w:lang w:eastAsia="zh-CN"/>
        </w:rPr>
        <w:t>其中，</w:t>
      </w:r>
      <w:r>
        <w:rPr>
          <w:rFonts w:hint="eastAsia" w:ascii="宋体" w:hAnsi="宋体" w:eastAsia="宋体" w:cs="宋体"/>
          <w:color w:val="auto"/>
          <w:kern w:val="0"/>
          <w:sz w:val="24"/>
          <w:szCs w:val="24"/>
          <w:highlight w:val="none"/>
        </w:rPr>
        <w:t>采用远程异地评标方式评标的</w:t>
      </w:r>
      <w:r>
        <w:rPr>
          <w:rFonts w:hint="eastAsia" w:ascii="宋体" w:hAnsi="宋体" w:eastAsia="宋体" w:cs="宋体"/>
          <w:color w:val="auto"/>
          <w:kern w:val="0"/>
          <w:sz w:val="24"/>
          <w:szCs w:val="24"/>
          <w:highlight w:val="none"/>
          <w:lang w:eastAsia="zh-CN"/>
        </w:rPr>
        <w:t>，招标人应</w:t>
      </w:r>
      <w:r>
        <w:rPr>
          <w:rFonts w:hint="eastAsia" w:ascii="宋体" w:hAnsi="宋体" w:eastAsia="宋体" w:cs="宋体"/>
          <w:color w:val="auto"/>
          <w:kern w:val="0"/>
          <w:sz w:val="24"/>
          <w:szCs w:val="24"/>
          <w:highlight w:val="none"/>
        </w:rPr>
        <w:t>合理确定主场、副场评标专家专业类别及专家人数，依法组建</w:t>
      </w:r>
      <w:r>
        <w:rPr>
          <w:rFonts w:hint="eastAsia" w:ascii="宋体" w:hAnsi="宋体" w:eastAsia="宋体" w:cs="宋体"/>
          <w:color w:val="auto"/>
          <w:sz w:val="24"/>
          <w:highlight w:val="none"/>
          <w:lang w:eastAsia="zh-CN"/>
        </w:rPr>
        <w:t>评标委员会</w:t>
      </w:r>
      <w:r>
        <w:rPr>
          <w:rFonts w:hint="eastAsia" w:ascii="宋体" w:hAnsi="宋体" w:eastAsia="宋体" w:cs="宋体"/>
          <w:color w:val="auto"/>
          <w:kern w:val="0"/>
          <w:sz w:val="24"/>
          <w:szCs w:val="24"/>
          <w:highlight w:val="none"/>
        </w:rPr>
        <w:t>，并在规定时间内抽取专家</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sz w:val="24"/>
          <w:highlight w:val="none"/>
        </w:rPr>
        <w:t>其组成人员数见本投标人须知前附表。委员会成员按有关规定从广东省综合评标评审专家库</w:t>
      </w:r>
      <w:r>
        <w:rPr>
          <w:rFonts w:hint="eastAsia" w:ascii="宋体" w:hAnsi="宋体" w:eastAsia="宋体" w:cs="宋体"/>
          <w:snapToGrid w:val="0"/>
          <w:color w:val="auto"/>
          <w:kern w:val="0"/>
          <w:sz w:val="24"/>
          <w:szCs w:val="24"/>
          <w:highlight w:val="none"/>
          <w:lang w:eastAsia="zh-CN"/>
        </w:rPr>
        <w:t>—韶关区域中</w:t>
      </w:r>
      <w:r>
        <w:rPr>
          <w:rFonts w:hint="eastAsia" w:ascii="宋体" w:hAnsi="宋体" w:eastAsia="宋体" w:cs="宋体"/>
          <w:color w:val="auto"/>
          <w:sz w:val="24"/>
          <w:highlight w:val="none"/>
        </w:rPr>
        <w:t>随机抽取，并从中推选出</w:t>
      </w:r>
      <w:r>
        <w:rPr>
          <w:rFonts w:hint="eastAsia" w:ascii="宋体" w:hAnsi="宋体" w:eastAsia="宋体" w:cs="宋体"/>
          <w:color w:val="auto"/>
          <w:sz w:val="24"/>
          <w:highlight w:val="none"/>
          <w:lang w:eastAsia="zh-CN"/>
        </w:rPr>
        <w:t>评标委员会组长</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组长</w:t>
      </w:r>
      <w:r>
        <w:rPr>
          <w:rFonts w:hint="eastAsia" w:ascii="宋体" w:hAnsi="宋体" w:eastAsia="宋体" w:cs="宋体"/>
          <w:color w:val="auto"/>
          <w:sz w:val="24"/>
          <w:highlight w:val="none"/>
        </w:rPr>
        <w:t>主持</w:t>
      </w:r>
      <w:r>
        <w:rPr>
          <w:rFonts w:hint="eastAsia" w:ascii="宋体" w:hAnsi="宋体" w:eastAsia="宋体" w:cs="宋体"/>
          <w:color w:val="auto"/>
          <w:sz w:val="24"/>
          <w:highlight w:val="none"/>
          <w:lang w:eastAsia="zh-CN"/>
        </w:rPr>
        <w:t>评标</w:t>
      </w:r>
      <w:r>
        <w:rPr>
          <w:rFonts w:hint="eastAsia" w:ascii="宋体" w:hAnsi="宋体" w:eastAsia="宋体" w:cs="宋体"/>
          <w:color w:val="auto"/>
          <w:sz w:val="24"/>
          <w:highlight w:val="none"/>
        </w:rPr>
        <w:t>工作。</w:t>
      </w:r>
    </w:p>
    <w:p w14:paraId="7987FFA3">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招标人可以派代表参加评标委员会，原则上以一人为限，该代表应为招标人的正式员工，且具备国家和省规定的评标专家条件和要求，但不得担任评标委员会负责人，不得接受评标报酬，不得以任何方式影响其他评标专家独立评审。</w:t>
      </w:r>
    </w:p>
    <w:p w14:paraId="6246A45B">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 xml:space="preserve">.2 </w:t>
      </w:r>
      <w:r>
        <w:rPr>
          <w:rFonts w:hint="eastAsia" w:ascii="宋体" w:hAnsi="宋体" w:eastAsia="宋体" w:cs="宋体"/>
          <w:color w:val="auto"/>
          <w:sz w:val="24"/>
          <w:highlight w:val="none"/>
          <w:lang w:eastAsia="zh-CN"/>
        </w:rPr>
        <w:t>评标专家</w:t>
      </w:r>
      <w:r>
        <w:rPr>
          <w:rFonts w:hint="eastAsia" w:ascii="宋体" w:hAnsi="宋体" w:eastAsia="宋体" w:cs="宋体"/>
          <w:color w:val="auto"/>
          <w:sz w:val="24"/>
          <w:highlight w:val="none"/>
        </w:rPr>
        <w:t>应按时参加评标活动，自觉遵守工作纪律和服从现场管理</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采用远程异地评标方式评标的</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主场、副场各自负责本场所</w:t>
      </w:r>
      <w:r>
        <w:rPr>
          <w:rFonts w:hint="eastAsia" w:ascii="宋体" w:hAnsi="宋体" w:eastAsia="宋体" w:cs="宋体"/>
          <w:color w:val="auto"/>
          <w:sz w:val="24"/>
          <w:highlight w:val="none"/>
          <w:lang w:eastAsia="zh-CN"/>
        </w:rPr>
        <w:t>评标委员会</w:t>
      </w:r>
      <w:r>
        <w:rPr>
          <w:rFonts w:hint="eastAsia" w:ascii="宋体" w:hAnsi="宋体" w:eastAsia="宋体" w:cs="宋体"/>
          <w:color w:val="auto"/>
          <w:sz w:val="24"/>
          <w:highlight w:val="none"/>
        </w:rPr>
        <w:t>成员身份核验和签到工作，统一保管其通讯工具，指引评标专家至远程异地评标室，并为其提供技术协助和服务。在评标过程中如遇评标专家对投标文件存在疑问或意见分歧的，应由</w:t>
      </w:r>
      <w:r>
        <w:rPr>
          <w:rFonts w:hint="eastAsia" w:ascii="宋体" w:hAnsi="宋体" w:eastAsia="宋体" w:cs="宋体"/>
          <w:color w:val="auto"/>
          <w:sz w:val="24"/>
          <w:highlight w:val="none"/>
          <w:lang w:eastAsia="zh-CN"/>
        </w:rPr>
        <w:t>评标委员会</w:t>
      </w:r>
      <w:r>
        <w:rPr>
          <w:rFonts w:hint="eastAsia" w:ascii="宋体" w:hAnsi="宋体" w:eastAsia="宋体" w:cs="宋体"/>
          <w:color w:val="auto"/>
          <w:sz w:val="24"/>
          <w:highlight w:val="none"/>
        </w:rPr>
        <w:t>成员推举产生</w:t>
      </w:r>
      <w:r>
        <w:rPr>
          <w:rFonts w:hint="eastAsia" w:ascii="宋体" w:hAnsi="宋体" w:eastAsia="宋体" w:cs="宋体"/>
          <w:color w:val="auto"/>
          <w:sz w:val="24"/>
          <w:highlight w:val="none"/>
          <w:lang w:eastAsia="zh-CN"/>
        </w:rPr>
        <w:t>的评标委员会组长</w:t>
      </w:r>
      <w:r>
        <w:rPr>
          <w:rFonts w:hint="eastAsia" w:ascii="宋体" w:hAnsi="宋体" w:eastAsia="宋体" w:cs="宋体"/>
          <w:color w:val="auto"/>
          <w:sz w:val="24"/>
          <w:highlight w:val="none"/>
        </w:rPr>
        <w:t>组织</w:t>
      </w:r>
      <w:r>
        <w:rPr>
          <w:rFonts w:hint="eastAsia" w:ascii="宋体" w:hAnsi="宋体" w:eastAsia="宋体" w:cs="宋体"/>
          <w:color w:val="auto"/>
          <w:sz w:val="24"/>
          <w:highlight w:val="none"/>
          <w:lang w:eastAsia="zh-CN"/>
        </w:rPr>
        <w:t>各</w:t>
      </w:r>
      <w:r>
        <w:rPr>
          <w:rFonts w:hint="eastAsia" w:ascii="宋体" w:hAnsi="宋体" w:eastAsia="宋体" w:cs="宋体"/>
          <w:color w:val="auto"/>
          <w:sz w:val="24"/>
          <w:highlight w:val="none"/>
        </w:rPr>
        <w:t>成员协商讨论。在评标过程中需要进行讨论或者通过实名投票方式表决意见的，应当通过视频会议系统进行，并做好相关记录。</w:t>
      </w:r>
    </w:p>
    <w:p w14:paraId="1398D94A">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eastAsia="zh-CN"/>
        </w:rPr>
        <w:t>评标委员会应</w:t>
      </w:r>
      <w:r>
        <w:rPr>
          <w:rFonts w:hint="eastAsia" w:ascii="宋体" w:hAnsi="宋体" w:eastAsia="宋体" w:cs="宋体"/>
          <w:color w:val="auto"/>
          <w:sz w:val="24"/>
          <w:highlight w:val="none"/>
        </w:rPr>
        <w:t>严格按照招标文件的评标办法规定的评标程序、评标标准和方法进行评标，招标文件没有规定的评标标准和方法不得作为评标的依据。</w:t>
      </w:r>
      <w:r>
        <w:rPr>
          <w:rFonts w:hint="eastAsia" w:ascii="宋体" w:hAnsi="宋体" w:cs="宋体"/>
          <w:color w:val="auto"/>
          <w:sz w:val="24"/>
          <w:highlight w:val="none"/>
          <w:lang w:eastAsia="zh-CN"/>
        </w:rPr>
        <w:t>并</w:t>
      </w:r>
      <w:r>
        <w:rPr>
          <w:rFonts w:hint="eastAsia" w:ascii="宋体" w:hAnsi="宋体" w:eastAsia="宋体" w:cs="宋体"/>
          <w:color w:val="auto"/>
          <w:sz w:val="24"/>
          <w:highlight w:val="none"/>
        </w:rPr>
        <w:t>自觉接受有关行政部门监督，协助配合有关异议和投诉处理。采用远程异地评标方式评标的</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主场、副场评标专家在评标过程中具有同等权利和义务</w:t>
      </w:r>
    </w:p>
    <w:p w14:paraId="458E550A">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eastAsia="zh-CN"/>
        </w:rPr>
        <w:t>评标委员会</w:t>
      </w:r>
      <w:r>
        <w:rPr>
          <w:rFonts w:hint="eastAsia" w:ascii="宋体" w:hAnsi="宋体" w:eastAsia="宋体" w:cs="宋体"/>
          <w:color w:val="auto"/>
          <w:sz w:val="24"/>
          <w:highlight w:val="none"/>
        </w:rPr>
        <w:t>应切实履行评标职责，对同一个问题不一致的，按程序要求记录。</w:t>
      </w:r>
      <w:r>
        <w:rPr>
          <w:rFonts w:hint="eastAsia" w:ascii="宋体" w:hAnsi="宋体" w:eastAsia="宋体" w:cs="宋体"/>
          <w:color w:val="auto"/>
          <w:sz w:val="24"/>
          <w:highlight w:val="none"/>
          <w:lang w:eastAsia="zh-CN"/>
        </w:rPr>
        <w:t>评标委员会</w:t>
      </w:r>
      <w:r>
        <w:rPr>
          <w:rFonts w:hint="eastAsia" w:ascii="宋体" w:hAnsi="宋体" w:eastAsia="宋体" w:cs="宋体"/>
          <w:color w:val="auto"/>
          <w:sz w:val="24"/>
          <w:highlight w:val="none"/>
        </w:rPr>
        <w:t>实行少数服从多数的原则，以记名投票方式表决，评</w:t>
      </w:r>
      <w:r>
        <w:rPr>
          <w:rFonts w:hint="eastAsia" w:ascii="宋体" w:hAnsi="宋体" w:eastAsia="宋体" w:cs="宋体"/>
          <w:color w:val="auto"/>
          <w:sz w:val="24"/>
          <w:highlight w:val="none"/>
          <w:lang w:eastAsia="zh-CN"/>
        </w:rPr>
        <w:t>审</w:t>
      </w:r>
      <w:r>
        <w:rPr>
          <w:rFonts w:hint="eastAsia" w:ascii="宋体" w:hAnsi="宋体" w:eastAsia="宋体" w:cs="宋体"/>
          <w:color w:val="auto"/>
          <w:sz w:val="24"/>
          <w:highlight w:val="none"/>
        </w:rPr>
        <w:t>结果经</w:t>
      </w:r>
      <w:r>
        <w:rPr>
          <w:rFonts w:hint="eastAsia" w:ascii="宋体" w:hAnsi="宋体" w:eastAsia="宋体" w:cs="宋体"/>
          <w:color w:val="auto"/>
          <w:sz w:val="24"/>
          <w:highlight w:val="none"/>
          <w:lang w:eastAsia="zh-CN"/>
        </w:rPr>
        <w:t>评标委员会</w:t>
      </w:r>
      <w:r>
        <w:rPr>
          <w:rFonts w:hint="eastAsia" w:ascii="宋体" w:hAnsi="宋体" w:eastAsia="宋体" w:cs="宋体"/>
          <w:color w:val="auto"/>
          <w:sz w:val="24"/>
          <w:highlight w:val="none"/>
        </w:rPr>
        <w:t>全体成员过半数通过有效。</w:t>
      </w:r>
    </w:p>
    <w:p w14:paraId="46CC86A3">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评标委员会</w:t>
      </w:r>
      <w:r>
        <w:rPr>
          <w:rFonts w:hint="eastAsia" w:ascii="宋体" w:hAnsi="宋体" w:eastAsia="宋体" w:cs="宋体"/>
          <w:color w:val="auto"/>
          <w:sz w:val="24"/>
          <w:highlight w:val="none"/>
        </w:rPr>
        <w:t>成员应当独立、客观、公正地对投标文件提出评审意见，对评审结果签字确认，并对所提出的评审意见承担个人责任。禁止</w:t>
      </w:r>
      <w:r>
        <w:rPr>
          <w:rFonts w:hint="eastAsia" w:ascii="宋体" w:hAnsi="宋体" w:eastAsia="宋体" w:cs="宋体"/>
          <w:color w:val="auto"/>
          <w:sz w:val="24"/>
          <w:highlight w:val="none"/>
          <w:lang w:eastAsia="zh-CN"/>
        </w:rPr>
        <w:t>评标委员会</w:t>
      </w:r>
      <w:r>
        <w:rPr>
          <w:rFonts w:hint="eastAsia" w:ascii="宋体" w:hAnsi="宋体" w:eastAsia="宋体" w:cs="宋体"/>
          <w:color w:val="auto"/>
          <w:sz w:val="24"/>
          <w:highlight w:val="none"/>
        </w:rPr>
        <w:t>成员将个人意见强加给他人，影响正常评</w:t>
      </w:r>
      <w:r>
        <w:rPr>
          <w:rFonts w:hint="eastAsia" w:ascii="宋体" w:hAnsi="宋体" w:eastAsia="宋体" w:cs="宋体"/>
          <w:color w:val="auto"/>
          <w:sz w:val="24"/>
          <w:highlight w:val="none"/>
          <w:lang w:eastAsia="zh-CN"/>
        </w:rPr>
        <w:t>审</w:t>
      </w:r>
      <w:r>
        <w:rPr>
          <w:rFonts w:hint="eastAsia" w:ascii="宋体" w:hAnsi="宋体" w:eastAsia="宋体" w:cs="宋体"/>
          <w:color w:val="auto"/>
          <w:sz w:val="24"/>
          <w:highlight w:val="none"/>
        </w:rPr>
        <w:t>秩序和妨碍评</w:t>
      </w:r>
      <w:r>
        <w:rPr>
          <w:rFonts w:hint="eastAsia" w:ascii="宋体" w:hAnsi="宋体" w:eastAsia="宋体" w:cs="宋体"/>
          <w:color w:val="auto"/>
          <w:sz w:val="24"/>
          <w:highlight w:val="none"/>
          <w:lang w:eastAsia="zh-CN"/>
        </w:rPr>
        <w:t>审</w:t>
      </w:r>
      <w:r>
        <w:rPr>
          <w:rFonts w:hint="eastAsia" w:ascii="宋体" w:hAnsi="宋体" w:eastAsia="宋体" w:cs="宋体"/>
          <w:color w:val="auto"/>
          <w:sz w:val="24"/>
          <w:highlight w:val="none"/>
        </w:rPr>
        <w:t>结论的公正性。对评</w:t>
      </w:r>
      <w:r>
        <w:rPr>
          <w:rFonts w:hint="eastAsia" w:ascii="宋体" w:hAnsi="宋体" w:eastAsia="宋体" w:cs="宋体"/>
          <w:color w:val="auto"/>
          <w:sz w:val="24"/>
          <w:highlight w:val="none"/>
          <w:lang w:eastAsia="zh-CN"/>
        </w:rPr>
        <w:t>审</w:t>
      </w:r>
      <w:r>
        <w:rPr>
          <w:rFonts w:hint="eastAsia" w:ascii="宋体" w:hAnsi="宋体" w:eastAsia="宋体" w:cs="宋体"/>
          <w:color w:val="auto"/>
          <w:sz w:val="24"/>
          <w:highlight w:val="none"/>
        </w:rPr>
        <w:t>结果有不同意见的</w:t>
      </w:r>
      <w:r>
        <w:rPr>
          <w:rFonts w:hint="eastAsia" w:ascii="宋体" w:hAnsi="宋体" w:eastAsia="宋体" w:cs="宋体"/>
          <w:color w:val="auto"/>
          <w:sz w:val="24"/>
          <w:highlight w:val="none"/>
          <w:lang w:eastAsia="zh-CN"/>
        </w:rPr>
        <w:t>评标委员会</w:t>
      </w:r>
      <w:r>
        <w:rPr>
          <w:rFonts w:hint="eastAsia" w:ascii="宋体" w:hAnsi="宋体" w:eastAsia="宋体" w:cs="宋体"/>
          <w:color w:val="auto"/>
          <w:sz w:val="24"/>
          <w:highlight w:val="none"/>
        </w:rPr>
        <w:t>成员应当以书面形式说明其不同意见和理由，</w:t>
      </w:r>
      <w:r>
        <w:rPr>
          <w:rFonts w:hint="eastAsia" w:ascii="宋体" w:hAnsi="宋体" w:eastAsia="宋体" w:cs="宋体"/>
          <w:color w:val="auto"/>
          <w:sz w:val="24"/>
          <w:highlight w:val="none"/>
          <w:lang w:eastAsia="zh-CN"/>
        </w:rPr>
        <w:t>资格后审报告（</w:t>
      </w:r>
      <w:r>
        <w:rPr>
          <w:rFonts w:hint="eastAsia" w:ascii="宋体" w:hAnsi="宋体" w:eastAsia="宋体" w:cs="宋体"/>
          <w:color w:val="auto"/>
          <w:sz w:val="24"/>
          <w:highlight w:val="none"/>
        </w:rPr>
        <w:t>评标报告</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应当注明该不同意见。</w:t>
      </w:r>
      <w:r>
        <w:rPr>
          <w:rFonts w:hint="eastAsia" w:ascii="宋体" w:hAnsi="宋体" w:eastAsia="宋体" w:cs="宋体"/>
          <w:color w:val="auto"/>
          <w:sz w:val="24"/>
          <w:highlight w:val="none"/>
          <w:lang w:eastAsia="zh-CN"/>
        </w:rPr>
        <w:t>评标委员会</w:t>
      </w:r>
      <w:r>
        <w:rPr>
          <w:rFonts w:hint="eastAsia" w:ascii="宋体" w:hAnsi="宋体" w:eastAsia="宋体" w:cs="宋体"/>
          <w:color w:val="auto"/>
          <w:sz w:val="24"/>
          <w:highlight w:val="none"/>
        </w:rPr>
        <w:t>成员拒绝在</w:t>
      </w:r>
      <w:r>
        <w:rPr>
          <w:rFonts w:hint="eastAsia" w:ascii="宋体" w:hAnsi="宋体" w:eastAsia="宋体" w:cs="宋体"/>
          <w:color w:val="auto"/>
          <w:sz w:val="24"/>
          <w:highlight w:val="none"/>
          <w:lang w:eastAsia="zh-CN"/>
        </w:rPr>
        <w:t>资格后审报告（</w:t>
      </w:r>
      <w:r>
        <w:rPr>
          <w:rFonts w:hint="eastAsia" w:ascii="宋体" w:hAnsi="宋体" w:eastAsia="宋体" w:cs="宋体"/>
          <w:color w:val="auto"/>
          <w:sz w:val="24"/>
          <w:highlight w:val="none"/>
        </w:rPr>
        <w:t>评标报告</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上签字又不书面说明其不同意见和理由的，视为同意评</w:t>
      </w:r>
      <w:r>
        <w:rPr>
          <w:rFonts w:hint="eastAsia" w:ascii="宋体" w:hAnsi="宋体" w:eastAsia="宋体" w:cs="宋体"/>
          <w:color w:val="auto"/>
          <w:sz w:val="24"/>
          <w:highlight w:val="none"/>
          <w:lang w:eastAsia="zh-CN"/>
        </w:rPr>
        <w:t>审</w:t>
      </w:r>
      <w:r>
        <w:rPr>
          <w:rFonts w:hint="eastAsia" w:ascii="宋体" w:hAnsi="宋体" w:eastAsia="宋体" w:cs="宋体"/>
          <w:color w:val="auto"/>
          <w:sz w:val="24"/>
          <w:highlight w:val="none"/>
        </w:rPr>
        <w:t>结果。</w:t>
      </w:r>
    </w:p>
    <w:p w14:paraId="67AEB31A">
      <w:pPr>
        <w:keepNext w:val="0"/>
        <w:keepLines w:val="0"/>
        <w:pageBreakBefore w:val="0"/>
        <w:shd w:val="clear" w:color="auto" w:fill="auto"/>
        <w:kinsoku/>
        <w:wordWrap/>
        <w:overflowPunct/>
        <w:topLinePunct w:val="0"/>
        <w:bidi w:val="0"/>
        <w:adjustRightInd/>
        <w:snapToGrid/>
        <w:spacing w:line="340" w:lineRule="exact"/>
        <w:ind w:left="0" w:leftChars="0" w:firstLine="482" w:firstLineChars="200"/>
        <w:jc w:val="both"/>
        <w:textAlignment w:val="auto"/>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4</w:t>
      </w:r>
      <w:r>
        <w:rPr>
          <w:rFonts w:hint="eastAsia" w:ascii="宋体" w:hAnsi="宋体" w:eastAsia="宋体" w:cs="宋体"/>
          <w:b/>
          <w:color w:val="auto"/>
          <w:sz w:val="24"/>
          <w:highlight w:val="none"/>
        </w:rPr>
        <w:t>．评标过程的回避</w:t>
      </w:r>
    </w:p>
    <w:p w14:paraId="1EB050FF">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 xml:space="preserve">.1 </w:t>
      </w:r>
      <w:r>
        <w:rPr>
          <w:rFonts w:hint="eastAsia" w:ascii="宋体" w:hAnsi="宋体" w:eastAsia="宋体" w:cs="宋体"/>
          <w:b w:val="0"/>
          <w:bCs w:val="0"/>
          <w:color w:val="auto"/>
          <w:sz w:val="24"/>
          <w:highlight w:val="none"/>
          <w:lang w:eastAsia="zh-CN"/>
        </w:rPr>
        <w:t>评标委员会</w:t>
      </w:r>
      <w:r>
        <w:rPr>
          <w:rFonts w:hint="eastAsia" w:ascii="宋体" w:hAnsi="宋体" w:eastAsia="宋体" w:cs="宋体"/>
          <w:color w:val="auto"/>
          <w:sz w:val="24"/>
          <w:highlight w:val="none"/>
        </w:rPr>
        <w:t>专家参加评标活动时实行主动回避制度。有下列情形之一的，应当主动提出回避，不得担任该招标项目的</w:t>
      </w:r>
      <w:r>
        <w:rPr>
          <w:rFonts w:hint="eastAsia" w:ascii="宋体" w:hAnsi="宋体" w:eastAsia="宋体" w:cs="宋体"/>
          <w:b w:val="0"/>
          <w:bCs w:val="0"/>
          <w:color w:val="auto"/>
          <w:sz w:val="24"/>
          <w:highlight w:val="none"/>
          <w:lang w:eastAsia="zh-CN"/>
        </w:rPr>
        <w:t>评标委员会</w:t>
      </w:r>
      <w:r>
        <w:rPr>
          <w:rFonts w:hint="eastAsia" w:ascii="宋体" w:hAnsi="宋体" w:eastAsia="宋体" w:cs="宋体"/>
          <w:color w:val="auto"/>
          <w:sz w:val="24"/>
          <w:highlight w:val="none"/>
        </w:rPr>
        <w:t>成员。</w:t>
      </w:r>
    </w:p>
    <w:p w14:paraId="4B1747EB">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（1）投标人或者投标人主要负责人的近亲属；</w:t>
      </w:r>
    </w:p>
    <w:p w14:paraId="25F9A712">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（2）项目行政监督部门的人员；</w:t>
      </w:r>
    </w:p>
    <w:p w14:paraId="10DF352D">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（3）与投标人有其他社会关系或者经济利益关系，可能影响对投标公正评审的； </w:t>
      </w:r>
    </w:p>
    <w:p w14:paraId="795832DD">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（4）曾因在招标、评标以及其他与招标投标有关活动中从事违法行为而受过行政处罚或刑事处罚的。 </w:t>
      </w:r>
    </w:p>
    <w:p w14:paraId="23A88A1E">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.2　</w:t>
      </w:r>
      <w:r>
        <w:rPr>
          <w:rFonts w:hint="eastAsia" w:ascii="宋体" w:hAnsi="宋体" w:eastAsia="宋体" w:cs="宋体"/>
          <w:b w:val="0"/>
          <w:bCs w:val="0"/>
          <w:color w:val="auto"/>
          <w:sz w:val="24"/>
          <w:highlight w:val="none"/>
          <w:lang w:eastAsia="zh-CN"/>
        </w:rPr>
        <w:t>评标委员会</w:t>
      </w:r>
      <w:r>
        <w:rPr>
          <w:rFonts w:hint="eastAsia" w:ascii="宋体" w:hAnsi="宋体" w:eastAsia="宋体" w:cs="宋体"/>
          <w:color w:val="auto"/>
          <w:sz w:val="24"/>
          <w:highlight w:val="none"/>
        </w:rPr>
        <w:t>专家不主动提出回避的，一经发现，应立即终止其评标活动，已完成评标活动的，其评标结果无效。</w:t>
      </w:r>
    </w:p>
    <w:p w14:paraId="24917051">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 xml:space="preserve">.3 </w:t>
      </w:r>
      <w:r>
        <w:rPr>
          <w:rFonts w:hint="eastAsia" w:ascii="宋体" w:hAnsi="宋体" w:eastAsia="宋体" w:cs="宋体"/>
          <w:color w:val="auto"/>
          <w:kern w:val="0"/>
          <w:sz w:val="24"/>
          <w:highlight w:val="none"/>
        </w:rPr>
        <w:t>有下列情形之一的，经招标人与公共资源交易中心审核确认后，</w:t>
      </w:r>
      <w:r>
        <w:rPr>
          <w:rFonts w:hint="eastAsia" w:ascii="宋体" w:hAnsi="宋体" w:eastAsia="宋体" w:cs="宋体"/>
          <w:b w:val="0"/>
          <w:bCs w:val="0"/>
          <w:color w:val="auto"/>
          <w:sz w:val="24"/>
          <w:highlight w:val="none"/>
          <w:lang w:eastAsia="zh-CN"/>
        </w:rPr>
        <w:t>评标委员会</w:t>
      </w:r>
      <w:r>
        <w:rPr>
          <w:rFonts w:hint="eastAsia" w:ascii="宋体" w:hAnsi="宋体" w:eastAsia="宋体" w:cs="宋体"/>
          <w:color w:val="auto"/>
          <w:kern w:val="0"/>
          <w:sz w:val="24"/>
          <w:highlight w:val="none"/>
        </w:rPr>
        <w:t>专家应按规定重新抽取。</w:t>
      </w:r>
    </w:p>
    <w:p w14:paraId="0B7E4DC6">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（1）已抽取的评标专家与评标的项目有利害关系，可能会妨碍公正评审；</w:t>
      </w:r>
    </w:p>
    <w:p w14:paraId="52AA34F1">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rPr>
        <w:t>（2）由于原评标专家的违规行为，评标无效，评标活动需重新组织；</w:t>
      </w:r>
      <w:r>
        <w:rPr>
          <w:rFonts w:hint="eastAsia" w:ascii="宋体" w:hAnsi="宋体" w:eastAsia="宋体" w:cs="宋体"/>
          <w:color w:val="auto"/>
          <w:kern w:val="0"/>
          <w:sz w:val="24"/>
          <w:highlight w:val="none"/>
        </w:rPr>
        <w:br w:type="textWrapping"/>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（3）已抽取的评标专家未能参加评标活动或未能按时完成评标任务。</w:t>
      </w:r>
    </w:p>
    <w:p w14:paraId="1DB7B590">
      <w:pPr>
        <w:keepNext w:val="0"/>
        <w:keepLines w:val="0"/>
        <w:pageBreakBefore w:val="0"/>
        <w:shd w:val="clear" w:color="auto" w:fill="auto"/>
        <w:kinsoku/>
        <w:wordWrap/>
        <w:overflowPunct/>
        <w:topLinePunct w:val="0"/>
        <w:bidi w:val="0"/>
        <w:adjustRightInd/>
        <w:snapToGrid/>
        <w:spacing w:line="340" w:lineRule="exact"/>
        <w:ind w:left="0" w:leftChars="0" w:firstLine="482" w:firstLineChars="200"/>
        <w:jc w:val="both"/>
        <w:textAlignment w:val="auto"/>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25</w:t>
      </w:r>
      <w:r>
        <w:rPr>
          <w:rFonts w:hint="eastAsia" w:ascii="宋体" w:hAnsi="宋体" w:eastAsia="宋体" w:cs="宋体"/>
          <w:b/>
          <w:color w:val="auto"/>
          <w:sz w:val="24"/>
          <w:highlight w:val="none"/>
        </w:rPr>
        <w:t>. 评标过程的保密</w:t>
      </w:r>
    </w:p>
    <w:p w14:paraId="2C83608E">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25</w:t>
      </w:r>
      <w:r>
        <w:rPr>
          <w:rFonts w:hint="eastAsia" w:ascii="宋体" w:hAnsi="宋体" w:eastAsia="宋体" w:cs="宋体"/>
          <w:color w:val="auto"/>
          <w:kern w:val="0"/>
          <w:sz w:val="24"/>
          <w:highlight w:val="none"/>
        </w:rPr>
        <w:t>.1  开标后，直至授予中标人合同为止，凡属于对投标人文件的审查、澄清、评价和比较有关的资料及与中标候选人的推荐情况，与评标有关的其他任何情况均应严格保密。</w:t>
      </w:r>
    </w:p>
    <w:p w14:paraId="64A535AE">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25</w:t>
      </w:r>
      <w:r>
        <w:rPr>
          <w:rFonts w:hint="eastAsia" w:ascii="宋体" w:hAnsi="宋体" w:eastAsia="宋体" w:cs="宋体"/>
          <w:color w:val="auto"/>
          <w:kern w:val="0"/>
          <w:sz w:val="24"/>
          <w:highlight w:val="none"/>
        </w:rPr>
        <w:t>.2  在投标文件的评审和比较、中标候选人推荐以及授予合同的过程中，投标人向招标人和评标委员会施加影响的任何行为，都将会导致其投标被拒绝。</w:t>
      </w:r>
    </w:p>
    <w:p w14:paraId="31FC48A6">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25</w:t>
      </w:r>
      <w:r>
        <w:rPr>
          <w:rFonts w:hint="eastAsia" w:ascii="宋体" w:hAnsi="宋体" w:eastAsia="宋体" w:cs="宋体"/>
          <w:color w:val="auto"/>
          <w:kern w:val="0"/>
          <w:sz w:val="24"/>
          <w:highlight w:val="none"/>
        </w:rPr>
        <w:t>.3  中标人确定后，招标人不对未中标人就评标过程以及未能中标原因作出任何解释。未中标人不得向评标委员会组成人员或其他有关人员索问评标过程的情况和材料。</w:t>
      </w:r>
    </w:p>
    <w:p w14:paraId="67D5E73E">
      <w:pPr>
        <w:keepNext w:val="0"/>
        <w:keepLines w:val="0"/>
        <w:pageBreakBefore w:val="0"/>
        <w:shd w:val="clear" w:color="auto" w:fill="auto"/>
        <w:kinsoku/>
        <w:wordWrap/>
        <w:overflowPunct/>
        <w:topLinePunct w:val="0"/>
        <w:bidi w:val="0"/>
        <w:adjustRightInd/>
        <w:snapToGrid/>
        <w:spacing w:line="340" w:lineRule="exact"/>
        <w:ind w:left="0" w:leftChars="0" w:firstLine="482" w:firstLineChars="200"/>
        <w:jc w:val="both"/>
        <w:textAlignment w:val="auto"/>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26</w:t>
      </w:r>
      <w:r>
        <w:rPr>
          <w:rFonts w:hint="eastAsia" w:ascii="宋体" w:hAnsi="宋体" w:eastAsia="宋体" w:cs="宋体"/>
          <w:b/>
          <w:color w:val="auto"/>
          <w:sz w:val="24"/>
          <w:highlight w:val="none"/>
        </w:rPr>
        <w:t>．评标办法（评标办法见本招标文件第三章）</w:t>
      </w:r>
    </w:p>
    <w:p w14:paraId="0A8582EE">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本工程评标办法由招标人按本投标人须知前附表的规定确定。</w:t>
      </w:r>
    </w:p>
    <w:p w14:paraId="21D16213">
      <w:pPr>
        <w:keepNext w:val="0"/>
        <w:keepLines w:val="0"/>
        <w:pageBreakBefore w:val="0"/>
        <w:widowControl w:val="0"/>
        <w:shd w:val="clear" w:color="auto" w:fill="auto"/>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27</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eastAsia="zh-CN"/>
        </w:rPr>
        <w:t>评标结果公示</w:t>
      </w:r>
      <w:r>
        <w:rPr>
          <w:rFonts w:hint="eastAsia" w:ascii="宋体" w:hAnsi="宋体" w:eastAsia="宋体" w:cs="宋体"/>
          <w:b/>
          <w:color w:val="auto"/>
          <w:sz w:val="24"/>
          <w:highlight w:val="none"/>
        </w:rPr>
        <w:t xml:space="preserve"> </w:t>
      </w:r>
      <w:r>
        <w:rPr>
          <w:rFonts w:hint="eastAsia" w:ascii="宋体" w:hAnsi="宋体" w:eastAsia="宋体" w:cs="宋体"/>
          <w:b/>
          <w:color w:val="auto"/>
          <w:sz w:val="24"/>
          <w:highlight w:val="none"/>
          <w:lang w:val="en-US" w:eastAsia="zh-CN"/>
        </w:rPr>
        <w:t xml:space="preserve">  </w:t>
      </w:r>
    </w:p>
    <w:p w14:paraId="22E95F6E">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rPr>
      </w:pPr>
      <w:r>
        <w:rPr>
          <w:rFonts w:hint="eastAsia" w:ascii="宋体" w:hAnsi="宋体" w:eastAsia="宋体" w:cs="宋体"/>
          <w:color w:val="auto"/>
          <w:sz w:val="24"/>
          <w:highlight w:val="none"/>
        </w:rPr>
        <w:t>评标委员会按照</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评审综合总得分</w:t>
      </w:r>
      <w:r>
        <w:rPr>
          <w:rFonts w:hint="eastAsia" w:ascii="宋体" w:hAnsi="宋体" w:eastAsia="宋体" w:cs="宋体"/>
          <w:color w:val="auto"/>
          <w:sz w:val="24"/>
          <w:highlight w:val="none"/>
          <w:lang w:eastAsia="zh-CN"/>
        </w:rPr>
        <w:t>由</w:t>
      </w:r>
      <w:r>
        <w:rPr>
          <w:rFonts w:hint="eastAsia" w:ascii="宋体" w:hAnsi="宋体" w:eastAsia="宋体" w:cs="宋体"/>
          <w:color w:val="auto"/>
          <w:sz w:val="24"/>
          <w:highlight w:val="none"/>
        </w:rPr>
        <w:t>高</w:t>
      </w:r>
      <w:r>
        <w:rPr>
          <w:rFonts w:hint="eastAsia" w:ascii="宋体" w:hAnsi="宋体" w:eastAsia="宋体" w:cs="宋体"/>
          <w:color w:val="auto"/>
          <w:sz w:val="24"/>
          <w:highlight w:val="none"/>
          <w:lang w:eastAsia="zh-CN"/>
        </w:rPr>
        <w:t>到</w:t>
      </w:r>
      <w:r>
        <w:rPr>
          <w:rFonts w:hint="eastAsia" w:ascii="宋体" w:hAnsi="宋体" w:eastAsia="宋体" w:cs="宋体"/>
          <w:color w:val="auto"/>
          <w:sz w:val="24"/>
          <w:highlight w:val="none"/>
        </w:rPr>
        <w:t>低的</w:t>
      </w:r>
      <w:r>
        <w:rPr>
          <w:rFonts w:hint="eastAsia" w:ascii="宋体" w:hAnsi="宋体" w:eastAsia="宋体" w:cs="宋体"/>
          <w:color w:val="auto"/>
          <w:sz w:val="24"/>
          <w:highlight w:val="none"/>
          <w:lang w:eastAsia="zh-CN"/>
        </w:rPr>
        <w:t>原则</w:t>
      </w:r>
      <w:r>
        <w:rPr>
          <w:rFonts w:hint="eastAsia" w:ascii="宋体" w:hAnsi="宋体" w:eastAsia="宋体" w:cs="宋体"/>
          <w:color w:val="auto"/>
          <w:sz w:val="24"/>
          <w:highlight w:val="none"/>
        </w:rPr>
        <w:t>,向招标人推荐</w:t>
      </w:r>
      <w:r>
        <w:rPr>
          <w:rFonts w:hint="eastAsia" w:ascii="宋体" w:hAnsi="宋体" w:eastAsia="宋体" w:cs="宋体"/>
          <w:color w:val="auto"/>
          <w:sz w:val="24"/>
          <w:highlight w:val="none"/>
          <w:lang w:val="en-US" w:eastAsia="zh-CN"/>
        </w:rPr>
        <w:t>已明确的</w:t>
      </w:r>
      <w:r>
        <w:rPr>
          <w:rFonts w:hint="eastAsia" w:ascii="宋体" w:hAnsi="宋体" w:eastAsia="宋体" w:cs="宋体"/>
          <w:color w:val="auto"/>
          <w:sz w:val="24"/>
          <w:highlight w:val="none"/>
        </w:rPr>
        <w:t>定标候选人</w:t>
      </w:r>
      <w:r>
        <w:rPr>
          <w:rFonts w:hint="eastAsia" w:ascii="宋体" w:hAnsi="宋体" w:eastAsia="宋体" w:cs="宋体"/>
          <w:color w:val="auto"/>
          <w:sz w:val="24"/>
          <w:highlight w:val="none"/>
          <w:lang w:eastAsia="zh-CN"/>
        </w:rPr>
        <w:t>数量</w:t>
      </w:r>
      <w:r>
        <w:rPr>
          <w:rFonts w:hint="eastAsia" w:ascii="宋体" w:hAnsi="宋体" w:eastAsia="宋体" w:cs="宋体"/>
          <w:color w:val="auto"/>
          <w:sz w:val="24"/>
          <w:highlight w:val="none"/>
        </w:rPr>
        <w:t>（不</w:t>
      </w:r>
      <w:r>
        <w:rPr>
          <w:rFonts w:hint="eastAsia" w:ascii="宋体" w:hAnsi="宋体" w:eastAsia="宋体" w:cs="宋体"/>
          <w:color w:val="auto"/>
          <w:sz w:val="24"/>
          <w:highlight w:val="none"/>
          <w:lang w:val="en-US" w:eastAsia="zh-CN"/>
        </w:rPr>
        <w:t>标明</w:t>
      </w:r>
      <w:r>
        <w:rPr>
          <w:rFonts w:hint="eastAsia" w:ascii="宋体" w:hAnsi="宋体" w:eastAsia="宋体" w:cs="宋体"/>
          <w:color w:val="auto"/>
          <w:sz w:val="24"/>
          <w:highlight w:val="none"/>
        </w:rPr>
        <w:t>排序）</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评标委员会推荐定标候选人后，</w:t>
      </w:r>
      <w:r>
        <w:rPr>
          <w:rFonts w:hint="eastAsia" w:ascii="宋体" w:hAnsi="宋体" w:eastAsia="宋体" w:cs="宋体"/>
          <w:color w:val="auto"/>
          <w:sz w:val="24"/>
          <w:highlight w:val="none"/>
        </w:rPr>
        <w:t>招标人应</w:t>
      </w:r>
      <w:r>
        <w:rPr>
          <w:rFonts w:hint="eastAsia" w:ascii="宋体" w:hAnsi="宋体" w:eastAsia="宋体" w:cs="宋体"/>
          <w:color w:val="auto"/>
          <w:sz w:val="24"/>
          <w:highlight w:val="none"/>
          <w:lang w:eastAsia="zh-CN"/>
        </w:rPr>
        <w:t>于评标会结束后</w:t>
      </w:r>
      <w:r>
        <w:rPr>
          <w:rFonts w:hint="eastAsia" w:ascii="宋体" w:hAnsi="宋体" w:eastAsia="宋体" w:cs="宋体"/>
          <w:color w:val="auto"/>
          <w:sz w:val="24"/>
          <w:highlight w:val="none"/>
          <w:lang w:val="en-US" w:eastAsia="zh-CN"/>
        </w:rPr>
        <w:t>3个工作日内将</w:t>
      </w:r>
      <w:r>
        <w:rPr>
          <w:rFonts w:hint="eastAsia" w:ascii="宋体" w:hAnsi="宋体" w:eastAsia="宋体" w:cs="宋体"/>
          <w:color w:val="auto"/>
          <w:sz w:val="24"/>
          <w:highlight w:val="none"/>
          <w:lang w:eastAsia="zh-CN"/>
        </w:rPr>
        <w:t>定</w:t>
      </w:r>
      <w:r>
        <w:rPr>
          <w:rFonts w:hint="eastAsia" w:ascii="宋体" w:hAnsi="宋体" w:eastAsia="宋体" w:cs="宋体"/>
          <w:color w:val="auto"/>
          <w:sz w:val="24"/>
          <w:highlight w:val="none"/>
        </w:rPr>
        <w:t>标候选</w:t>
      </w:r>
      <w:r>
        <w:rPr>
          <w:rFonts w:hint="eastAsia" w:ascii="宋体" w:hAnsi="宋体" w:eastAsia="宋体" w:cs="宋体"/>
          <w:color w:val="auto"/>
          <w:sz w:val="24"/>
          <w:highlight w:val="none"/>
          <w:lang w:eastAsia="zh-CN"/>
        </w:rPr>
        <w:t>人和评标情况</w:t>
      </w:r>
      <w:r>
        <w:rPr>
          <w:rFonts w:hint="eastAsia" w:ascii="宋体" w:hAnsi="宋体" w:eastAsia="宋体" w:cs="宋体"/>
          <w:color w:val="auto"/>
          <w:sz w:val="24"/>
          <w:highlight w:val="none"/>
          <w:lang w:val="en-US" w:eastAsia="zh-CN"/>
        </w:rPr>
        <w:t>在广东省招标投标监管网和</w:t>
      </w:r>
      <w:r>
        <w:rPr>
          <w:rFonts w:hint="eastAsia" w:ascii="宋体" w:hAnsi="宋体" w:eastAsia="宋体" w:cs="宋体"/>
          <w:color w:val="auto"/>
          <w:sz w:val="24"/>
          <w:highlight w:val="none"/>
        </w:rPr>
        <w:t>韶关市公共资源交易中心</w:t>
      </w:r>
      <w:r>
        <w:rPr>
          <w:rFonts w:hint="eastAsia" w:ascii="宋体" w:hAnsi="宋体" w:eastAsia="宋体" w:cs="宋体"/>
          <w:color w:val="auto"/>
          <w:sz w:val="24"/>
          <w:highlight w:val="none"/>
          <w:lang w:eastAsia="zh-CN"/>
        </w:rPr>
        <w:t>建设工程交易系统</w:t>
      </w:r>
      <w:r>
        <w:rPr>
          <w:rFonts w:hint="eastAsia" w:ascii="宋体" w:hAnsi="宋体" w:eastAsia="宋体" w:cs="宋体"/>
          <w:color w:val="auto"/>
          <w:sz w:val="24"/>
          <w:highlight w:val="none"/>
          <w:lang w:val="en-US" w:eastAsia="zh-CN"/>
        </w:rPr>
        <w:t>上</w:t>
      </w:r>
      <w:r>
        <w:rPr>
          <w:rFonts w:hint="eastAsia" w:ascii="宋体" w:hAnsi="宋体" w:eastAsia="宋体" w:cs="宋体"/>
          <w:color w:val="auto"/>
          <w:sz w:val="24"/>
          <w:highlight w:val="none"/>
        </w:rPr>
        <w:t>公示</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公示时间不少于3个工作日。</w:t>
      </w:r>
      <w:r>
        <w:rPr>
          <w:rFonts w:hint="eastAsia" w:ascii="宋体" w:hAnsi="宋体" w:eastAsia="宋体" w:cs="宋体"/>
          <w:color w:val="auto"/>
          <w:kern w:val="0"/>
          <w:sz w:val="24"/>
          <w:szCs w:val="24"/>
          <w:highlight w:val="none"/>
          <w:u w:val="none" w:color="auto"/>
          <w:lang w:eastAsia="zh-CN"/>
        </w:rPr>
        <w:t>公示主要内容包括：（</w:t>
      </w:r>
      <w:r>
        <w:rPr>
          <w:rFonts w:hint="eastAsia" w:ascii="宋体" w:hAnsi="宋体" w:eastAsia="宋体" w:cs="宋体"/>
          <w:b w:val="0"/>
          <w:bCs w:val="0"/>
          <w:color w:val="auto"/>
          <w:spacing w:val="0"/>
          <w:position w:val="0"/>
          <w:sz w:val="24"/>
          <w:szCs w:val="24"/>
          <w:highlight w:val="none"/>
          <w:u w:val="none" w:color="auto"/>
          <w:lang w:val="en-US" w:eastAsia="zh-CN"/>
        </w:rPr>
        <w:t>1）定标候选人名称、投标报价、业绩奖项、质量、工期、拟派驻招标项目管理机构人员信息等；（2）定标候选人按照招标文件要求承诺的项目负责人姓名及相关证书名称和编号；（3）响应招标文件要求的资格能力条件；（4）提出异议的渠道和方式；（5）评标专家代码（评标专家姓名可用代码进行标示，如专家一、专家二等）及其对应的具体评标意见（含对否决投标人相关意见等）以及评标报告；（6）投标文件；（7）招标文件确认公示的其他内容。</w:t>
      </w:r>
    </w:p>
    <w:p w14:paraId="7170746C">
      <w:pPr>
        <w:pStyle w:val="4"/>
        <w:bidi w:val="0"/>
        <w:rPr>
          <w:rFonts w:hint="eastAsia" w:ascii="宋体" w:hAnsi="宋体" w:eastAsia="宋体" w:cs="宋体"/>
          <w:color w:val="auto"/>
          <w:lang w:eastAsia="zh-CN"/>
        </w:rPr>
      </w:pPr>
      <w:bookmarkStart w:id="26" w:name="_Toc10039"/>
      <w:r>
        <w:rPr>
          <w:rFonts w:hint="eastAsia" w:ascii="宋体" w:hAnsi="宋体" w:eastAsia="宋体" w:cs="宋体"/>
          <w:color w:val="auto"/>
        </w:rPr>
        <w:t>（</w:t>
      </w:r>
      <w:r>
        <w:rPr>
          <w:rFonts w:hint="eastAsia" w:ascii="宋体" w:hAnsi="宋体" w:eastAsia="宋体" w:cs="宋体"/>
          <w:color w:val="auto"/>
          <w:lang w:eastAsia="zh-CN"/>
        </w:rPr>
        <w:t>七</w:t>
      </w:r>
      <w:r>
        <w:rPr>
          <w:rFonts w:hint="eastAsia" w:ascii="宋体" w:hAnsi="宋体" w:eastAsia="宋体" w:cs="宋体"/>
          <w:color w:val="auto"/>
        </w:rPr>
        <w:t>）定标</w:t>
      </w:r>
      <w:r>
        <w:rPr>
          <w:rFonts w:hint="eastAsia" w:ascii="宋体" w:hAnsi="宋体" w:eastAsia="宋体" w:cs="宋体"/>
          <w:color w:val="auto"/>
          <w:lang w:eastAsia="zh-CN"/>
        </w:rPr>
        <w:t>规定</w:t>
      </w:r>
      <w:bookmarkEnd w:id="26"/>
    </w:p>
    <w:p w14:paraId="076E5885">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leftChars="200" w:right="0" w:rightChars="0"/>
        <w:jc w:val="both"/>
        <w:textAlignment w:val="auto"/>
        <w:outlineLvl w:val="9"/>
        <w:rPr>
          <w:rFonts w:hint="eastAsia" w:ascii="宋体" w:hAnsi="宋体" w:eastAsia="宋体" w:cs="宋体"/>
          <w:b/>
          <w:bCs/>
          <w:color w:val="auto"/>
          <w:sz w:val="24"/>
          <w:szCs w:val="24"/>
          <w:highlight w:val="none"/>
          <w:u w:val="none"/>
        </w:rPr>
      </w:pPr>
      <w:r>
        <w:rPr>
          <w:rFonts w:hint="eastAsia" w:ascii="宋体" w:hAnsi="宋体" w:eastAsia="宋体" w:cs="宋体"/>
          <w:b/>
          <w:bCs/>
          <w:color w:val="auto"/>
          <w:sz w:val="24"/>
          <w:highlight w:val="none"/>
          <w:lang w:val="en-US" w:eastAsia="zh-CN"/>
        </w:rPr>
        <w:t>28</w:t>
      </w:r>
      <w:r>
        <w:rPr>
          <w:rFonts w:hint="eastAsia" w:ascii="宋体" w:hAnsi="宋体" w:eastAsia="宋体" w:cs="宋体"/>
          <w:b/>
          <w:bCs/>
          <w:color w:val="auto"/>
          <w:sz w:val="24"/>
          <w:highlight w:val="none"/>
        </w:rPr>
        <w:t>.</w:t>
      </w:r>
      <w:r>
        <w:rPr>
          <w:rFonts w:hint="eastAsia" w:ascii="宋体" w:hAnsi="宋体" w:eastAsia="宋体" w:cs="宋体"/>
          <w:b/>
          <w:bCs/>
          <w:color w:val="auto"/>
          <w:sz w:val="24"/>
          <w:szCs w:val="24"/>
          <w:highlight w:val="none"/>
          <w:u w:val="none"/>
          <w:lang w:eastAsia="zh-CN"/>
        </w:rPr>
        <w:t>确定</w:t>
      </w:r>
      <w:r>
        <w:rPr>
          <w:rFonts w:hint="eastAsia" w:ascii="宋体" w:hAnsi="宋体" w:eastAsia="宋体" w:cs="宋体"/>
          <w:b/>
          <w:bCs/>
          <w:color w:val="auto"/>
          <w:sz w:val="24"/>
          <w:szCs w:val="24"/>
          <w:highlight w:val="none"/>
          <w:u w:val="none"/>
        </w:rPr>
        <w:t>定标时间</w:t>
      </w:r>
    </w:p>
    <w:p w14:paraId="38A04D94">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b/>
          <w:color w:val="auto"/>
          <w:sz w:val="24"/>
          <w:highlight w:val="none"/>
        </w:rPr>
      </w:pPr>
      <w:r>
        <w:rPr>
          <w:rFonts w:hint="eastAsia" w:ascii="宋体" w:hAnsi="宋体" w:eastAsia="宋体" w:cs="宋体"/>
          <w:color w:val="auto"/>
          <w:sz w:val="24"/>
          <w:szCs w:val="24"/>
          <w:highlight w:val="none"/>
          <w:u w:val="none"/>
        </w:rPr>
        <w:t>招标人</w:t>
      </w:r>
      <w:r>
        <w:rPr>
          <w:rFonts w:hint="eastAsia" w:ascii="宋体" w:hAnsi="宋体" w:eastAsia="宋体" w:cs="宋体"/>
          <w:color w:val="auto"/>
          <w:sz w:val="24"/>
          <w:szCs w:val="24"/>
          <w:highlight w:val="none"/>
          <w:u w:val="none"/>
          <w:lang w:eastAsia="zh-CN"/>
        </w:rPr>
        <w:t>应</w:t>
      </w:r>
      <w:r>
        <w:rPr>
          <w:rFonts w:hint="eastAsia" w:ascii="宋体" w:hAnsi="宋体" w:eastAsia="宋体" w:cs="宋体"/>
          <w:color w:val="auto"/>
          <w:sz w:val="24"/>
          <w:szCs w:val="24"/>
          <w:highlight w:val="none"/>
          <w:u w:val="none"/>
        </w:rPr>
        <w:t>自</w:t>
      </w:r>
      <w:r>
        <w:rPr>
          <w:rFonts w:hint="eastAsia" w:ascii="宋体" w:hAnsi="宋体" w:eastAsia="宋体" w:cs="宋体"/>
          <w:color w:val="auto"/>
          <w:sz w:val="24"/>
          <w:szCs w:val="24"/>
          <w:highlight w:val="none"/>
          <w:u w:val="none"/>
          <w:lang w:val="en-US" w:eastAsia="zh-CN"/>
        </w:rPr>
        <w:t>定标候选人</w:t>
      </w:r>
      <w:r>
        <w:rPr>
          <w:rFonts w:hint="eastAsia" w:ascii="宋体" w:hAnsi="宋体" w:eastAsia="宋体" w:cs="宋体"/>
          <w:color w:val="auto"/>
          <w:sz w:val="24"/>
          <w:szCs w:val="24"/>
          <w:highlight w:val="none"/>
          <w:u w:val="none"/>
        </w:rPr>
        <w:t>公示期满后</w:t>
      </w:r>
      <w:r>
        <w:rPr>
          <w:rFonts w:hint="eastAsia" w:ascii="宋体" w:hAnsi="宋体" w:eastAsia="宋体" w:cs="宋体"/>
          <w:color w:val="auto"/>
          <w:sz w:val="24"/>
          <w:szCs w:val="24"/>
          <w:highlight w:val="none"/>
          <w:u w:val="none"/>
          <w:lang w:val="en-US" w:eastAsia="zh-CN"/>
        </w:rPr>
        <w:t>5</w:t>
      </w:r>
      <w:r>
        <w:rPr>
          <w:rFonts w:hint="eastAsia" w:ascii="宋体" w:hAnsi="宋体" w:eastAsia="宋体" w:cs="宋体"/>
          <w:color w:val="auto"/>
          <w:sz w:val="24"/>
          <w:szCs w:val="24"/>
          <w:highlight w:val="none"/>
          <w:u w:val="none"/>
        </w:rPr>
        <w:t>个工作日内进入公共资源交易平台（与评标阶段公共资源交易平台相同）进行定标。定标会议全过程录音录像。招标人需要延期定标的，</w:t>
      </w:r>
      <w:r>
        <w:rPr>
          <w:rFonts w:hint="eastAsia" w:ascii="宋体" w:hAnsi="宋体" w:eastAsia="宋体" w:cs="宋体"/>
          <w:color w:val="auto"/>
          <w:sz w:val="24"/>
          <w:szCs w:val="24"/>
          <w:highlight w:val="none"/>
          <w:u w:val="none"/>
          <w:lang w:eastAsia="zh-CN"/>
        </w:rPr>
        <w:t>应</w:t>
      </w:r>
      <w:r>
        <w:rPr>
          <w:rFonts w:hint="eastAsia" w:ascii="宋体" w:hAnsi="宋体" w:eastAsia="宋体" w:cs="宋体"/>
          <w:color w:val="auto"/>
          <w:sz w:val="24"/>
          <w:szCs w:val="24"/>
          <w:highlight w:val="none"/>
          <w:u w:val="none"/>
        </w:rPr>
        <w:t>通过公共资源交易平台公布延期原因和定标时间。</w:t>
      </w:r>
    </w:p>
    <w:p w14:paraId="7B9C9862">
      <w:pPr>
        <w:keepNext w:val="0"/>
        <w:keepLines w:val="0"/>
        <w:pageBreakBefore w:val="0"/>
        <w:widowControl w:val="0"/>
        <w:shd w:val="clear" w:color="auto" w:fill="auto"/>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color w:val="auto"/>
          <w:sz w:val="24"/>
          <w:highlight w:val="none"/>
          <w:lang w:eastAsia="zh-CN"/>
        </w:rPr>
      </w:pPr>
      <w:r>
        <w:rPr>
          <w:rFonts w:hint="eastAsia" w:ascii="宋体" w:hAnsi="宋体" w:eastAsia="宋体" w:cs="宋体"/>
          <w:b/>
          <w:bCs/>
          <w:color w:val="auto"/>
          <w:sz w:val="24"/>
          <w:highlight w:val="none"/>
          <w:lang w:val="en-US" w:eastAsia="zh-CN"/>
        </w:rPr>
        <w:t>29</w:t>
      </w:r>
      <w:r>
        <w:rPr>
          <w:rFonts w:hint="eastAsia" w:ascii="宋体" w:hAnsi="宋体" w:eastAsia="宋体" w:cs="宋体"/>
          <w:b/>
          <w:bCs/>
          <w:color w:val="auto"/>
          <w:sz w:val="24"/>
          <w:highlight w:val="none"/>
        </w:rPr>
        <w:t>.</w:t>
      </w:r>
      <w:r>
        <w:rPr>
          <w:rFonts w:hint="eastAsia" w:ascii="宋体" w:hAnsi="宋体" w:eastAsia="宋体" w:cs="宋体"/>
          <w:b/>
          <w:color w:val="auto"/>
          <w:sz w:val="24"/>
          <w:highlight w:val="none"/>
          <w:lang w:eastAsia="zh-CN"/>
        </w:rPr>
        <w:t>定标委员会</w:t>
      </w:r>
    </w:p>
    <w:p w14:paraId="33C77EC8">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00" w:lineRule="exact"/>
        <w:ind w:left="0" w:leftChars="0" w:firstLine="480" w:firstLineChars="200"/>
        <w:jc w:val="both"/>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招标人负责组建定标委员会，由项目业主的法定代表人或者主要负责人担任定标委员会组长。定标委员会的组成方式和人员由招标人按相关规定自行确定。招标项目对技术、商务等有特别要求的可从广东省综合评标评审专家库-韶关区域）-抽取专家(外部人员）补足，成员数量为</w:t>
      </w:r>
      <w:r>
        <w:rPr>
          <w:rFonts w:hint="eastAsia" w:ascii="宋体" w:hAnsi="宋体" w:cs="宋体"/>
          <w:b w:val="0"/>
          <w:bCs w:val="0"/>
          <w:color w:val="auto"/>
          <w:sz w:val="24"/>
          <w:szCs w:val="24"/>
          <w:highlight w:val="none"/>
          <w:u w:val="none"/>
          <w:lang w:val="en-US" w:eastAsia="zh-CN"/>
        </w:rPr>
        <w:t>7</w:t>
      </w:r>
      <w:r>
        <w:rPr>
          <w:rFonts w:hint="eastAsia" w:ascii="宋体" w:hAnsi="宋体" w:eastAsia="宋体" w:cs="宋体"/>
          <w:b w:val="0"/>
          <w:bCs w:val="0"/>
          <w:color w:val="auto"/>
          <w:sz w:val="24"/>
          <w:szCs w:val="24"/>
          <w:highlight w:val="none"/>
          <w:u w:val="none"/>
          <w:lang w:val="en-US" w:eastAsia="zh-CN"/>
        </w:rPr>
        <w:t>人及以上单数，成员数量应在招标文件中明确。专家人数原则上不超过2人。定标委员会成员数量在本投标人须知前附表中约定。</w:t>
      </w:r>
    </w:p>
    <w:p w14:paraId="2580DD2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lang w:val="en-US" w:eastAsia="zh-CN"/>
        </w:rPr>
        <w:t>29</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u w:val="none"/>
          <w:lang w:val="en-US" w:eastAsia="zh-CN"/>
        </w:rPr>
        <w:t>2定标委员会成员应客观、公正履职，在未公示中标结果前，对定标过程和结果严格保密，对所提出的定标意见承担个人责任。定标委员会成员与定标候选人有利害关系的，应回避。定标委员会成员不得征询招标人确定中标人意向；不得私下与任何定标候选人或者其他利害关系人接触。</w:t>
      </w:r>
    </w:p>
    <w:p w14:paraId="5BB75098">
      <w:pPr>
        <w:keepNext w:val="0"/>
        <w:keepLines w:val="0"/>
        <w:pageBreakBefore w:val="0"/>
        <w:kinsoku/>
        <w:wordWrap/>
        <w:overflowPunct/>
        <w:topLinePunct w:val="0"/>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val="en-US" w:eastAsia="zh-CN"/>
        </w:rPr>
        <w:t>30</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eastAsia="zh-CN"/>
        </w:rPr>
        <w:t>定标办法</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val="en-US" w:eastAsia="zh-CN"/>
        </w:rPr>
        <w:t>定</w:t>
      </w:r>
      <w:r>
        <w:rPr>
          <w:rFonts w:hint="eastAsia" w:ascii="宋体" w:hAnsi="宋体" w:eastAsia="宋体" w:cs="宋体"/>
          <w:b/>
          <w:color w:val="auto"/>
          <w:sz w:val="24"/>
          <w:highlight w:val="none"/>
        </w:rPr>
        <w:t>标办法见本招标文件第三章）</w:t>
      </w:r>
    </w:p>
    <w:p w14:paraId="44DA202B">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strike w:val="0"/>
          <w:dstrike w:val="0"/>
          <w:color w:val="auto"/>
          <w:kern w:val="2"/>
          <w:sz w:val="24"/>
          <w:szCs w:val="24"/>
          <w:highlight w:val="none"/>
          <w:u w:val="none"/>
          <w:lang w:val="en-US" w:eastAsia="zh-CN" w:bidi="ar-SA"/>
        </w:rPr>
      </w:pPr>
      <w:r>
        <w:rPr>
          <w:rFonts w:hint="eastAsia" w:ascii="宋体" w:hAnsi="宋体" w:eastAsia="宋体" w:cs="宋体"/>
          <w:strike w:val="0"/>
          <w:dstrike w:val="0"/>
          <w:color w:val="auto"/>
          <w:kern w:val="2"/>
          <w:sz w:val="24"/>
          <w:szCs w:val="24"/>
          <w:highlight w:val="none"/>
          <w:u w:val="none"/>
          <w:lang w:val="en-US" w:eastAsia="zh-CN" w:bidi="ar-SA"/>
        </w:rPr>
        <w:t>本项目定标办法由招标人按本投标人须知前附表的规定确定（只能选定其中一种定标办法）。</w:t>
      </w:r>
    </w:p>
    <w:p w14:paraId="030ECEC5">
      <w:pPr>
        <w:pStyle w:val="7"/>
        <w:keepNext w:val="0"/>
        <w:keepLines w:val="0"/>
        <w:pageBreakBefore w:val="0"/>
        <w:kinsoku/>
        <w:wordWrap/>
        <w:overflowPunct/>
        <w:topLinePunct w:val="0"/>
        <w:autoSpaceDE/>
        <w:autoSpaceDN/>
        <w:bidi w:val="0"/>
        <w:adjustRightInd/>
        <w:snapToGrid/>
        <w:spacing w:beforeAutospacing="0" w:afterAutospacing="0" w:line="400" w:lineRule="exact"/>
        <w:ind w:left="0" w:leftChars="0" w:firstLine="482" w:firstLineChars="200"/>
        <w:jc w:val="both"/>
        <w:textAlignment w:val="auto"/>
        <w:outlineLvl w:val="9"/>
        <w:rPr>
          <w:rFonts w:hint="eastAsia" w:ascii="宋体" w:hAnsi="宋体" w:eastAsia="宋体" w:cs="宋体"/>
          <w:strike w:val="0"/>
          <w:dstrike w:val="0"/>
          <w:color w:val="auto"/>
          <w:kern w:val="2"/>
          <w:sz w:val="24"/>
          <w:szCs w:val="24"/>
          <w:highlight w:val="none"/>
          <w:u w:val="none"/>
          <w:lang w:val="en-US" w:eastAsia="zh-CN"/>
        </w:rPr>
      </w:pPr>
      <w:r>
        <w:rPr>
          <w:rFonts w:hint="eastAsia" w:ascii="宋体" w:hAnsi="宋体" w:eastAsia="宋体" w:cs="宋体"/>
          <w:b/>
          <w:bCs/>
          <w:color w:val="auto"/>
          <w:sz w:val="24"/>
          <w:highlight w:val="none"/>
          <w:lang w:val="en-US" w:eastAsia="zh-CN"/>
        </w:rPr>
        <w:t>31</w:t>
      </w:r>
      <w:r>
        <w:rPr>
          <w:rFonts w:hint="eastAsia" w:ascii="宋体" w:hAnsi="宋体" w:eastAsia="宋体" w:cs="宋体"/>
          <w:b/>
          <w:bCs/>
          <w:color w:val="auto"/>
          <w:sz w:val="24"/>
          <w:highlight w:val="none"/>
        </w:rPr>
        <w:t>.</w:t>
      </w:r>
      <w:r>
        <w:rPr>
          <w:rFonts w:hint="eastAsia" w:ascii="宋体" w:hAnsi="宋体" w:eastAsia="宋体" w:cs="宋体"/>
          <w:b/>
          <w:bCs/>
          <w:strike w:val="0"/>
          <w:dstrike w:val="0"/>
          <w:color w:val="auto"/>
          <w:kern w:val="2"/>
          <w:sz w:val="24"/>
          <w:szCs w:val="24"/>
          <w:highlight w:val="none"/>
          <w:u w:val="none"/>
          <w:lang w:val="en-US" w:eastAsia="zh-CN"/>
        </w:rPr>
        <w:t>组建招标监督小组</w:t>
      </w:r>
    </w:p>
    <w:p w14:paraId="3935D621">
      <w:pPr>
        <w:pStyle w:val="18"/>
        <w:keepNext w:val="0"/>
        <w:keepLines w:val="0"/>
        <w:pageBreakBefore w:val="0"/>
        <w:widowControl w:val="0"/>
        <w:kinsoku/>
        <w:wordWrap/>
        <w:overflowPunct/>
        <w:topLinePunct w:val="0"/>
        <w:autoSpaceDE/>
        <w:bidi w:val="0"/>
        <w:adjustRightInd/>
        <w:snapToGrid/>
        <w:spacing w:before="0" w:beforeLines="0" w:after="0" w:afterLines="0" w:line="400" w:lineRule="exact"/>
        <w:ind w:left="0" w:leftChars="0" w:right="0" w:rightChars="0" w:firstLine="480" w:firstLineChars="200"/>
        <w:jc w:val="both"/>
        <w:textAlignment w:val="auto"/>
        <w:outlineLvl w:val="9"/>
        <w:rPr>
          <w:rFonts w:hint="eastAsia" w:ascii="宋体" w:hAnsi="宋体" w:eastAsia="宋体" w:cs="宋体"/>
          <w:b/>
          <w:color w:val="auto"/>
          <w:highlight w:val="none"/>
        </w:rPr>
      </w:pPr>
      <w:r>
        <w:rPr>
          <w:rFonts w:hint="eastAsia" w:ascii="宋体" w:hAnsi="宋体" w:eastAsia="宋体" w:cs="宋体"/>
          <w:strike w:val="0"/>
          <w:dstrike w:val="0"/>
          <w:color w:val="auto"/>
          <w:kern w:val="2"/>
          <w:sz w:val="24"/>
          <w:szCs w:val="24"/>
          <w:highlight w:val="none"/>
          <w:u w:val="none"/>
          <w:lang w:val="en-US" w:eastAsia="zh-CN"/>
        </w:rPr>
        <w:t>招标人应组建招标监督小组，对招标投标活动全过程进行监督，及时指出、制止违反程序及纪律的行为，但不得就评标、定标涉及的实质内容发表意见或者参与定标委员会的讨论。相关人员存在违反程序及纪律的行为被指出后仍拒绝纠正的、发现招标投标活动存在其他违反相关规定行为的，招标监督小组应如实记录并及时报告招标人单位主要负责人、行政监督部门。</w:t>
      </w:r>
    </w:p>
    <w:p w14:paraId="47807E32">
      <w:pPr>
        <w:keepNext w:val="0"/>
        <w:keepLines w:val="0"/>
        <w:pageBreakBefore w:val="0"/>
        <w:widowControl w:val="0"/>
        <w:kinsoku/>
        <w:wordWrap/>
        <w:overflowPunct/>
        <w:topLinePunct w:val="0"/>
        <w:autoSpaceDE/>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w:t>
      </w:r>
      <w:r>
        <w:rPr>
          <w:rFonts w:hint="eastAsia" w:ascii="宋体" w:hAnsi="宋体" w:eastAsia="宋体" w:cs="宋体"/>
          <w:b/>
          <w:color w:val="auto"/>
          <w:sz w:val="24"/>
          <w:highlight w:val="none"/>
          <w:lang w:val="en-US" w:eastAsia="zh-CN"/>
        </w:rPr>
        <w:t>2</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val="en-US" w:eastAsia="zh-CN"/>
        </w:rPr>
        <w:t>定标结果</w:t>
      </w:r>
      <w:r>
        <w:rPr>
          <w:rFonts w:hint="eastAsia" w:ascii="宋体" w:hAnsi="宋体" w:eastAsia="宋体" w:cs="宋体"/>
          <w:b/>
          <w:color w:val="auto"/>
          <w:sz w:val="24"/>
          <w:highlight w:val="none"/>
        </w:rPr>
        <w:t xml:space="preserve">公示  </w:t>
      </w:r>
    </w:p>
    <w:p w14:paraId="35B0AB67">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strike w:val="0"/>
          <w:dstrike w:val="0"/>
          <w:color w:val="auto"/>
          <w:kern w:val="2"/>
          <w:sz w:val="24"/>
          <w:szCs w:val="24"/>
          <w:highlight w:val="none"/>
          <w:u w:val="none"/>
          <w:lang w:val="en-US" w:eastAsia="zh-CN" w:bidi="ar-SA"/>
        </w:rPr>
        <w:t>定标委员会完成定标后，招标人应于定标会结束后3个工作日内将中标候选人和定标情况在广东省招标投标监管网和韶关市公共资源交易中心工程交易系统上公示，公示时间不少于3个工作日。公示主要内容包括：公示主要内容包括：定标报告（定标成员信息除外）、中标人名单、中标价和拟投入本项目的项目负责人、技术负责人及各专业负责人（如有）等内容。</w:t>
      </w:r>
    </w:p>
    <w:p w14:paraId="4D382FDB">
      <w:pPr>
        <w:pStyle w:val="4"/>
        <w:bidi w:val="0"/>
        <w:rPr>
          <w:rFonts w:hint="eastAsia" w:ascii="宋体" w:hAnsi="宋体" w:eastAsia="宋体" w:cs="宋体"/>
          <w:b/>
          <w:color w:val="auto"/>
          <w:sz w:val="24"/>
          <w:highlight w:val="none"/>
        </w:rPr>
      </w:pPr>
      <w:bookmarkStart w:id="27" w:name="_Toc19457"/>
      <w:r>
        <w:rPr>
          <w:rFonts w:hint="eastAsia" w:ascii="宋体" w:hAnsi="宋体" w:eastAsia="宋体" w:cs="宋体"/>
          <w:color w:val="auto"/>
        </w:rPr>
        <w:t>（</w:t>
      </w:r>
      <w:r>
        <w:rPr>
          <w:rFonts w:hint="eastAsia" w:ascii="宋体" w:hAnsi="宋体" w:eastAsia="宋体" w:cs="宋体"/>
          <w:color w:val="auto"/>
          <w:lang w:eastAsia="zh-CN"/>
        </w:rPr>
        <w:t>八</w:t>
      </w:r>
      <w:r>
        <w:rPr>
          <w:rFonts w:hint="eastAsia" w:ascii="宋体" w:hAnsi="宋体" w:eastAsia="宋体" w:cs="宋体"/>
          <w:color w:val="auto"/>
        </w:rPr>
        <w:t>）中标确认</w:t>
      </w:r>
      <w:bookmarkEnd w:id="27"/>
    </w:p>
    <w:p w14:paraId="1F9E4E3C">
      <w:pPr>
        <w:keepNext w:val="0"/>
        <w:keepLines w:val="0"/>
        <w:pageBreakBefore w:val="0"/>
        <w:shd w:val="clear" w:color="auto" w:fill="auto"/>
        <w:kinsoku/>
        <w:wordWrap/>
        <w:overflowPunct/>
        <w:topLinePunct w:val="0"/>
        <w:bidi w:val="0"/>
        <w:adjustRightInd/>
        <w:snapToGrid/>
        <w:spacing w:line="340" w:lineRule="exact"/>
        <w:ind w:left="0" w:leftChars="0" w:firstLine="482" w:firstLineChars="200"/>
        <w:jc w:val="both"/>
        <w:textAlignment w:val="auto"/>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w:t>
      </w:r>
      <w:r>
        <w:rPr>
          <w:rFonts w:hint="eastAsia" w:ascii="宋体" w:hAnsi="宋体" w:eastAsia="宋体" w:cs="宋体"/>
          <w:b/>
          <w:color w:val="auto"/>
          <w:sz w:val="24"/>
          <w:highlight w:val="none"/>
          <w:lang w:val="en-US" w:eastAsia="zh-CN"/>
        </w:rPr>
        <w:t>3</w:t>
      </w:r>
      <w:r>
        <w:rPr>
          <w:rFonts w:hint="eastAsia" w:ascii="宋体" w:hAnsi="宋体" w:eastAsia="宋体" w:cs="宋体"/>
          <w:b/>
          <w:color w:val="auto"/>
          <w:sz w:val="24"/>
          <w:highlight w:val="none"/>
        </w:rPr>
        <w:t>.中标人确定</w:t>
      </w:r>
    </w:p>
    <w:p w14:paraId="44435665">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.1 中标人确定。</w:t>
      </w:r>
      <w:r>
        <w:rPr>
          <w:rFonts w:hint="eastAsia" w:ascii="宋体" w:hAnsi="宋体" w:eastAsia="宋体" w:cs="宋体"/>
          <w:color w:val="auto"/>
          <w:sz w:val="24"/>
          <w:highlight w:val="none"/>
          <w:lang w:eastAsia="zh-CN"/>
        </w:rPr>
        <w:t>中</w:t>
      </w:r>
      <w:r>
        <w:rPr>
          <w:rFonts w:hint="eastAsia" w:ascii="宋体" w:hAnsi="宋体" w:eastAsia="宋体" w:cs="宋体"/>
          <w:color w:val="auto"/>
          <w:sz w:val="24"/>
          <w:highlight w:val="none"/>
        </w:rPr>
        <w:t>标结果公示期满无异议的，招标人确认</w:t>
      </w:r>
      <w:r>
        <w:rPr>
          <w:rFonts w:hint="eastAsia" w:ascii="宋体" w:hAnsi="宋体" w:eastAsia="宋体" w:cs="宋体"/>
          <w:strike w:val="0"/>
          <w:dstrike w:val="0"/>
          <w:color w:val="auto"/>
          <w:sz w:val="24"/>
          <w:highlight w:val="none"/>
        </w:rPr>
        <w:t>排名第一的</w:t>
      </w:r>
      <w:r>
        <w:rPr>
          <w:rFonts w:hint="eastAsia" w:ascii="宋体" w:hAnsi="宋体" w:eastAsia="宋体" w:cs="宋体"/>
          <w:color w:val="auto"/>
          <w:sz w:val="24"/>
          <w:highlight w:val="none"/>
        </w:rPr>
        <w:t>中标候选人为中标人，中标人的投标报价即为中标价。</w:t>
      </w:r>
    </w:p>
    <w:p w14:paraId="2FE137A8">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 xml:space="preserve">.2 </w:t>
      </w:r>
      <w:r>
        <w:rPr>
          <w:rFonts w:hint="eastAsia" w:ascii="宋体" w:hAnsi="宋体" w:eastAsia="宋体" w:cs="宋体"/>
          <w:color w:val="auto"/>
          <w:sz w:val="24"/>
          <w:szCs w:val="24"/>
          <w:highlight w:val="none"/>
        </w:rPr>
        <w:t>中标人确定后，招标人应当</w:t>
      </w:r>
      <w:r>
        <w:rPr>
          <w:rFonts w:hint="eastAsia" w:ascii="宋体" w:hAnsi="宋体" w:eastAsia="宋体" w:cs="宋体"/>
          <w:color w:val="auto"/>
          <w:sz w:val="24"/>
          <w:szCs w:val="24"/>
          <w:highlight w:val="none"/>
          <w:lang w:eastAsia="zh-CN"/>
        </w:rPr>
        <w:t>于</w:t>
      </w:r>
      <w:r>
        <w:rPr>
          <w:rFonts w:hint="eastAsia" w:ascii="宋体" w:hAnsi="宋体" w:eastAsia="宋体" w:cs="宋体"/>
          <w:color w:val="auto"/>
          <w:sz w:val="24"/>
          <w:szCs w:val="24"/>
          <w:highlight w:val="none"/>
        </w:rPr>
        <w:t>7日</w:t>
      </w:r>
      <w:r>
        <w:rPr>
          <w:rFonts w:hint="eastAsia" w:ascii="宋体" w:hAnsi="宋体" w:eastAsia="宋体" w:cs="宋体"/>
          <w:color w:val="auto"/>
          <w:sz w:val="24"/>
          <w:szCs w:val="24"/>
          <w:highlight w:val="none"/>
          <w:u w:val="none"/>
        </w:rPr>
        <w:t>内</w:t>
      </w:r>
      <w:r>
        <w:rPr>
          <w:rFonts w:hint="eastAsia" w:ascii="宋体" w:hAnsi="宋体" w:eastAsia="宋体" w:cs="宋体"/>
          <w:color w:val="auto"/>
          <w:sz w:val="24"/>
          <w:szCs w:val="24"/>
          <w:highlight w:val="none"/>
          <w:lang w:val="en-US" w:eastAsia="zh-CN"/>
        </w:rPr>
        <w:t>在</w:t>
      </w:r>
      <w:r>
        <w:rPr>
          <w:rFonts w:hint="eastAsia" w:ascii="宋体" w:hAnsi="宋体" w:eastAsia="宋体" w:cs="宋体"/>
          <w:color w:val="auto"/>
          <w:sz w:val="24"/>
          <w:szCs w:val="24"/>
          <w:highlight w:val="none"/>
          <w:u w:val="none"/>
          <w:lang w:eastAsia="zh-CN"/>
        </w:rPr>
        <w:t>线</w:t>
      </w:r>
      <w:r>
        <w:rPr>
          <w:rFonts w:hint="eastAsia" w:ascii="宋体" w:hAnsi="宋体" w:eastAsia="宋体" w:cs="宋体"/>
          <w:color w:val="auto"/>
          <w:sz w:val="24"/>
          <w:szCs w:val="24"/>
          <w:highlight w:val="none"/>
          <w:lang w:val="en-US" w:eastAsia="zh-CN"/>
        </w:rPr>
        <w:t>完成</w:t>
      </w:r>
      <w:r>
        <w:rPr>
          <w:rFonts w:hint="eastAsia" w:ascii="宋体" w:hAnsi="宋体" w:eastAsia="宋体" w:cs="宋体"/>
          <w:color w:val="auto"/>
          <w:sz w:val="24"/>
          <w:szCs w:val="24"/>
          <w:highlight w:val="none"/>
          <w:u w:val="none"/>
        </w:rPr>
        <w:t>加盖招标人单位</w:t>
      </w:r>
      <w:r>
        <w:rPr>
          <w:rFonts w:hint="eastAsia" w:ascii="宋体" w:hAnsi="宋体" w:eastAsia="宋体" w:cs="宋体"/>
          <w:color w:val="auto"/>
          <w:sz w:val="24"/>
          <w:szCs w:val="24"/>
          <w:highlight w:val="none"/>
          <w:u w:val="none"/>
          <w:lang w:eastAsia="zh-CN"/>
        </w:rPr>
        <w:t>电子签</w:t>
      </w:r>
      <w:r>
        <w:rPr>
          <w:rFonts w:hint="eastAsia" w:ascii="宋体" w:hAnsi="宋体" w:eastAsia="宋体" w:cs="宋体"/>
          <w:color w:val="auto"/>
          <w:sz w:val="24"/>
          <w:szCs w:val="24"/>
          <w:highlight w:val="none"/>
          <w:u w:val="none"/>
        </w:rPr>
        <w:t>章的中标通知书</w:t>
      </w:r>
      <w:r>
        <w:rPr>
          <w:rFonts w:hint="eastAsia" w:ascii="宋体" w:hAnsi="宋体" w:eastAsia="宋体" w:cs="宋体"/>
          <w:color w:val="auto"/>
          <w:sz w:val="24"/>
          <w:szCs w:val="24"/>
          <w:highlight w:val="none"/>
          <w:u w:val="none"/>
          <w:lang w:eastAsia="zh-CN"/>
        </w:rPr>
        <w:t>并</w:t>
      </w:r>
      <w:r>
        <w:rPr>
          <w:rFonts w:hint="eastAsia" w:ascii="宋体" w:hAnsi="宋体" w:eastAsia="宋体" w:cs="宋体"/>
          <w:color w:val="auto"/>
          <w:sz w:val="24"/>
          <w:szCs w:val="24"/>
          <w:highlight w:val="none"/>
          <w:u w:val="none"/>
        </w:rPr>
        <w:t>发放</w:t>
      </w:r>
      <w:r>
        <w:rPr>
          <w:rFonts w:hint="eastAsia" w:ascii="宋体" w:hAnsi="宋体" w:cs="宋体"/>
          <w:color w:val="auto"/>
          <w:sz w:val="24"/>
          <w:szCs w:val="24"/>
          <w:highlight w:val="none"/>
          <w:u w:val="none"/>
          <w:lang w:eastAsia="zh-CN"/>
        </w:rPr>
        <w:t>至</w:t>
      </w:r>
      <w:r>
        <w:rPr>
          <w:rFonts w:hint="eastAsia" w:ascii="宋体" w:hAnsi="宋体" w:eastAsia="宋体" w:cs="宋体"/>
          <w:color w:val="auto"/>
          <w:sz w:val="24"/>
          <w:szCs w:val="24"/>
          <w:highlight w:val="none"/>
          <w:u w:val="none"/>
        </w:rPr>
        <w:t>中标人及各相关单位</w:t>
      </w:r>
      <w:r>
        <w:rPr>
          <w:rFonts w:hint="eastAsia" w:ascii="宋体" w:hAnsi="宋体" w:eastAsia="宋体" w:cs="宋体"/>
          <w:color w:val="auto"/>
          <w:sz w:val="24"/>
          <w:highlight w:val="none"/>
        </w:rPr>
        <w:t>。招标人最迟应当在投标有效期届满30日前发出中标通知书，否则，应当按照本投标人须知投标有效期的规定延长投标有效期。</w:t>
      </w:r>
    </w:p>
    <w:p w14:paraId="27001D85">
      <w:pPr>
        <w:pStyle w:val="32"/>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kern w:val="2"/>
          <w:highlight w:val="none"/>
          <w:u w:val="none"/>
        </w:rPr>
      </w:pPr>
      <w:r>
        <w:rPr>
          <w:rFonts w:hint="eastAsia" w:ascii="宋体" w:hAnsi="宋体" w:eastAsia="宋体" w:cs="宋体"/>
          <w:color w:val="auto"/>
          <w:kern w:val="2"/>
          <w:highlight w:val="none"/>
          <w:u w:val="none"/>
        </w:rPr>
        <w:t>3</w:t>
      </w:r>
      <w:r>
        <w:rPr>
          <w:rFonts w:hint="eastAsia" w:ascii="宋体" w:hAnsi="宋体" w:eastAsia="宋体" w:cs="宋体"/>
          <w:color w:val="auto"/>
          <w:kern w:val="2"/>
          <w:highlight w:val="none"/>
          <w:u w:val="none"/>
          <w:lang w:val="en-US" w:eastAsia="zh-CN"/>
        </w:rPr>
        <w:t>3</w:t>
      </w:r>
      <w:r>
        <w:rPr>
          <w:rFonts w:hint="eastAsia" w:ascii="宋体" w:hAnsi="宋体" w:eastAsia="宋体" w:cs="宋体"/>
          <w:color w:val="auto"/>
          <w:kern w:val="2"/>
          <w:highlight w:val="none"/>
          <w:u w:val="none"/>
        </w:rPr>
        <w:t>.3</w:t>
      </w:r>
      <w:r>
        <w:rPr>
          <w:rFonts w:hint="eastAsia" w:ascii="宋体" w:hAnsi="宋体" w:eastAsia="宋体" w:cs="宋体"/>
          <w:color w:val="auto"/>
          <w:kern w:val="2"/>
          <w:highlight w:val="none"/>
          <w:u w:val="none"/>
          <w:lang w:val="en-US" w:eastAsia="zh-CN"/>
        </w:rPr>
        <w:t xml:space="preserve"> </w:t>
      </w:r>
      <w:r>
        <w:rPr>
          <w:rFonts w:hint="eastAsia" w:ascii="宋体" w:hAnsi="宋体" w:eastAsia="宋体" w:cs="宋体"/>
          <w:color w:val="auto"/>
          <w:sz w:val="24"/>
          <w:szCs w:val="24"/>
          <w:highlight w:val="none"/>
          <w:u w:val="none"/>
        </w:rPr>
        <w:t>招标人应当</w:t>
      </w:r>
      <w:r>
        <w:rPr>
          <w:rFonts w:hint="eastAsia" w:ascii="宋体" w:hAnsi="宋体" w:eastAsia="宋体" w:cs="宋体"/>
          <w:i w:val="0"/>
          <w:color w:val="auto"/>
          <w:kern w:val="0"/>
          <w:sz w:val="24"/>
          <w:szCs w:val="24"/>
          <w:highlight w:val="none"/>
          <w:u w:val="none"/>
          <w:lang w:val="en-US" w:eastAsia="zh-CN" w:bidi="ar"/>
        </w:rPr>
        <w:t>自中标通知书发出之日起15日内</w:t>
      </w:r>
      <w:r>
        <w:rPr>
          <w:rFonts w:hint="eastAsia" w:ascii="宋体" w:hAnsi="宋体" w:eastAsia="宋体" w:cs="宋体"/>
          <w:color w:val="auto"/>
          <w:spacing w:val="0"/>
          <w:sz w:val="24"/>
          <w:szCs w:val="24"/>
          <w:highlight w:val="none"/>
          <w:u w:val="none"/>
          <w:lang w:eastAsia="zh-CN"/>
        </w:rPr>
        <w:t>，通过</w:t>
      </w:r>
      <w:r>
        <w:rPr>
          <w:rFonts w:hint="eastAsia" w:ascii="宋体" w:hAnsi="宋体" w:eastAsia="宋体" w:cs="宋体"/>
          <w:color w:val="auto"/>
          <w:spacing w:val="0"/>
          <w:sz w:val="24"/>
          <w:szCs w:val="24"/>
          <w:highlight w:val="none"/>
          <w:u w:val="none"/>
        </w:rPr>
        <w:t>广东省招标投标监管网和公共资源交易平台</w:t>
      </w:r>
      <w:r>
        <w:rPr>
          <w:rFonts w:hint="eastAsia" w:ascii="宋体" w:hAnsi="宋体" w:eastAsia="宋体" w:cs="宋体"/>
          <w:color w:val="auto"/>
          <w:spacing w:val="0"/>
          <w:sz w:val="24"/>
          <w:szCs w:val="24"/>
          <w:highlight w:val="none"/>
          <w:u w:val="none"/>
          <w:lang w:eastAsia="zh-CN"/>
        </w:rPr>
        <w:t>发布中标结果公示。</w:t>
      </w:r>
      <w:r>
        <w:rPr>
          <w:rFonts w:hint="eastAsia" w:ascii="宋体" w:hAnsi="宋体" w:eastAsia="宋体" w:cs="宋体"/>
          <w:color w:val="auto"/>
          <w:highlight w:val="none"/>
          <w:u w:val="none"/>
        </w:rPr>
        <w:t>招标人应当自确定中标人之日起15日内，</w:t>
      </w:r>
      <w:r>
        <w:rPr>
          <w:rFonts w:hint="eastAsia" w:ascii="宋体" w:hAnsi="宋体" w:eastAsia="宋体" w:cs="宋体"/>
          <w:color w:val="auto"/>
          <w:highlight w:val="none"/>
          <w:u w:val="none"/>
          <w:lang w:eastAsia="zh-CN"/>
        </w:rPr>
        <w:t>在线</w:t>
      </w:r>
      <w:r>
        <w:rPr>
          <w:rFonts w:hint="eastAsia" w:ascii="宋体" w:hAnsi="宋体" w:eastAsia="宋体" w:cs="宋体"/>
          <w:color w:val="auto"/>
          <w:highlight w:val="none"/>
          <w:u w:val="none"/>
        </w:rPr>
        <w:t>向有关</w:t>
      </w:r>
      <w:r>
        <w:rPr>
          <w:rFonts w:hint="eastAsia" w:ascii="宋体" w:hAnsi="宋体" w:eastAsia="宋体" w:cs="宋体"/>
          <w:color w:val="auto"/>
          <w:highlight w:val="none"/>
          <w:u w:val="none"/>
          <w:lang w:eastAsia="zh-CN"/>
        </w:rPr>
        <w:t>招标管理</w:t>
      </w:r>
      <w:r>
        <w:rPr>
          <w:rFonts w:hint="eastAsia" w:ascii="宋体" w:hAnsi="宋体" w:eastAsia="宋体" w:cs="宋体"/>
          <w:color w:val="auto"/>
          <w:highlight w:val="none"/>
          <w:u w:val="none"/>
        </w:rPr>
        <w:t>部门提交招标投标情况的书面报告。</w:t>
      </w:r>
    </w:p>
    <w:p w14:paraId="2355E6FD">
      <w:pPr>
        <w:keepNext w:val="0"/>
        <w:keepLines w:val="0"/>
        <w:pageBreakBefore w:val="0"/>
        <w:widowControl w:val="0"/>
        <w:shd w:val="clear" w:color="auto" w:fill="auto"/>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color w:val="auto"/>
          <w:sz w:val="24"/>
          <w:highlight w:val="none"/>
        </w:rPr>
      </w:pPr>
      <w:r>
        <w:rPr>
          <w:rFonts w:hint="eastAsia" w:ascii="宋体" w:hAnsi="宋体" w:eastAsia="宋体" w:cs="宋体"/>
          <w:b/>
          <w:bCs/>
          <w:color w:val="auto"/>
          <w:sz w:val="24"/>
          <w:highlight w:val="none"/>
        </w:rPr>
        <w:t>3</w:t>
      </w:r>
      <w:r>
        <w:rPr>
          <w:rFonts w:hint="eastAsia" w:ascii="宋体" w:hAnsi="宋体" w:eastAsia="宋体" w:cs="宋体"/>
          <w:b/>
          <w:bCs/>
          <w:color w:val="auto"/>
          <w:sz w:val="24"/>
          <w:highlight w:val="none"/>
          <w:lang w:val="en-US" w:eastAsia="zh-CN"/>
        </w:rPr>
        <w:t>4</w:t>
      </w: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eastAsia="zh-CN"/>
        </w:rPr>
        <w:t>异议和投诉</w:t>
      </w:r>
    </w:p>
    <w:p w14:paraId="3DA7D647">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 xml:space="preserve"> 投标人或者其他利害关系人对招标项目的</w:t>
      </w:r>
      <w:r>
        <w:rPr>
          <w:rFonts w:hint="eastAsia" w:ascii="宋体" w:hAnsi="宋体" w:eastAsia="宋体" w:cs="宋体"/>
          <w:color w:val="auto"/>
          <w:sz w:val="24"/>
          <w:highlight w:val="none"/>
          <w:lang w:eastAsia="zh-CN"/>
        </w:rPr>
        <w:t>评</w:t>
      </w:r>
      <w:r>
        <w:rPr>
          <w:rFonts w:hint="eastAsia" w:ascii="宋体" w:hAnsi="宋体" w:eastAsia="宋体" w:cs="宋体"/>
          <w:color w:val="auto"/>
          <w:sz w:val="24"/>
          <w:highlight w:val="none"/>
        </w:rPr>
        <w:t>标</w:t>
      </w:r>
      <w:r>
        <w:rPr>
          <w:rFonts w:hint="eastAsia" w:ascii="宋体" w:hAnsi="宋体" w:eastAsia="宋体" w:cs="宋体"/>
          <w:color w:val="auto"/>
          <w:sz w:val="24"/>
          <w:highlight w:val="none"/>
          <w:lang w:eastAsia="zh-CN"/>
        </w:rPr>
        <w:t>和中标</w:t>
      </w:r>
      <w:r>
        <w:rPr>
          <w:rFonts w:hint="eastAsia" w:ascii="宋体" w:hAnsi="宋体" w:eastAsia="宋体" w:cs="宋体"/>
          <w:color w:val="auto"/>
          <w:sz w:val="24"/>
          <w:highlight w:val="none"/>
        </w:rPr>
        <w:t>结果有异议的，应当在</w:t>
      </w:r>
      <w:r>
        <w:rPr>
          <w:rFonts w:hint="eastAsia" w:ascii="宋体" w:hAnsi="宋体" w:eastAsia="宋体" w:cs="宋体"/>
          <w:b w:val="0"/>
          <w:bCs w:val="0"/>
          <w:color w:val="auto"/>
          <w:spacing w:val="0"/>
          <w:position w:val="0"/>
          <w:sz w:val="24"/>
          <w:szCs w:val="24"/>
          <w:highlight w:val="none"/>
          <w:u w:val="none" w:color="auto"/>
          <w:lang w:val="en-US" w:eastAsia="zh-CN"/>
        </w:rPr>
        <w:t>定标候选人和中标候选人</w:t>
      </w:r>
      <w:r>
        <w:rPr>
          <w:rFonts w:hint="eastAsia" w:ascii="宋体" w:hAnsi="宋体" w:eastAsia="宋体" w:cs="宋体"/>
          <w:color w:val="auto"/>
          <w:sz w:val="24"/>
          <w:highlight w:val="none"/>
        </w:rPr>
        <w:t>公示期</w:t>
      </w:r>
      <w:r>
        <w:rPr>
          <w:rFonts w:hint="eastAsia" w:ascii="宋体" w:hAnsi="宋体" w:eastAsia="宋体" w:cs="宋体"/>
          <w:color w:val="auto"/>
          <w:sz w:val="24"/>
          <w:highlight w:val="none"/>
          <w:lang w:eastAsia="zh-CN"/>
        </w:rPr>
        <w:t>间按规定线上</w:t>
      </w:r>
      <w:r>
        <w:rPr>
          <w:rFonts w:hint="eastAsia" w:ascii="宋体" w:hAnsi="宋体" w:eastAsia="宋体" w:cs="宋体"/>
          <w:color w:val="auto"/>
          <w:sz w:val="24"/>
          <w:highlight w:val="none"/>
        </w:rPr>
        <w:t>向招标人提出，逾期提出的不予受理。招标人自收到异议之日起3日内作出答复；作出答复前，应当暂停招标投标活动。经招标人书面答复，异议人仍不满意的，可在法律规定的时限内向行政监督部门提出书面投诉。异议（投诉）提出、处理的具体办法和要求，按照《韶关市工程建设项目招标投标活动异议和投诉处理办法》（韶发改〔2021〕44号）执行。</w:t>
      </w:r>
    </w:p>
    <w:p w14:paraId="7585F389">
      <w:pPr>
        <w:keepNext w:val="0"/>
        <w:keepLines w:val="0"/>
        <w:pageBreakBefore w:val="0"/>
        <w:widowControl w:val="0"/>
        <w:shd w:val="clear" w:color="auto" w:fill="auto"/>
        <w:kinsoku/>
        <w:wordWrap/>
        <w:overflowPunct/>
        <w:topLinePunct w:val="0"/>
        <w:autoSpaceDE/>
        <w:autoSpaceDN/>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34</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kern w:val="0"/>
          <w:sz w:val="24"/>
          <w:szCs w:val="24"/>
          <w:highlight w:val="none"/>
        </w:rPr>
        <w:t>在</w:t>
      </w:r>
      <w:r>
        <w:rPr>
          <w:rFonts w:hint="eastAsia" w:ascii="宋体" w:hAnsi="宋体" w:eastAsia="宋体" w:cs="宋体"/>
          <w:b w:val="0"/>
          <w:bCs w:val="0"/>
          <w:color w:val="auto"/>
          <w:spacing w:val="0"/>
          <w:position w:val="0"/>
          <w:sz w:val="24"/>
          <w:szCs w:val="24"/>
          <w:highlight w:val="none"/>
          <w:u w:val="none" w:color="auto"/>
          <w:lang w:val="en-US" w:eastAsia="zh-CN"/>
        </w:rPr>
        <w:t>定标候选人和中标候选人</w:t>
      </w:r>
      <w:r>
        <w:rPr>
          <w:rFonts w:hint="eastAsia" w:ascii="宋体" w:hAnsi="宋体" w:eastAsia="宋体" w:cs="宋体"/>
          <w:color w:val="auto"/>
          <w:kern w:val="0"/>
          <w:sz w:val="24"/>
          <w:szCs w:val="24"/>
          <w:highlight w:val="none"/>
        </w:rPr>
        <w:t>公示期间有关评标结果的异议成立的，招标人</w:t>
      </w:r>
      <w:r>
        <w:rPr>
          <w:rFonts w:hint="eastAsia" w:ascii="宋体" w:hAnsi="宋体" w:eastAsia="宋体" w:cs="宋体"/>
          <w:color w:val="auto"/>
          <w:kern w:val="0"/>
          <w:sz w:val="24"/>
          <w:szCs w:val="24"/>
          <w:highlight w:val="none"/>
          <w:lang w:eastAsia="zh-CN"/>
        </w:rPr>
        <w:t>原则上</w:t>
      </w:r>
      <w:r>
        <w:rPr>
          <w:rFonts w:hint="eastAsia" w:ascii="宋体" w:hAnsi="宋体" w:eastAsia="宋体" w:cs="宋体"/>
          <w:color w:val="auto"/>
          <w:kern w:val="0"/>
          <w:sz w:val="24"/>
          <w:szCs w:val="24"/>
          <w:highlight w:val="none"/>
        </w:rPr>
        <w:t>应当组织原评标委员会</w:t>
      </w:r>
      <w:r>
        <w:rPr>
          <w:rFonts w:hint="eastAsia" w:ascii="宋体" w:hAnsi="宋体" w:eastAsia="宋体" w:cs="宋体"/>
          <w:color w:val="auto"/>
          <w:kern w:val="0"/>
          <w:sz w:val="24"/>
          <w:szCs w:val="24"/>
          <w:highlight w:val="none"/>
          <w:lang w:eastAsia="zh-CN"/>
        </w:rPr>
        <w:t>和原定标委员会</w:t>
      </w:r>
      <w:r>
        <w:rPr>
          <w:rFonts w:hint="eastAsia" w:ascii="宋体" w:hAnsi="宋体" w:eastAsia="宋体" w:cs="宋体"/>
          <w:color w:val="auto"/>
          <w:kern w:val="0"/>
          <w:sz w:val="24"/>
          <w:szCs w:val="24"/>
          <w:highlight w:val="none"/>
        </w:rPr>
        <w:t>对有关的问题予以纠正，问题纠正后再公示</w:t>
      </w:r>
      <w:r>
        <w:rPr>
          <w:rFonts w:hint="eastAsia" w:ascii="宋体" w:hAnsi="宋体" w:eastAsia="宋体" w:cs="宋体"/>
          <w:color w:val="auto"/>
          <w:kern w:val="0"/>
          <w:sz w:val="24"/>
          <w:szCs w:val="24"/>
          <w:highlight w:val="none"/>
          <w:lang w:eastAsia="zh-CN"/>
        </w:rPr>
        <w:t>定标候选人和</w:t>
      </w:r>
      <w:r>
        <w:rPr>
          <w:rFonts w:hint="eastAsia" w:ascii="宋体" w:hAnsi="宋体" w:eastAsia="宋体" w:cs="宋体"/>
          <w:color w:val="auto"/>
          <w:kern w:val="0"/>
          <w:sz w:val="24"/>
          <w:szCs w:val="24"/>
          <w:highlight w:val="none"/>
        </w:rPr>
        <w:t>中标候选人。</w:t>
      </w:r>
    </w:p>
    <w:p w14:paraId="0B7CE4CB">
      <w:pPr>
        <w:pStyle w:val="18"/>
        <w:keepNext w:val="0"/>
        <w:keepLines w:val="0"/>
        <w:pageBreakBefore w:val="0"/>
        <w:widowControl w:val="0"/>
        <w:shd w:val="clear" w:color="auto" w:fill="auto"/>
        <w:kinsoku/>
        <w:wordWrap/>
        <w:overflowPunct/>
        <w:topLinePunct w:val="0"/>
        <w:bidi w:val="0"/>
        <w:adjustRightInd/>
        <w:snapToGrid/>
        <w:spacing w:before="0" w:beforeLines="0" w:after="0" w:afterLines="0" w:line="340" w:lineRule="exact"/>
        <w:ind w:left="0" w:leftChars="0" w:firstLine="480" w:firstLineChars="200"/>
        <w:jc w:val="both"/>
        <w:textAlignment w:val="auto"/>
        <w:outlineLvl w:val="9"/>
        <w:rPr>
          <w:rFonts w:hint="eastAsia" w:ascii="宋体" w:hAnsi="宋体" w:eastAsia="宋体" w:cs="宋体"/>
          <w:b/>
          <w:color w:val="auto"/>
          <w:highlight w:val="none"/>
        </w:rPr>
      </w:pPr>
      <w:r>
        <w:rPr>
          <w:rFonts w:hint="eastAsia" w:ascii="宋体" w:hAnsi="宋体" w:eastAsia="宋体" w:cs="宋体"/>
          <w:color w:val="auto"/>
          <w:sz w:val="24"/>
          <w:highlight w:val="none"/>
          <w:lang w:val="en-US" w:eastAsia="zh-CN"/>
        </w:rPr>
        <w:t>34</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highlight w:val="none"/>
        </w:rPr>
        <w:t>投标人或其他利害关系人认为招标投标活动不符合法律、行政法规规定的，可以自知道或者应当知道之日起10日内</w:t>
      </w:r>
      <w:r>
        <w:rPr>
          <w:rFonts w:hint="eastAsia" w:ascii="宋体" w:hAnsi="宋体" w:eastAsia="宋体" w:cs="宋体"/>
          <w:color w:val="auto"/>
          <w:highlight w:val="none"/>
          <w:lang w:eastAsia="zh-CN"/>
        </w:rPr>
        <w:t>按规定线上</w:t>
      </w:r>
      <w:r>
        <w:rPr>
          <w:rFonts w:hint="eastAsia" w:ascii="宋体" w:hAnsi="宋体" w:eastAsia="宋体" w:cs="宋体"/>
          <w:color w:val="auto"/>
          <w:highlight w:val="none"/>
        </w:rPr>
        <w:t>向有关</w:t>
      </w:r>
      <w:r>
        <w:rPr>
          <w:rFonts w:hint="eastAsia" w:ascii="宋体" w:hAnsi="宋体" w:eastAsia="宋体" w:cs="宋体"/>
          <w:color w:val="auto"/>
          <w:highlight w:val="none"/>
          <w:lang w:eastAsia="zh-CN"/>
        </w:rPr>
        <w:t>招标管理</w:t>
      </w:r>
      <w:r>
        <w:rPr>
          <w:rFonts w:hint="eastAsia" w:ascii="宋体" w:hAnsi="宋体" w:eastAsia="宋体" w:cs="宋体"/>
          <w:color w:val="auto"/>
          <w:highlight w:val="none"/>
        </w:rPr>
        <w:t>部门投诉。投诉应当有明确的请求和必要的证明材料。</w:t>
      </w:r>
      <w:r>
        <w:rPr>
          <w:rFonts w:hint="eastAsia" w:ascii="宋体" w:hAnsi="宋体" w:eastAsia="宋体" w:cs="宋体"/>
          <w:color w:val="auto"/>
          <w:highlight w:val="none"/>
          <w:lang w:eastAsia="zh-CN"/>
        </w:rPr>
        <w:t>招标管理</w:t>
      </w:r>
      <w:r>
        <w:rPr>
          <w:rFonts w:hint="eastAsia" w:ascii="宋体" w:hAnsi="宋体" w:eastAsia="宋体" w:cs="宋体"/>
          <w:color w:val="auto"/>
          <w:highlight w:val="none"/>
        </w:rPr>
        <w:t>部门应当自收到投诉之日起30个工作日内作出书面处理决定。</w:t>
      </w:r>
    </w:p>
    <w:p w14:paraId="69FE146D">
      <w:pPr>
        <w:pStyle w:val="18"/>
        <w:keepNext w:val="0"/>
        <w:keepLines w:val="0"/>
        <w:pageBreakBefore w:val="0"/>
        <w:widowControl w:val="0"/>
        <w:shd w:val="clear" w:color="auto" w:fill="auto"/>
        <w:kinsoku/>
        <w:wordWrap/>
        <w:overflowPunct/>
        <w:topLinePunct w:val="0"/>
        <w:bidi w:val="0"/>
        <w:adjustRightInd/>
        <w:snapToGrid/>
        <w:spacing w:before="0" w:beforeLines="0" w:after="0" w:afterLines="0" w:line="340" w:lineRule="exact"/>
        <w:ind w:left="0" w:leftChars="0" w:firstLine="482" w:firstLineChars="200"/>
        <w:jc w:val="both"/>
        <w:textAlignment w:val="auto"/>
        <w:outlineLvl w:val="9"/>
        <w:rPr>
          <w:rFonts w:hint="eastAsia" w:ascii="宋体" w:hAnsi="宋体" w:eastAsia="宋体" w:cs="宋体"/>
          <w:b/>
          <w:bCs/>
          <w:i/>
          <w:color w:val="auto"/>
          <w:highlight w:val="none"/>
        </w:rPr>
      </w:pPr>
      <w:bookmarkStart w:id="28" w:name="_Toc236550039"/>
      <w:r>
        <w:rPr>
          <w:rStyle w:val="25"/>
          <w:rFonts w:hint="eastAsia" w:ascii="宋体" w:hAnsi="宋体" w:eastAsia="宋体" w:cs="宋体"/>
          <w:b/>
          <w:bCs/>
          <w:i w:val="0"/>
          <w:color w:val="auto"/>
          <w:highlight w:val="none"/>
          <w:lang w:val="en-US" w:eastAsia="zh-CN"/>
        </w:rPr>
        <w:t>35</w:t>
      </w:r>
      <w:r>
        <w:rPr>
          <w:rStyle w:val="25"/>
          <w:rFonts w:hint="eastAsia" w:ascii="宋体" w:hAnsi="宋体" w:eastAsia="宋体" w:cs="宋体"/>
          <w:b/>
          <w:bCs/>
          <w:i w:val="0"/>
          <w:color w:val="auto"/>
          <w:highlight w:val="none"/>
        </w:rPr>
        <w:t>．废除授标</w:t>
      </w:r>
      <w:bookmarkEnd w:id="28"/>
      <w:r>
        <w:rPr>
          <w:rStyle w:val="25"/>
          <w:rFonts w:hint="eastAsia" w:ascii="宋体" w:hAnsi="宋体" w:eastAsia="宋体" w:cs="宋体"/>
          <w:b/>
          <w:bCs/>
          <w:i w:val="0"/>
          <w:color w:val="auto"/>
          <w:highlight w:val="none"/>
        </w:rPr>
        <w:t>及授标</w:t>
      </w:r>
    </w:p>
    <w:p w14:paraId="22975AAB">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35</w:t>
      </w: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eastAsia="zh-CN"/>
        </w:rPr>
        <w:t>评定标完成后，中标候选人有下列情形之一的，招标人应按规定取消中标候选人资格或废除授标</w:t>
      </w:r>
      <w:r>
        <w:rPr>
          <w:rFonts w:hint="eastAsia" w:ascii="宋体" w:hAnsi="宋体" w:eastAsia="宋体" w:cs="宋体"/>
          <w:color w:val="auto"/>
          <w:sz w:val="24"/>
          <w:highlight w:val="none"/>
        </w:rPr>
        <w:t>：</w:t>
      </w:r>
    </w:p>
    <w:p w14:paraId="3A5E56CB">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（1）以他人名义投标或者以其他方式弄虚作假骗取中标的；</w:t>
      </w:r>
    </w:p>
    <w:p w14:paraId="3A1082E1">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（2）与其他投标人串通投标或以行贿的手段谋取中标的；</w:t>
      </w:r>
    </w:p>
    <w:p w14:paraId="4ECE5E0D">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）不是从本投标企业基本账户</w:t>
      </w:r>
      <w:r>
        <w:rPr>
          <w:rFonts w:hint="eastAsia" w:ascii="宋体" w:hAnsi="宋体" w:eastAsia="宋体" w:cs="宋体"/>
          <w:color w:val="auto"/>
          <w:sz w:val="24"/>
          <w:highlight w:val="none"/>
          <w:lang w:eastAsia="zh-CN"/>
        </w:rPr>
        <w:t>提交</w:t>
      </w:r>
      <w:r>
        <w:rPr>
          <w:rFonts w:hint="eastAsia" w:ascii="宋体" w:hAnsi="宋体" w:eastAsia="宋体" w:cs="宋体"/>
          <w:color w:val="auto"/>
          <w:sz w:val="24"/>
          <w:highlight w:val="none"/>
        </w:rPr>
        <w:t>投标</w:t>
      </w:r>
      <w:r>
        <w:rPr>
          <w:rFonts w:hint="eastAsia" w:ascii="宋体" w:hAnsi="宋体" w:eastAsia="宋体" w:cs="宋体"/>
          <w:color w:val="auto"/>
          <w:sz w:val="24"/>
          <w:highlight w:val="none"/>
          <w:lang w:eastAsia="zh-CN"/>
        </w:rPr>
        <w:t>担</w:t>
      </w:r>
      <w:r>
        <w:rPr>
          <w:rFonts w:hint="eastAsia" w:ascii="宋体" w:hAnsi="宋体" w:eastAsia="宋体" w:cs="宋体"/>
          <w:color w:val="auto"/>
          <w:sz w:val="24"/>
          <w:highlight w:val="none"/>
        </w:rPr>
        <w:t>保</w:t>
      </w:r>
      <w:r>
        <w:rPr>
          <w:rFonts w:hint="eastAsia" w:ascii="宋体" w:hAnsi="宋体" w:eastAsia="宋体" w:cs="宋体"/>
          <w:color w:val="auto"/>
          <w:sz w:val="24"/>
          <w:highlight w:val="none"/>
          <w:lang w:eastAsia="zh-CN"/>
        </w:rPr>
        <w:t>或以虚假方式提交投标保证金保函（保单）</w:t>
      </w:r>
      <w:r>
        <w:rPr>
          <w:rFonts w:hint="eastAsia" w:ascii="宋体" w:hAnsi="宋体" w:eastAsia="宋体" w:cs="宋体"/>
          <w:color w:val="auto"/>
          <w:sz w:val="24"/>
          <w:highlight w:val="none"/>
        </w:rPr>
        <w:t>的；</w:t>
      </w:r>
    </w:p>
    <w:p w14:paraId="42D23008">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中标人</w:t>
      </w:r>
      <w:r>
        <w:rPr>
          <w:rFonts w:hint="eastAsia" w:ascii="宋体" w:hAnsi="宋体" w:eastAsia="宋体" w:cs="宋体"/>
          <w:color w:val="auto"/>
          <w:sz w:val="24"/>
          <w:highlight w:val="none"/>
        </w:rPr>
        <w:t>于投标有效期终止之前撤回投标文件，或者排名第一的中标候选人放弃中标资格的；</w:t>
      </w:r>
    </w:p>
    <w:p w14:paraId="1C640A44">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）因中标人过错而未能按照规定与招标人签订</w:t>
      </w:r>
      <w:r>
        <w:rPr>
          <w:rFonts w:hint="eastAsia" w:ascii="宋体" w:hAnsi="宋体" w:eastAsia="宋体" w:cs="宋体"/>
          <w:color w:val="auto"/>
          <w:sz w:val="24"/>
          <w:highlight w:val="none"/>
          <w:lang w:eastAsia="zh-CN"/>
        </w:rPr>
        <w:t>工程总</w:t>
      </w:r>
      <w:r>
        <w:rPr>
          <w:rFonts w:hint="eastAsia" w:ascii="宋体" w:hAnsi="宋体" w:eastAsia="宋体" w:cs="宋体"/>
          <w:color w:val="auto"/>
          <w:sz w:val="24"/>
          <w:highlight w:val="none"/>
        </w:rPr>
        <w:t>承包合同或中标人因不可抗力提出不能履行合同的；</w:t>
      </w:r>
    </w:p>
    <w:p w14:paraId="0BA9578E">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）因中标人过错而未能按照招标文件要求向招标人提交履约</w:t>
      </w:r>
      <w:r>
        <w:rPr>
          <w:rFonts w:hint="eastAsia" w:ascii="宋体" w:hAnsi="宋体" w:eastAsia="宋体" w:cs="宋体"/>
          <w:color w:val="auto"/>
          <w:sz w:val="24"/>
          <w:highlight w:val="none"/>
          <w:lang w:eastAsia="zh-CN"/>
        </w:rPr>
        <w:t>担</w:t>
      </w:r>
      <w:r>
        <w:rPr>
          <w:rFonts w:hint="eastAsia" w:ascii="宋体" w:hAnsi="宋体" w:eastAsia="宋体" w:cs="宋体"/>
          <w:color w:val="auto"/>
          <w:sz w:val="24"/>
          <w:highlight w:val="none"/>
        </w:rPr>
        <w:t>保的；</w:t>
      </w:r>
    </w:p>
    <w:p w14:paraId="22A6B183">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w:t>
      </w:r>
      <w:r>
        <w:rPr>
          <w:rFonts w:hint="eastAsia" w:ascii="宋体" w:hAnsi="宋体" w:eastAsia="宋体" w:cs="宋体"/>
          <w:b w:val="0"/>
          <w:bCs w:val="0"/>
          <w:color w:val="auto"/>
          <w:sz w:val="24"/>
          <w:highlight w:val="none"/>
          <w:lang w:val="en-US" w:eastAsia="zh-CN"/>
        </w:rPr>
        <w:t>7</w:t>
      </w:r>
      <w:r>
        <w:rPr>
          <w:rFonts w:hint="eastAsia" w:ascii="宋体" w:hAnsi="宋体" w:eastAsia="宋体" w:cs="宋体"/>
          <w:b w:val="0"/>
          <w:bCs w:val="0"/>
          <w:color w:val="auto"/>
          <w:sz w:val="24"/>
          <w:highlight w:val="none"/>
        </w:rPr>
        <w:t>）</w:t>
      </w:r>
      <w:r>
        <w:rPr>
          <w:rFonts w:hint="eastAsia" w:ascii="宋体" w:hAnsi="宋体" w:eastAsia="宋体" w:cs="宋体"/>
          <w:color w:val="auto"/>
          <w:sz w:val="24"/>
          <w:highlight w:val="none"/>
          <w:lang w:val="en-US" w:eastAsia="zh-CN"/>
        </w:rPr>
        <w:t>中标单位拟派的项目负责人从投标截止时间起在其他建设工程担任项目负责人；</w:t>
      </w:r>
    </w:p>
    <w:p w14:paraId="3DF6C690">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中标人被有关部门查实存在影响中标结果的违法行为，不符合中标条件的</w:t>
      </w:r>
      <w:r>
        <w:rPr>
          <w:rFonts w:hint="eastAsia" w:ascii="宋体" w:hAnsi="宋体" w:eastAsia="宋体" w:cs="宋体"/>
          <w:color w:val="auto"/>
          <w:sz w:val="24"/>
          <w:highlight w:val="none"/>
          <w:lang w:val="en-US" w:eastAsia="zh-CN"/>
        </w:rPr>
        <w:t>；</w:t>
      </w:r>
    </w:p>
    <w:p w14:paraId="4B2B8C9C">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中标</w:t>
      </w:r>
      <w:r>
        <w:rPr>
          <w:rFonts w:hint="eastAsia" w:ascii="宋体" w:hAnsi="宋体" w:eastAsia="宋体" w:cs="宋体"/>
          <w:color w:val="auto"/>
          <w:sz w:val="24"/>
          <w:highlight w:val="none"/>
        </w:rPr>
        <w:t>人在参加本项目投标时有本企业投标承诺书所列被依法限制或暂停承揽业务</w:t>
      </w:r>
      <w:r>
        <w:rPr>
          <w:rFonts w:hint="eastAsia" w:ascii="宋体" w:hAnsi="宋体" w:eastAsia="宋体" w:cs="宋体"/>
          <w:color w:val="auto"/>
          <w:sz w:val="24"/>
          <w:highlight w:val="none"/>
          <w:lang w:eastAsia="zh-CN"/>
        </w:rPr>
        <w:t>或</w:t>
      </w:r>
      <w:r>
        <w:rPr>
          <w:rFonts w:hint="eastAsia" w:ascii="宋体" w:hAnsi="宋体" w:eastAsia="宋体" w:cs="宋体"/>
          <w:color w:val="auto"/>
          <w:sz w:val="24"/>
          <w:highlight w:val="none"/>
        </w:rPr>
        <w:t>停业的处罚的；</w:t>
      </w:r>
    </w:p>
    <w:p w14:paraId="6527364B">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）招标文件明确规定可以废除授标的其他情形。</w:t>
      </w:r>
    </w:p>
    <w:p w14:paraId="3B9FFCC0">
      <w:pPr>
        <w:pStyle w:val="3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Lines="0" w:beforeAutospacing="0" w:after="0" w:afterLines="0" w:afterAutospacing="0" w:line="340" w:lineRule="exact"/>
        <w:ind w:left="0" w:leftChars="0" w:right="0" w:firstLine="480" w:firstLineChars="200"/>
        <w:jc w:val="both"/>
        <w:textAlignment w:val="auto"/>
        <w:outlineLvl w:val="9"/>
        <w:rPr>
          <w:rFonts w:hint="eastAsia" w:ascii="宋体" w:hAnsi="宋体" w:eastAsia="宋体" w:cs="宋体"/>
          <w:b w:val="0"/>
          <w:bCs w:val="0"/>
          <w:color w:val="auto"/>
          <w:spacing w:val="0"/>
          <w:sz w:val="24"/>
          <w:szCs w:val="24"/>
          <w:highlight w:val="none"/>
          <w:u w:val="none"/>
        </w:rPr>
      </w:pPr>
      <w:r>
        <w:rPr>
          <w:rFonts w:hint="eastAsia" w:ascii="宋体" w:hAnsi="宋体" w:eastAsia="宋体" w:cs="宋体"/>
          <w:color w:val="auto"/>
          <w:sz w:val="24"/>
          <w:highlight w:val="none"/>
          <w:lang w:val="en-US" w:eastAsia="zh-CN"/>
        </w:rPr>
        <w:t>35</w:t>
      </w:r>
      <w:r>
        <w:rPr>
          <w:rFonts w:hint="eastAsia" w:ascii="宋体" w:hAnsi="宋体" w:eastAsia="宋体" w:cs="宋体"/>
          <w:color w:val="auto"/>
          <w:sz w:val="24"/>
          <w:highlight w:val="none"/>
        </w:rPr>
        <w:t xml:space="preserve">.2 </w:t>
      </w:r>
      <w:r>
        <w:rPr>
          <w:rFonts w:hint="eastAsia" w:ascii="宋体" w:hAnsi="宋体" w:eastAsia="宋体" w:cs="宋体"/>
          <w:b w:val="0"/>
          <w:bCs w:val="0"/>
          <w:strike w:val="0"/>
          <w:dstrike w:val="0"/>
          <w:color w:val="auto"/>
          <w:spacing w:val="0"/>
          <w:sz w:val="24"/>
          <w:szCs w:val="24"/>
          <w:highlight w:val="none"/>
        </w:rPr>
        <w:t>排名第一的</w:t>
      </w:r>
      <w:r>
        <w:rPr>
          <w:rFonts w:hint="eastAsia" w:ascii="宋体" w:hAnsi="宋体" w:eastAsia="宋体" w:cs="宋体"/>
          <w:b w:val="0"/>
          <w:bCs w:val="0"/>
          <w:color w:val="auto"/>
          <w:spacing w:val="0"/>
          <w:sz w:val="24"/>
          <w:szCs w:val="24"/>
          <w:highlight w:val="none"/>
        </w:rPr>
        <w:t>中标候选人</w:t>
      </w:r>
      <w:r>
        <w:rPr>
          <w:rFonts w:hint="eastAsia" w:ascii="宋体" w:hAnsi="宋体" w:eastAsia="宋体" w:cs="宋体"/>
          <w:color w:val="auto"/>
          <w:sz w:val="24"/>
          <w:highlight w:val="none"/>
          <w:lang w:eastAsia="zh-CN"/>
        </w:rPr>
        <w:t>被</w:t>
      </w:r>
      <w:r>
        <w:rPr>
          <w:rFonts w:hint="eastAsia" w:ascii="宋体" w:hAnsi="宋体" w:eastAsia="宋体" w:cs="宋体"/>
          <w:color w:val="auto"/>
          <w:sz w:val="24"/>
          <w:highlight w:val="none"/>
        </w:rPr>
        <w:t>取消中标候选人资格或废除授标</w:t>
      </w:r>
      <w:r>
        <w:rPr>
          <w:rFonts w:hint="eastAsia" w:ascii="宋体" w:hAnsi="宋体" w:eastAsia="宋体" w:cs="宋体"/>
          <w:b w:val="0"/>
          <w:bCs w:val="0"/>
          <w:color w:val="auto"/>
          <w:spacing w:val="0"/>
          <w:sz w:val="24"/>
          <w:szCs w:val="24"/>
          <w:highlight w:val="none"/>
        </w:rPr>
        <w:t>，</w:t>
      </w:r>
      <w:r>
        <w:rPr>
          <w:rFonts w:hint="eastAsia" w:ascii="宋体" w:hAnsi="宋体" w:eastAsia="宋体" w:cs="宋体"/>
          <w:b w:val="0"/>
          <w:bCs w:val="0"/>
          <w:color w:val="auto"/>
          <w:spacing w:val="0"/>
          <w:sz w:val="24"/>
          <w:szCs w:val="24"/>
          <w:highlight w:val="none"/>
          <w:u w:val="none"/>
        </w:rPr>
        <w:t>招标人可以按照</w:t>
      </w:r>
      <w:r>
        <w:rPr>
          <w:rFonts w:hint="eastAsia" w:ascii="宋体" w:hAnsi="宋体" w:eastAsia="宋体" w:cs="宋体"/>
          <w:b w:val="0"/>
          <w:bCs w:val="0"/>
          <w:color w:val="auto"/>
          <w:spacing w:val="0"/>
          <w:sz w:val="24"/>
          <w:szCs w:val="24"/>
          <w:highlight w:val="none"/>
          <w:u w:val="none"/>
          <w:lang w:eastAsia="zh-CN"/>
        </w:rPr>
        <w:t>定标委员会</w:t>
      </w:r>
      <w:r>
        <w:rPr>
          <w:rFonts w:hint="eastAsia" w:ascii="宋体" w:hAnsi="宋体" w:eastAsia="宋体" w:cs="宋体"/>
          <w:b w:val="0"/>
          <w:bCs w:val="0"/>
          <w:color w:val="auto"/>
          <w:spacing w:val="0"/>
          <w:sz w:val="24"/>
          <w:szCs w:val="24"/>
          <w:highlight w:val="none"/>
          <w:u w:val="none"/>
        </w:rPr>
        <w:t>提出的中标候选人名单排序</w:t>
      </w:r>
      <w:r>
        <w:rPr>
          <w:rFonts w:hint="eastAsia" w:ascii="宋体" w:hAnsi="宋体" w:eastAsia="宋体" w:cs="宋体"/>
          <w:b w:val="0"/>
          <w:bCs w:val="0"/>
          <w:color w:val="auto"/>
          <w:spacing w:val="0"/>
          <w:sz w:val="24"/>
          <w:szCs w:val="24"/>
          <w:highlight w:val="none"/>
          <w:u w:val="none"/>
          <w:lang w:eastAsia="zh-CN"/>
        </w:rPr>
        <w:t>按规定</w:t>
      </w:r>
      <w:r>
        <w:rPr>
          <w:rFonts w:hint="eastAsia" w:ascii="宋体" w:hAnsi="宋体" w:eastAsia="宋体" w:cs="宋体"/>
          <w:b w:val="0"/>
          <w:bCs w:val="0"/>
          <w:color w:val="auto"/>
          <w:spacing w:val="0"/>
          <w:sz w:val="24"/>
          <w:szCs w:val="24"/>
          <w:highlight w:val="none"/>
          <w:u w:val="none"/>
        </w:rPr>
        <w:t>依次确定其他中标候选人为中标人，</w:t>
      </w:r>
      <w:r>
        <w:rPr>
          <w:rFonts w:hint="eastAsia" w:ascii="宋体" w:hAnsi="宋体" w:eastAsia="宋体" w:cs="宋体"/>
          <w:b w:val="0"/>
          <w:bCs w:val="0"/>
          <w:color w:val="auto"/>
          <w:spacing w:val="0"/>
          <w:sz w:val="24"/>
          <w:szCs w:val="24"/>
          <w:highlight w:val="none"/>
          <w:u w:val="none"/>
          <w:lang w:eastAsia="zh-CN"/>
        </w:rPr>
        <w:t>并</w:t>
      </w:r>
      <w:r>
        <w:rPr>
          <w:rFonts w:hint="eastAsia" w:ascii="宋体" w:hAnsi="宋体" w:eastAsia="宋体" w:cs="宋体"/>
          <w:color w:val="auto"/>
          <w:sz w:val="24"/>
          <w:szCs w:val="24"/>
          <w:highlight w:val="none"/>
        </w:rPr>
        <w:t>按规定实行中标结果公示</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pacing w:val="0"/>
          <w:sz w:val="24"/>
          <w:szCs w:val="24"/>
          <w:highlight w:val="none"/>
          <w:u w:val="none"/>
        </w:rPr>
        <w:t>也可以</w:t>
      </w:r>
      <w:r>
        <w:rPr>
          <w:rFonts w:hint="eastAsia" w:ascii="宋体" w:hAnsi="宋体" w:eastAsia="宋体" w:cs="宋体"/>
          <w:b w:val="0"/>
          <w:bCs w:val="0"/>
          <w:color w:val="auto"/>
          <w:spacing w:val="0"/>
          <w:sz w:val="24"/>
          <w:szCs w:val="24"/>
          <w:highlight w:val="none"/>
          <w:u w:val="none"/>
          <w:lang w:eastAsia="zh-CN"/>
        </w:rPr>
        <w:t>按规定</w:t>
      </w:r>
      <w:r>
        <w:rPr>
          <w:rFonts w:hint="eastAsia" w:ascii="宋体" w:hAnsi="宋体" w:eastAsia="宋体" w:cs="宋体"/>
          <w:b w:val="0"/>
          <w:bCs w:val="0"/>
          <w:color w:val="auto"/>
          <w:spacing w:val="0"/>
          <w:sz w:val="24"/>
          <w:szCs w:val="24"/>
          <w:highlight w:val="none"/>
          <w:u w:val="none"/>
        </w:rPr>
        <w:t>重新组织招标</w:t>
      </w:r>
      <w:r>
        <w:rPr>
          <w:rFonts w:hint="eastAsia" w:ascii="宋体" w:hAnsi="宋体" w:eastAsia="宋体" w:cs="宋体"/>
          <w:color w:val="auto"/>
          <w:sz w:val="24"/>
          <w:highlight w:val="none"/>
        </w:rPr>
        <w:t>或报原项目审批</w:t>
      </w:r>
      <w:r>
        <w:rPr>
          <w:rFonts w:hint="eastAsia" w:ascii="宋体" w:hAnsi="宋体" w:eastAsia="宋体" w:cs="宋体"/>
          <w:color w:val="auto"/>
          <w:sz w:val="24"/>
          <w:highlight w:val="none"/>
          <w:lang w:eastAsia="zh-CN"/>
        </w:rPr>
        <w:t>、核准</w:t>
      </w:r>
      <w:r>
        <w:rPr>
          <w:rFonts w:hint="eastAsia" w:ascii="宋体" w:hAnsi="宋体" w:eastAsia="宋体" w:cs="宋体"/>
          <w:color w:val="auto"/>
          <w:sz w:val="24"/>
          <w:highlight w:val="none"/>
        </w:rPr>
        <w:t>部门重新</w:t>
      </w:r>
      <w:r>
        <w:rPr>
          <w:rFonts w:hint="eastAsia" w:ascii="宋体" w:hAnsi="宋体" w:eastAsia="宋体" w:cs="宋体"/>
          <w:color w:val="auto"/>
          <w:sz w:val="24"/>
          <w:highlight w:val="none"/>
          <w:lang w:eastAsia="zh-CN"/>
        </w:rPr>
        <w:t>审批、</w:t>
      </w:r>
      <w:r>
        <w:rPr>
          <w:rFonts w:hint="eastAsia" w:ascii="宋体" w:hAnsi="宋体" w:eastAsia="宋体" w:cs="宋体"/>
          <w:color w:val="auto"/>
          <w:sz w:val="24"/>
          <w:highlight w:val="none"/>
        </w:rPr>
        <w:t>核准招标方式。</w:t>
      </w:r>
    </w:p>
    <w:p w14:paraId="3F8C540D">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35</w:t>
      </w:r>
      <w:r>
        <w:rPr>
          <w:rFonts w:hint="eastAsia" w:ascii="宋体" w:hAnsi="宋体" w:eastAsia="宋体" w:cs="宋体"/>
          <w:color w:val="auto"/>
          <w:sz w:val="24"/>
          <w:highlight w:val="none"/>
        </w:rPr>
        <w:t>.3 招标人有下列情形之一的，应依法承担相应的责任：</w:t>
      </w:r>
    </w:p>
    <w:p w14:paraId="772B668B">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（1）无正当理由不发出中标通知书的</w:t>
      </w:r>
      <w:r>
        <w:rPr>
          <w:rFonts w:hint="eastAsia" w:ascii="宋体" w:hAnsi="宋体" w:eastAsia="宋体" w:cs="宋体"/>
          <w:color w:val="auto"/>
          <w:sz w:val="24"/>
          <w:highlight w:val="none"/>
          <w:lang w:eastAsia="zh-CN"/>
        </w:rPr>
        <w:t>；</w:t>
      </w:r>
    </w:p>
    <w:p w14:paraId="780A0B64">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（2）招标人不按照规定确定中标人的；</w:t>
      </w:r>
    </w:p>
    <w:p w14:paraId="5F8CF70A">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（3）中标通知书发出后无正当理由改变中标结果的；</w:t>
      </w:r>
    </w:p>
    <w:p w14:paraId="6B82655D">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（4）无正当理由不与中标人签订</w:t>
      </w:r>
      <w:r>
        <w:rPr>
          <w:rFonts w:hint="eastAsia" w:ascii="宋体" w:hAnsi="宋体" w:eastAsia="宋体" w:cs="宋体"/>
          <w:color w:val="auto"/>
          <w:sz w:val="24"/>
          <w:highlight w:val="none"/>
          <w:lang w:eastAsia="zh-CN"/>
        </w:rPr>
        <w:t>工程总</w:t>
      </w:r>
      <w:r>
        <w:rPr>
          <w:rFonts w:hint="eastAsia" w:ascii="宋体" w:hAnsi="宋体" w:eastAsia="宋体" w:cs="宋体"/>
          <w:color w:val="auto"/>
          <w:sz w:val="24"/>
          <w:highlight w:val="none"/>
        </w:rPr>
        <w:t>承包合同的；</w:t>
      </w:r>
    </w:p>
    <w:p w14:paraId="64B61F61">
      <w:pPr>
        <w:keepNext w:val="0"/>
        <w:keepLines w:val="0"/>
        <w:pageBreakBefore w:val="0"/>
        <w:shd w:val="clear" w:color="auto" w:fill="auto"/>
        <w:kinsoku/>
        <w:wordWrap/>
        <w:overflowPunct/>
        <w:topLinePunct w:val="0"/>
        <w:bidi w:val="0"/>
        <w:adjustRightInd/>
        <w:snapToGrid/>
        <w:spacing w:line="340" w:lineRule="exact"/>
        <w:ind w:left="0" w:leftChars="0" w:firstLine="480" w:firstLineChars="200"/>
        <w:jc w:val="both"/>
        <w:textAlignment w:val="auto"/>
        <w:outlineLvl w:val="9"/>
        <w:rPr>
          <w:rFonts w:hint="eastAsia" w:ascii="宋体" w:hAnsi="宋体" w:eastAsia="宋体" w:cs="宋体"/>
          <w:b/>
          <w:bCs/>
          <w:color w:val="auto"/>
          <w:sz w:val="28"/>
          <w:szCs w:val="28"/>
          <w:highlight w:val="none"/>
          <w:lang w:eastAsia="zh-CN"/>
        </w:rPr>
      </w:pPr>
      <w:r>
        <w:rPr>
          <w:rFonts w:hint="eastAsia" w:ascii="宋体" w:hAnsi="宋体" w:eastAsia="宋体" w:cs="宋体"/>
          <w:color w:val="auto"/>
          <w:sz w:val="24"/>
          <w:highlight w:val="none"/>
        </w:rPr>
        <w:t>（5）在签订</w:t>
      </w:r>
      <w:r>
        <w:rPr>
          <w:rFonts w:hint="eastAsia" w:ascii="宋体" w:hAnsi="宋体" w:eastAsia="宋体" w:cs="宋体"/>
          <w:color w:val="auto"/>
          <w:sz w:val="24"/>
          <w:highlight w:val="none"/>
          <w:lang w:eastAsia="zh-CN"/>
        </w:rPr>
        <w:t>工程总</w:t>
      </w:r>
      <w:r>
        <w:rPr>
          <w:rFonts w:hint="eastAsia" w:ascii="宋体" w:hAnsi="宋体" w:eastAsia="宋体" w:cs="宋体"/>
          <w:color w:val="auto"/>
          <w:sz w:val="24"/>
          <w:highlight w:val="none"/>
        </w:rPr>
        <w:t>承包合同时向中标人提出附加条件或者更改合同实质性内容的。</w:t>
      </w:r>
    </w:p>
    <w:p w14:paraId="3E531947">
      <w:pPr>
        <w:pStyle w:val="4"/>
        <w:bidi w:val="0"/>
        <w:rPr>
          <w:rFonts w:hint="eastAsia" w:ascii="宋体" w:hAnsi="宋体" w:eastAsia="宋体" w:cs="宋体"/>
          <w:color w:val="auto"/>
          <w:lang w:val="en-US" w:eastAsia="zh-CN"/>
        </w:rPr>
      </w:pPr>
      <w:bookmarkStart w:id="29" w:name="_Toc17580"/>
      <w:r>
        <w:rPr>
          <w:rFonts w:hint="eastAsia" w:ascii="宋体" w:hAnsi="宋体" w:eastAsia="宋体" w:cs="宋体"/>
          <w:color w:val="auto"/>
          <w:lang w:eastAsia="zh-CN"/>
        </w:rPr>
        <w:t>（</w:t>
      </w:r>
      <w:r>
        <w:rPr>
          <w:rFonts w:hint="eastAsia" w:ascii="宋体" w:hAnsi="宋体" w:eastAsia="宋体" w:cs="宋体"/>
          <w:color w:val="auto"/>
          <w:lang w:val="en-US" w:eastAsia="zh-CN"/>
        </w:rPr>
        <w:t>九</w:t>
      </w:r>
      <w:r>
        <w:rPr>
          <w:rFonts w:hint="eastAsia" w:ascii="宋体" w:hAnsi="宋体" w:eastAsia="宋体" w:cs="宋体"/>
          <w:color w:val="auto"/>
          <w:lang w:eastAsia="zh-CN"/>
        </w:rPr>
        <w:t>）</w:t>
      </w:r>
      <w:r>
        <w:rPr>
          <w:rFonts w:hint="eastAsia" w:ascii="宋体" w:hAnsi="宋体" w:eastAsia="宋体" w:cs="宋体"/>
          <w:color w:val="auto"/>
          <w:lang w:val="en-US" w:eastAsia="zh-CN"/>
        </w:rPr>
        <w:t>合同授予</w:t>
      </w:r>
      <w:bookmarkEnd w:id="29"/>
    </w:p>
    <w:p w14:paraId="6249ACB2">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36合同授予</w:t>
      </w:r>
    </w:p>
    <w:p w14:paraId="6D72AFC2">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36</w:t>
      </w:r>
      <w:r>
        <w:rPr>
          <w:rFonts w:hint="eastAsia" w:ascii="宋体" w:hAnsi="宋体" w:eastAsia="宋体" w:cs="宋体"/>
          <w:color w:val="auto"/>
          <w:sz w:val="24"/>
          <w:highlight w:val="none"/>
        </w:rPr>
        <w:t>.1 本工程的施工承包合同将授予按本投标人须知确定的中标人。</w:t>
      </w:r>
    </w:p>
    <w:p w14:paraId="41DD4928">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i/>
          <w:color w:val="auto"/>
          <w:sz w:val="24"/>
          <w:szCs w:val="24"/>
          <w:highlight w:val="none"/>
        </w:rPr>
      </w:pPr>
      <w:r>
        <w:rPr>
          <w:rFonts w:hint="eastAsia" w:ascii="宋体" w:hAnsi="宋体" w:eastAsia="宋体" w:cs="宋体"/>
          <w:color w:val="auto"/>
          <w:sz w:val="24"/>
          <w:highlight w:val="none"/>
          <w:lang w:val="en-US" w:eastAsia="zh-CN"/>
        </w:rPr>
        <w:t>36</w:t>
      </w:r>
      <w:r>
        <w:rPr>
          <w:rFonts w:hint="eastAsia" w:ascii="宋体" w:hAnsi="宋体" w:eastAsia="宋体" w:cs="宋体"/>
          <w:color w:val="auto"/>
          <w:sz w:val="24"/>
          <w:highlight w:val="none"/>
        </w:rPr>
        <w:t xml:space="preserve">.2 </w:t>
      </w:r>
      <w:r>
        <w:rPr>
          <w:rFonts w:hint="eastAsia" w:ascii="宋体" w:hAnsi="宋体" w:eastAsia="宋体" w:cs="宋体"/>
          <w:color w:val="auto"/>
          <w:sz w:val="24"/>
          <w:highlight w:val="none"/>
          <w:lang w:eastAsia="zh-CN"/>
        </w:rPr>
        <w:t>招标人和中标人应当在投标有效期内并自中标通知书发出之日起30日内，按照招标文件和中标人的投标文件订立施工承包合同</w:t>
      </w:r>
      <w:r>
        <w:rPr>
          <w:rFonts w:hint="eastAsia" w:ascii="宋体" w:hAnsi="宋体" w:eastAsia="宋体" w:cs="宋体"/>
          <w:b w:val="0"/>
          <w:bCs w:val="0"/>
          <w:color w:val="auto"/>
          <w:spacing w:val="0"/>
          <w:sz w:val="24"/>
          <w:szCs w:val="24"/>
          <w:highlight w:val="none"/>
          <w:u w:val="none" w:color="auto"/>
        </w:rPr>
        <w:t>，中标人的投标报价为合同价；合同的标的、价款、质量、履行期限等主要条款应当与招标文件和中标人的投标文件的内容一致。</w:t>
      </w:r>
      <w:r>
        <w:rPr>
          <w:rFonts w:hint="eastAsia" w:ascii="宋体" w:hAnsi="宋体" w:eastAsia="宋体" w:cs="宋体"/>
          <w:color w:val="auto"/>
          <w:sz w:val="24"/>
          <w:szCs w:val="24"/>
          <w:highlight w:val="none"/>
          <w:lang w:val="en-US" w:eastAsia="zh-CN"/>
        </w:rPr>
        <w:t>签订合同必须以招标人发布招标项目招标文件时的合同文本为蓝本，不得另行采用未经发布的合同文本签订本工程</w:t>
      </w:r>
      <w:r>
        <w:rPr>
          <w:rFonts w:hint="eastAsia" w:ascii="宋体" w:hAnsi="宋体" w:eastAsia="宋体" w:cs="宋体"/>
          <w:color w:val="auto"/>
          <w:sz w:val="24"/>
          <w:highlight w:val="none"/>
          <w:lang w:eastAsia="zh-CN"/>
        </w:rPr>
        <w:t>施工承包合同</w:t>
      </w:r>
      <w:r>
        <w:rPr>
          <w:rFonts w:hint="eastAsia" w:ascii="宋体" w:hAnsi="宋体" w:eastAsia="宋体" w:cs="宋体"/>
          <w:color w:val="auto"/>
          <w:sz w:val="24"/>
          <w:szCs w:val="24"/>
          <w:highlight w:val="none"/>
          <w:lang w:val="en-US" w:eastAsia="zh-CN"/>
        </w:rPr>
        <w:t>。同时，</w:t>
      </w:r>
      <w:r>
        <w:rPr>
          <w:rFonts w:hint="eastAsia" w:ascii="宋体" w:hAnsi="宋体" w:eastAsia="宋体" w:cs="宋体"/>
          <w:b w:val="0"/>
          <w:bCs w:val="0"/>
          <w:color w:val="auto"/>
          <w:spacing w:val="0"/>
          <w:sz w:val="24"/>
          <w:szCs w:val="24"/>
          <w:highlight w:val="none"/>
          <w:u w:val="none" w:color="auto"/>
        </w:rPr>
        <w:t>招标人和中标人不得另行订立背离招标文件、投标文件实质性内容的其他协议。</w:t>
      </w:r>
    </w:p>
    <w:p w14:paraId="23C645BE">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36</w:t>
      </w:r>
      <w:r>
        <w:rPr>
          <w:rFonts w:hint="eastAsia" w:ascii="宋体" w:hAnsi="宋体" w:eastAsia="宋体" w:cs="宋体"/>
          <w:color w:val="auto"/>
          <w:sz w:val="24"/>
          <w:highlight w:val="none"/>
        </w:rPr>
        <w:t>.3 招标人如不按本投标人须知第</w:t>
      </w:r>
      <w:r>
        <w:rPr>
          <w:rFonts w:hint="eastAsia" w:ascii="宋体" w:hAnsi="宋体" w:eastAsia="宋体" w:cs="宋体"/>
          <w:b/>
          <w:color w:val="auto"/>
          <w:sz w:val="24"/>
          <w:highlight w:val="none"/>
          <w:lang w:val="en-US" w:eastAsia="zh-CN"/>
        </w:rPr>
        <w:t>36</w:t>
      </w:r>
      <w:r>
        <w:rPr>
          <w:rFonts w:hint="eastAsia" w:ascii="宋体" w:hAnsi="宋体" w:eastAsia="宋体" w:cs="宋体"/>
          <w:b/>
          <w:color w:val="auto"/>
          <w:sz w:val="24"/>
          <w:highlight w:val="none"/>
        </w:rPr>
        <w:t>.2</w:t>
      </w:r>
      <w:r>
        <w:rPr>
          <w:rFonts w:hint="eastAsia" w:ascii="宋体" w:hAnsi="宋体" w:eastAsia="宋体" w:cs="宋体"/>
          <w:color w:val="auto"/>
          <w:sz w:val="24"/>
          <w:highlight w:val="none"/>
        </w:rPr>
        <w:t>款的规定与中标人</w:t>
      </w:r>
      <w:r>
        <w:rPr>
          <w:rFonts w:hint="eastAsia" w:ascii="宋体" w:hAnsi="宋体" w:eastAsia="宋体" w:cs="宋体"/>
          <w:b w:val="0"/>
          <w:bCs w:val="0"/>
          <w:color w:val="auto"/>
          <w:spacing w:val="0"/>
          <w:sz w:val="24"/>
          <w:szCs w:val="24"/>
          <w:highlight w:val="none"/>
          <w:u w:val="none" w:color="auto"/>
        </w:rPr>
        <w:t>订立</w:t>
      </w:r>
      <w:r>
        <w:rPr>
          <w:rFonts w:hint="eastAsia" w:ascii="宋体" w:hAnsi="宋体" w:eastAsia="宋体" w:cs="宋体"/>
          <w:color w:val="auto"/>
          <w:sz w:val="24"/>
          <w:highlight w:val="none"/>
        </w:rPr>
        <w:t>施工承包合同，或者招标人、中标人订立背离合同实质性内容的其他协议，应改正并处以投标保证金额罚款。</w:t>
      </w:r>
    </w:p>
    <w:p w14:paraId="2E95ACC1">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36</w:t>
      </w:r>
      <w:r>
        <w:rPr>
          <w:rFonts w:hint="eastAsia" w:ascii="宋体" w:hAnsi="宋体" w:eastAsia="宋体" w:cs="宋体"/>
          <w:color w:val="auto"/>
          <w:sz w:val="24"/>
          <w:highlight w:val="none"/>
        </w:rPr>
        <w:t>.4 中标人如不按本投标人须知第</w:t>
      </w:r>
      <w:r>
        <w:rPr>
          <w:rFonts w:hint="eastAsia" w:ascii="宋体" w:hAnsi="宋体" w:eastAsia="宋体" w:cs="宋体"/>
          <w:b/>
          <w:color w:val="auto"/>
          <w:sz w:val="24"/>
          <w:highlight w:val="none"/>
          <w:lang w:val="en-US" w:eastAsia="zh-CN"/>
        </w:rPr>
        <w:t>36</w:t>
      </w:r>
      <w:r>
        <w:rPr>
          <w:rFonts w:hint="eastAsia" w:ascii="宋体" w:hAnsi="宋体" w:eastAsia="宋体" w:cs="宋体"/>
          <w:b/>
          <w:color w:val="auto"/>
          <w:sz w:val="24"/>
          <w:highlight w:val="none"/>
        </w:rPr>
        <w:t>.2</w:t>
      </w:r>
      <w:r>
        <w:rPr>
          <w:rFonts w:hint="eastAsia" w:ascii="宋体" w:hAnsi="宋体" w:eastAsia="宋体" w:cs="宋体"/>
          <w:color w:val="auto"/>
          <w:sz w:val="24"/>
          <w:highlight w:val="none"/>
        </w:rPr>
        <w:t>款的规定与招标人订立施工承包合同，则招标人将废除授标，投标保证金不予退还，给招标人造成的损失超过投标保证金数额的，还应当对超过部分予以赔偿，同时依法承担相应法律责任。</w:t>
      </w:r>
    </w:p>
    <w:p w14:paraId="5E0056BF">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36</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 xml:space="preserve">5 </w:t>
      </w:r>
      <w:r>
        <w:rPr>
          <w:rFonts w:hint="eastAsia" w:ascii="宋体" w:hAnsi="宋体" w:eastAsia="宋体" w:cs="宋体"/>
          <w:color w:val="auto"/>
          <w:sz w:val="24"/>
          <w:highlight w:val="none"/>
        </w:rPr>
        <w:t>中标人应当按照施工承包合同约定履行义务，完成中标项目施工任务，不得将中标项目施工任务转让（转包）或者违法分包给其他人。</w:t>
      </w:r>
    </w:p>
    <w:p w14:paraId="5159F32D">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szCs w:val="24"/>
          <w:highlight w:val="none"/>
          <w:u w:val="none"/>
        </w:rPr>
      </w:pPr>
      <w:r>
        <w:rPr>
          <w:rFonts w:hint="eastAsia" w:ascii="宋体" w:hAnsi="宋体" w:eastAsia="宋体" w:cs="宋体"/>
          <w:color w:val="auto"/>
          <w:sz w:val="24"/>
          <w:highlight w:val="none"/>
          <w:lang w:val="en-US" w:eastAsia="zh-CN"/>
        </w:rPr>
        <w:t>36</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 xml:space="preserve">6 </w:t>
      </w:r>
      <w:r>
        <w:rPr>
          <w:rFonts w:hint="eastAsia" w:ascii="宋体" w:hAnsi="宋体" w:eastAsia="宋体" w:cs="宋体"/>
          <w:color w:val="auto"/>
          <w:sz w:val="24"/>
          <w:szCs w:val="24"/>
          <w:highlight w:val="none"/>
          <w:u w:val="none"/>
        </w:rPr>
        <w:t>招标人、中标人</w:t>
      </w:r>
      <w:r>
        <w:rPr>
          <w:rFonts w:hint="eastAsia" w:ascii="宋体" w:hAnsi="宋体" w:eastAsia="宋体" w:cs="宋体"/>
          <w:color w:val="auto"/>
          <w:sz w:val="24"/>
          <w:szCs w:val="24"/>
          <w:highlight w:val="none"/>
          <w:u w:val="none"/>
          <w:lang w:val="en-US" w:eastAsia="zh-CN"/>
        </w:rPr>
        <w:t>应</w:t>
      </w:r>
      <w:r>
        <w:rPr>
          <w:rFonts w:hint="eastAsia" w:ascii="宋体" w:hAnsi="宋体" w:eastAsia="宋体" w:cs="宋体"/>
          <w:color w:val="auto"/>
          <w:sz w:val="24"/>
          <w:szCs w:val="24"/>
          <w:highlight w:val="none"/>
          <w:u w:val="none"/>
        </w:rPr>
        <w:t>自合同签订后的20日内</w:t>
      </w:r>
      <w:r>
        <w:rPr>
          <w:rFonts w:hint="eastAsia" w:ascii="宋体" w:hAnsi="宋体" w:eastAsia="宋体" w:cs="宋体"/>
          <w:color w:val="auto"/>
          <w:sz w:val="24"/>
          <w:szCs w:val="24"/>
          <w:highlight w:val="none"/>
          <w:u w:val="none"/>
          <w:lang w:val="en-US" w:eastAsia="zh-CN"/>
        </w:rPr>
        <w:t>,按照规定</w:t>
      </w:r>
      <w:r>
        <w:rPr>
          <w:rFonts w:hint="eastAsia" w:ascii="宋体" w:hAnsi="宋体" w:eastAsia="宋体" w:cs="宋体"/>
          <w:color w:val="auto"/>
          <w:sz w:val="24"/>
          <w:szCs w:val="24"/>
          <w:highlight w:val="none"/>
          <w:u w:val="none"/>
        </w:rPr>
        <w:t>通过</w:t>
      </w:r>
      <w:r>
        <w:rPr>
          <w:rFonts w:hint="eastAsia" w:ascii="宋体" w:hAnsi="宋体" w:eastAsia="宋体" w:cs="宋体"/>
          <w:color w:val="auto"/>
          <w:spacing w:val="0"/>
          <w:sz w:val="24"/>
          <w:szCs w:val="24"/>
          <w:highlight w:val="none"/>
          <w:u w:val="none"/>
        </w:rPr>
        <w:t>广东省招标投标监管网和公共资源交易平台</w:t>
      </w:r>
      <w:r>
        <w:rPr>
          <w:rFonts w:hint="eastAsia" w:ascii="宋体" w:hAnsi="宋体" w:eastAsia="宋体" w:cs="宋体"/>
          <w:color w:val="auto"/>
          <w:sz w:val="24"/>
          <w:szCs w:val="24"/>
          <w:highlight w:val="none"/>
          <w:u w:val="none"/>
        </w:rPr>
        <w:t>公布中标合同履行情况等信息。</w:t>
      </w:r>
      <w:r>
        <w:rPr>
          <w:rFonts w:hint="eastAsia" w:ascii="宋体" w:hAnsi="宋体" w:eastAsia="宋体" w:cs="宋体"/>
          <w:color w:val="auto"/>
          <w:kern w:val="0"/>
          <w:sz w:val="24"/>
          <w:szCs w:val="24"/>
          <w:highlight w:val="none"/>
          <w:u w:val="none"/>
          <w:lang w:eastAsia="zh-CN"/>
        </w:rPr>
        <w:t>主要内容应包括</w:t>
      </w:r>
      <w:r>
        <w:rPr>
          <w:rFonts w:hint="eastAsia" w:ascii="宋体" w:hAnsi="宋体" w:eastAsia="宋体" w:cs="宋体"/>
          <w:color w:val="auto"/>
          <w:kern w:val="0"/>
          <w:sz w:val="24"/>
          <w:szCs w:val="24"/>
          <w:highlight w:val="none"/>
          <w:u w:val="none"/>
        </w:rPr>
        <w:t>招标人及中标人名称及社会信用代码</w:t>
      </w:r>
      <w:r>
        <w:rPr>
          <w:rFonts w:hint="eastAsia" w:ascii="宋体" w:hAnsi="宋体" w:eastAsia="宋体" w:cs="宋体"/>
          <w:color w:val="auto"/>
          <w:kern w:val="0"/>
          <w:sz w:val="24"/>
          <w:szCs w:val="24"/>
          <w:highlight w:val="none"/>
          <w:u w:val="none"/>
          <w:lang w:eastAsia="zh-CN"/>
        </w:rPr>
        <w:t>，</w:t>
      </w:r>
      <w:r>
        <w:rPr>
          <w:rFonts w:hint="eastAsia" w:ascii="宋体" w:hAnsi="宋体" w:eastAsia="宋体" w:cs="宋体"/>
          <w:color w:val="auto"/>
          <w:kern w:val="0"/>
          <w:sz w:val="24"/>
          <w:szCs w:val="24"/>
          <w:highlight w:val="none"/>
          <w:u w:val="none"/>
        </w:rPr>
        <w:t>合同签订人或其委托人全称</w:t>
      </w:r>
      <w:r>
        <w:rPr>
          <w:rFonts w:hint="eastAsia" w:ascii="宋体" w:hAnsi="宋体" w:eastAsia="宋体" w:cs="宋体"/>
          <w:color w:val="auto"/>
          <w:kern w:val="0"/>
          <w:sz w:val="24"/>
          <w:szCs w:val="24"/>
          <w:highlight w:val="none"/>
          <w:u w:val="none"/>
          <w:lang w:eastAsia="zh-CN"/>
        </w:rPr>
        <w:t>；</w:t>
      </w:r>
      <w:r>
        <w:rPr>
          <w:rFonts w:hint="eastAsia" w:ascii="宋体" w:hAnsi="宋体" w:eastAsia="宋体" w:cs="宋体"/>
          <w:color w:val="auto"/>
          <w:kern w:val="0"/>
          <w:sz w:val="24"/>
          <w:szCs w:val="24"/>
          <w:highlight w:val="none"/>
          <w:u w:val="none"/>
        </w:rPr>
        <w:t>合同金额及合同单位；合同签署时间及合同期限；质量要求；合同其他主要内容；其他依法应当载明的内容</w:t>
      </w:r>
      <w:r>
        <w:rPr>
          <w:rFonts w:hint="eastAsia" w:ascii="宋体" w:hAnsi="宋体" w:eastAsia="宋体" w:cs="宋体"/>
          <w:color w:val="auto"/>
          <w:kern w:val="0"/>
          <w:sz w:val="24"/>
          <w:szCs w:val="24"/>
          <w:highlight w:val="none"/>
          <w:u w:val="none"/>
          <w:lang w:eastAsia="zh-CN"/>
        </w:rPr>
        <w:t>等</w:t>
      </w:r>
      <w:r>
        <w:rPr>
          <w:rFonts w:hint="eastAsia" w:ascii="宋体" w:hAnsi="宋体" w:eastAsia="宋体" w:cs="宋体"/>
          <w:color w:val="auto"/>
          <w:kern w:val="0"/>
          <w:sz w:val="24"/>
          <w:szCs w:val="24"/>
          <w:highlight w:val="none"/>
          <w:u w:val="none"/>
        </w:rPr>
        <w:t>。</w:t>
      </w:r>
    </w:p>
    <w:p w14:paraId="5536226C">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37.</w:t>
      </w:r>
      <w:r>
        <w:rPr>
          <w:rFonts w:hint="eastAsia" w:ascii="宋体" w:hAnsi="宋体" w:eastAsia="宋体" w:cs="宋体"/>
          <w:b/>
          <w:bCs/>
          <w:color w:val="auto"/>
          <w:sz w:val="24"/>
          <w:highlight w:val="none"/>
        </w:rPr>
        <w:t>履约和支付担保</w:t>
      </w:r>
    </w:p>
    <w:p w14:paraId="683474B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37</w:t>
      </w:r>
      <w:r>
        <w:rPr>
          <w:rFonts w:hint="eastAsia" w:ascii="宋体" w:hAnsi="宋体" w:eastAsia="宋体" w:cs="宋体"/>
          <w:color w:val="auto"/>
          <w:sz w:val="24"/>
          <w:highlight w:val="none"/>
        </w:rPr>
        <w:t>.1 中标人</w:t>
      </w:r>
      <w:r>
        <w:rPr>
          <w:rFonts w:hint="eastAsia" w:ascii="宋体" w:hAnsi="宋体" w:eastAsia="宋体" w:cs="宋体"/>
          <w:color w:val="auto"/>
          <w:sz w:val="24"/>
          <w:highlight w:val="none"/>
          <w:lang w:eastAsia="zh-CN"/>
        </w:rPr>
        <w:t>须</w:t>
      </w:r>
      <w:r>
        <w:rPr>
          <w:rFonts w:hint="eastAsia" w:ascii="宋体" w:hAnsi="宋体" w:eastAsia="宋体" w:cs="宋体"/>
          <w:color w:val="auto"/>
          <w:sz w:val="24"/>
          <w:highlight w:val="none"/>
        </w:rPr>
        <w:t>在签订施工承包合同后</w:t>
      </w:r>
      <w:r>
        <w:rPr>
          <w:rFonts w:hint="eastAsia" w:ascii="宋体" w:hAnsi="宋体" w:eastAsia="宋体" w:cs="宋体"/>
          <w:color w:val="auto"/>
          <w:sz w:val="24"/>
          <w:highlight w:val="none"/>
          <w:lang w:eastAsia="zh-CN"/>
        </w:rPr>
        <w:t>按规定</w:t>
      </w:r>
      <w:r>
        <w:rPr>
          <w:rFonts w:hint="eastAsia" w:ascii="宋体" w:hAnsi="宋体" w:eastAsia="宋体" w:cs="宋体"/>
          <w:color w:val="auto"/>
          <w:sz w:val="24"/>
          <w:highlight w:val="none"/>
        </w:rPr>
        <w:t>向招标人提交履约担保，</w:t>
      </w:r>
      <w:r>
        <w:rPr>
          <w:rFonts w:hint="eastAsia" w:ascii="宋体" w:hAnsi="宋体" w:eastAsia="宋体" w:cs="宋体"/>
          <w:color w:val="auto"/>
          <w:spacing w:val="0"/>
          <w:sz w:val="24"/>
          <w:szCs w:val="24"/>
          <w:highlight w:val="none"/>
          <w:u w:val="none"/>
        </w:rPr>
        <w:t>履约担保额</w:t>
      </w:r>
      <w:r>
        <w:rPr>
          <w:rFonts w:hint="eastAsia" w:ascii="宋体" w:hAnsi="宋体" w:eastAsia="宋体" w:cs="宋体"/>
          <w:color w:val="auto"/>
          <w:spacing w:val="0"/>
          <w:sz w:val="24"/>
          <w:szCs w:val="24"/>
          <w:highlight w:val="none"/>
          <w:u w:val="none"/>
          <w:lang w:eastAsia="zh-CN"/>
        </w:rPr>
        <w:t>不得超过中标</w:t>
      </w:r>
      <w:r>
        <w:rPr>
          <w:rFonts w:hint="eastAsia" w:ascii="宋体" w:hAnsi="宋体" w:eastAsia="宋体" w:cs="宋体"/>
          <w:color w:val="auto"/>
          <w:spacing w:val="0"/>
          <w:sz w:val="24"/>
          <w:szCs w:val="24"/>
          <w:highlight w:val="none"/>
          <w:u w:val="none"/>
        </w:rPr>
        <w:t>合同</w:t>
      </w:r>
      <w:r>
        <w:rPr>
          <w:rFonts w:hint="eastAsia" w:ascii="宋体" w:hAnsi="宋体" w:eastAsia="宋体" w:cs="宋体"/>
          <w:color w:val="auto"/>
          <w:spacing w:val="0"/>
          <w:sz w:val="24"/>
          <w:szCs w:val="24"/>
          <w:highlight w:val="none"/>
          <w:u w:val="none"/>
          <w:lang w:eastAsia="zh-CN"/>
        </w:rPr>
        <w:t>金额</w:t>
      </w:r>
      <w:r>
        <w:rPr>
          <w:rFonts w:hint="eastAsia" w:ascii="宋体" w:hAnsi="宋体" w:eastAsia="宋体" w:cs="宋体"/>
          <w:color w:val="auto"/>
          <w:spacing w:val="0"/>
          <w:sz w:val="24"/>
          <w:szCs w:val="24"/>
          <w:highlight w:val="none"/>
          <w:u w:val="none"/>
        </w:rPr>
        <w:t>的10%</w:t>
      </w:r>
      <w:r>
        <w:rPr>
          <w:rFonts w:hint="eastAsia" w:ascii="宋体" w:hAnsi="宋体" w:eastAsia="宋体" w:cs="宋体"/>
          <w:color w:val="auto"/>
          <w:spacing w:val="0"/>
          <w:sz w:val="24"/>
          <w:szCs w:val="24"/>
          <w:highlight w:val="none"/>
        </w:rPr>
        <w:t>。</w:t>
      </w:r>
      <w:r>
        <w:rPr>
          <w:rFonts w:hint="eastAsia" w:ascii="宋体" w:hAnsi="宋体" w:eastAsia="宋体" w:cs="宋体"/>
          <w:color w:val="auto"/>
          <w:sz w:val="24"/>
          <w:highlight w:val="none"/>
        </w:rPr>
        <w:t>具体要求以投标人须知前附表要求为准。</w:t>
      </w:r>
    </w:p>
    <w:p w14:paraId="1FB6142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37</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 xml:space="preserve"> 若中标人不能按本投标人须知第</w:t>
      </w:r>
      <w:r>
        <w:rPr>
          <w:rFonts w:hint="eastAsia" w:ascii="宋体" w:hAnsi="宋体" w:eastAsia="宋体" w:cs="宋体"/>
          <w:b/>
          <w:color w:val="auto"/>
          <w:sz w:val="24"/>
          <w:highlight w:val="none"/>
          <w:lang w:val="en-US" w:eastAsia="zh-CN"/>
        </w:rPr>
        <w:t>37</w:t>
      </w:r>
      <w:r>
        <w:rPr>
          <w:rFonts w:hint="eastAsia" w:ascii="宋体" w:hAnsi="宋体" w:eastAsia="宋体" w:cs="宋体"/>
          <w:b/>
          <w:color w:val="auto"/>
          <w:sz w:val="24"/>
          <w:highlight w:val="none"/>
        </w:rPr>
        <w:t>.1</w:t>
      </w:r>
      <w:r>
        <w:rPr>
          <w:rFonts w:hint="eastAsia" w:ascii="宋体" w:hAnsi="宋体" w:eastAsia="宋体" w:cs="宋体"/>
          <w:color w:val="auto"/>
          <w:sz w:val="24"/>
          <w:highlight w:val="none"/>
        </w:rPr>
        <w:t>款的规定金额向招标人提交履约担保的，招标人将有充分的理由解除承包合同，并没收其投标保证金，给招标人造成的损失超过投标保证金数额的，还应当对超过部分予以赔偿。</w:t>
      </w:r>
    </w:p>
    <w:p w14:paraId="50BFE06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37</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 xml:space="preserve"> </w:t>
      </w:r>
      <w:r>
        <w:rPr>
          <w:rFonts w:hint="eastAsia" w:ascii="宋体" w:hAnsi="宋体" w:eastAsia="宋体" w:cs="宋体"/>
          <w:color w:val="auto"/>
          <w:spacing w:val="0"/>
          <w:sz w:val="24"/>
          <w:szCs w:val="24"/>
          <w:highlight w:val="none"/>
          <w:u w:val="none"/>
        </w:rPr>
        <w:t>招标人要求中标人提供履约担保的，应当向中标人提供工程款支付担保</w:t>
      </w:r>
      <w:r>
        <w:rPr>
          <w:rFonts w:hint="eastAsia" w:ascii="宋体" w:hAnsi="宋体" w:eastAsia="宋体" w:cs="宋体"/>
          <w:color w:val="auto"/>
          <w:spacing w:val="0"/>
          <w:sz w:val="24"/>
          <w:szCs w:val="24"/>
          <w:highlight w:val="none"/>
          <w:u w:val="none"/>
          <w:lang w:eastAsia="zh-CN"/>
        </w:rPr>
        <w:t>。</w:t>
      </w:r>
      <w:r>
        <w:rPr>
          <w:rFonts w:hint="eastAsia" w:ascii="宋体" w:hAnsi="宋体" w:eastAsia="宋体" w:cs="宋体"/>
          <w:color w:val="auto"/>
          <w:spacing w:val="0"/>
          <w:sz w:val="24"/>
          <w:szCs w:val="24"/>
          <w:highlight w:val="none"/>
          <w:u w:val="none"/>
        </w:rPr>
        <w:t>工程款支付担保</w:t>
      </w:r>
      <w:r>
        <w:rPr>
          <w:rFonts w:hint="eastAsia" w:ascii="宋体" w:hAnsi="宋体" w:eastAsia="宋体" w:cs="宋体"/>
          <w:color w:val="auto"/>
          <w:spacing w:val="0"/>
          <w:sz w:val="24"/>
          <w:szCs w:val="24"/>
          <w:highlight w:val="none"/>
          <w:u w:val="none"/>
          <w:lang w:eastAsia="zh-CN"/>
        </w:rPr>
        <w:t>可以</w:t>
      </w:r>
      <w:r>
        <w:rPr>
          <w:rFonts w:hint="eastAsia" w:ascii="宋体" w:hAnsi="宋体" w:eastAsia="宋体" w:cs="宋体"/>
          <w:color w:val="auto"/>
          <w:spacing w:val="0"/>
          <w:sz w:val="24"/>
          <w:szCs w:val="24"/>
          <w:highlight w:val="none"/>
          <w:u w:val="none"/>
        </w:rPr>
        <w:t>选择现金保证金、银行保函、保证保险、融资担保公司保函等</w:t>
      </w:r>
      <w:r>
        <w:rPr>
          <w:rFonts w:hint="eastAsia" w:ascii="宋体" w:hAnsi="宋体" w:eastAsia="宋体" w:cs="宋体"/>
          <w:color w:val="auto"/>
          <w:spacing w:val="0"/>
          <w:sz w:val="24"/>
          <w:szCs w:val="24"/>
          <w:highlight w:val="none"/>
          <w:u w:val="none"/>
          <w:lang w:eastAsia="zh-CN"/>
        </w:rPr>
        <w:t>方式提交</w:t>
      </w:r>
      <w:r>
        <w:rPr>
          <w:rFonts w:hint="eastAsia" w:ascii="宋体" w:hAnsi="宋体" w:eastAsia="宋体" w:cs="宋体"/>
          <w:color w:val="auto"/>
          <w:spacing w:val="0"/>
          <w:sz w:val="24"/>
          <w:szCs w:val="24"/>
          <w:highlight w:val="none"/>
          <w:u w:val="none"/>
        </w:rPr>
        <w:t>。</w:t>
      </w:r>
    </w:p>
    <w:p w14:paraId="783774A6">
      <w:pPr>
        <w:keepNext w:val="0"/>
        <w:keepLines w:val="0"/>
        <w:pageBreakBefore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color w:val="auto"/>
          <w:sz w:val="24"/>
          <w:szCs w:val="24"/>
          <w:highlight w:val="none"/>
          <w:u w:val="none"/>
        </w:rPr>
      </w:pPr>
      <w:r>
        <w:rPr>
          <w:rFonts w:hint="eastAsia" w:ascii="宋体" w:hAnsi="宋体" w:eastAsia="宋体" w:cs="宋体"/>
          <w:b/>
          <w:color w:val="auto"/>
          <w:sz w:val="24"/>
          <w:szCs w:val="24"/>
          <w:highlight w:val="none"/>
          <w:u w:val="none"/>
          <w:lang w:val="en-US" w:eastAsia="zh-CN"/>
        </w:rPr>
        <w:t>38</w:t>
      </w:r>
      <w:r>
        <w:rPr>
          <w:rFonts w:hint="eastAsia" w:ascii="宋体" w:hAnsi="宋体" w:eastAsia="宋体" w:cs="宋体"/>
          <w:b/>
          <w:color w:val="auto"/>
          <w:sz w:val="24"/>
          <w:szCs w:val="24"/>
          <w:highlight w:val="none"/>
          <w:u w:val="none"/>
        </w:rPr>
        <w:t>.合同</w:t>
      </w:r>
      <w:r>
        <w:rPr>
          <w:rFonts w:hint="eastAsia" w:ascii="宋体" w:hAnsi="宋体" w:eastAsia="宋体" w:cs="宋体"/>
          <w:b/>
          <w:color w:val="auto"/>
          <w:sz w:val="24"/>
          <w:szCs w:val="24"/>
          <w:highlight w:val="none"/>
          <w:u w:val="none"/>
          <w:lang w:eastAsia="zh-CN"/>
        </w:rPr>
        <w:t>存档</w:t>
      </w:r>
    </w:p>
    <w:p w14:paraId="28768C37">
      <w:pPr>
        <w:pStyle w:val="18"/>
        <w:keepNext w:val="0"/>
        <w:keepLines w:val="0"/>
        <w:pageBreakBefore w:val="0"/>
        <w:kinsoku/>
        <w:wordWrap/>
        <w:overflowPunct/>
        <w:topLinePunct w:val="0"/>
        <w:autoSpaceDE/>
        <w:autoSpaceDN/>
        <w:bidi w:val="0"/>
        <w:adjustRightInd/>
        <w:snapToGrid/>
        <w:spacing w:before="0" w:beforeLines="0" w:beforeAutospacing="0" w:after="0" w:afterLines="0" w:afterAutospacing="0"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u w:val="none"/>
        </w:rPr>
        <w:t>招标人应当自签订施工承包合同之日起30日内，按照规定将</w:t>
      </w:r>
      <w:r>
        <w:rPr>
          <w:rFonts w:hint="eastAsia" w:ascii="宋体" w:hAnsi="宋体" w:eastAsia="宋体" w:cs="宋体"/>
          <w:color w:val="auto"/>
          <w:sz w:val="24"/>
          <w:szCs w:val="24"/>
          <w:highlight w:val="none"/>
          <w:u w:val="none"/>
          <w:lang w:eastAsia="zh-CN"/>
        </w:rPr>
        <w:t>电子版</w:t>
      </w:r>
      <w:r>
        <w:rPr>
          <w:rFonts w:hint="eastAsia" w:ascii="宋体" w:hAnsi="宋体" w:eastAsia="宋体" w:cs="宋体"/>
          <w:color w:val="auto"/>
          <w:sz w:val="24"/>
          <w:szCs w:val="24"/>
          <w:highlight w:val="none"/>
          <w:u w:val="none"/>
        </w:rPr>
        <w:t>施工承包合同及其相关资料报送</w:t>
      </w:r>
      <w:r>
        <w:rPr>
          <w:rFonts w:hint="eastAsia" w:ascii="宋体" w:hAnsi="宋体" w:eastAsia="宋体" w:cs="宋体"/>
          <w:color w:val="auto"/>
          <w:sz w:val="24"/>
          <w:szCs w:val="24"/>
          <w:highlight w:val="none"/>
          <w:u w:val="none"/>
          <w:lang w:eastAsia="zh-CN"/>
        </w:rPr>
        <w:t>招标管理</w:t>
      </w:r>
      <w:r>
        <w:rPr>
          <w:rFonts w:hint="eastAsia" w:ascii="宋体" w:hAnsi="宋体" w:eastAsia="宋体" w:cs="宋体"/>
          <w:b w:val="0"/>
          <w:bCs w:val="0"/>
          <w:color w:val="auto"/>
          <w:sz w:val="24"/>
          <w:szCs w:val="24"/>
          <w:highlight w:val="none"/>
          <w:u w:val="none"/>
          <w:lang w:eastAsia="zh-CN"/>
        </w:rPr>
        <w:t>部门存档</w:t>
      </w:r>
      <w:r>
        <w:rPr>
          <w:rFonts w:hint="eastAsia" w:ascii="宋体" w:hAnsi="宋体" w:eastAsia="宋体" w:cs="宋体"/>
          <w:b w:val="0"/>
          <w:bCs w:val="0"/>
          <w:color w:val="auto"/>
          <w:sz w:val="24"/>
          <w:szCs w:val="24"/>
          <w:highlight w:val="none"/>
          <w:u w:val="none"/>
        </w:rPr>
        <w:t>。</w:t>
      </w:r>
    </w:p>
    <w:p w14:paraId="028C1913">
      <w:pPr>
        <w:pStyle w:val="4"/>
        <w:bidi w:val="0"/>
        <w:rPr>
          <w:rFonts w:hint="eastAsia" w:ascii="宋体" w:hAnsi="宋体" w:eastAsia="宋体" w:cs="宋体"/>
          <w:color w:val="auto"/>
        </w:rPr>
      </w:pPr>
      <w:bookmarkStart w:id="30" w:name="_Toc21828"/>
      <w:r>
        <w:rPr>
          <w:rFonts w:hint="eastAsia" w:ascii="宋体" w:hAnsi="宋体" w:eastAsia="宋体" w:cs="宋体"/>
          <w:color w:val="auto"/>
        </w:rPr>
        <w:t>（</w:t>
      </w:r>
      <w:r>
        <w:rPr>
          <w:rFonts w:hint="eastAsia" w:ascii="宋体" w:hAnsi="宋体" w:eastAsia="宋体" w:cs="宋体"/>
          <w:color w:val="auto"/>
          <w:lang w:eastAsia="zh-CN"/>
        </w:rPr>
        <w:t>十</w:t>
      </w:r>
      <w:r>
        <w:rPr>
          <w:rFonts w:hint="eastAsia" w:ascii="宋体" w:hAnsi="宋体" w:eastAsia="宋体" w:cs="宋体"/>
          <w:color w:val="auto"/>
        </w:rPr>
        <w:t>）电子管理规定</w:t>
      </w:r>
      <w:bookmarkEnd w:id="30"/>
    </w:p>
    <w:p w14:paraId="2FA43694">
      <w:pPr>
        <w:keepNext w:val="0"/>
        <w:keepLines w:val="0"/>
        <w:pageBreakBefore w:val="0"/>
        <w:widowControl/>
        <w:kinsoku/>
        <w:wordWrap/>
        <w:overflowPunct/>
        <w:topLinePunct w:val="0"/>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lang w:val="en-US" w:eastAsia="zh-CN"/>
        </w:rPr>
        <w:t>39</w:t>
      </w:r>
      <w:r>
        <w:rPr>
          <w:rFonts w:hint="eastAsia" w:ascii="宋体" w:hAnsi="宋体" w:eastAsia="宋体" w:cs="宋体"/>
          <w:b/>
          <w:color w:val="auto"/>
          <w:kern w:val="0"/>
          <w:sz w:val="24"/>
          <w:highlight w:val="none"/>
        </w:rPr>
        <w:t>.应急管理</w:t>
      </w:r>
    </w:p>
    <w:p w14:paraId="4AF82638">
      <w:pPr>
        <w:keepNext w:val="0"/>
        <w:keepLines w:val="0"/>
        <w:pageBreakBefore w:val="0"/>
        <w:widowControl/>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39</w:t>
      </w:r>
      <w:r>
        <w:rPr>
          <w:rFonts w:hint="eastAsia" w:ascii="宋体" w:hAnsi="宋体" w:eastAsia="宋体" w:cs="宋体"/>
          <w:color w:val="auto"/>
          <w:kern w:val="0"/>
          <w:sz w:val="24"/>
          <w:highlight w:val="none"/>
        </w:rPr>
        <w:t>.1发生下列情形之一时，招标人（招标代理机构）、公共资源交易中心应报告招标管理部门，未开标的暂停开标，已进入系统进行开标、评标（定标）的，宣布开标、评标（定标）无效、中止或终止，由招标人（招标代理机构）在招标管理部门代表监督和公共资源交易中心代表见证下对提交的电子投标文件进行加密封存，恢复开标、评标（定标）的时间视解决实际问题情况而定。</w:t>
      </w:r>
    </w:p>
    <w:p w14:paraId="33E41928">
      <w:pPr>
        <w:keepNext w:val="0"/>
        <w:keepLines w:val="0"/>
        <w:pageBreakBefore w:val="0"/>
        <w:widowControl/>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（1）因国际互联网中断、停电、网络入侵、不可抗力等非可控因素导致系统不能正常运行；</w:t>
      </w:r>
    </w:p>
    <w:p w14:paraId="64D148A3">
      <w:pPr>
        <w:keepNext w:val="0"/>
        <w:keepLines w:val="0"/>
        <w:pageBreakBefore w:val="0"/>
        <w:widowControl/>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（2）因系统服务器发生故障而无法访问系统或无法使用系统</w:t>
      </w:r>
      <w:r>
        <w:rPr>
          <w:rFonts w:hint="eastAsia" w:ascii="宋体" w:hAnsi="宋体" w:eastAsia="宋体" w:cs="宋体"/>
          <w:color w:val="auto"/>
          <w:kern w:val="0"/>
          <w:sz w:val="24"/>
          <w:highlight w:val="none"/>
          <w:lang w:eastAsia="zh-CN"/>
        </w:rPr>
        <w:t>，或</w:t>
      </w:r>
      <w:r>
        <w:rPr>
          <w:rFonts w:hint="eastAsia" w:ascii="宋体" w:hAnsi="宋体" w:eastAsia="宋体" w:cs="宋体"/>
          <w:color w:val="auto"/>
          <w:kern w:val="0"/>
          <w:sz w:val="24"/>
          <w:highlight w:val="none"/>
        </w:rPr>
        <w:t>因电子招标投标系统软件或网络数据库出现错误不能进行正常操作；</w:t>
      </w:r>
    </w:p>
    <w:p w14:paraId="77A757B6">
      <w:pPr>
        <w:keepNext w:val="0"/>
        <w:keepLines w:val="0"/>
        <w:pageBreakBefore w:val="0"/>
        <w:widowControl/>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）电子招</w:t>
      </w:r>
      <w:r>
        <w:rPr>
          <w:rFonts w:hint="eastAsia" w:ascii="宋体" w:hAnsi="宋体" w:eastAsia="宋体" w:cs="宋体"/>
          <w:color w:val="auto"/>
          <w:kern w:val="0"/>
          <w:sz w:val="24"/>
          <w:highlight w:val="none"/>
          <w:lang w:eastAsia="zh-CN"/>
        </w:rPr>
        <w:t>标</w:t>
      </w:r>
      <w:r>
        <w:rPr>
          <w:rFonts w:hint="eastAsia" w:ascii="宋体" w:hAnsi="宋体" w:eastAsia="宋体" w:cs="宋体"/>
          <w:color w:val="auto"/>
          <w:kern w:val="0"/>
          <w:sz w:val="24"/>
          <w:highlight w:val="none"/>
        </w:rPr>
        <w:t>投标系统发现有安全漏洞，有潜在的泄密危险；</w:t>
      </w:r>
      <w:r>
        <w:rPr>
          <w:rFonts w:hint="eastAsia" w:ascii="宋体" w:hAnsi="宋体" w:eastAsia="宋体" w:cs="宋体"/>
          <w:color w:val="auto"/>
          <w:kern w:val="0"/>
          <w:sz w:val="24"/>
          <w:highlight w:val="none"/>
          <w:lang w:eastAsia="zh-CN"/>
        </w:rPr>
        <w:t>或</w:t>
      </w:r>
      <w:r>
        <w:rPr>
          <w:rFonts w:hint="eastAsia" w:ascii="宋体" w:hAnsi="宋体" w:eastAsia="宋体" w:cs="宋体"/>
          <w:color w:val="auto"/>
          <w:kern w:val="0"/>
          <w:sz w:val="24"/>
          <w:highlight w:val="none"/>
        </w:rPr>
        <w:t>计算机病毒造成影响；</w:t>
      </w:r>
    </w:p>
    <w:p w14:paraId="70B20610">
      <w:pPr>
        <w:keepNext w:val="0"/>
        <w:keepLines w:val="0"/>
        <w:pageBreakBefore w:val="0"/>
        <w:widowControl/>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4</w:t>
      </w:r>
      <w:r>
        <w:rPr>
          <w:rFonts w:hint="eastAsia" w:ascii="宋体" w:hAnsi="宋体" w:eastAsia="宋体" w:cs="宋体"/>
          <w:color w:val="auto"/>
          <w:kern w:val="0"/>
          <w:sz w:val="24"/>
          <w:highlight w:val="none"/>
        </w:rPr>
        <w:t>）其他无法保证电子招标投标过程公平、公正和信息安全的意外情况；</w:t>
      </w:r>
    </w:p>
    <w:p w14:paraId="0912C035">
      <w:pPr>
        <w:keepNext w:val="0"/>
        <w:keepLines w:val="0"/>
        <w:pageBreakBefore w:val="0"/>
        <w:widowControl/>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5</w:t>
      </w:r>
      <w:r>
        <w:rPr>
          <w:rFonts w:hint="eastAsia" w:ascii="宋体" w:hAnsi="宋体" w:eastAsia="宋体" w:cs="宋体"/>
          <w:color w:val="auto"/>
          <w:kern w:val="0"/>
          <w:sz w:val="24"/>
          <w:highlight w:val="none"/>
        </w:rPr>
        <w:t>）相关行政监督部门</w:t>
      </w:r>
      <w:r>
        <w:rPr>
          <w:rFonts w:hint="eastAsia" w:ascii="宋体" w:hAnsi="宋体" w:eastAsia="宋体" w:cs="宋体"/>
          <w:color w:val="auto"/>
          <w:kern w:val="0"/>
          <w:sz w:val="24"/>
          <w:highlight w:val="none"/>
          <w:lang w:eastAsia="zh-CN"/>
        </w:rPr>
        <w:t>和</w:t>
      </w:r>
      <w:r>
        <w:rPr>
          <w:rFonts w:hint="eastAsia" w:ascii="宋体" w:hAnsi="宋体" w:eastAsia="宋体" w:cs="宋体"/>
          <w:color w:val="auto"/>
          <w:kern w:val="0"/>
          <w:sz w:val="24"/>
          <w:highlight w:val="none"/>
        </w:rPr>
        <w:t>司法、纪检监察等机关依法要求中止或终止电子招标投标活动；</w:t>
      </w:r>
    </w:p>
    <w:p w14:paraId="2825A2D7">
      <w:pPr>
        <w:keepNext w:val="0"/>
        <w:keepLines w:val="0"/>
        <w:pageBreakBefore w:val="0"/>
        <w:widowControl/>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6</w:t>
      </w:r>
      <w:r>
        <w:rPr>
          <w:rFonts w:hint="eastAsia" w:ascii="宋体" w:hAnsi="宋体" w:eastAsia="宋体" w:cs="宋体"/>
          <w:color w:val="auto"/>
          <w:kern w:val="0"/>
          <w:sz w:val="24"/>
          <w:highlight w:val="none"/>
        </w:rPr>
        <w:t>）法律法规规定的其他情形。</w:t>
      </w:r>
    </w:p>
    <w:p w14:paraId="106B77F6">
      <w:pPr>
        <w:keepNext w:val="0"/>
        <w:keepLines w:val="0"/>
        <w:pageBreakBefore w:val="0"/>
        <w:widowControl/>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对于另行安排时间开标、评标（定标）的项目，有关业绩、奖项等评审资料仍以原截标时间为准，开标时，招标人（招标代理机构）须出具书面说明，提请评委注意有关评标业绩仍以原截标时间为准。</w:t>
      </w:r>
    </w:p>
    <w:p w14:paraId="22550411">
      <w:pPr>
        <w:keepNext w:val="0"/>
        <w:keepLines w:val="0"/>
        <w:pageBreakBefore w:val="0"/>
        <w:widowControl/>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39</w:t>
      </w:r>
      <w:r>
        <w:rPr>
          <w:rFonts w:hint="eastAsia" w:ascii="宋体" w:hAnsi="宋体" w:eastAsia="宋体" w:cs="宋体"/>
          <w:color w:val="auto"/>
          <w:kern w:val="0"/>
          <w:sz w:val="24"/>
          <w:highlight w:val="none"/>
        </w:rPr>
        <w:t>.2评审或评标过程中如遇系统故障等突发事件，评标</w:t>
      </w:r>
      <w:r>
        <w:rPr>
          <w:rFonts w:hint="eastAsia" w:ascii="宋体" w:hAnsi="宋体" w:eastAsia="宋体" w:cs="宋体"/>
          <w:color w:val="auto"/>
          <w:kern w:val="0"/>
          <w:sz w:val="24"/>
          <w:highlight w:val="none"/>
          <w:lang w:eastAsia="zh-CN"/>
        </w:rPr>
        <w:t>定标</w:t>
      </w:r>
      <w:r>
        <w:rPr>
          <w:rFonts w:hint="eastAsia" w:ascii="宋体" w:hAnsi="宋体" w:eastAsia="宋体" w:cs="宋体"/>
          <w:color w:val="auto"/>
          <w:kern w:val="0"/>
          <w:sz w:val="24"/>
          <w:highlight w:val="none"/>
        </w:rPr>
        <w:t>专家应及时与现场工作人员沟通解决。</w:t>
      </w:r>
    </w:p>
    <w:p w14:paraId="1433B99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highlight w:val="none"/>
          <w:lang w:val="en-US" w:eastAsia="zh-CN"/>
        </w:rPr>
        <w:t>39</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szCs w:val="24"/>
          <w:highlight w:val="none"/>
        </w:rPr>
        <w:t>采用远程异地评标方式评标的</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在评标活动开始前，因主场或副场网络故障、电子设备或者评标系统故障，以及其他原因导致无法正常评标时，招标人可以延迟评标开始时间，待故障解除后开始评标；超过评标开始时间2小时仍无法解除故障的，由招标人确定是否进行评标。如延期评标，招标人应当配合主场、副场做好招投标资料的封存和保密工作，另行组建评标委员会进行评标。</w:t>
      </w:r>
    </w:p>
    <w:p w14:paraId="3830834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39</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采用远程异地评标方式评标的</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6BD2010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39</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采用远程异地评标方式评标的</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主场和副场应当做好远程异地评标活动全程见证服务并采用音视频设备在线记录，妥善保存评标活动过程中的文字和音视频资料。评标结束后，副场应当在5个工作日内将评标活动过程中产生的纸质资料原件、电子文档、音视频以及其他有关资料，按双方约定的方式移交主场保存，保存期限按国家有关规定执行。</w:t>
      </w:r>
    </w:p>
    <w:p w14:paraId="387D802A">
      <w:pPr>
        <w:keepNext w:val="0"/>
        <w:keepLines w:val="0"/>
        <w:pageBreakBefore w:val="0"/>
        <w:widowControl/>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39</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6</w:t>
      </w:r>
      <w:r>
        <w:rPr>
          <w:rFonts w:hint="eastAsia" w:ascii="宋体" w:hAnsi="宋体" w:eastAsia="宋体" w:cs="宋体"/>
          <w:color w:val="auto"/>
          <w:kern w:val="0"/>
          <w:sz w:val="24"/>
          <w:highlight w:val="none"/>
        </w:rPr>
        <w:t>电子招标投标中止、终止或结束后，招标人（招标代理机构）应将电子招标投标活动的记录下载打印成纸质文档存档。</w:t>
      </w:r>
    </w:p>
    <w:p w14:paraId="4ADCCAAF">
      <w:pPr>
        <w:keepNext w:val="0"/>
        <w:keepLines w:val="0"/>
        <w:pageBreakBefore w:val="0"/>
        <w:widowControl/>
        <w:kinsoku/>
        <w:wordWrap/>
        <w:overflowPunct/>
        <w:topLinePunct w:val="0"/>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lang w:val="en-US" w:eastAsia="zh-CN"/>
        </w:rPr>
        <w:t>40</w:t>
      </w:r>
      <w:r>
        <w:rPr>
          <w:rFonts w:hint="eastAsia" w:ascii="宋体" w:hAnsi="宋体" w:eastAsia="宋体" w:cs="宋体"/>
          <w:b/>
          <w:color w:val="auto"/>
          <w:kern w:val="0"/>
          <w:sz w:val="24"/>
          <w:highlight w:val="none"/>
        </w:rPr>
        <w:t>.相关规定</w:t>
      </w:r>
    </w:p>
    <w:p w14:paraId="53AD51BE">
      <w:pPr>
        <w:keepNext w:val="0"/>
        <w:keepLines w:val="0"/>
        <w:pageBreakBefore w:val="0"/>
        <w:widowControl/>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40</w:t>
      </w:r>
      <w:r>
        <w:rPr>
          <w:rFonts w:hint="eastAsia" w:ascii="宋体" w:hAnsi="宋体" w:eastAsia="宋体" w:cs="宋体"/>
          <w:color w:val="auto"/>
          <w:kern w:val="0"/>
          <w:sz w:val="24"/>
          <w:highlight w:val="none"/>
        </w:rPr>
        <w:t>.1招标人（招标代理机构）、潜在投标人遗失数字证书或密码的，应当及时到原办理机构挂失并重新申领，由此造成不能及时办理招标申请备案、澄清、修改、答疑或不能及时参加投标、提出疑问、上传投标文件等后果由招标人（招标代理机构）或潜在投标人自行负责。</w:t>
      </w:r>
    </w:p>
    <w:p w14:paraId="0E8D7A66">
      <w:pPr>
        <w:keepNext w:val="0"/>
        <w:keepLines w:val="0"/>
        <w:pageBreakBefore w:val="0"/>
        <w:widowControl/>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val="en-US" w:eastAsia="zh-CN"/>
        </w:rPr>
        <w:t>40</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2投标人在电子招标投标活动中实施下列行为之一，所产生的后果由投标人自行承担。</w:t>
      </w:r>
    </w:p>
    <w:p w14:paraId="1363903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（1）投标人的数字证书和密码被他人冒用、盗用；</w:t>
      </w:r>
    </w:p>
    <w:p w14:paraId="2BCEC59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（2）使用他人数字证书或把数字证书借给他人使用的，依法按以他人名义投标处理；有围标串标行为的，依法按串通投标处理；</w:t>
      </w:r>
    </w:p>
    <w:p w14:paraId="190ED56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（3）因投标人计算机系统遭遇网络堵塞、病毒入侵、硬件故障等导致不能正常登录网上招标投标系统参与投标；</w:t>
      </w:r>
    </w:p>
    <w:p w14:paraId="044C3576">
      <w:pPr>
        <w:keepNext w:val="0"/>
        <w:keepLines w:val="0"/>
        <w:pageBreakBefore w:val="0"/>
        <w:widowControl/>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highlight w:val="none"/>
        </w:rPr>
      </w:pPr>
      <w:r>
        <w:rPr>
          <w:rFonts w:hint="eastAsia" w:ascii="宋体" w:hAnsi="宋体" w:eastAsia="宋体" w:cs="宋体"/>
          <w:color w:val="auto"/>
          <w:kern w:val="0"/>
          <w:sz w:val="24"/>
          <w:highlight w:val="none"/>
        </w:rPr>
        <w:t>（4）经</w:t>
      </w:r>
      <w:r>
        <w:rPr>
          <w:rFonts w:hint="eastAsia" w:ascii="宋体" w:hAnsi="宋体" w:eastAsia="宋体" w:cs="宋体"/>
          <w:color w:val="auto"/>
          <w:kern w:val="0"/>
          <w:sz w:val="24"/>
          <w:highlight w:val="none"/>
          <w:lang w:eastAsia="zh-CN"/>
        </w:rPr>
        <w:t>电子招标投标</w:t>
      </w:r>
      <w:r>
        <w:rPr>
          <w:rFonts w:hint="eastAsia" w:ascii="宋体" w:hAnsi="宋体" w:eastAsia="宋体" w:cs="宋体"/>
          <w:color w:val="auto"/>
          <w:kern w:val="0"/>
          <w:sz w:val="24"/>
          <w:highlight w:val="none"/>
        </w:rPr>
        <w:t>系统检测到投标人</w:t>
      </w:r>
      <w:r>
        <w:rPr>
          <w:rFonts w:hint="eastAsia" w:ascii="宋体" w:hAnsi="宋体" w:eastAsia="宋体" w:cs="宋体"/>
          <w:color w:val="auto"/>
          <w:kern w:val="0"/>
          <w:sz w:val="24"/>
          <w:highlight w:val="none"/>
          <w:lang w:eastAsia="zh-CN"/>
        </w:rPr>
        <w:t>的</w:t>
      </w:r>
      <w:r>
        <w:rPr>
          <w:rFonts w:hint="eastAsia" w:ascii="宋体" w:hAnsi="宋体" w:eastAsia="宋体" w:cs="宋体"/>
          <w:color w:val="auto"/>
          <w:sz w:val="24"/>
          <w:highlight w:val="none"/>
        </w:rPr>
        <w:t>投标文件编制及上传存在</w:t>
      </w:r>
      <w:r>
        <w:rPr>
          <w:rFonts w:hint="eastAsia" w:ascii="宋体" w:hAnsi="宋体" w:eastAsia="宋体" w:cs="宋体"/>
          <w:color w:val="auto"/>
          <w:sz w:val="24"/>
          <w:highlight w:val="none"/>
          <w:lang w:eastAsia="zh-CN"/>
        </w:rPr>
        <w:t>有与不同投标人</w:t>
      </w:r>
      <w:r>
        <w:rPr>
          <w:rFonts w:hint="eastAsia" w:ascii="宋体" w:hAnsi="宋体" w:eastAsia="宋体" w:cs="宋体"/>
          <w:color w:val="auto"/>
          <w:sz w:val="24"/>
          <w:highlight w:val="none"/>
        </w:rPr>
        <w:t>同一网卡地址、硬盘序列号、软件序列号或投标文件异常一致（通过</w:t>
      </w:r>
      <w:r>
        <w:rPr>
          <w:rFonts w:hint="eastAsia" w:ascii="宋体" w:hAnsi="宋体" w:eastAsia="宋体" w:cs="宋体"/>
          <w:color w:val="auto"/>
          <w:sz w:val="24"/>
          <w:highlight w:val="none"/>
          <w:lang w:eastAsia="zh-CN"/>
        </w:rPr>
        <w:t>公共资源</w:t>
      </w:r>
      <w:r>
        <w:rPr>
          <w:rFonts w:hint="eastAsia" w:ascii="宋体" w:hAnsi="宋体" w:eastAsia="宋体" w:cs="宋体"/>
          <w:color w:val="auto"/>
          <w:sz w:val="24"/>
          <w:highlight w:val="none"/>
        </w:rPr>
        <w:t>交易中心计算机编制或上传的除外）</w:t>
      </w:r>
      <w:r>
        <w:rPr>
          <w:rFonts w:hint="eastAsia" w:ascii="宋体" w:hAnsi="宋体" w:eastAsia="宋体" w:cs="宋体"/>
          <w:color w:val="auto"/>
          <w:kern w:val="0"/>
          <w:sz w:val="24"/>
          <w:highlight w:val="none"/>
        </w:rPr>
        <w:t>的</w:t>
      </w:r>
      <w:r>
        <w:rPr>
          <w:rFonts w:hint="eastAsia" w:ascii="宋体" w:hAnsi="宋体" w:eastAsia="宋体" w:cs="宋体"/>
          <w:color w:val="auto"/>
          <w:kern w:val="0"/>
          <w:sz w:val="24"/>
          <w:highlight w:val="none"/>
          <w:lang w:eastAsia="zh-CN"/>
        </w:rPr>
        <w:t>情形</w:t>
      </w:r>
      <w:r>
        <w:rPr>
          <w:rFonts w:hint="eastAsia" w:ascii="宋体" w:hAnsi="宋体" w:eastAsia="宋体" w:cs="宋体"/>
          <w:color w:val="auto"/>
          <w:kern w:val="0"/>
          <w:sz w:val="24"/>
          <w:highlight w:val="none"/>
        </w:rPr>
        <w:t>，视为串通投标行为，其投标无效，并依法处理。</w:t>
      </w:r>
    </w:p>
    <w:p w14:paraId="62EBABED">
      <w:pPr>
        <w:keepNext w:val="0"/>
        <w:keepLines w:val="0"/>
        <w:pageBreakBefore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val="en-US" w:eastAsia="zh-CN"/>
        </w:rPr>
        <w:t>40</w:t>
      </w:r>
      <w:r>
        <w:rPr>
          <w:rFonts w:hint="eastAsia" w:ascii="宋体" w:hAnsi="宋体" w:eastAsia="宋体" w:cs="宋体"/>
          <w:color w:val="auto"/>
          <w:sz w:val="24"/>
          <w:highlight w:val="none"/>
        </w:rPr>
        <w:t xml:space="preserve">.3 </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参加</w:t>
      </w:r>
      <w:r>
        <w:rPr>
          <w:rFonts w:hint="eastAsia" w:ascii="宋体" w:hAnsi="宋体" w:eastAsia="宋体" w:cs="宋体"/>
          <w:color w:val="auto"/>
          <w:sz w:val="24"/>
          <w:szCs w:val="24"/>
          <w:highlight w:val="none"/>
          <w:lang w:eastAsia="zh-CN"/>
        </w:rPr>
        <w:t>电子招标</w:t>
      </w:r>
      <w:r>
        <w:rPr>
          <w:rFonts w:hint="eastAsia" w:ascii="宋体" w:hAnsi="宋体" w:eastAsia="宋体" w:cs="宋体"/>
          <w:color w:val="auto"/>
          <w:sz w:val="24"/>
          <w:szCs w:val="24"/>
          <w:highlight w:val="none"/>
        </w:rPr>
        <w:t>投标活动的各类注册人员和相关从业人员，应当在</w:t>
      </w:r>
      <w:r>
        <w:rPr>
          <w:rFonts w:hint="eastAsia" w:ascii="宋体" w:hAnsi="宋体" w:eastAsia="宋体" w:cs="宋体"/>
          <w:color w:val="auto"/>
          <w:kern w:val="0"/>
          <w:sz w:val="24"/>
          <w:highlight w:val="none"/>
          <w:lang w:val="en-US" w:eastAsia="zh-CN"/>
        </w:rPr>
        <w:t>投标系统</w:t>
      </w:r>
      <w:r>
        <w:rPr>
          <w:rFonts w:hint="eastAsia" w:ascii="宋体" w:hAnsi="宋体" w:eastAsia="宋体" w:cs="宋体"/>
          <w:color w:val="auto"/>
          <w:sz w:val="24"/>
          <w:szCs w:val="24"/>
          <w:highlight w:val="none"/>
        </w:rPr>
        <w:t>中选取。</w:t>
      </w:r>
      <w:r>
        <w:rPr>
          <w:rFonts w:hint="eastAsia" w:ascii="宋体" w:hAnsi="宋体" w:eastAsia="宋体" w:cs="宋体"/>
          <w:color w:val="auto"/>
          <w:kern w:val="0"/>
          <w:sz w:val="24"/>
          <w:highlight w:val="none"/>
        </w:rPr>
        <w:t xml:space="preserve"> 参加投标之前，投标人应</w:t>
      </w:r>
      <w:r>
        <w:rPr>
          <w:rFonts w:hint="eastAsia" w:ascii="宋体" w:hAnsi="宋体" w:eastAsia="宋体" w:cs="宋体"/>
          <w:color w:val="auto"/>
          <w:kern w:val="0"/>
          <w:sz w:val="24"/>
          <w:highlight w:val="none"/>
          <w:lang w:eastAsia="zh-CN"/>
        </w:rPr>
        <w:t>确保</w:t>
      </w:r>
      <w:r>
        <w:rPr>
          <w:rFonts w:hint="eastAsia" w:ascii="宋体" w:hAnsi="宋体" w:eastAsia="宋体" w:cs="宋体"/>
          <w:color w:val="auto"/>
          <w:kern w:val="0"/>
          <w:sz w:val="24"/>
          <w:highlight w:val="none"/>
        </w:rPr>
        <w:t>拟派</w:t>
      </w:r>
      <w:r>
        <w:rPr>
          <w:rFonts w:hint="eastAsia" w:ascii="宋体" w:hAnsi="宋体" w:eastAsia="宋体" w:cs="宋体"/>
          <w:color w:val="auto"/>
          <w:kern w:val="0"/>
          <w:sz w:val="24"/>
          <w:highlight w:val="none"/>
          <w:lang w:eastAsia="zh-CN"/>
        </w:rPr>
        <w:t>参加</w:t>
      </w:r>
      <w:r>
        <w:rPr>
          <w:rFonts w:hint="eastAsia" w:ascii="宋体" w:hAnsi="宋体" w:eastAsia="宋体" w:cs="宋体"/>
          <w:color w:val="auto"/>
          <w:kern w:val="0"/>
          <w:sz w:val="24"/>
          <w:highlight w:val="none"/>
        </w:rPr>
        <w:t>投标</w:t>
      </w:r>
      <w:r>
        <w:rPr>
          <w:rFonts w:hint="eastAsia" w:ascii="宋体" w:hAnsi="宋体" w:eastAsia="宋体" w:cs="宋体"/>
          <w:color w:val="auto"/>
          <w:kern w:val="0"/>
          <w:sz w:val="24"/>
          <w:highlight w:val="none"/>
          <w:lang w:eastAsia="zh-CN"/>
        </w:rPr>
        <w:t>人员</w:t>
      </w:r>
      <w:r>
        <w:rPr>
          <w:rFonts w:hint="eastAsia" w:ascii="宋体" w:hAnsi="宋体" w:eastAsia="宋体" w:cs="宋体"/>
          <w:color w:val="auto"/>
          <w:kern w:val="0"/>
          <w:sz w:val="24"/>
          <w:highlight w:val="none"/>
        </w:rPr>
        <w:t>信息与</w:t>
      </w:r>
      <w:r>
        <w:rPr>
          <w:rFonts w:hint="eastAsia" w:ascii="宋体" w:hAnsi="宋体" w:eastAsia="宋体" w:cs="宋体"/>
          <w:color w:val="auto"/>
          <w:kern w:val="0"/>
          <w:sz w:val="24"/>
          <w:highlight w:val="none"/>
          <w:lang w:val="en-US" w:eastAsia="zh-CN"/>
        </w:rPr>
        <w:t>投标系统</w:t>
      </w:r>
      <w:r>
        <w:rPr>
          <w:rFonts w:hint="eastAsia" w:ascii="宋体" w:hAnsi="宋体" w:eastAsia="宋体" w:cs="宋体"/>
          <w:color w:val="auto"/>
          <w:sz w:val="24"/>
          <w:szCs w:val="24"/>
          <w:highlight w:val="none"/>
        </w:rPr>
        <w:t>人员</w:t>
      </w:r>
      <w:r>
        <w:rPr>
          <w:rFonts w:hint="eastAsia" w:ascii="宋体" w:hAnsi="宋体" w:eastAsia="宋体" w:cs="宋体"/>
          <w:b w:val="0"/>
          <w:bCs w:val="0"/>
          <w:color w:val="auto"/>
          <w:sz w:val="24"/>
          <w:highlight w:val="none"/>
        </w:rPr>
        <w:t>信息</w:t>
      </w:r>
      <w:r>
        <w:rPr>
          <w:rFonts w:hint="eastAsia" w:ascii="宋体" w:hAnsi="宋体" w:eastAsia="宋体" w:cs="宋体"/>
          <w:color w:val="auto"/>
          <w:kern w:val="0"/>
          <w:sz w:val="24"/>
          <w:highlight w:val="none"/>
        </w:rPr>
        <w:t>一致，以免造成投标不成功</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因其可能引起的一切后果由投标人自行承担。</w:t>
      </w:r>
    </w:p>
    <w:p w14:paraId="1A4D517B">
      <w:pPr>
        <w:keepNext w:val="0"/>
        <w:keepLines w:val="0"/>
        <w:pageBreakBefore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highlight w:val="none"/>
          <w:lang w:val="en-US" w:eastAsia="zh-CN"/>
        </w:rPr>
        <w:t>40</w:t>
      </w:r>
      <w:r>
        <w:rPr>
          <w:rFonts w:hint="eastAsia" w:ascii="宋体" w:hAnsi="宋体" w:eastAsia="宋体" w:cs="宋体"/>
          <w:color w:val="auto"/>
          <w:sz w:val="24"/>
          <w:highlight w:val="none"/>
        </w:rPr>
        <w:t xml:space="preserve">.4 </w:t>
      </w:r>
      <w:r>
        <w:rPr>
          <w:rFonts w:hint="eastAsia" w:ascii="宋体" w:hAnsi="宋体" w:eastAsia="宋体" w:cs="宋体"/>
          <w:color w:val="auto"/>
          <w:kern w:val="0"/>
          <w:sz w:val="24"/>
          <w:highlight w:val="none"/>
        </w:rPr>
        <w:t>拟派</w:t>
      </w:r>
      <w:r>
        <w:rPr>
          <w:rFonts w:hint="eastAsia" w:ascii="宋体" w:hAnsi="宋体" w:eastAsia="宋体" w:cs="宋体"/>
          <w:color w:val="auto"/>
          <w:kern w:val="0"/>
          <w:sz w:val="24"/>
          <w:highlight w:val="none"/>
          <w:lang w:eastAsia="zh-CN"/>
        </w:rPr>
        <w:t>参加</w:t>
      </w:r>
      <w:r>
        <w:rPr>
          <w:rFonts w:hint="eastAsia" w:ascii="宋体" w:hAnsi="宋体" w:eastAsia="宋体" w:cs="宋体"/>
          <w:color w:val="auto"/>
          <w:kern w:val="0"/>
          <w:sz w:val="24"/>
          <w:highlight w:val="none"/>
        </w:rPr>
        <w:t>投标</w:t>
      </w:r>
      <w:r>
        <w:rPr>
          <w:rFonts w:hint="eastAsia" w:ascii="宋体" w:hAnsi="宋体" w:eastAsia="宋体" w:cs="宋体"/>
          <w:color w:val="auto"/>
          <w:sz w:val="24"/>
          <w:szCs w:val="24"/>
          <w:highlight w:val="none"/>
        </w:rPr>
        <w:t>担任</w:t>
      </w:r>
      <w:r>
        <w:rPr>
          <w:rFonts w:hint="eastAsia" w:ascii="宋体" w:hAnsi="宋体" w:eastAsia="宋体" w:cs="宋体"/>
          <w:color w:val="auto"/>
          <w:sz w:val="24"/>
          <w:szCs w:val="24"/>
          <w:highlight w:val="none"/>
          <w:lang w:eastAsia="zh-CN"/>
        </w:rPr>
        <w:t>施工</w:t>
      </w:r>
      <w:r>
        <w:rPr>
          <w:rFonts w:hint="eastAsia" w:ascii="宋体" w:hAnsi="宋体" w:eastAsia="宋体" w:cs="宋体"/>
          <w:color w:val="auto"/>
          <w:sz w:val="24"/>
          <w:szCs w:val="24"/>
          <w:highlight w:val="none"/>
        </w:rPr>
        <w:t>项目负责人的建造师，在施工报建时，由核发施工许可证的主管部门对其进行锁定。工程项目已通过竣工验收并提供竣工验收报告，</w:t>
      </w:r>
      <w:r>
        <w:rPr>
          <w:rFonts w:hint="eastAsia" w:ascii="宋体" w:hAnsi="宋体" w:eastAsia="宋体" w:cs="宋体"/>
          <w:color w:val="auto"/>
          <w:sz w:val="24"/>
          <w:szCs w:val="24"/>
          <w:highlight w:val="none"/>
          <w:lang w:eastAsia="zh-CN"/>
        </w:rPr>
        <w:t>承包人</w:t>
      </w:r>
      <w:r>
        <w:rPr>
          <w:rFonts w:hint="eastAsia" w:ascii="宋体" w:hAnsi="宋体" w:eastAsia="宋体" w:cs="宋体"/>
          <w:color w:val="auto"/>
          <w:sz w:val="24"/>
          <w:szCs w:val="24"/>
          <w:highlight w:val="none"/>
        </w:rPr>
        <w:t>可向</w:t>
      </w:r>
      <w:r>
        <w:rPr>
          <w:rFonts w:hint="eastAsia" w:ascii="宋体" w:hAnsi="宋体" w:eastAsia="宋体" w:cs="宋体"/>
          <w:color w:val="auto"/>
          <w:sz w:val="24"/>
          <w:szCs w:val="24"/>
          <w:highlight w:val="none"/>
          <w:lang w:eastAsia="zh-CN"/>
        </w:rPr>
        <w:t>原</w:t>
      </w:r>
      <w:r>
        <w:rPr>
          <w:rFonts w:hint="eastAsia" w:ascii="宋体" w:hAnsi="宋体" w:eastAsia="宋体" w:cs="宋体"/>
          <w:color w:val="auto"/>
          <w:sz w:val="24"/>
          <w:szCs w:val="24"/>
          <w:highlight w:val="none"/>
        </w:rPr>
        <w:t>核发施工许可证的主管部门申请解锁</w:t>
      </w:r>
      <w:r>
        <w:rPr>
          <w:rFonts w:hint="eastAsia" w:ascii="宋体" w:hAnsi="宋体" w:eastAsia="宋体" w:cs="宋体"/>
          <w:color w:val="auto"/>
          <w:sz w:val="24"/>
          <w:szCs w:val="24"/>
          <w:highlight w:val="none"/>
          <w:lang w:eastAsia="zh-CN"/>
        </w:rPr>
        <w:t>原已</w:t>
      </w:r>
      <w:r>
        <w:rPr>
          <w:rFonts w:hint="eastAsia" w:ascii="宋体" w:hAnsi="宋体" w:eastAsia="宋体" w:cs="宋体"/>
          <w:color w:val="auto"/>
          <w:sz w:val="24"/>
          <w:szCs w:val="24"/>
          <w:highlight w:val="none"/>
        </w:rPr>
        <w:t>锁定</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建造师</w:t>
      </w:r>
      <w:r>
        <w:rPr>
          <w:rFonts w:hint="eastAsia" w:ascii="宋体" w:hAnsi="宋体" w:eastAsia="宋体" w:cs="宋体"/>
          <w:color w:val="auto"/>
          <w:sz w:val="24"/>
          <w:szCs w:val="24"/>
          <w:highlight w:val="none"/>
          <w:lang w:eastAsia="zh-CN"/>
        </w:rPr>
        <w:t>。</w:t>
      </w:r>
    </w:p>
    <w:p w14:paraId="342116F3">
      <w:pPr>
        <w:keepNext w:val="0"/>
        <w:keepLines w:val="0"/>
        <w:pageBreakBefore w:val="0"/>
        <w:kinsoku/>
        <w:wordWrap/>
        <w:overflowPunct/>
        <w:topLinePunct w:val="0"/>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40</w:t>
      </w:r>
      <w:r>
        <w:rPr>
          <w:rFonts w:hint="eastAsia" w:ascii="宋体" w:hAnsi="宋体" w:eastAsia="宋体" w:cs="宋体"/>
          <w:color w:val="auto"/>
          <w:sz w:val="24"/>
          <w:highlight w:val="none"/>
        </w:rPr>
        <w:t>.5</w:t>
      </w:r>
      <w:r>
        <w:rPr>
          <w:rFonts w:hint="eastAsia" w:ascii="宋体" w:hAnsi="宋体" w:eastAsia="宋体" w:cs="宋体"/>
          <w:color w:val="auto"/>
          <w:kern w:val="0"/>
          <w:sz w:val="24"/>
          <w:highlight w:val="none"/>
        </w:rPr>
        <w:t>电子评标的项目，</w:t>
      </w:r>
      <w:r>
        <w:rPr>
          <w:rFonts w:hint="eastAsia" w:ascii="宋体" w:hAnsi="宋体" w:eastAsia="宋体" w:cs="宋体"/>
          <w:color w:val="auto"/>
          <w:kern w:val="0"/>
          <w:sz w:val="24"/>
          <w:highlight w:val="none"/>
          <w:lang w:eastAsia="zh-CN"/>
        </w:rPr>
        <w:t>投标时，</w:t>
      </w:r>
      <w:r>
        <w:rPr>
          <w:rFonts w:hint="eastAsia" w:ascii="宋体" w:hAnsi="宋体" w:eastAsia="宋体" w:cs="宋体"/>
          <w:color w:val="auto"/>
          <w:kern w:val="0"/>
          <w:sz w:val="24"/>
          <w:highlight w:val="none"/>
        </w:rPr>
        <w:t>投标文件一律不接受纸质文件，投标人须递交具备法律效力的电子投标文件。</w:t>
      </w:r>
    </w:p>
    <w:p w14:paraId="69D4026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40</w:t>
      </w:r>
      <w:r>
        <w:rPr>
          <w:rFonts w:hint="eastAsia" w:ascii="宋体" w:hAnsi="宋体" w:eastAsia="宋体" w:cs="宋体"/>
          <w:color w:val="auto"/>
          <w:sz w:val="24"/>
          <w:highlight w:val="none"/>
        </w:rPr>
        <w:t>.6</w:t>
      </w:r>
      <w:r>
        <w:rPr>
          <w:rFonts w:hint="eastAsia" w:ascii="宋体" w:hAnsi="宋体" w:eastAsia="宋体" w:cs="宋体"/>
          <w:color w:val="auto"/>
          <w:kern w:val="0"/>
          <w:sz w:val="24"/>
          <w:highlight w:val="none"/>
        </w:rPr>
        <w:t>经数字证书签章签名上传的招标资料或投标资料具有法律效力。招标人（招标代理机构）、潜在投标人应当对其上传资料的真实性、完整性和准确性负责。</w:t>
      </w:r>
    </w:p>
    <w:p w14:paraId="4BA0561D">
      <w:pPr>
        <w:keepNext w:val="0"/>
        <w:keepLines w:val="0"/>
        <w:pageBreakBefore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val="en-US" w:eastAsia="zh-CN"/>
        </w:rPr>
        <w:t>40</w:t>
      </w:r>
      <w:r>
        <w:rPr>
          <w:rFonts w:hint="eastAsia" w:ascii="宋体" w:hAnsi="宋体" w:eastAsia="宋体" w:cs="宋体"/>
          <w:color w:val="auto"/>
          <w:sz w:val="24"/>
          <w:highlight w:val="none"/>
        </w:rPr>
        <w:t>.7</w:t>
      </w:r>
      <w:r>
        <w:rPr>
          <w:rFonts w:hint="eastAsia" w:ascii="宋体" w:hAnsi="宋体" w:eastAsia="宋体" w:cs="宋体"/>
          <w:color w:val="auto"/>
          <w:kern w:val="0"/>
          <w:sz w:val="24"/>
          <w:highlight w:val="none"/>
        </w:rPr>
        <w:t>评标（定标）工作完成后，电子招标投标系统将电子辅助评标（定标）过程产生的数据和记录自动存档，并进行数据的汇总、统计，供有关部门查询、监督。</w:t>
      </w:r>
    </w:p>
    <w:p w14:paraId="7A7E34E5">
      <w:pPr>
        <w:keepNext w:val="0"/>
        <w:keepLines w:val="0"/>
        <w:pageBreakBefore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color w:val="auto"/>
          <w:kern w:val="0"/>
          <w:sz w:val="24"/>
          <w:highlight w:val="none"/>
          <w:lang w:val="en-US" w:eastAsia="zh-CN"/>
        </w:rPr>
        <w:t>40</w:t>
      </w:r>
      <w:r>
        <w:rPr>
          <w:rFonts w:hint="eastAsia" w:ascii="宋体" w:hAnsi="宋体" w:eastAsia="宋体" w:cs="宋体"/>
          <w:color w:val="auto"/>
          <w:kern w:val="0"/>
          <w:sz w:val="24"/>
          <w:highlight w:val="none"/>
        </w:rPr>
        <w:t>.8电子辅助评标（定标）的档案，除纪检监察机关、行政监督部门或者司法机关依法进行核查外，其他任何单位或个人不得擅自查阅档案资料。</w:t>
      </w:r>
    </w:p>
    <w:p w14:paraId="3108CC2D">
      <w:pPr>
        <w:pStyle w:val="4"/>
        <w:bidi w:val="0"/>
        <w:rPr>
          <w:rFonts w:hint="eastAsia" w:ascii="宋体" w:hAnsi="宋体" w:eastAsia="宋体" w:cs="宋体"/>
          <w:b/>
          <w:bCs/>
          <w:color w:val="auto"/>
          <w:szCs w:val="28"/>
          <w:highlight w:val="none"/>
          <w:lang w:val="en-US" w:eastAsia="zh-CN"/>
        </w:rPr>
      </w:pPr>
      <w:bookmarkStart w:id="31" w:name="_Toc25765"/>
      <w:r>
        <w:rPr>
          <w:rFonts w:hint="eastAsia" w:ascii="宋体" w:hAnsi="宋体" w:eastAsia="宋体" w:cs="宋体"/>
          <w:color w:val="auto"/>
        </w:rPr>
        <w:t>（</w:t>
      </w:r>
      <w:r>
        <w:rPr>
          <w:rFonts w:hint="eastAsia" w:ascii="宋体" w:hAnsi="宋体" w:eastAsia="宋体" w:cs="宋体"/>
          <w:color w:val="auto"/>
          <w:lang w:eastAsia="zh-CN"/>
        </w:rPr>
        <w:t>十</w:t>
      </w:r>
      <w:r>
        <w:rPr>
          <w:rFonts w:hint="eastAsia" w:ascii="宋体" w:hAnsi="宋体" w:eastAsia="宋体" w:cs="宋体"/>
          <w:color w:val="auto"/>
          <w:lang w:val="en-US" w:eastAsia="zh-CN"/>
        </w:rPr>
        <w:t>一</w:t>
      </w:r>
      <w:r>
        <w:rPr>
          <w:rFonts w:hint="eastAsia" w:ascii="宋体" w:hAnsi="宋体" w:eastAsia="宋体" w:cs="宋体"/>
          <w:color w:val="auto"/>
        </w:rPr>
        <w:t>）</w:t>
      </w:r>
      <w:r>
        <w:rPr>
          <w:rFonts w:hint="eastAsia" w:ascii="宋体" w:hAnsi="宋体" w:eastAsia="宋体" w:cs="宋体"/>
          <w:color w:val="auto"/>
          <w:lang w:val="en-US" w:eastAsia="zh-CN"/>
        </w:rPr>
        <w:t>其他</w:t>
      </w:r>
      <w:bookmarkEnd w:id="31"/>
    </w:p>
    <w:p w14:paraId="1FA2392A">
      <w:pPr>
        <w:keepNext w:val="0"/>
        <w:keepLines w:val="0"/>
        <w:pageBreakBefore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bCs/>
          <w:color w:val="auto"/>
          <w:kern w:val="0"/>
          <w:sz w:val="24"/>
          <w:highlight w:val="none"/>
          <w:lang w:val="en-US" w:eastAsia="zh-CN"/>
        </w:rPr>
      </w:pPr>
      <w:r>
        <w:rPr>
          <w:rFonts w:hint="eastAsia" w:ascii="宋体" w:hAnsi="宋体" w:eastAsia="宋体" w:cs="宋体"/>
          <w:b/>
          <w:bCs/>
          <w:color w:val="auto"/>
          <w:kern w:val="0"/>
          <w:sz w:val="24"/>
          <w:highlight w:val="none"/>
          <w:lang w:val="en-US" w:eastAsia="zh-CN"/>
        </w:rPr>
        <w:t>41.放弃中标的处理</w:t>
      </w:r>
    </w:p>
    <w:p w14:paraId="5FECADA4">
      <w:pPr>
        <w:keepNext w:val="0"/>
        <w:keepLines w:val="0"/>
        <w:pageBreakBefore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41.1中标人无正当理由放弃中标的，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招标人重新招标的，招标人可不接受该弃标人再次投标。同时，招标人应将该弃标人的失信行为向行政监督部门报告。</w:t>
      </w:r>
    </w:p>
    <w:p w14:paraId="3A7A19E6">
      <w:pPr>
        <w:keepNext w:val="0"/>
        <w:keepLines w:val="0"/>
        <w:pageBreakBefore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41.2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7DD1DC21">
      <w:pPr>
        <w:keepNext w:val="0"/>
        <w:keepLines w:val="0"/>
        <w:pageBreakBefore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41.3 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0D667AD6">
      <w:pPr>
        <w:keepNext w:val="0"/>
        <w:keepLines w:val="0"/>
        <w:pageBreakBefore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43.本项目由中标人支付招标代理费及评标专家酬劳，代理费根据国家计委 关于印发《招标代理服务收费管理暂行办法》的通知计价格〔2002〕1980号计取，评标专家酬劳（包括食宿费用、交通费、专家评审劳务费等）由招标代理机构先垫付，中标人须在中标公告公示期结束后,向招标代理机构一次性付清招标代理费和评标专家酬劳（评标专家酬劳以当天评委签收为准）。</w:t>
      </w:r>
    </w:p>
    <w:p w14:paraId="5EE6CFD0">
      <w:pPr>
        <w:keepNext w:val="0"/>
        <w:keepLines w:val="0"/>
        <w:pageBreakBefore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44.在书面合同订立之日起2个工作日内，由中标人将合同上传至建设工程交易系统，并发起退还投标保证的申请。韶关市公共资源交易中心在收到申请之日起3个工作日内，将投标保证金（或银行保函）退还给中标人和其他中标候选人。</w:t>
      </w:r>
    </w:p>
    <w:p w14:paraId="04F2B8C6">
      <w:pPr>
        <w:keepNext w:val="0"/>
        <w:keepLines w:val="0"/>
        <w:pageBreakBefore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45.本次招标鼓励投标人积极响应政策号召，充分利用其人才、技术、专业、资源、资金、设备或管理优势，通过技术创新和资源优化，以投标人自愿为原则，助力百千万工程公益性项目。</w:t>
      </w:r>
    </w:p>
    <w:p w14:paraId="3B67E3D3">
      <w:pPr>
        <w:keepNext w:val="0"/>
        <w:keepLines w:val="0"/>
        <w:pageBreakBefore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投标人需提供自愿助力百千万工程公益性项目公益捐建（捐赠或配建）进度计划及保证措施；以投标人自愿为原则，按招标文件</w:t>
      </w:r>
      <w:r>
        <w:rPr>
          <w:rFonts w:hint="eastAsia" w:ascii="宋体" w:hAnsi="宋体" w:cs="宋体"/>
          <w:color w:val="auto"/>
          <w:kern w:val="0"/>
          <w:sz w:val="24"/>
          <w:highlight w:val="none"/>
          <w:lang w:val="en-US" w:eastAsia="zh-CN"/>
        </w:rPr>
        <w:t>格式</w:t>
      </w:r>
      <w:r>
        <w:rPr>
          <w:rFonts w:hint="eastAsia" w:ascii="宋体" w:hAnsi="宋体" w:eastAsia="宋体" w:cs="宋体"/>
          <w:color w:val="auto"/>
          <w:kern w:val="0"/>
          <w:sz w:val="24"/>
          <w:highlight w:val="none"/>
          <w:lang w:val="en-US" w:eastAsia="zh-CN"/>
        </w:rPr>
        <w:t>十五要求提供《助力项目承诺书》。</w:t>
      </w:r>
    </w:p>
    <w:p w14:paraId="440D1867">
      <w:pPr>
        <w:rPr>
          <w:rFonts w:hint="eastAsia" w:ascii="宋体" w:hAnsi="宋体" w:eastAsia="宋体" w:cs="宋体"/>
          <w:color w:val="auto"/>
          <w:lang w:val="en-US" w:eastAsia="zh-CN"/>
        </w:rPr>
      </w:pPr>
    </w:p>
    <w:p w14:paraId="372EAED8">
      <w:pPr>
        <w:rPr>
          <w:rFonts w:hint="eastAsia" w:ascii="宋体" w:hAnsi="宋体" w:eastAsia="宋体" w:cs="宋体"/>
          <w:color w:val="auto"/>
          <w:lang w:val="en-US" w:eastAsia="zh-CN"/>
        </w:rPr>
      </w:pPr>
    </w:p>
    <w:p w14:paraId="0130E881">
      <w:pPr>
        <w:rPr>
          <w:rFonts w:hint="eastAsia" w:ascii="宋体" w:hAnsi="宋体" w:eastAsia="宋体" w:cs="宋体"/>
          <w:color w:val="auto"/>
          <w:lang w:val="en-US" w:eastAsia="zh-CN"/>
        </w:rPr>
      </w:pPr>
    </w:p>
    <w:p w14:paraId="24F22FA4">
      <w:pPr>
        <w:rPr>
          <w:rFonts w:hint="eastAsia" w:ascii="宋体" w:hAnsi="宋体" w:eastAsia="宋体" w:cs="宋体"/>
          <w:color w:val="auto"/>
          <w:lang w:val="en-US" w:eastAsia="zh-CN"/>
        </w:rPr>
      </w:pPr>
    </w:p>
    <w:p w14:paraId="31B58779">
      <w:pPr>
        <w:rPr>
          <w:rFonts w:hint="eastAsia" w:ascii="宋体" w:hAnsi="宋体" w:eastAsia="宋体" w:cs="宋体"/>
          <w:color w:val="auto"/>
          <w:lang w:val="en-US" w:eastAsia="zh-CN"/>
        </w:rPr>
      </w:pPr>
    </w:p>
    <w:p w14:paraId="32F2A8C4">
      <w:pPr>
        <w:rPr>
          <w:rFonts w:hint="eastAsia" w:ascii="宋体" w:hAnsi="宋体" w:eastAsia="宋体" w:cs="宋体"/>
          <w:color w:val="auto"/>
          <w:lang w:val="en-US" w:eastAsia="zh-CN"/>
        </w:rPr>
      </w:pPr>
    </w:p>
    <w:p w14:paraId="1AF0A5A4">
      <w:pPr>
        <w:rPr>
          <w:rFonts w:hint="eastAsia" w:ascii="宋体" w:hAnsi="宋体" w:eastAsia="宋体" w:cs="宋体"/>
          <w:color w:val="auto"/>
          <w:lang w:val="en-US" w:eastAsia="zh-CN"/>
        </w:rPr>
      </w:pPr>
    </w:p>
    <w:p w14:paraId="606EE5EB">
      <w:pPr>
        <w:rPr>
          <w:rFonts w:hint="eastAsia" w:ascii="宋体" w:hAnsi="宋体" w:eastAsia="宋体" w:cs="宋体"/>
          <w:color w:val="auto"/>
          <w:lang w:val="en-US" w:eastAsia="zh-CN"/>
        </w:rPr>
      </w:pPr>
    </w:p>
    <w:p w14:paraId="2ED7F7B4">
      <w:pPr>
        <w:rPr>
          <w:rFonts w:hint="eastAsia" w:ascii="宋体" w:hAnsi="宋体" w:eastAsia="宋体" w:cs="宋体"/>
          <w:color w:val="auto"/>
          <w:lang w:val="en-US" w:eastAsia="zh-CN"/>
        </w:rPr>
      </w:pPr>
    </w:p>
    <w:p w14:paraId="2C66C4ED">
      <w:pPr>
        <w:rPr>
          <w:rFonts w:hint="eastAsia" w:ascii="宋体" w:hAnsi="宋体" w:eastAsia="宋体" w:cs="宋体"/>
          <w:color w:val="auto"/>
          <w:lang w:val="en-US" w:eastAsia="zh-CN"/>
        </w:rPr>
      </w:pPr>
    </w:p>
    <w:p w14:paraId="4F939094">
      <w:pPr>
        <w:rPr>
          <w:rFonts w:hint="eastAsia" w:ascii="宋体" w:hAnsi="宋体" w:eastAsia="宋体" w:cs="宋体"/>
          <w:color w:val="auto"/>
          <w:lang w:val="en-US" w:eastAsia="zh-CN"/>
        </w:rPr>
      </w:pPr>
    </w:p>
    <w:p w14:paraId="7A2D632D">
      <w:pPr>
        <w:rPr>
          <w:rFonts w:hint="eastAsia" w:ascii="宋体" w:hAnsi="宋体" w:eastAsia="宋体" w:cs="宋体"/>
          <w:color w:val="auto"/>
          <w:lang w:val="en-US" w:eastAsia="zh-CN"/>
        </w:rPr>
      </w:pPr>
    </w:p>
    <w:p w14:paraId="5482CF42">
      <w:pPr>
        <w:rPr>
          <w:rFonts w:hint="eastAsia" w:ascii="宋体" w:hAnsi="宋体" w:eastAsia="宋体" w:cs="宋体"/>
          <w:color w:val="auto"/>
          <w:lang w:val="en-US" w:eastAsia="zh-CN"/>
        </w:rPr>
      </w:pPr>
    </w:p>
    <w:p w14:paraId="1DECE380">
      <w:pPr>
        <w:rPr>
          <w:rFonts w:hint="eastAsia" w:ascii="宋体" w:hAnsi="宋体" w:eastAsia="宋体" w:cs="宋体"/>
          <w:color w:val="auto"/>
          <w:lang w:val="en-US" w:eastAsia="zh-CN"/>
        </w:rPr>
      </w:pPr>
    </w:p>
    <w:p w14:paraId="37D19A36">
      <w:pPr>
        <w:rPr>
          <w:rFonts w:hint="eastAsia" w:ascii="宋体" w:hAnsi="宋体" w:eastAsia="宋体" w:cs="宋体"/>
          <w:color w:val="auto"/>
          <w:lang w:val="en-US" w:eastAsia="zh-CN"/>
        </w:rPr>
      </w:pPr>
    </w:p>
    <w:p w14:paraId="57A827A7">
      <w:pPr>
        <w:rPr>
          <w:rFonts w:hint="eastAsia" w:ascii="宋体" w:hAnsi="宋体" w:eastAsia="宋体" w:cs="宋体"/>
          <w:color w:val="auto"/>
          <w:lang w:val="en-US" w:eastAsia="zh-CN"/>
        </w:rPr>
      </w:pPr>
    </w:p>
    <w:p w14:paraId="067B62CA">
      <w:pPr>
        <w:rPr>
          <w:rFonts w:hint="eastAsia" w:ascii="宋体" w:hAnsi="宋体" w:eastAsia="宋体" w:cs="宋体"/>
          <w:color w:val="auto"/>
          <w:lang w:val="en-US" w:eastAsia="zh-CN"/>
        </w:rPr>
      </w:pPr>
    </w:p>
    <w:p w14:paraId="377E9E78">
      <w:pPr>
        <w:rPr>
          <w:rFonts w:hint="eastAsia" w:ascii="宋体" w:hAnsi="宋体" w:eastAsia="宋体" w:cs="宋体"/>
          <w:color w:val="auto"/>
          <w:lang w:val="en-US" w:eastAsia="zh-CN"/>
        </w:rPr>
      </w:pPr>
    </w:p>
    <w:p w14:paraId="18EDED80">
      <w:pPr>
        <w:rPr>
          <w:rFonts w:hint="eastAsia" w:ascii="宋体" w:hAnsi="宋体" w:eastAsia="宋体" w:cs="宋体"/>
          <w:color w:val="auto"/>
          <w:lang w:val="en-US" w:eastAsia="zh-CN"/>
        </w:rPr>
      </w:pPr>
    </w:p>
    <w:p w14:paraId="0AE0D6C3">
      <w:pPr>
        <w:rPr>
          <w:rFonts w:hint="eastAsia" w:ascii="宋体" w:hAnsi="宋体" w:eastAsia="宋体" w:cs="宋体"/>
          <w:color w:val="auto"/>
          <w:lang w:val="en-US" w:eastAsia="zh-CN"/>
        </w:rPr>
      </w:pPr>
    </w:p>
    <w:p w14:paraId="3A8CAA61">
      <w:pPr>
        <w:rPr>
          <w:rFonts w:hint="eastAsia" w:ascii="宋体" w:hAnsi="宋体" w:eastAsia="宋体" w:cs="宋体"/>
          <w:color w:val="auto"/>
          <w:lang w:val="en-US" w:eastAsia="zh-CN"/>
        </w:rPr>
      </w:pPr>
    </w:p>
    <w:p w14:paraId="6BCF8EA0">
      <w:pPr>
        <w:rPr>
          <w:rFonts w:hint="eastAsia" w:ascii="宋体" w:hAnsi="宋体" w:eastAsia="宋体" w:cs="宋体"/>
          <w:color w:val="auto"/>
          <w:lang w:val="en-US" w:eastAsia="zh-CN"/>
        </w:rPr>
      </w:pPr>
    </w:p>
    <w:p w14:paraId="07CEC73C">
      <w:pPr>
        <w:pStyle w:val="2"/>
        <w:bidi w:val="0"/>
        <w:jc w:val="center"/>
        <w:rPr>
          <w:rFonts w:hint="eastAsia" w:ascii="宋体" w:hAnsi="宋体" w:eastAsia="宋体" w:cs="宋体"/>
          <w:color w:val="auto"/>
        </w:rPr>
      </w:pPr>
      <w:bookmarkStart w:id="32" w:name="_Toc8246"/>
      <w:r>
        <w:rPr>
          <w:rFonts w:hint="eastAsia" w:ascii="宋体" w:hAnsi="宋体" w:eastAsia="宋体" w:cs="宋体"/>
          <w:color w:val="auto"/>
        </w:rPr>
        <w:t>第三章   评标</w:t>
      </w:r>
      <w:r>
        <w:rPr>
          <w:rFonts w:hint="eastAsia" w:ascii="宋体" w:hAnsi="宋体" w:eastAsia="宋体" w:cs="宋体"/>
          <w:color w:val="auto"/>
          <w:lang w:eastAsia="zh-CN"/>
        </w:rPr>
        <w:t>定标</w:t>
      </w:r>
      <w:r>
        <w:rPr>
          <w:rFonts w:hint="eastAsia" w:ascii="宋体" w:hAnsi="宋体" w:eastAsia="宋体" w:cs="宋体"/>
          <w:color w:val="auto"/>
        </w:rPr>
        <w:t>办法</w:t>
      </w:r>
      <w:bookmarkEnd w:id="32"/>
    </w:p>
    <w:p w14:paraId="2216F885">
      <w:pPr>
        <w:pStyle w:val="3"/>
        <w:bidi w:val="0"/>
        <w:ind w:left="0" w:leftChars="0" w:firstLine="0" w:firstLineChars="0"/>
        <w:jc w:val="both"/>
        <w:rPr>
          <w:rFonts w:hint="eastAsia" w:ascii="宋体" w:hAnsi="宋体" w:eastAsia="宋体" w:cs="宋体"/>
          <w:color w:val="auto"/>
        </w:rPr>
      </w:pPr>
      <w:bookmarkStart w:id="33" w:name="_Toc26840"/>
      <w:r>
        <w:rPr>
          <w:rFonts w:hint="eastAsia" w:ascii="宋体" w:hAnsi="宋体" w:eastAsia="宋体" w:cs="宋体"/>
          <w:color w:val="auto"/>
        </w:rPr>
        <w:t>一、评标</w:t>
      </w:r>
      <w:r>
        <w:rPr>
          <w:rFonts w:hint="eastAsia" w:ascii="宋体" w:hAnsi="宋体" w:eastAsia="宋体" w:cs="宋体"/>
          <w:color w:val="auto"/>
          <w:lang w:eastAsia="zh-CN"/>
        </w:rPr>
        <w:t>定标</w:t>
      </w:r>
      <w:r>
        <w:rPr>
          <w:rFonts w:hint="eastAsia" w:ascii="宋体" w:hAnsi="宋体" w:eastAsia="宋体" w:cs="宋体"/>
          <w:color w:val="auto"/>
        </w:rPr>
        <w:t>原则</w:t>
      </w:r>
      <w:bookmarkEnd w:id="33"/>
    </w:p>
    <w:p w14:paraId="6CCD8E3B">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w:t>
      </w:r>
      <w:r>
        <w:rPr>
          <w:rFonts w:hint="eastAsia" w:ascii="宋体" w:hAnsi="宋体" w:eastAsia="宋体" w:cs="宋体"/>
          <w:color w:val="auto"/>
          <w:sz w:val="24"/>
          <w:szCs w:val="24"/>
          <w:highlight w:val="none"/>
          <w:lang w:eastAsia="zh-CN"/>
        </w:rPr>
        <w:t>定标</w:t>
      </w:r>
      <w:r>
        <w:rPr>
          <w:rFonts w:hint="eastAsia" w:ascii="宋体" w:hAnsi="宋体" w:eastAsia="宋体" w:cs="宋体"/>
          <w:color w:val="auto"/>
          <w:sz w:val="24"/>
          <w:szCs w:val="24"/>
          <w:highlight w:val="none"/>
        </w:rPr>
        <w:t>工作应依据《中华人民共和国招标投标法》及广东省、</w:t>
      </w:r>
      <w:r>
        <w:rPr>
          <w:rFonts w:hint="eastAsia" w:ascii="宋体" w:hAnsi="宋体" w:eastAsia="宋体" w:cs="宋体"/>
          <w:color w:val="auto"/>
          <w:sz w:val="24"/>
          <w:szCs w:val="24"/>
          <w:highlight w:val="none"/>
          <w:lang w:val="en-US" w:eastAsia="zh-CN"/>
        </w:rPr>
        <w:t>韶关市</w:t>
      </w:r>
      <w:r>
        <w:rPr>
          <w:rFonts w:hint="eastAsia" w:ascii="宋体" w:hAnsi="宋体" w:eastAsia="宋体" w:cs="宋体"/>
          <w:color w:val="auto"/>
          <w:sz w:val="24"/>
          <w:szCs w:val="24"/>
          <w:highlight w:val="none"/>
        </w:rPr>
        <w:t>有关招标投标法规和规定，</w:t>
      </w:r>
      <w:r>
        <w:rPr>
          <w:rFonts w:hint="eastAsia" w:ascii="宋体" w:hAnsi="宋体" w:eastAsia="宋体" w:cs="宋体"/>
          <w:color w:val="auto"/>
          <w:sz w:val="24"/>
          <w:szCs w:val="24"/>
          <w:highlight w:val="none"/>
          <w:lang w:eastAsia="zh-CN"/>
        </w:rPr>
        <w:t>遵循“公平、公正、科学、择优”的原则</w:t>
      </w:r>
      <w:r>
        <w:rPr>
          <w:rFonts w:hint="eastAsia" w:ascii="宋体" w:hAnsi="宋体" w:eastAsia="宋体" w:cs="宋体"/>
          <w:color w:val="auto"/>
          <w:sz w:val="24"/>
          <w:szCs w:val="24"/>
          <w:highlight w:val="none"/>
        </w:rPr>
        <w:t>进行。</w:t>
      </w:r>
    </w:p>
    <w:p w14:paraId="02E9D438">
      <w:pPr>
        <w:pStyle w:val="3"/>
        <w:bidi w:val="0"/>
        <w:ind w:left="0" w:leftChars="0" w:firstLine="0" w:firstLineChars="0"/>
        <w:rPr>
          <w:rFonts w:hint="eastAsia" w:ascii="宋体" w:hAnsi="宋体" w:eastAsia="宋体" w:cs="宋体"/>
          <w:color w:val="auto"/>
          <w:lang w:eastAsia="zh-CN"/>
        </w:rPr>
      </w:pPr>
      <w:bookmarkStart w:id="34" w:name="_Toc13215"/>
      <w:r>
        <w:rPr>
          <w:rFonts w:hint="eastAsia" w:ascii="宋体" w:hAnsi="宋体" w:eastAsia="宋体" w:cs="宋体"/>
          <w:color w:val="auto"/>
          <w:lang w:eastAsia="zh-CN"/>
        </w:rPr>
        <w:t>二</w:t>
      </w:r>
      <w:r>
        <w:rPr>
          <w:rFonts w:hint="eastAsia" w:ascii="宋体" w:hAnsi="宋体" w:eastAsia="宋体" w:cs="宋体"/>
          <w:color w:val="auto"/>
        </w:rPr>
        <w:t>、评标</w:t>
      </w:r>
      <w:r>
        <w:rPr>
          <w:rFonts w:hint="eastAsia" w:ascii="宋体" w:hAnsi="宋体" w:eastAsia="宋体" w:cs="宋体"/>
          <w:color w:val="auto"/>
          <w:lang w:val="en-US" w:eastAsia="zh-CN"/>
        </w:rPr>
        <w:t>定标</w:t>
      </w:r>
      <w:r>
        <w:rPr>
          <w:rFonts w:hint="eastAsia" w:ascii="宋体" w:hAnsi="宋体" w:eastAsia="宋体" w:cs="宋体"/>
          <w:color w:val="auto"/>
          <w:lang w:eastAsia="zh-CN"/>
        </w:rPr>
        <w:t>规则</w:t>
      </w:r>
      <w:bookmarkEnd w:id="34"/>
    </w:p>
    <w:p w14:paraId="44DCEB32">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（一）评标委员会应当根据招标文件规定的评标标准和方法，对投标文件进行系统地评审和比较。招标文件中没有规定的标准和方法不得作为评标的依据。评标委员会成员应依照评标办法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独立完成对投标文件的评审，并对评标结果签字确认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评标委员会应依照评标办法规定的工作方法和标准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对各评标委员会成员的评标结果进行汇总。</w:t>
      </w:r>
    </w:p>
    <w:p w14:paraId="7CFDD934">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r>
        <w:rPr>
          <w:rFonts w:hint="eastAsia" w:ascii="宋体" w:hAnsi="宋体" w:eastAsia="宋体" w:cs="宋体"/>
          <w:color w:val="auto"/>
          <w:sz w:val="24"/>
          <w:szCs w:val="24"/>
          <w:highlight w:val="none"/>
          <w:lang w:val="en-US" w:eastAsia="zh-CN"/>
        </w:rPr>
        <w:t>定</w:t>
      </w:r>
      <w:r>
        <w:rPr>
          <w:rFonts w:hint="eastAsia" w:ascii="宋体" w:hAnsi="宋体" w:eastAsia="宋体" w:cs="宋体"/>
          <w:color w:val="auto"/>
          <w:sz w:val="24"/>
          <w:szCs w:val="24"/>
          <w:highlight w:val="none"/>
        </w:rPr>
        <w:t>标委员会应当根据招标文件规定的</w:t>
      </w:r>
      <w:r>
        <w:rPr>
          <w:rFonts w:hint="eastAsia" w:ascii="宋体" w:hAnsi="宋体" w:eastAsia="宋体" w:cs="宋体"/>
          <w:color w:val="auto"/>
          <w:sz w:val="24"/>
          <w:szCs w:val="24"/>
          <w:highlight w:val="none"/>
          <w:lang w:val="en-US" w:eastAsia="zh-CN"/>
        </w:rPr>
        <w:t>定</w:t>
      </w:r>
      <w:r>
        <w:rPr>
          <w:rFonts w:hint="eastAsia" w:ascii="宋体" w:hAnsi="宋体" w:eastAsia="宋体" w:cs="宋体"/>
          <w:color w:val="auto"/>
          <w:sz w:val="24"/>
          <w:szCs w:val="24"/>
          <w:highlight w:val="none"/>
        </w:rPr>
        <w:t>标</w:t>
      </w:r>
      <w:r>
        <w:rPr>
          <w:rFonts w:hint="eastAsia" w:ascii="宋体" w:hAnsi="宋体" w:eastAsia="宋体" w:cs="宋体"/>
          <w:color w:val="auto"/>
          <w:sz w:val="24"/>
          <w:szCs w:val="24"/>
          <w:highlight w:val="none"/>
          <w:lang w:val="en-US" w:eastAsia="zh-CN"/>
        </w:rPr>
        <w:t>方法和细则</w:t>
      </w:r>
      <w:r>
        <w:rPr>
          <w:rFonts w:hint="eastAsia" w:ascii="宋体" w:hAnsi="宋体" w:eastAsia="宋体" w:cs="宋体"/>
          <w:color w:val="auto"/>
          <w:sz w:val="24"/>
          <w:szCs w:val="24"/>
          <w:highlight w:val="none"/>
        </w:rPr>
        <w:t>，</w:t>
      </w:r>
      <w:r>
        <w:rPr>
          <w:rFonts w:hint="eastAsia" w:ascii="宋体" w:hAnsi="宋体" w:eastAsia="宋体" w:cs="宋体"/>
          <w:b w:val="0"/>
          <w:i w:val="0"/>
          <w:snapToGrid/>
          <w:color w:val="auto"/>
          <w:sz w:val="24"/>
          <w:szCs w:val="24"/>
          <w:highlight w:val="none"/>
          <w:u w:val="none"/>
          <w:shd w:val="clear" w:color="auto" w:fill="FFFFFF"/>
          <w:lang w:eastAsia="zh-CN"/>
        </w:rPr>
        <w:t>对定标候选人</w:t>
      </w:r>
      <w:r>
        <w:rPr>
          <w:rFonts w:hint="eastAsia" w:ascii="宋体" w:hAnsi="宋体" w:eastAsia="宋体" w:cs="宋体"/>
          <w:color w:val="auto"/>
          <w:sz w:val="24"/>
          <w:szCs w:val="24"/>
          <w:highlight w:val="none"/>
        </w:rPr>
        <w:t>进行系统</w:t>
      </w:r>
      <w:r>
        <w:rPr>
          <w:rFonts w:hint="eastAsia" w:ascii="宋体" w:hAnsi="宋体" w:cs="宋体"/>
          <w:color w:val="auto"/>
          <w:sz w:val="24"/>
          <w:szCs w:val="24"/>
          <w:highlight w:val="none"/>
          <w:lang w:eastAsia="zh-CN"/>
        </w:rPr>
        <w:t>的</w:t>
      </w:r>
      <w:r>
        <w:rPr>
          <w:rFonts w:hint="eastAsia" w:ascii="宋体" w:hAnsi="宋体" w:eastAsia="宋体" w:cs="宋体"/>
          <w:color w:val="auto"/>
          <w:sz w:val="24"/>
          <w:szCs w:val="24"/>
          <w:highlight w:val="none"/>
        </w:rPr>
        <w:t>评审和比较。招标文件中没有规定的</w:t>
      </w:r>
      <w:r>
        <w:rPr>
          <w:rFonts w:hint="eastAsia" w:ascii="宋体" w:hAnsi="宋体" w:eastAsia="宋体" w:cs="宋体"/>
          <w:color w:val="auto"/>
          <w:sz w:val="24"/>
          <w:szCs w:val="24"/>
          <w:highlight w:val="none"/>
          <w:lang w:val="en-US" w:eastAsia="zh-CN"/>
        </w:rPr>
        <w:t>定</w:t>
      </w:r>
      <w:r>
        <w:rPr>
          <w:rFonts w:hint="eastAsia" w:ascii="宋体" w:hAnsi="宋体" w:eastAsia="宋体" w:cs="宋体"/>
          <w:color w:val="auto"/>
          <w:sz w:val="24"/>
          <w:szCs w:val="24"/>
          <w:highlight w:val="none"/>
        </w:rPr>
        <w:t>标</w:t>
      </w:r>
      <w:r>
        <w:rPr>
          <w:rFonts w:hint="eastAsia" w:ascii="宋体" w:hAnsi="宋体" w:eastAsia="宋体" w:cs="宋体"/>
          <w:color w:val="auto"/>
          <w:sz w:val="24"/>
          <w:szCs w:val="24"/>
          <w:highlight w:val="none"/>
          <w:lang w:val="en-US" w:eastAsia="zh-CN"/>
        </w:rPr>
        <w:t>方法和细则</w:t>
      </w:r>
      <w:r>
        <w:rPr>
          <w:rFonts w:hint="eastAsia" w:ascii="宋体" w:hAnsi="宋体" w:eastAsia="宋体" w:cs="宋体"/>
          <w:color w:val="auto"/>
          <w:sz w:val="24"/>
          <w:szCs w:val="24"/>
          <w:highlight w:val="none"/>
        </w:rPr>
        <w:t>不得作为</w:t>
      </w:r>
      <w:r>
        <w:rPr>
          <w:rFonts w:hint="eastAsia" w:ascii="宋体" w:hAnsi="宋体" w:eastAsia="宋体" w:cs="宋体"/>
          <w:color w:val="auto"/>
          <w:sz w:val="24"/>
          <w:szCs w:val="24"/>
          <w:highlight w:val="none"/>
          <w:lang w:val="en-US" w:eastAsia="zh-CN"/>
        </w:rPr>
        <w:t>定</w:t>
      </w:r>
      <w:r>
        <w:rPr>
          <w:rFonts w:hint="eastAsia" w:ascii="宋体" w:hAnsi="宋体" w:eastAsia="宋体" w:cs="宋体"/>
          <w:color w:val="auto"/>
          <w:sz w:val="24"/>
          <w:szCs w:val="24"/>
          <w:highlight w:val="none"/>
        </w:rPr>
        <w:t>标的依据。</w:t>
      </w:r>
      <w:r>
        <w:rPr>
          <w:rFonts w:hint="eastAsia" w:ascii="宋体" w:hAnsi="宋体" w:eastAsia="宋体" w:cs="宋体"/>
          <w:color w:val="auto"/>
          <w:sz w:val="24"/>
          <w:szCs w:val="24"/>
          <w:highlight w:val="none"/>
          <w:lang w:val="en-US" w:eastAsia="zh-CN"/>
        </w:rPr>
        <w:t>定</w:t>
      </w:r>
      <w:r>
        <w:rPr>
          <w:rFonts w:hint="eastAsia" w:ascii="宋体" w:hAnsi="宋体" w:eastAsia="宋体" w:cs="宋体"/>
          <w:color w:val="auto"/>
          <w:sz w:val="24"/>
          <w:szCs w:val="24"/>
          <w:highlight w:val="none"/>
        </w:rPr>
        <w:t>标委员会成员应依照招标文件规定的</w:t>
      </w:r>
      <w:r>
        <w:rPr>
          <w:rFonts w:hint="eastAsia" w:ascii="宋体" w:hAnsi="宋体" w:eastAsia="宋体" w:cs="宋体"/>
          <w:color w:val="auto"/>
          <w:sz w:val="24"/>
          <w:szCs w:val="24"/>
          <w:highlight w:val="none"/>
          <w:lang w:val="en-US" w:eastAsia="zh-CN"/>
        </w:rPr>
        <w:t>定</w:t>
      </w:r>
      <w:r>
        <w:rPr>
          <w:rFonts w:hint="eastAsia" w:ascii="宋体" w:hAnsi="宋体" w:eastAsia="宋体" w:cs="宋体"/>
          <w:color w:val="auto"/>
          <w:sz w:val="24"/>
          <w:szCs w:val="24"/>
          <w:highlight w:val="none"/>
        </w:rPr>
        <w:t>标</w:t>
      </w:r>
      <w:r>
        <w:rPr>
          <w:rFonts w:hint="eastAsia" w:ascii="宋体" w:hAnsi="宋体" w:eastAsia="宋体" w:cs="宋体"/>
          <w:color w:val="auto"/>
          <w:sz w:val="24"/>
          <w:szCs w:val="24"/>
          <w:highlight w:val="none"/>
          <w:lang w:val="en-US" w:eastAsia="zh-CN"/>
        </w:rPr>
        <w:t>方法和细则，</w:t>
      </w:r>
      <w:r>
        <w:rPr>
          <w:rFonts w:hint="eastAsia" w:ascii="宋体" w:hAnsi="宋体" w:eastAsia="宋体" w:cs="宋体"/>
          <w:color w:val="auto"/>
          <w:sz w:val="24"/>
          <w:szCs w:val="24"/>
          <w:highlight w:val="none"/>
        </w:rPr>
        <w:t>独立完成对</w:t>
      </w:r>
      <w:r>
        <w:rPr>
          <w:rFonts w:hint="eastAsia" w:ascii="宋体" w:hAnsi="宋体" w:eastAsia="宋体" w:cs="宋体"/>
          <w:b w:val="0"/>
          <w:i w:val="0"/>
          <w:snapToGrid/>
          <w:color w:val="auto"/>
          <w:sz w:val="24"/>
          <w:szCs w:val="24"/>
          <w:highlight w:val="none"/>
          <w:u w:val="none"/>
          <w:shd w:val="clear" w:color="auto" w:fill="FFFFFF"/>
          <w:lang w:eastAsia="zh-CN"/>
        </w:rPr>
        <w:t>定标候选人</w:t>
      </w:r>
      <w:r>
        <w:rPr>
          <w:rFonts w:hint="eastAsia" w:ascii="宋体" w:hAnsi="宋体" w:eastAsia="宋体" w:cs="宋体"/>
          <w:color w:val="auto"/>
          <w:sz w:val="24"/>
          <w:szCs w:val="24"/>
          <w:highlight w:val="none"/>
        </w:rPr>
        <w:t>的评审，并对</w:t>
      </w:r>
      <w:r>
        <w:rPr>
          <w:rFonts w:hint="eastAsia" w:ascii="宋体" w:hAnsi="宋体" w:eastAsia="宋体" w:cs="宋体"/>
          <w:color w:val="auto"/>
          <w:sz w:val="24"/>
          <w:szCs w:val="24"/>
          <w:highlight w:val="none"/>
          <w:lang w:val="en-US" w:eastAsia="zh-CN"/>
        </w:rPr>
        <w:t>定</w:t>
      </w:r>
      <w:r>
        <w:rPr>
          <w:rFonts w:hint="eastAsia" w:ascii="宋体" w:hAnsi="宋体" w:eastAsia="宋体" w:cs="宋体"/>
          <w:color w:val="auto"/>
          <w:sz w:val="24"/>
          <w:szCs w:val="24"/>
          <w:highlight w:val="none"/>
        </w:rPr>
        <w:t>标结果签字确认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定</w:t>
      </w:r>
      <w:r>
        <w:rPr>
          <w:rFonts w:hint="eastAsia" w:ascii="宋体" w:hAnsi="宋体" w:eastAsia="宋体" w:cs="宋体"/>
          <w:color w:val="auto"/>
          <w:sz w:val="24"/>
          <w:szCs w:val="24"/>
          <w:highlight w:val="none"/>
        </w:rPr>
        <w:t>标委员会应依照招标文件规定的</w:t>
      </w:r>
      <w:r>
        <w:rPr>
          <w:rFonts w:hint="eastAsia" w:ascii="宋体" w:hAnsi="宋体" w:eastAsia="宋体" w:cs="宋体"/>
          <w:color w:val="auto"/>
          <w:sz w:val="24"/>
          <w:szCs w:val="24"/>
          <w:highlight w:val="none"/>
          <w:lang w:val="en-US" w:eastAsia="zh-CN"/>
        </w:rPr>
        <w:t>定</w:t>
      </w:r>
      <w:r>
        <w:rPr>
          <w:rFonts w:hint="eastAsia" w:ascii="宋体" w:hAnsi="宋体" w:eastAsia="宋体" w:cs="宋体"/>
          <w:color w:val="auto"/>
          <w:sz w:val="24"/>
          <w:szCs w:val="24"/>
          <w:highlight w:val="none"/>
        </w:rPr>
        <w:t>标</w:t>
      </w:r>
      <w:r>
        <w:rPr>
          <w:rFonts w:hint="eastAsia" w:ascii="宋体" w:hAnsi="宋体" w:eastAsia="宋体" w:cs="宋体"/>
          <w:color w:val="auto"/>
          <w:sz w:val="24"/>
          <w:szCs w:val="24"/>
          <w:highlight w:val="none"/>
          <w:lang w:val="en-US" w:eastAsia="zh-CN"/>
        </w:rPr>
        <w:t>方法和细则，</w:t>
      </w:r>
      <w:r>
        <w:rPr>
          <w:rFonts w:hint="eastAsia" w:ascii="宋体" w:hAnsi="宋体" w:eastAsia="宋体" w:cs="宋体"/>
          <w:color w:val="auto"/>
          <w:sz w:val="24"/>
          <w:szCs w:val="24"/>
          <w:highlight w:val="none"/>
        </w:rPr>
        <w:t>对各</w:t>
      </w:r>
      <w:r>
        <w:rPr>
          <w:rFonts w:hint="eastAsia" w:ascii="宋体" w:hAnsi="宋体" w:eastAsia="宋体" w:cs="宋体"/>
          <w:color w:val="auto"/>
          <w:sz w:val="24"/>
          <w:szCs w:val="24"/>
          <w:highlight w:val="none"/>
          <w:lang w:val="en-US" w:eastAsia="zh-CN"/>
        </w:rPr>
        <w:t>定</w:t>
      </w:r>
      <w:r>
        <w:rPr>
          <w:rFonts w:hint="eastAsia" w:ascii="宋体" w:hAnsi="宋体" w:eastAsia="宋体" w:cs="宋体"/>
          <w:color w:val="auto"/>
          <w:sz w:val="24"/>
          <w:szCs w:val="24"/>
          <w:highlight w:val="none"/>
        </w:rPr>
        <w:t>标委员会成员的</w:t>
      </w:r>
      <w:r>
        <w:rPr>
          <w:rFonts w:hint="eastAsia" w:ascii="宋体" w:hAnsi="宋体" w:eastAsia="宋体" w:cs="宋体"/>
          <w:color w:val="auto"/>
          <w:sz w:val="24"/>
          <w:szCs w:val="24"/>
          <w:highlight w:val="none"/>
          <w:lang w:val="en-US" w:eastAsia="zh-CN"/>
        </w:rPr>
        <w:t>定</w:t>
      </w:r>
      <w:r>
        <w:rPr>
          <w:rFonts w:hint="eastAsia" w:ascii="宋体" w:hAnsi="宋体" w:eastAsia="宋体" w:cs="宋体"/>
          <w:color w:val="auto"/>
          <w:sz w:val="24"/>
          <w:szCs w:val="24"/>
          <w:highlight w:val="none"/>
        </w:rPr>
        <w:t>标结果进行汇总。</w:t>
      </w:r>
    </w:p>
    <w:p w14:paraId="311BA606">
      <w:pPr>
        <w:pStyle w:val="3"/>
        <w:bidi w:val="0"/>
        <w:ind w:left="0" w:leftChars="0" w:firstLine="0" w:firstLineChars="0"/>
        <w:rPr>
          <w:rFonts w:hint="eastAsia" w:ascii="宋体" w:hAnsi="宋体" w:eastAsia="宋体" w:cs="宋体"/>
          <w:color w:val="auto"/>
          <w:lang w:eastAsia="zh-CN"/>
        </w:rPr>
      </w:pPr>
      <w:bookmarkStart w:id="35" w:name="_Toc24880"/>
      <w:r>
        <w:rPr>
          <w:rFonts w:hint="eastAsia" w:ascii="宋体" w:hAnsi="宋体" w:eastAsia="宋体" w:cs="宋体"/>
          <w:color w:val="auto"/>
          <w:lang w:eastAsia="zh-CN"/>
        </w:rPr>
        <w:t>三、评标细则</w:t>
      </w:r>
      <w:bookmarkEnd w:id="35"/>
    </w:p>
    <w:p w14:paraId="58C3E82A">
      <w:pPr>
        <w:keepNext w:val="0"/>
        <w:keepLines w:val="0"/>
        <w:pageBreakBefore w:val="0"/>
        <w:kinsoku/>
        <w:wordWrap/>
        <w:overflowPunct/>
        <w:topLinePunct w:val="0"/>
        <w:autoSpaceDE/>
        <w:autoSpaceDN/>
        <w:bidi w:val="0"/>
        <w:adjustRightInd/>
        <w:snapToGrid/>
        <w:spacing w:line="400" w:lineRule="exact"/>
        <w:ind w:firstLine="361" w:firstLineChars="15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综合评估法</w:t>
      </w:r>
    </w:p>
    <w:p w14:paraId="10FB0658">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根据有关法律、法规的相关规定，结合本招标项目资金来源和规模特点，本次招标采用综合评估法进行评标。</w:t>
      </w:r>
    </w:p>
    <w:p w14:paraId="494F9A39">
      <w:pPr>
        <w:keepNext w:val="0"/>
        <w:keepLines w:val="0"/>
        <w:pageBreakBefore w:val="0"/>
        <w:widowControl w:val="0"/>
        <w:kinsoku/>
        <w:wordWrap/>
        <w:overflowPunct/>
        <w:topLinePunct w:val="0"/>
        <w:autoSpaceDE/>
        <w:autoSpaceDN/>
        <w:bidi w:val="0"/>
        <w:adjustRightInd/>
        <w:snapToGrid/>
        <w:spacing w:line="400" w:lineRule="exact"/>
        <w:ind w:firstLine="361" w:firstLineChars="150"/>
        <w:textAlignment w:val="auto"/>
        <w:rPr>
          <w:rFonts w:hint="eastAsia" w:ascii="宋体" w:hAnsi="宋体" w:eastAsia="宋体" w:cs="宋体"/>
          <w:b/>
          <w:bCs/>
          <w:color w:val="auto"/>
          <w:sz w:val="24"/>
          <w:szCs w:val="24"/>
          <w:highlight w:val="none"/>
        </w:rPr>
      </w:pPr>
      <w:bookmarkStart w:id="36" w:name="_Toc16579"/>
      <w:bookmarkStart w:id="37" w:name="_Toc9289"/>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评审范围</w:t>
      </w:r>
      <w:bookmarkEnd w:id="36"/>
      <w:bookmarkEnd w:id="37"/>
    </w:p>
    <w:p w14:paraId="7E22B56E">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评标委员会应对所有投标人的投标文件进行评审。</w:t>
      </w:r>
    </w:p>
    <w:p w14:paraId="441460E5">
      <w:pPr>
        <w:keepNext w:val="0"/>
        <w:keepLines w:val="0"/>
        <w:pageBreakBefore w:val="0"/>
        <w:widowControl w:val="0"/>
        <w:kinsoku/>
        <w:wordWrap/>
        <w:overflowPunct/>
        <w:topLinePunct w:val="0"/>
        <w:autoSpaceDE/>
        <w:autoSpaceDN/>
        <w:bidi w:val="0"/>
        <w:adjustRightInd/>
        <w:snapToGrid/>
        <w:spacing w:line="400" w:lineRule="exact"/>
        <w:ind w:firstLine="361" w:firstLineChars="150"/>
        <w:textAlignment w:val="auto"/>
        <w:rPr>
          <w:rFonts w:hint="eastAsia" w:ascii="宋体" w:hAnsi="宋体" w:eastAsia="宋体" w:cs="宋体"/>
          <w:b/>
          <w:bCs/>
          <w:color w:val="auto"/>
          <w:sz w:val="24"/>
          <w:szCs w:val="24"/>
          <w:highlight w:val="none"/>
        </w:rPr>
      </w:pPr>
      <w:bookmarkStart w:id="38" w:name="_Toc20456"/>
      <w:bookmarkStart w:id="39" w:name="_Toc17846"/>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初步评审阶段</w:t>
      </w:r>
      <w:bookmarkEnd w:id="38"/>
      <w:bookmarkEnd w:id="39"/>
    </w:p>
    <w:p w14:paraId="7ABA65C2">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初步评审阶段分为资格评审、形式评审和响应性评审三个环节。</w:t>
      </w:r>
    </w:p>
    <w:p w14:paraId="756FF58A">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初步评审阶段各个环节否决投标的全部条件，在</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rPr>
        <w:t xml:space="preserve">第二章 </w:t>
      </w:r>
      <w:r>
        <w:rPr>
          <w:rFonts w:hint="eastAsia" w:ascii="宋体" w:hAnsi="宋体" w:eastAsia="宋体" w:cs="宋体"/>
          <w:color w:val="auto"/>
          <w:sz w:val="24"/>
          <w:szCs w:val="24"/>
          <w:highlight w:val="none"/>
        </w:rPr>
        <w:t>投标人须知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val="en-US" w:eastAsia="zh-CN"/>
        </w:rPr>
        <w:t>三</w:t>
      </w:r>
      <w:r>
        <w:rPr>
          <w:rFonts w:hint="eastAsia" w:ascii="宋体" w:hAnsi="宋体" w:eastAsia="宋体" w:cs="宋体"/>
          <w:bCs/>
          <w:color w:val="auto"/>
          <w:sz w:val="24"/>
          <w:szCs w:val="24"/>
          <w:highlight w:val="none"/>
        </w:rPr>
        <w:t>、投标人须知</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val="en-US" w:eastAsia="zh-CN"/>
        </w:rPr>
        <w:t>中</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eastAsia="zh-CN"/>
        </w:rPr>
        <w:t>二</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eastAsia="zh-CN"/>
        </w:rPr>
        <w:t>投标否决”</w:t>
      </w:r>
      <w:r>
        <w:rPr>
          <w:rFonts w:hint="eastAsia" w:ascii="宋体" w:hAnsi="宋体" w:eastAsia="宋体" w:cs="宋体"/>
          <w:color w:val="auto"/>
          <w:sz w:val="24"/>
          <w:szCs w:val="24"/>
          <w:highlight w:val="none"/>
        </w:rPr>
        <w:t>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r>
        <w:rPr>
          <w:rFonts w:hint="eastAsia" w:ascii="宋体" w:hAnsi="宋体" w:eastAsia="宋体" w:cs="宋体"/>
          <w:color w:val="auto"/>
          <w:sz w:val="24"/>
          <w:szCs w:val="24"/>
          <w:highlight w:val="none"/>
          <w:lang w:eastAsia="zh-CN"/>
        </w:rPr>
        <w:t>。</w:t>
      </w:r>
    </w:p>
    <w:p w14:paraId="475A89AE">
      <w:pPr>
        <w:keepNext w:val="0"/>
        <w:keepLines w:val="0"/>
        <w:pageBreakBefore w:val="0"/>
        <w:widowControl w:val="0"/>
        <w:kinsoku/>
        <w:wordWrap/>
        <w:overflowPunct/>
        <w:topLinePunct w:val="0"/>
        <w:autoSpaceDE/>
        <w:autoSpaceDN/>
        <w:bidi w:val="0"/>
        <w:adjustRightInd/>
        <w:snapToGrid/>
        <w:spacing w:line="400" w:lineRule="exact"/>
        <w:ind w:firstLine="361" w:firstLineChars="150"/>
        <w:textAlignment w:val="auto"/>
        <w:rPr>
          <w:rFonts w:hint="eastAsia" w:ascii="宋体" w:hAnsi="宋体" w:eastAsia="宋体" w:cs="宋体"/>
          <w:b/>
          <w:bCs/>
          <w:color w:val="auto"/>
          <w:sz w:val="24"/>
          <w:szCs w:val="24"/>
          <w:highlight w:val="none"/>
        </w:rPr>
      </w:pPr>
      <w:bookmarkStart w:id="40" w:name="_Toc17066"/>
      <w:bookmarkStart w:id="41" w:name="_Toc9470"/>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详细评审阶段</w:t>
      </w:r>
      <w:bookmarkEnd w:id="40"/>
      <w:bookmarkEnd w:id="41"/>
    </w:p>
    <w:p w14:paraId="26837231">
      <w:pPr>
        <w:keepNext w:val="0"/>
        <w:keepLines w:val="0"/>
        <w:pageBreakBefore w:val="0"/>
        <w:widowControl w:val="0"/>
        <w:kinsoku/>
        <w:wordWrap/>
        <w:overflowPunct/>
        <w:topLinePunct w:val="0"/>
        <w:autoSpaceDE/>
        <w:autoSpaceDN/>
        <w:bidi w:val="0"/>
        <w:adjustRightInd/>
        <w:snapToGrid/>
        <w:spacing w:line="400" w:lineRule="exact"/>
        <w:ind w:firstLine="361" w:firstLineChars="15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评审程序</w:t>
      </w:r>
    </w:p>
    <w:p w14:paraId="0D43D71A">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评审内容分为商务技术和投标报价两大部分。其中，商务技术合计满分100分，权重为</w:t>
      </w: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%；投标报价满分100分，权重为</w:t>
      </w:r>
      <w:r>
        <w:rPr>
          <w:rFonts w:hint="eastAsia" w:ascii="宋体" w:hAnsi="宋体" w:eastAsia="宋体" w:cs="宋体"/>
          <w:color w:val="auto"/>
          <w:sz w:val="24"/>
          <w:szCs w:val="24"/>
          <w:highlight w:val="none"/>
          <w:lang w:val="en-US" w:eastAsia="zh-CN"/>
        </w:rPr>
        <w:t>60</w:t>
      </w:r>
      <w:r>
        <w:rPr>
          <w:rFonts w:hint="eastAsia" w:ascii="宋体" w:hAnsi="宋体" w:eastAsia="宋体" w:cs="宋体"/>
          <w:color w:val="auto"/>
          <w:sz w:val="24"/>
          <w:szCs w:val="24"/>
          <w:highlight w:val="none"/>
        </w:rPr>
        <w:t>%。两大部分权重之和应为100%。</w:t>
      </w:r>
    </w:p>
    <w:p w14:paraId="0222B530">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除特别注明外，综合得分以及商务技术得分、投标报价得分的中间过程计算值和最终值，均按“四舍五入”原则精确到两位小数。</w:t>
      </w:r>
    </w:p>
    <w:p w14:paraId="0805A57A">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（1）商务技术得分M</w:t>
      </w:r>
    </w:p>
    <w:p w14:paraId="61BED950">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a．评标委员会按照《综合评分表》商务部分指定的评分标准对各评分因素进行打分。各评分因素得分之和即为某投标人的商务得分M1。</w:t>
      </w:r>
    </w:p>
    <w:p w14:paraId="1C6A1A35">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评标委员会各成员独立按照《综合评分表》技术部分（施工组织设计）指定的评分标准对各评分因素进行打分，累加后得出技术评分。将评标委员会所有成员的技术评分去掉一个最高分和一个最低分后，取算术平均值，即为某投标人的技术得分M2。</w:t>
      </w:r>
    </w:p>
    <w:p w14:paraId="67686667">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c．M＝M1＋M2</w:t>
      </w:r>
    </w:p>
    <w:p w14:paraId="163C9084">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式中：M1为某投标人的商务得分，M2为某投标人的技术得分。</w:t>
      </w:r>
    </w:p>
    <w:p w14:paraId="128A50C9">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（2）投标报价得分N</w:t>
      </w:r>
    </w:p>
    <w:p w14:paraId="2E9D3F91">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a．评标委员会按照《综合评分表》投标报价部分指定的方法计算评标基准价D。</w:t>
      </w:r>
    </w:p>
    <w:p w14:paraId="695FA17D">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b．采用内插法计算某投标人的投标报价得分N，即当投标人的投标总价等于评标基准价时得100分，每高于评标基准价一个百分点扣1分, 每低于评标基准价一个百分点扣0.5分，扣完为止。公式如下：</w:t>
      </w:r>
    </w:p>
    <w:p w14:paraId="4D1FE51C">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N＝100－（| Di－D | ÷D）×100×E</w:t>
      </w:r>
    </w:p>
    <w:p w14:paraId="1FFD5F4C">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式中：D为评标基准价；Di为某投标人的投标总价；E为扣分因子，当Di＞D时，E＝1；当Di＜D时，E＝0.5。</w:t>
      </w:r>
    </w:p>
    <w:p w14:paraId="15B4A52A">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（3）综合得分</w:t>
      </w:r>
    </w:p>
    <w:p w14:paraId="3EADCC8D">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综合得分换算为百分制，满分100分，公式如下：</w:t>
      </w:r>
    </w:p>
    <w:p w14:paraId="3AEDB97F">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综合得分＝M÷商务技术合计满分×100×商务技术权重＋N×投标报价权重</w:t>
      </w:r>
    </w:p>
    <w:p w14:paraId="4A078506">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式中：M为商务技术得分，N为投标报价得分。</w:t>
      </w:r>
    </w:p>
    <w:p w14:paraId="2A53C32D">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评标委员会根据招标文件规定的评分细则，对招标文件中的各评审因素进行评审、比较、打分，将得分前5名不排序（按企业统一社会信用代码后4位大小排位）</w:t>
      </w:r>
      <w:r>
        <w:rPr>
          <w:rFonts w:hint="eastAsia" w:ascii="宋体" w:hAnsi="宋体" w:cs="宋体"/>
          <w:color w:val="auto"/>
          <w:sz w:val="24"/>
          <w:szCs w:val="24"/>
          <w:highlight w:val="none"/>
          <w:lang w:eastAsia="zh-CN"/>
        </w:rPr>
        <w:t>的</w:t>
      </w:r>
      <w:r>
        <w:rPr>
          <w:rFonts w:hint="eastAsia" w:ascii="宋体" w:hAnsi="宋体" w:eastAsia="宋体" w:cs="宋体"/>
          <w:color w:val="auto"/>
          <w:sz w:val="24"/>
          <w:szCs w:val="24"/>
          <w:highlight w:val="none"/>
        </w:rPr>
        <w:t>投标人作为定标候选人推荐给招标人，并对每个定标候选人的优势、风险等评审情况进行说明。当投标人综合总得分相同时，以报价低为前；当投标人综合总得分相同且报价相同时，由评标委员会投票确定排</w:t>
      </w:r>
      <w:r>
        <w:rPr>
          <w:rFonts w:hint="eastAsia" w:ascii="宋体" w:hAnsi="宋体" w:eastAsia="宋体" w:cs="宋体"/>
          <w:color w:val="auto"/>
          <w:sz w:val="24"/>
          <w:szCs w:val="24"/>
          <w:highlight w:val="none"/>
          <w:lang w:eastAsia="zh-CN"/>
        </w:rPr>
        <w:t>前</w:t>
      </w:r>
      <w:r>
        <w:rPr>
          <w:rFonts w:hint="eastAsia" w:ascii="宋体" w:hAnsi="宋体" w:eastAsia="宋体" w:cs="宋体"/>
          <w:color w:val="auto"/>
          <w:sz w:val="24"/>
          <w:szCs w:val="24"/>
          <w:highlight w:val="none"/>
        </w:rPr>
        <w:t>。</w:t>
      </w:r>
    </w:p>
    <w:p w14:paraId="0DFD3D3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定标候选人得分只作为评标委员会的推荐依据，不作为定标委员会对中标候选人排序的依据。</w:t>
      </w:r>
      <w:r>
        <w:rPr>
          <w:rFonts w:hint="eastAsia" w:ascii="宋体" w:hAnsi="宋体" w:eastAsia="宋体" w:cs="宋体"/>
          <w:color w:val="auto"/>
          <w:sz w:val="24"/>
          <w:szCs w:val="24"/>
          <w:highlight w:val="none"/>
          <w:lang w:val="en-US" w:eastAsia="zh-CN"/>
        </w:rPr>
        <w:t>当有效投标人数量不足5名但满足法定要求时，所有通过评审的有效投标人均应作为定标候选人。</w:t>
      </w:r>
    </w:p>
    <w:p w14:paraId="2BC4C1F0">
      <w:pPr>
        <w:keepNext w:val="0"/>
        <w:keepLines w:val="0"/>
        <w:pageBreakBefore w:val="0"/>
        <w:widowControl w:val="0"/>
        <w:kinsoku/>
        <w:wordWrap/>
        <w:overflowPunct/>
        <w:topLinePunct w:val="0"/>
        <w:autoSpaceDE/>
        <w:autoSpaceDN/>
        <w:bidi w:val="0"/>
        <w:adjustRightInd/>
        <w:snapToGrid/>
        <w:spacing w:line="400" w:lineRule="exact"/>
        <w:ind w:firstLine="361" w:firstLineChars="150"/>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否决投标说明</w:t>
      </w:r>
    </w:p>
    <w:p w14:paraId="5564942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详细评审阶段否决投标的全部条件，在“第二章 投标人须知”</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lang w:eastAsia="zh-CN"/>
        </w:rPr>
        <w:t>、投标人须知”</w:t>
      </w:r>
      <w:r>
        <w:rPr>
          <w:rFonts w:hint="eastAsia" w:ascii="宋体" w:hAnsi="宋体" w:eastAsia="宋体" w:cs="宋体"/>
          <w:color w:val="auto"/>
          <w:sz w:val="24"/>
          <w:szCs w:val="24"/>
          <w:highlight w:val="none"/>
          <w:lang w:val="en-US" w:eastAsia="zh-CN"/>
        </w:rPr>
        <w:t>中</w:t>
      </w:r>
      <w:r>
        <w:rPr>
          <w:rFonts w:hint="eastAsia" w:ascii="宋体" w:hAnsi="宋体" w:eastAsia="宋体" w:cs="宋体"/>
          <w:color w:val="auto"/>
          <w:sz w:val="24"/>
          <w:szCs w:val="24"/>
          <w:highlight w:val="none"/>
          <w:lang w:eastAsia="zh-CN"/>
        </w:rPr>
        <w:t>“（二）投标否决”集中列示。投标人有其中所列任何一种情形的，由评标委员会否决其投标。经详细评审后，有效投标人数量不足3个时，招标人应依法重新组织招标。</w:t>
      </w:r>
    </w:p>
    <w:p w14:paraId="289A95D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注：投标人在详细评审阶段根据评分方法提供的佐证材料，其合法性、有效性和准确性不符合要求的，有关量化因素（或评分标准）的折算、调整（或评分）按相应量化标准（或评分标准）处理，但不否决投标。</w:t>
      </w:r>
    </w:p>
    <w:p w14:paraId="449DEC17">
      <w:pPr>
        <w:pStyle w:val="12"/>
        <w:widowControl w:val="0"/>
        <w:numPr>
          <w:ilvl w:val="0"/>
          <w:numId w:val="0"/>
        </w:numPr>
        <w:jc w:val="both"/>
        <w:rPr>
          <w:rFonts w:hint="eastAsia" w:ascii="宋体" w:hAnsi="宋体" w:eastAsia="宋体" w:cs="宋体"/>
          <w:color w:val="auto"/>
          <w:highlight w:val="none"/>
        </w:rPr>
      </w:pPr>
    </w:p>
    <w:p w14:paraId="0BAD0D6E">
      <w:pPr>
        <w:pStyle w:val="12"/>
        <w:widowControl w:val="0"/>
        <w:numPr>
          <w:ilvl w:val="0"/>
          <w:numId w:val="0"/>
        </w:numPr>
        <w:jc w:val="both"/>
        <w:rPr>
          <w:rFonts w:hint="eastAsia" w:ascii="宋体" w:hAnsi="宋体" w:eastAsia="宋体" w:cs="宋体"/>
          <w:color w:val="auto"/>
          <w:highlight w:val="none"/>
        </w:rPr>
      </w:pPr>
    </w:p>
    <w:p w14:paraId="57F191B9">
      <w:pPr>
        <w:pStyle w:val="12"/>
        <w:widowControl w:val="0"/>
        <w:numPr>
          <w:ilvl w:val="0"/>
          <w:numId w:val="0"/>
        </w:numPr>
        <w:jc w:val="both"/>
        <w:rPr>
          <w:rFonts w:hint="eastAsia" w:ascii="宋体" w:hAnsi="宋体" w:eastAsia="宋体" w:cs="宋体"/>
          <w:color w:val="auto"/>
          <w:highlight w:val="none"/>
        </w:rPr>
      </w:pPr>
    </w:p>
    <w:p w14:paraId="440A47E3">
      <w:pPr>
        <w:pStyle w:val="12"/>
        <w:widowControl w:val="0"/>
        <w:numPr>
          <w:ilvl w:val="0"/>
          <w:numId w:val="0"/>
        </w:numPr>
        <w:jc w:val="both"/>
        <w:rPr>
          <w:rFonts w:hint="eastAsia" w:ascii="宋体" w:hAnsi="宋体" w:eastAsia="宋体" w:cs="宋体"/>
          <w:color w:val="auto"/>
          <w:highlight w:val="none"/>
        </w:rPr>
      </w:pPr>
    </w:p>
    <w:p w14:paraId="2649B807">
      <w:pPr>
        <w:pStyle w:val="12"/>
        <w:widowControl w:val="0"/>
        <w:numPr>
          <w:ilvl w:val="0"/>
          <w:numId w:val="0"/>
        </w:numPr>
        <w:jc w:val="both"/>
        <w:rPr>
          <w:rFonts w:hint="eastAsia" w:ascii="宋体" w:hAnsi="宋体" w:eastAsia="宋体" w:cs="宋体"/>
          <w:color w:val="auto"/>
          <w:highlight w:val="none"/>
        </w:rPr>
      </w:pPr>
    </w:p>
    <w:p w14:paraId="2F6630E4">
      <w:pPr>
        <w:keepNext w:val="0"/>
        <w:keepLines w:val="0"/>
        <w:pageBreakBefore w:val="0"/>
        <w:widowControl/>
        <w:kinsoku/>
        <w:wordWrap w:val="0"/>
        <w:overflowPunct/>
        <w:topLinePunct w:val="0"/>
        <w:autoSpaceDE/>
        <w:autoSpaceDN/>
        <w:bidi w:val="0"/>
        <w:adjustRightInd w:val="0"/>
        <w:snapToGrid w:val="0"/>
        <w:spacing w:line="240" w:lineRule="auto"/>
        <w:ind w:firstLine="602" w:firstLineChars="200"/>
        <w:jc w:val="center"/>
        <w:textAlignment w:val="baseline"/>
        <w:rPr>
          <w:rFonts w:hint="eastAsia" w:ascii="宋体" w:hAnsi="宋体" w:eastAsia="宋体" w:cs="宋体"/>
          <w:color w:val="auto"/>
          <w:highlight w:val="none"/>
        </w:rPr>
      </w:pPr>
      <w:r>
        <w:rPr>
          <w:rFonts w:hint="eastAsia" w:ascii="宋体" w:hAnsi="宋体" w:eastAsia="宋体" w:cs="宋体"/>
          <w:b/>
          <w:bCs/>
          <w:snapToGrid w:val="0"/>
          <w:color w:val="auto"/>
          <w:kern w:val="0"/>
          <w:sz w:val="30"/>
          <w:szCs w:val="30"/>
          <w:highlight w:val="none"/>
        </w:rPr>
        <w:t>综合评分表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3933"/>
        <w:gridCol w:w="4707"/>
      </w:tblGrid>
      <w:tr w14:paraId="4D9F4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3"/>
            <w:noWrap w:val="0"/>
            <w:vAlign w:val="top"/>
          </w:tcPr>
          <w:p w14:paraId="69C13677">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商务部分，满分：80分。</w:t>
            </w:r>
          </w:p>
        </w:tc>
      </w:tr>
      <w:tr w14:paraId="07FB7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noWrap w:val="0"/>
            <w:vAlign w:val="center"/>
          </w:tcPr>
          <w:p w14:paraId="755DF48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评分因素</w:t>
            </w:r>
          </w:p>
        </w:tc>
        <w:tc>
          <w:tcPr>
            <w:tcW w:w="3933" w:type="dxa"/>
            <w:noWrap w:val="0"/>
            <w:vAlign w:val="center"/>
          </w:tcPr>
          <w:p w14:paraId="2390D25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评分标准</w:t>
            </w:r>
          </w:p>
        </w:tc>
        <w:tc>
          <w:tcPr>
            <w:tcW w:w="4707" w:type="dxa"/>
            <w:noWrap w:val="0"/>
            <w:vAlign w:val="center"/>
          </w:tcPr>
          <w:p w14:paraId="73E79F1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备注</w:t>
            </w:r>
          </w:p>
        </w:tc>
      </w:tr>
      <w:tr w14:paraId="697E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noWrap w:val="0"/>
            <w:vAlign w:val="center"/>
          </w:tcPr>
          <w:p w14:paraId="232E2C49">
            <w:pPr>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0" w:firstLineChars="0"/>
              <w:jc w:val="center"/>
              <w:textAlignment w:val="auto"/>
              <w:outlineLvl w:val="9"/>
              <w:rPr>
                <w:rFonts w:hint="eastAsia" w:ascii="宋体" w:hAnsi="宋体" w:eastAsia="宋体" w:cs="宋体"/>
                <w:b w:val="0"/>
                <w:bCs w:val="0"/>
                <w:caps w:val="0"/>
                <w:smallCaps w:val="0"/>
                <w:snapToGrid w:val="0"/>
                <w:color w:val="auto"/>
                <w:spacing w:val="0"/>
                <w:kern w:val="0"/>
                <w:sz w:val="24"/>
                <w:szCs w:val="24"/>
                <w:highlight w:val="none"/>
                <w:lang w:val="en-US" w:eastAsia="zh-CN" w:bidi="ar-SA"/>
              </w:rPr>
            </w:pPr>
            <w:r>
              <w:rPr>
                <w:rFonts w:hint="eastAsia" w:ascii="宋体" w:hAnsi="宋体" w:eastAsia="宋体" w:cs="宋体"/>
                <w:b w:val="0"/>
                <w:bCs w:val="0"/>
                <w:caps w:val="0"/>
                <w:smallCaps w:val="0"/>
                <w:snapToGrid w:val="0"/>
                <w:color w:val="auto"/>
                <w:spacing w:val="0"/>
                <w:kern w:val="0"/>
                <w:sz w:val="24"/>
                <w:szCs w:val="24"/>
                <w:highlight w:val="none"/>
                <w:lang w:val="en-US" w:eastAsia="zh-CN" w:bidi="ar-SA"/>
              </w:rPr>
              <w:t>企业奖项</w:t>
            </w:r>
          </w:p>
          <w:p w14:paraId="577BF44A">
            <w:pPr>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0" w:firstLineChars="0"/>
              <w:jc w:val="center"/>
              <w:textAlignment w:val="auto"/>
              <w:outlineLvl w:val="9"/>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val="0"/>
                <w:bCs w:val="0"/>
                <w:caps w:val="0"/>
                <w:smallCaps w:val="0"/>
                <w:snapToGrid w:val="0"/>
                <w:color w:val="auto"/>
                <w:spacing w:val="0"/>
                <w:kern w:val="0"/>
                <w:sz w:val="24"/>
                <w:szCs w:val="24"/>
                <w:highlight w:val="none"/>
                <w:lang w:val="en-US" w:eastAsia="zh-CN" w:bidi="ar-SA"/>
              </w:rPr>
              <w:t>（15分）</w:t>
            </w:r>
          </w:p>
        </w:tc>
        <w:tc>
          <w:tcPr>
            <w:tcW w:w="3933" w:type="dxa"/>
            <w:noWrap w:val="0"/>
            <w:vAlign w:val="center"/>
          </w:tcPr>
          <w:p w14:paraId="2C3CC21E">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企业近</w:t>
            </w:r>
            <w:r>
              <w:rPr>
                <w:rFonts w:hint="eastAsia" w:ascii="宋体" w:hAnsi="宋体" w:eastAsia="宋体" w:cs="宋体"/>
                <w:b w:val="0"/>
                <w:bCs w:val="0"/>
                <w:snapToGrid w:val="0"/>
                <w:color w:val="auto"/>
                <w:kern w:val="0"/>
                <w:sz w:val="24"/>
                <w:szCs w:val="24"/>
                <w:highlight w:val="none"/>
                <w:u w:val="single"/>
                <w:lang w:val="en-US" w:eastAsia="zh-CN" w:bidi="ar-SA"/>
              </w:rPr>
              <w:t xml:space="preserve"> 5 </w:t>
            </w:r>
            <w:r>
              <w:rPr>
                <w:rFonts w:hint="eastAsia" w:ascii="宋体" w:hAnsi="宋体" w:eastAsia="宋体" w:cs="宋体"/>
                <w:b w:val="0"/>
                <w:bCs w:val="0"/>
                <w:snapToGrid w:val="0"/>
                <w:color w:val="auto"/>
                <w:kern w:val="0"/>
                <w:sz w:val="24"/>
                <w:szCs w:val="24"/>
                <w:highlight w:val="none"/>
                <w:lang w:val="en-US" w:eastAsia="zh-CN" w:bidi="ar-SA"/>
              </w:rPr>
              <w:t>年来（2021年1月1日至今）获得工程类奖项情况：</w:t>
            </w:r>
          </w:p>
          <w:p w14:paraId="068C7737">
            <w:pPr>
              <w:keepNext w:val="0"/>
              <w:keepLines w:val="0"/>
              <w:widowControl w:val="0"/>
              <w:suppressLineNumbers w:val="0"/>
              <w:snapToGrid w:val="0"/>
              <w:spacing w:before="0" w:beforeAutospacing="0" w:after="0" w:afterAutospacing="0" w:line="360" w:lineRule="auto"/>
              <w:ind w:left="0" w:leftChars="0" w:right="0" w:firstLineChars="0"/>
              <w:jc w:val="both"/>
              <w:textAlignment w:val="baseline"/>
              <w:rPr>
                <w:rFonts w:hint="eastAsia" w:ascii="宋体" w:hAnsi="宋体" w:eastAsia="宋体" w:cs="宋体"/>
                <w:b w:val="0"/>
                <w:bCs w:val="0"/>
                <w:i w:val="0"/>
                <w:caps w:val="0"/>
                <w:color w:val="auto"/>
                <w:spacing w:val="0"/>
                <w:w w:val="100"/>
                <w:kern w:val="0"/>
                <w:sz w:val="24"/>
                <w:szCs w:val="24"/>
                <w:highlight w:val="none"/>
                <w:lang w:val="en-US" w:eastAsia="zh-CN" w:bidi="ar-SA"/>
              </w:rPr>
            </w:pPr>
            <w:r>
              <w:rPr>
                <w:rFonts w:hint="eastAsia" w:ascii="宋体" w:hAnsi="宋体" w:eastAsia="宋体" w:cs="宋体"/>
                <w:b w:val="0"/>
                <w:bCs w:val="0"/>
                <w:i w:val="0"/>
                <w:caps w:val="0"/>
                <w:color w:val="auto"/>
                <w:spacing w:val="0"/>
                <w:w w:val="100"/>
                <w:kern w:val="0"/>
                <w:sz w:val="24"/>
                <w:szCs w:val="24"/>
                <w:highlight w:val="none"/>
                <w:lang w:val="en-US" w:eastAsia="zh-CN" w:bidi="ar-SA"/>
              </w:rPr>
              <w:t>1．获得国家级奖项的，每个得</w:t>
            </w:r>
            <w:r>
              <w:rPr>
                <w:rFonts w:hint="eastAsia" w:ascii="宋体" w:hAnsi="宋体" w:eastAsia="宋体" w:cs="宋体"/>
                <w:b w:val="0"/>
                <w:bCs w:val="0"/>
                <w:i w:val="0"/>
                <w:caps w:val="0"/>
                <w:color w:val="auto"/>
                <w:spacing w:val="0"/>
                <w:w w:val="100"/>
                <w:kern w:val="0"/>
                <w:sz w:val="24"/>
                <w:szCs w:val="24"/>
                <w:highlight w:val="none"/>
                <w:u w:val="single" w:color="000000"/>
                <w:lang w:val="en-US" w:eastAsia="zh-CN" w:bidi="ar-SA"/>
              </w:rPr>
              <w:t xml:space="preserve"> </w:t>
            </w:r>
            <w:r>
              <w:rPr>
                <w:rFonts w:hint="eastAsia" w:ascii="宋体" w:hAnsi="宋体" w:eastAsia="宋体" w:cs="宋体"/>
                <w:b w:val="0"/>
                <w:bCs w:val="0"/>
                <w:i w:val="0"/>
                <w:caps w:val="0"/>
                <w:strike w:val="0"/>
                <w:dstrike w:val="0"/>
                <w:color w:val="auto"/>
                <w:spacing w:val="0"/>
                <w:w w:val="100"/>
                <w:kern w:val="0"/>
                <w:sz w:val="24"/>
                <w:szCs w:val="24"/>
                <w:highlight w:val="none"/>
                <w:u w:val="single" w:color="000000"/>
                <w:lang w:val="en-US" w:eastAsia="zh-CN" w:bidi="ar-SA"/>
              </w:rPr>
              <w:t>10</w:t>
            </w:r>
            <w:r>
              <w:rPr>
                <w:rFonts w:hint="eastAsia" w:ascii="宋体" w:hAnsi="宋体" w:eastAsia="宋体" w:cs="宋体"/>
                <w:b w:val="0"/>
                <w:bCs w:val="0"/>
                <w:i w:val="0"/>
                <w:caps w:val="0"/>
                <w:color w:val="auto"/>
                <w:spacing w:val="0"/>
                <w:w w:val="100"/>
                <w:kern w:val="0"/>
                <w:sz w:val="24"/>
                <w:szCs w:val="24"/>
                <w:highlight w:val="none"/>
                <w:lang w:val="en-US" w:eastAsia="zh-CN" w:bidi="ar-SA"/>
              </w:rPr>
              <w:t>分。</w:t>
            </w:r>
          </w:p>
          <w:p w14:paraId="13B50544">
            <w:pPr>
              <w:keepNext w:val="0"/>
              <w:keepLines w:val="0"/>
              <w:widowControl w:val="0"/>
              <w:suppressLineNumbers w:val="0"/>
              <w:snapToGrid w:val="0"/>
              <w:spacing w:before="0" w:beforeAutospacing="0" w:after="0" w:afterAutospacing="0" w:line="360" w:lineRule="auto"/>
              <w:ind w:left="0" w:leftChars="0" w:right="0" w:firstLineChars="0"/>
              <w:jc w:val="both"/>
              <w:textAlignment w:val="baseline"/>
              <w:rPr>
                <w:rFonts w:hint="eastAsia" w:ascii="宋体" w:hAnsi="宋体" w:eastAsia="宋体" w:cs="宋体"/>
                <w:b w:val="0"/>
                <w:bCs w:val="0"/>
                <w:i w:val="0"/>
                <w:caps w:val="0"/>
                <w:color w:val="auto"/>
                <w:spacing w:val="0"/>
                <w:w w:val="100"/>
                <w:kern w:val="0"/>
                <w:sz w:val="24"/>
                <w:szCs w:val="24"/>
                <w:highlight w:val="none"/>
                <w:lang w:val="en-US" w:eastAsia="zh-CN" w:bidi="ar-SA"/>
              </w:rPr>
            </w:pPr>
            <w:r>
              <w:rPr>
                <w:rFonts w:hint="eastAsia" w:ascii="宋体" w:hAnsi="宋体" w:eastAsia="宋体" w:cs="宋体"/>
                <w:b w:val="0"/>
                <w:bCs w:val="0"/>
                <w:i w:val="0"/>
                <w:caps w:val="0"/>
                <w:color w:val="auto"/>
                <w:spacing w:val="0"/>
                <w:w w:val="100"/>
                <w:kern w:val="0"/>
                <w:sz w:val="24"/>
                <w:szCs w:val="24"/>
                <w:highlight w:val="none"/>
                <w:lang w:val="en-US" w:eastAsia="zh-CN" w:bidi="ar-SA"/>
              </w:rPr>
              <w:t>2．获得省级奖项的，每个得</w:t>
            </w:r>
            <w:r>
              <w:rPr>
                <w:rFonts w:hint="eastAsia" w:ascii="宋体" w:hAnsi="宋体" w:eastAsia="宋体" w:cs="宋体"/>
                <w:b w:val="0"/>
                <w:bCs w:val="0"/>
                <w:i w:val="0"/>
                <w:caps w:val="0"/>
                <w:color w:val="auto"/>
                <w:spacing w:val="0"/>
                <w:w w:val="100"/>
                <w:kern w:val="0"/>
                <w:sz w:val="24"/>
                <w:szCs w:val="24"/>
                <w:highlight w:val="none"/>
                <w:u w:val="single" w:color="000000"/>
                <w:lang w:val="en-US" w:eastAsia="zh-CN" w:bidi="ar-SA"/>
              </w:rPr>
              <w:t xml:space="preserve"> 6</w:t>
            </w:r>
            <w:r>
              <w:rPr>
                <w:rFonts w:hint="eastAsia" w:ascii="宋体" w:hAnsi="宋体" w:eastAsia="宋体" w:cs="宋体"/>
                <w:b w:val="0"/>
                <w:bCs w:val="0"/>
                <w:i w:val="0"/>
                <w:caps w:val="0"/>
                <w:color w:val="auto"/>
                <w:spacing w:val="0"/>
                <w:w w:val="100"/>
                <w:kern w:val="0"/>
                <w:sz w:val="24"/>
                <w:szCs w:val="24"/>
                <w:highlight w:val="none"/>
                <w:lang w:val="en-US" w:eastAsia="zh-CN" w:bidi="ar-SA"/>
              </w:rPr>
              <w:t>分。</w:t>
            </w:r>
          </w:p>
          <w:p w14:paraId="614817FD">
            <w:pPr>
              <w:keepNext w:val="0"/>
              <w:keepLines w:val="0"/>
              <w:widowControl w:val="0"/>
              <w:suppressLineNumbers w:val="0"/>
              <w:snapToGrid w:val="0"/>
              <w:spacing w:before="0" w:beforeAutospacing="0" w:after="0" w:afterAutospacing="0" w:line="360" w:lineRule="auto"/>
              <w:ind w:left="0" w:leftChars="0" w:right="0" w:firstLineChars="0"/>
              <w:jc w:val="both"/>
              <w:textAlignment w:val="baseline"/>
              <w:rPr>
                <w:rFonts w:hint="eastAsia" w:ascii="宋体" w:hAnsi="宋体" w:eastAsia="宋体" w:cs="宋体"/>
                <w:b w:val="0"/>
                <w:bCs w:val="0"/>
                <w:i w:val="0"/>
                <w:caps w:val="0"/>
                <w:color w:val="auto"/>
                <w:spacing w:val="0"/>
                <w:w w:val="100"/>
                <w:kern w:val="0"/>
                <w:sz w:val="24"/>
                <w:szCs w:val="24"/>
                <w:highlight w:val="none"/>
                <w:lang w:val="en-US" w:eastAsia="zh-CN" w:bidi="ar-SA"/>
              </w:rPr>
            </w:pPr>
            <w:r>
              <w:rPr>
                <w:rFonts w:hint="eastAsia" w:ascii="宋体" w:hAnsi="宋体" w:eastAsia="宋体" w:cs="宋体"/>
                <w:b w:val="0"/>
                <w:bCs w:val="0"/>
                <w:i w:val="0"/>
                <w:caps w:val="0"/>
                <w:color w:val="auto"/>
                <w:spacing w:val="0"/>
                <w:w w:val="100"/>
                <w:kern w:val="0"/>
                <w:sz w:val="24"/>
                <w:szCs w:val="24"/>
                <w:highlight w:val="none"/>
                <w:lang w:val="en-US" w:eastAsia="zh-CN" w:bidi="ar-SA"/>
              </w:rPr>
              <w:t>3．获得地市级奖项的，每个得</w:t>
            </w:r>
            <w:r>
              <w:rPr>
                <w:rFonts w:hint="eastAsia" w:ascii="宋体" w:hAnsi="宋体" w:eastAsia="宋体" w:cs="宋体"/>
                <w:b w:val="0"/>
                <w:bCs w:val="0"/>
                <w:i w:val="0"/>
                <w:caps w:val="0"/>
                <w:color w:val="auto"/>
                <w:spacing w:val="0"/>
                <w:w w:val="100"/>
                <w:kern w:val="0"/>
                <w:sz w:val="24"/>
                <w:szCs w:val="24"/>
                <w:highlight w:val="none"/>
                <w:u w:val="single" w:color="000000"/>
                <w:lang w:val="en-US" w:eastAsia="zh-CN" w:bidi="ar-SA"/>
              </w:rPr>
              <w:t xml:space="preserve"> 3</w:t>
            </w:r>
            <w:r>
              <w:rPr>
                <w:rFonts w:hint="eastAsia" w:ascii="宋体" w:hAnsi="宋体" w:eastAsia="宋体" w:cs="宋体"/>
                <w:b w:val="0"/>
                <w:bCs w:val="0"/>
                <w:i w:val="0"/>
                <w:caps w:val="0"/>
                <w:color w:val="auto"/>
                <w:spacing w:val="0"/>
                <w:w w:val="100"/>
                <w:kern w:val="0"/>
                <w:sz w:val="24"/>
                <w:szCs w:val="24"/>
                <w:highlight w:val="none"/>
                <w:lang w:val="en-US" w:eastAsia="zh-CN" w:bidi="ar-SA"/>
              </w:rPr>
              <w:t>分。</w:t>
            </w:r>
          </w:p>
          <w:p w14:paraId="2CAB552C">
            <w:pPr>
              <w:keepNext w:val="0"/>
              <w:keepLines w:val="0"/>
              <w:widowControl w:val="0"/>
              <w:suppressLineNumbers w:val="0"/>
              <w:snapToGrid w:val="0"/>
              <w:spacing w:before="0" w:beforeAutospacing="0" w:after="0" w:afterAutospacing="0" w:line="360" w:lineRule="auto"/>
              <w:ind w:left="0" w:leftChars="0" w:right="0" w:firstLineChars="0"/>
              <w:jc w:val="both"/>
              <w:textAlignment w:val="baseline"/>
              <w:rPr>
                <w:rFonts w:hint="eastAsia" w:ascii="宋体" w:hAnsi="宋体" w:eastAsia="宋体" w:cs="宋体"/>
                <w:b w:val="0"/>
                <w:bCs w:val="0"/>
                <w:i w:val="0"/>
                <w:caps w:val="0"/>
                <w:color w:val="auto"/>
                <w:spacing w:val="0"/>
                <w:w w:val="100"/>
                <w:kern w:val="0"/>
                <w:sz w:val="24"/>
                <w:szCs w:val="24"/>
                <w:highlight w:val="none"/>
                <w:lang w:val="en-US" w:eastAsia="zh-CN" w:bidi="ar-SA"/>
              </w:rPr>
            </w:pPr>
            <w:r>
              <w:rPr>
                <w:rFonts w:hint="eastAsia" w:ascii="宋体" w:hAnsi="宋体" w:eastAsia="宋体" w:cs="宋体"/>
                <w:b w:val="0"/>
                <w:bCs w:val="0"/>
                <w:i w:val="0"/>
                <w:caps w:val="0"/>
                <w:color w:val="auto"/>
                <w:spacing w:val="0"/>
                <w:w w:val="100"/>
                <w:kern w:val="0"/>
                <w:sz w:val="24"/>
                <w:szCs w:val="24"/>
                <w:highlight w:val="none"/>
                <w:lang w:val="en-US" w:eastAsia="zh-CN" w:bidi="ar-SA"/>
              </w:rPr>
              <w:t>4．以上奖项均未获得的，不予计分。</w:t>
            </w:r>
          </w:p>
          <w:p w14:paraId="1C514323">
            <w:pPr>
              <w:keepNext w:val="0"/>
              <w:keepLines w:val="0"/>
              <w:widowControl w:val="0"/>
              <w:suppressLineNumbers w:val="0"/>
              <w:snapToGrid w:val="0"/>
              <w:spacing w:before="0" w:beforeAutospacing="0" w:after="0" w:afterAutospacing="0" w:line="360" w:lineRule="auto"/>
              <w:ind w:left="0" w:leftChars="0" w:right="0" w:firstLineChars="0"/>
              <w:jc w:val="both"/>
              <w:textAlignment w:val="baseline"/>
              <w:rPr>
                <w:rFonts w:hint="eastAsia" w:ascii="宋体" w:hAnsi="宋体" w:eastAsia="宋体" w:cs="宋体"/>
                <w:b w:val="0"/>
                <w:bCs w:val="0"/>
                <w:i w:val="0"/>
                <w:caps w:val="0"/>
                <w:color w:val="auto"/>
                <w:spacing w:val="0"/>
                <w:w w:val="100"/>
                <w:kern w:val="0"/>
                <w:sz w:val="24"/>
                <w:szCs w:val="24"/>
                <w:highlight w:val="none"/>
                <w:lang w:val="en-US" w:eastAsia="zh-CN" w:bidi="ar-SA"/>
              </w:rPr>
            </w:pPr>
            <w:r>
              <w:rPr>
                <w:rFonts w:hint="eastAsia" w:ascii="宋体" w:hAnsi="宋体" w:eastAsia="宋体" w:cs="宋体"/>
                <w:b w:val="0"/>
                <w:bCs w:val="0"/>
                <w:i w:val="0"/>
                <w:caps w:val="0"/>
                <w:color w:val="auto"/>
                <w:spacing w:val="0"/>
                <w:w w:val="100"/>
                <w:kern w:val="0"/>
                <w:sz w:val="24"/>
                <w:szCs w:val="24"/>
                <w:highlight w:val="none"/>
                <w:lang w:val="en-US" w:eastAsia="zh-CN" w:bidi="ar-SA"/>
              </w:rPr>
              <w:t>5．本项最高得15分。</w:t>
            </w:r>
          </w:p>
          <w:p w14:paraId="2BD9298A">
            <w:pPr>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0" w:firstLineChars="0"/>
              <w:jc w:val="both"/>
              <w:textAlignment w:val="auto"/>
              <w:outlineLvl w:val="9"/>
              <w:rPr>
                <w:rFonts w:hint="eastAsia" w:ascii="宋体" w:hAnsi="宋体" w:eastAsia="宋体" w:cs="宋体"/>
                <w:color w:val="auto"/>
                <w:kern w:val="0"/>
                <w:sz w:val="24"/>
                <w:szCs w:val="24"/>
                <w:highlight w:val="none"/>
                <w:lang w:val="en-US" w:eastAsia="zh-CN"/>
              </w:rPr>
            </w:pPr>
          </w:p>
        </w:tc>
        <w:tc>
          <w:tcPr>
            <w:tcW w:w="4707" w:type="dxa"/>
            <w:noWrap w:val="0"/>
            <w:vAlign w:val="center"/>
          </w:tcPr>
          <w:p w14:paraId="0B0BB70D">
            <w:pPr>
              <w:pStyle w:val="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1．允许投标人提交多个业绩，但同一业绩只按最高级别奖项计分一次；</w:t>
            </w:r>
          </w:p>
          <w:p w14:paraId="6ECB84AA">
            <w:pPr>
              <w:keepNext w:val="0"/>
              <w:keepLines w:val="0"/>
              <w:suppressLineNumbers w:val="0"/>
              <w:spacing w:before="0" w:beforeAutospacing="0" w:after="0" w:afterAutospacing="0"/>
              <w:ind w:left="0" w:right="0"/>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2．需附</w:t>
            </w:r>
            <w:r>
              <w:rPr>
                <w:rFonts w:hint="eastAsia" w:ascii="宋体" w:hAnsi="宋体" w:cs="宋体"/>
                <w:b w:val="0"/>
                <w:bCs w:val="0"/>
                <w:snapToGrid w:val="0"/>
                <w:color w:val="auto"/>
                <w:kern w:val="0"/>
                <w:sz w:val="24"/>
                <w:szCs w:val="24"/>
                <w:highlight w:val="none"/>
                <w:lang w:val="en-US" w:eastAsia="zh-CN"/>
              </w:rPr>
              <w:t>有关奖项证明</w:t>
            </w:r>
            <w:r>
              <w:rPr>
                <w:rFonts w:hint="eastAsia" w:ascii="宋体" w:hAnsi="宋体" w:eastAsia="宋体" w:cs="宋体"/>
                <w:b w:val="0"/>
                <w:bCs w:val="0"/>
                <w:snapToGrid w:val="0"/>
                <w:color w:val="auto"/>
                <w:kern w:val="0"/>
                <w:sz w:val="24"/>
                <w:szCs w:val="24"/>
                <w:highlight w:val="none"/>
                <w:lang w:val="en-US" w:eastAsia="zh-CN"/>
              </w:rPr>
              <w:t>彩色扫描件，同时提供原件供核对（证书为电子证书打印件的除外）。</w:t>
            </w:r>
          </w:p>
          <w:p w14:paraId="0095F07B">
            <w:pPr>
              <w:pStyle w:val="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3．颁发机构限定以下范围：</w:t>
            </w:r>
          </w:p>
          <w:p w14:paraId="0AE24BDD">
            <w:pPr>
              <w:pStyle w:val="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rPr>
                <w:rFonts w:hint="eastAsia" w:ascii="宋体" w:hAnsi="宋体" w:eastAsia="宋体" w:cs="宋体"/>
                <w:b w:val="0"/>
                <w:bCs w:val="0"/>
                <w:snapToGrid w:val="0"/>
                <w:color w:val="auto"/>
                <w:kern w:val="0"/>
                <w:sz w:val="24"/>
                <w:szCs w:val="24"/>
                <w:highlight w:val="none"/>
                <w:u w:val="single"/>
                <w:lang w:val="en-US" w:eastAsia="zh-CN"/>
              </w:rPr>
            </w:pPr>
            <w:r>
              <w:rPr>
                <w:rFonts w:hint="eastAsia" w:ascii="宋体" w:hAnsi="宋体" w:eastAsia="宋体" w:cs="宋体"/>
                <w:b w:val="0"/>
                <w:bCs w:val="0"/>
                <w:snapToGrid w:val="0"/>
                <w:color w:val="auto"/>
                <w:kern w:val="0"/>
                <w:sz w:val="24"/>
                <w:szCs w:val="24"/>
                <w:highlight w:val="none"/>
                <w:u w:val="single"/>
                <w:lang w:val="en-US" w:eastAsia="zh-CN"/>
              </w:rPr>
              <w:t>①国家级奖项：国务院、住建部、国家级行业协会；（相关协会需经民政部门备案）</w:t>
            </w:r>
          </w:p>
          <w:p w14:paraId="556AB8AD">
            <w:pPr>
              <w:pStyle w:val="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rPr>
                <w:rFonts w:hint="eastAsia" w:ascii="宋体" w:hAnsi="宋体" w:eastAsia="宋体" w:cs="宋体"/>
                <w:b w:val="0"/>
                <w:bCs w:val="0"/>
                <w:snapToGrid w:val="0"/>
                <w:color w:val="auto"/>
                <w:kern w:val="0"/>
                <w:sz w:val="24"/>
                <w:szCs w:val="24"/>
                <w:highlight w:val="none"/>
                <w:u w:val="single"/>
                <w:lang w:val="en-US" w:eastAsia="zh-CN"/>
              </w:rPr>
            </w:pPr>
            <w:r>
              <w:rPr>
                <w:rFonts w:hint="eastAsia" w:ascii="宋体" w:hAnsi="宋体" w:eastAsia="宋体" w:cs="宋体"/>
                <w:b w:val="0"/>
                <w:bCs w:val="0"/>
                <w:snapToGrid w:val="0"/>
                <w:color w:val="auto"/>
                <w:kern w:val="0"/>
                <w:sz w:val="24"/>
                <w:szCs w:val="24"/>
                <w:highlight w:val="none"/>
                <w:u w:val="single"/>
                <w:lang w:val="en-US" w:eastAsia="zh-CN"/>
              </w:rPr>
              <w:t>②省级奖项：省级人民政府、省级住建部门、省级行业协会；（相关协会需经民政部门备案）</w:t>
            </w:r>
          </w:p>
          <w:p w14:paraId="0C55F2AE">
            <w:pPr>
              <w:pStyle w:val="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rPr>
                <w:rFonts w:hint="eastAsia" w:ascii="宋体" w:hAnsi="宋体" w:eastAsia="宋体" w:cs="宋体"/>
                <w:b/>
                <w:bCs/>
                <w:snapToGrid w:val="0"/>
                <w:color w:val="auto"/>
                <w:kern w:val="0"/>
                <w:sz w:val="24"/>
                <w:szCs w:val="24"/>
                <w:highlight w:val="none"/>
                <w:u w:val="single"/>
              </w:rPr>
            </w:pPr>
            <w:r>
              <w:rPr>
                <w:rFonts w:hint="eastAsia" w:ascii="宋体" w:hAnsi="宋体" w:eastAsia="宋体" w:cs="宋体"/>
                <w:b w:val="0"/>
                <w:bCs w:val="0"/>
                <w:snapToGrid w:val="0"/>
                <w:color w:val="auto"/>
                <w:kern w:val="0"/>
                <w:sz w:val="24"/>
                <w:szCs w:val="24"/>
                <w:highlight w:val="none"/>
                <w:u w:val="single"/>
                <w:lang w:val="en-US" w:eastAsia="zh-CN"/>
              </w:rPr>
              <w:t>③地市级奖项：地市级人民政府、地市级住建部门、地市级行业协会。（相关协会需经民政部门备案）</w:t>
            </w:r>
          </w:p>
          <w:p w14:paraId="625FE4F2">
            <w:pPr>
              <w:pStyle w:val="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4．获奖时间以奖项证明的落款日期为准。</w:t>
            </w:r>
          </w:p>
          <w:p w14:paraId="212971ED">
            <w:pPr>
              <w:pStyle w:val="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5．任一奖项有以下情形之一的，该奖项视为无效，不予计分：</w:t>
            </w:r>
          </w:p>
          <w:p w14:paraId="75251262">
            <w:pPr>
              <w:pStyle w:val="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①奖项不属于指定类别的；</w:t>
            </w:r>
          </w:p>
          <w:p w14:paraId="0A30239A">
            <w:pPr>
              <w:pStyle w:val="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②颁发机构不符合要求的；</w:t>
            </w:r>
          </w:p>
          <w:p w14:paraId="5B318E52">
            <w:pPr>
              <w:pStyle w:val="9"/>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③获奖时间不符合要求的。</w:t>
            </w:r>
          </w:p>
          <w:p w14:paraId="2F6AAC1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说明：以上所称“要求”均指本表评分标准及备注的要求，下同。</w:t>
            </w:r>
          </w:p>
        </w:tc>
      </w:tr>
      <w:tr w14:paraId="60341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noWrap w:val="0"/>
            <w:vAlign w:val="center"/>
          </w:tcPr>
          <w:p w14:paraId="020BF4DF">
            <w:pPr>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0" w:firstLineChars="0"/>
              <w:jc w:val="center"/>
              <w:textAlignment w:val="auto"/>
              <w:outlineLvl w:val="9"/>
              <w:rPr>
                <w:rFonts w:hint="eastAsia" w:ascii="宋体" w:hAnsi="宋体" w:eastAsia="宋体" w:cs="宋体"/>
                <w:b w:val="0"/>
                <w:bCs w:val="0"/>
                <w:caps w:val="0"/>
                <w:smallCaps w:val="0"/>
                <w:snapToGrid w:val="0"/>
                <w:color w:val="auto"/>
                <w:spacing w:val="0"/>
                <w:kern w:val="0"/>
                <w:sz w:val="24"/>
                <w:szCs w:val="24"/>
                <w:highlight w:val="none"/>
                <w:lang w:val="en-US" w:eastAsia="zh-CN" w:bidi="ar-SA"/>
              </w:rPr>
            </w:pPr>
            <w:r>
              <w:rPr>
                <w:rFonts w:hint="eastAsia" w:ascii="宋体" w:hAnsi="宋体" w:eastAsia="宋体" w:cs="宋体"/>
                <w:b w:val="0"/>
                <w:bCs w:val="0"/>
                <w:caps w:val="0"/>
                <w:smallCaps w:val="0"/>
                <w:snapToGrid w:val="0"/>
                <w:color w:val="auto"/>
                <w:spacing w:val="0"/>
                <w:kern w:val="0"/>
                <w:sz w:val="24"/>
                <w:szCs w:val="24"/>
                <w:highlight w:val="none"/>
                <w:lang w:val="en-US" w:eastAsia="zh-CN" w:bidi="ar-SA"/>
              </w:rPr>
              <w:t>项目经理</w:t>
            </w:r>
          </w:p>
          <w:p w14:paraId="0078BB8A">
            <w:pPr>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0" w:firstLineChars="0"/>
              <w:jc w:val="center"/>
              <w:textAlignment w:val="auto"/>
              <w:outlineLvl w:val="9"/>
              <w:rPr>
                <w:rFonts w:hint="eastAsia" w:ascii="宋体" w:hAnsi="宋体" w:eastAsia="宋体" w:cs="宋体"/>
                <w:b w:val="0"/>
                <w:bCs w:val="0"/>
                <w:caps w:val="0"/>
                <w:smallCaps w:val="0"/>
                <w:snapToGrid w:val="0"/>
                <w:color w:val="auto"/>
                <w:spacing w:val="0"/>
                <w:kern w:val="0"/>
                <w:sz w:val="24"/>
                <w:szCs w:val="24"/>
                <w:highlight w:val="none"/>
                <w:lang w:val="en-US" w:eastAsia="zh-CN" w:bidi="ar-SA"/>
              </w:rPr>
            </w:pPr>
            <w:r>
              <w:rPr>
                <w:rFonts w:hint="eastAsia" w:ascii="宋体" w:hAnsi="宋体" w:eastAsia="宋体" w:cs="宋体"/>
                <w:b w:val="0"/>
                <w:bCs w:val="0"/>
                <w:caps w:val="0"/>
                <w:smallCaps w:val="0"/>
                <w:snapToGrid w:val="0"/>
                <w:color w:val="auto"/>
                <w:spacing w:val="0"/>
                <w:kern w:val="0"/>
                <w:sz w:val="24"/>
                <w:szCs w:val="24"/>
                <w:highlight w:val="none"/>
                <w:lang w:val="en-US" w:eastAsia="zh-CN" w:bidi="ar-SA"/>
              </w:rPr>
              <w:t>综合素质</w:t>
            </w:r>
          </w:p>
          <w:p w14:paraId="74EFB89D">
            <w:pPr>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0" w:firstLineChars="0"/>
              <w:jc w:val="center"/>
              <w:textAlignment w:val="auto"/>
              <w:outlineLvl w:val="9"/>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val="0"/>
                <w:bCs w:val="0"/>
                <w:caps w:val="0"/>
                <w:smallCaps w:val="0"/>
                <w:snapToGrid w:val="0"/>
                <w:color w:val="auto"/>
                <w:spacing w:val="0"/>
                <w:kern w:val="0"/>
                <w:sz w:val="24"/>
                <w:szCs w:val="24"/>
                <w:highlight w:val="none"/>
                <w:lang w:val="en-US" w:eastAsia="zh-CN" w:bidi="ar-SA"/>
              </w:rPr>
              <w:t>（10分）</w:t>
            </w:r>
          </w:p>
        </w:tc>
        <w:tc>
          <w:tcPr>
            <w:tcW w:w="3933" w:type="dxa"/>
            <w:noWrap w:val="0"/>
            <w:vAlign w:val="center"/>
          </w:tcPr>
          <w:p w14:paraId="10E8871B">
            <w:pPr>
              <w:keepNext w:val="0"/>
              <w:keepLines w:val="0"/>
              <w:widowControl w:val="0"/>
              <w:numPr>
                <w:ilvl w:val="0"/>
                <w:numId w:val="0"/>
              </w:numPr>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项目经理工程类技术职称情况：</w:t>
            </w:r>
          </w:p>
          <w:p w14:paraId="09102661">
            <w:pPr>
              <w:keepNext w:val="0"/>
              <w:keepLines w:val="0"/>
              <w:widowControl w:val="0"/>
              <w:numPr>
                <w:ilvl w:val="0"/>
                <w:numId w:val="2"/>
              </w:numPr>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具备助理工程师或以上职称的，得 10分。</w:t>
            </w:r>
          </w:p>
          <w:p w14:paraId="65ECE6B7">
            <w:pPr>
              <w:keepNext w:val="0"/>
              <w:keepLines w:val="0"/>
              <w:widowControl w:val="0"/>
              <w:numPr>
                <w:ilvl w:val="0"/>
                <w:numId w:val="2"/>
              </w:numPr>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具备技术员职称的，得 5分。</w:t>
            </w:r>
          </w:p>
          <w:p w14:paraId="54DC77F1">
            <w:pPr>
              <w:keepNext w:val="0"/>
              <w:keepLines w:val="0"/>
              <w:widowControl w:val="0"/>
              <w:numPr>
                <w:ilvl w:val="0"/>
                <w:numId w:val="2"/>
              </w:numPr>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bidi="ar"/>
              </w:rPr>
              <w:t>不具备以上职称的，不予计分。</w:t>
            </w:r>
          </w:p>
        </w:tc>
        <w:tc>
          <w:tcPr>
            <w:tcW w:w="4707" w:type="dxa"/>
            <w:noWrap w:val="0"/>
            <w:vAlign w:val="center"/>
          </w:tcPr>
          <w:p w14:paraId="686512B5">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bidi="ar-SA"/>
              </w:rPr>
              <w:t>需附职称证彩色扫描件或打印件，</w:t>
            </w:r>
            <w:r>
              <w:rPr>
                <w:rFonts w:hint="eastAsia" w:ascii="宋体" w:hAnsi="宋体" w:eastAsia="宋体" w:cs="宋体"/>
                <w:b w:val="0"/>
                <w:bCs w:val="0"/>
                <w:snapToGrid w:val="0"/>
                <w:color w:val="auto"/>
                <w:kern w:val="0"/>
                <w:sz w:val="24"/>
                <w:szCs w:val="24"/>
                <w:highlight w:val="none"/>
                <w:lang w:val="en-US" w:eastAsia="zh-CN"/>
              </w:rPr>
              <w:t>同时提供原件供核对（证书为电子证书打印件的除外）</w:t>
            </w:r>
            <w:r>
              <w:rPr>
                <w:rFonts w:hint="eastAsia" w:ascii="宋体" w:hAnsi="宋体" w:eastAsia="宋体" w:cs="宋体"/>
                <w:snapToGrid w:val="0"/>
                <w:color w:val="auto"/>
                <w:kern w:val="0"/>
                <w:sz w:val="24"/>
                <w:szCs w:val="24"/>
                <w:highlight w:val="none"/>
                <w:lang w:val="en-US" w:eastAsia="zh-CN" w:bidi="ar-SA"/>
              </w:rPr>
              <w:t xml:space="preserve">。 </w:t>
            </w:r>
          </w:p>
        </w:tc>
      </w:tr>
      <w:tr w14:paraId="4578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noWrap w:val="0"/>
            <w:vAlign w:val="center"/>
          </w:tcPr>
          <w:p w14:paraId="6DFDEB28">
            <w:pPr>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0" w:firstLineChars="0"/>
              <w:jc w:val="center"/>
              <w:textAlignment w:val="auto"/>
              <w:outlineLvl w:val="9"/>
              <w:rPr>
                <w:rFonts w:hint="eastAsia" w:ascii="宋体" w:hAnsi="宋体" w:eastAsia="宋体" w:cs="宋体"/>
                <w:b w:val="0"/>
                <w:bCs w:val="0"/>
                <w:caps w:val="0"/>
                <w:smallCaps w:val="0"/>
                <w:snapToGrid w:val="0"/>
                <w:color w:val="auto"/>
                <w:spacing w:val="0"/>
                <w:kern w:val="0"/>
                <w:sz w:val="24"/>
                <w:szCs w:val="24"/>
                <w:highlight w:val="none"/>
                <w:lang w:val="en-US" w:eastAsia="zh-CN" w:bidi="ar-SA"/>
              </w:rPr>
            </w:pPr>
            <w:r>
              <w:rPr>
                <w:rFonts w:hint="eastAsia" w:ascii="宋体" w:hAnsi="宋体" w:eastAsia="宋体" w:cs="宋体"/>
                <w:b w:val="0"/>
                <w:bCs w:val="0"/>
                <w:caps w:val="0"/>
                <w:smallCaps w:val="0"/>
                <w:snapToGrid w:val="0"/>
                <w:color w:val="auto"/>
                <w:spacing w:val="0"/>
                <w:kern w:val="0"/>
                <w:sz w:val="24"/>
                <w:szCs w:val="24"/>
                <w:highlight w:val="none"/>
                <w:lang w:val="en-US" w:eastAsia="zh-CN" w:bidi="ar-SA"/>
              </w:rPr>
              <w:t>企业业绩</w:t>
            </w:r>
          </w:p>
          <w:p w14:paraId="26EF4393">
            <w:pPr>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0" w:firstLineChars="0"/>
              <w:jc w:val="center"/>
              <w:textAlignment w:val="auto"/>
              <w:outlineLvl w:val="9"/>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val="0"/>
                <w:bCs w:val="0"/>
                <w:caps w:val="0"/>
                <w:smallCaps w:val="0"/>
                <w:snapToGrid w:val="0"/>
                <w:color w:val="auto"/>
                <w:spacing w:val="0"/>
                <w:kern w:val="0"/>
                <w:sz w:val="24"/>
                <w:szCs w:val="24"/>
                <w:highlight w:val="none"/>
                <w:lang w:val="en-US" w:eastAsia="zh-CN" w:bidi="ar-SA"/>
              </w:rPr>
              <w:t>（15分）</w:t>
            </w:r>
          </w:p>
        </w:tc>
        <w:tc>
          <w:tcPr>
            <w:tcW w:w="3933" w:type="dxa"/>
            <w:noWrap w:val="0"/>
            <w:vAlign w:val="center"/>
          </w:tcPr>
          <w:p w14:paraId="6A653CB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企业近5年来（2021年1月1日至今）业绩情况：</w:t>
            </w:r>
          </w:p>
          <w:p w14:paraId="761A2A9A">
            <w:pPr>
              <w:keepNext w:val="0"/>
              <w:keepLines w:val="0"/>
              <w:pageBreakBefore w:val="0"/>
              <w:widowControl w:val="0"/>
              <w:numPr>
                <w:ilvl w:val="0"/>
                <w:numId w:val="3"/>
              </w:numPr>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u w:val="single"/>
                <w:lang w:val="en-US" w:eastAsia="zh-CN" w:bidi="ar-SA"/>
              </w:rPr>
              <w:t>承接</w:t>
            </w:r>
            <w:r>
              <w:rPr>
                <w:rFonts w:hint="eastAsia" w:ascii="宋体" w:hAnsi="宋体" w:eastAsia="宋体" w:cs="宋体"/>
                <w:snapToGrid w:val="0"/>
                <w:color w:val="auto"/>
                <w:kern w:val="0"/>
                <w:sz w:val="24"/>
                <w:szCs w:val="24"/>
                <w:highlight w:val="none"/>
                <w:lang w:val="en-US" w:eastAsia="zh-CN" w:bidi="ar-SA"/>
              </w:rPr>
              <w:t>过类似工程的，每个得 5 分。</w:t>
            </w:r>
          </w:p>
          <w:p w14:paraId="22B6ABD2">
            <w:pPr>
              <w:keepNext w:val="0"/>
              <w:keepLines w:val="0"/>
              <w:pageBreakBefore w:val="0"/>
              <w:widowControl w:val="0"/>
              <w:numPr>
                <w:ilvl w:val="0"/>
                <w:numId w:val="3"/>
              </w:numPr>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leftChars="0" w:right="0" w:firstLine="0" w:firstLineChars="0"/>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未</w:t>
            </w:r>
            <w:r>
              <w:rPr>
                <w:rFonts w:hint="eastAsia" w:ascii="宋体" w:hAnsi="宋体" w:eastAsia="宋体" w:cs="宋体"/>
                <w:snapToGrid w:val="0"/>
                <w:color w:val="auto"/>
                <w:kern w:val="0"/>
                <w:sz w:val="24"/>
                <w:szCs w:val="24"/>
                <w:highlight w:val="none"/>
                <w:u w:val="single"/>
                <w:lang w:val="en-US" w:eastAsia="zh-CN" w:bidi="ar-SA"/>
              </w:rPr>
              <w:t>承接</w:t>
            </w:r>
            <w:r>
              <w:rPr>
                <w:rFonts w:hint="eastAsia" w:ascii="宋体" w:hAnsi="宋体" w:eastAsia="宋体" w:cs="宋体"/>
                <w:snapToGrid w:val="0"/>
                <w:color w:val="auto"/>
                <w:kern w:val="0"/>
                <w:sz w:val="24"/>
                <w:szCs w:val="24"/>
                <w:highlight w:val="none"/>
                <w:lang w:val="en-US" w:eastAsia="zh-CN" w:bidi="ar-SA"/>
              </w:rPr>
              <w:t>过类似工程的，不予计分。</w:t>
            </w:r>
          </w:p>
          <w:p w14:paraId="5607A3F3">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bidi="ar-SA"/>
              </w:rPr>
              <w:t xml:space="preserve">3．本项最高得15分。 </w:t>
            </w:r>
          </w:p>
        </w:tc>
        <w:tc>
          <w:tcPr>
            <w:tcW w:w="4707" w:type="dxa"/>
            <w:noWrap w:val="0"/>
            <w:vAlign w:val="center"/>
          </w:tcPr>
          <w:p w14:paraId="66775D2C">
            <w:pPr>
              <w:keepNext w:val="0"/>
              <w:keepLines w:val="0"/>
              <w:widowControl/>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1．类似工程指：</w:t>
            </w:r>
            <w:r>
              <w:rPr>
                <w:rFonts w:hint="eastAsia" w:ascii="宋体" w:hAnsi="宋体" w:eastAsia="宋体" w:cs="宋体"/>
                <w:strike w:val="0"/>
                <w:dstrike w:val="0"/>
                <w:snapToGrid w:val="0"/>
                <w:color w:val="auto"/>
                <w:kern w:val="0"/>
                <w:sz w:val="24"/>
                <w:szCs w:val="24"/>
                <w:highlight w:val="none"/>
                <w:u w:val="single"/>
                <w:lang w:val="en-US" w:eastAsia="zh-CN" w:bidi="ar-SA"/>
              </w:rPr>
              <w:t>合同金额≥150万元的</w:t>
            </w:r>
            <w:r>
              <w:rPr>
                <w:rFonts w:hint="eastAsia" w:ascii="宋体" w:hAnsi="宋体" w:eastAsia="宋体" w:cs="宋体"/>
                <w:snapToGrid w:val="0"/>
                <w:color w:val="auto"/>
                <w:kern w:val="2"/>
                <w:sz w:val="24"/>
                <w:szCs w:val="24"/>
                <w:highlight w:val="none"/>
                <w:u w:val="single"/>
                <w:lang w:val="en-US" w:eastAsia="zh-CN" w:bidi="ar"/>
              </w:rPr>
              <w:t>市政工程类施工总承包工程（或设计、施工总承包工程或勘察、设计、施工总承包工程）</w:t>
            </w:r>
            <w:r>
              <w:rPr>
                <w:rFonts w:hint="eastAsia" w:ascii="宋体" w:hAnsi="宋体" w:eastAsia="宋体" w:cs="宋体"/>
                <w:snapToGrid w:val="0"/>
                <w:color w:val="auto"/>
                <w:kern w:val="0"/>
                <w:sz w:val="24"/>
                <w:szCs w:val="24"/>
                <w:highlight w:val="none"/>
                <w:lang w:val="en-US" w:eastAsia="zh-CN" w:bidi="ar-SA"/>
              </w:rPr>
              <w:t>。</w:t>
            </w:r>
          </w:p>
          <w:p w14:paraId="3E0FDABD">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b w:val="0"/>
                <w:bCs w:val="0"/>
                <w:i/>
                <w:iCs/>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2．需附有关业绩（仅限于以施工总承包单位身份参建的项目）合同协议书</w:t>
            </w:r>
            <w:r>
              <w:rPr>
                <w:rFonts w:hint="eastAsia" w:ascii="宋体" w:hAnsi="宋体" w:eastAsia="宋体" w:cs="宋体"/>
                <w:snapToGrid w:val="0"/>
                <w:color w:val="auto"/>
                <w:kern w:val="0"/>
                <w:sz w:val="24"/>
                <w:szCs w:val="24"/>
                <w:highlight w:val="none"/>
                <w:lang w:val="en-US" w:eastAsia="zh-CN" w:bidi="ar-SA"/>
              </w:rPr>
              <w:t>彩色扫描件或打印件，同时提供原件供核对</w:t>
            </w:r>
            <w:r>
              <w:rPr>
                <w:rFonts w:hint="eastAsia" w:ascii="宋体" w:hAnsi="宋体" w:eastAsia="宋体" w:cs="宋体"/>
                <w:b w:val="0"/>
                <w:bCs w:val="0"/>
                <w:snapToGrid w:val="0"/>
                <w:color w:val="auto"/>
                <w:kern w:val="0"/>
                <w:sz w:val="24"/>
                <w:szCs w:val="24"/>
                <w:highlight w:val="none"/>
                <w:lang w:val="en-US" w:eastAsia="zh-CN" w:bidi="ar-SA"/>
              </w:rPr>
              <w:t>；</w:t>
            </w:r>
          </w:p>
          <w:p w14:paraId="0311C83E">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b w:val="0"/>
                <w:bCs w:val="0"/>
                <w:i/>
                <w:iCs/>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3．业绩时间以合同协议书日期为准；</w:t>
            </w:r>
          </w:p>
          <w:p w14:paraId="6C5E1048">
            <w:pPr>
              <w:keepNext w:val="0"/>
              <w:keepLines w:val="0"/>
              <w:widowControl/>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4．任一业绩有以下情形之一的，该业绩视为无效，不予计分：</w:t>
            </w:r>
          </w:p>
          <w:p w14:paraId="6F3D42E1">
            <w:pPr>
              <w:keepNext w:val="0"/>
              <w:keepLines w:val="0"/>
              <w:widowControl/>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①业绩不属于类似工程的；</w:t>
            </w:r>
          </w:p>
          <w:p w14:paraId="0AC40F33">
            <w:pPr>
              <w:keepNext w:val="0"/>
              <w:keepLines w:val="0"/>
              <w:widowControl/>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②不是以指定身份参建的；</w:t>
            </w:r>
          </w:p>
          <w:p w14:paraId="2AFFD524">
            <w:pPr>
              <w:keepNext w:val="0"/>
              <w:keepLines w:val="0"/>
              <w:widowControl/>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bidi="ar-SA"/>
              </w:rPr>
              <w:t>③业绩时间不符合要求的。</w:t>
            </w:r>
          </w:p>
        </w:tc>
      </w:tr>
      <w:tr w14:paraId="392C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noWrap w:val="0"/>
            <w:vAlign w:val="center"/>
          </w:tcPr>
          <w:p w14:paraId="383D2AF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center"/>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企业银行资信评级</w:t>
            </w:r>
          </w:p>
          <w:p w14:paraId="2287B1F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bidi="ar-SA"/>
              </w:rPr>
              <w:t>(5分）</w:t>
            </w:r>
          </w:p>
        </w:tc>
        <w:tc>
          <w:tcPr>
            <w:tcW w:w="3933" w:type="dxa"/>
            <w:noWrap w:val="0"/>
            <w:vAlign w:val="center"/>
          </w:tcPr>
          <w:p w14:paraId="4CB89C1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both"/>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1．银行资信评级AAA的，得</w:t>
            </w:r>
            <w:r>
              <w:rPr>
                <w:rFonts w:hint="eastAsia" w:ascii="宋体" w:hAnsi="宋体" w:eastAsia="宋体" w:cs="宋体"/>
                <w:b w:val="0"/>
                <w:bCs w:val="0"/>
                <w:snapToGrid w:val="0"/>
                <w:color w:val="auto"/>
                <w:kern w:val="0"/>
                <w:sz w:val="24"/>
                <w:szCs w:val="24"/>
                <w:highlight w:val="none"/>
                <w:u w:val="single"/>
                <w:lang w:val="en-US" w:eastAsia="zh-CN" w:bidi="ar-SA"/>
              </w:rPr>
              <w:t xml:space="preserve"> 5 </w:t>
            </w:r>
            <w:r>
              <w:rPr>
                <w:rFonts w:hint="eastAsia" w:ascii="宋体" w:hAnsi="宋体" w:eastAsia="宋体" w:cs="宋体"/>
                <w:b w:val="0"/>
                <w:bCs w:val="0"/>
                <w:snapToGrid w:val="0"/>
                <w:color w:val="auto"/>
                <w:kern w:val="0"/>
                <w:sz w:val="24"/>
                <w:szCs w:val="24"/>
                <w:highlight w:val="none"/>
                <w:lang w:val="en-US" w:eastAsia="zh-CN" w:bidi="ar-SA"/>
              </w:rPr>
              <w:t>分；</w:t>
            </w:r>
          </w:p>
          <w:p w14:paraId="0E9D6A0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both"/>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2．银行资信评级AA（含AA＋、AA－）的，得</w:t>
            </w:r>
            <w:r>
              <w:rPr>
                <w:rFonts w:hint="eastAsia" w:ascii="宋体" w:hAnsi="宋体" w:eastAsia="宋体" w:cs="宋体"/>
                <w:b w:val="0"/>
                <w:bCs w:val="0"/>
                <w:snapToGrid w:val="0"/>
                <w:color w:val="auto"/>
                <w:kern w:val="0"/>
                <w:sz w:val="24"/>
                <w:szCs w:val="24"/>
                <w:highlight w:val="none"/>
                <w:u w:val="single"/>
                <w:lang w:val="en-US" w:eastAsia="zh-CN" w:bidi="ar-SA"/>
              </w:rPr>
              <w:t xml:space="preserve"> 3 </w:t>
            </w:r>
            <w:r>
              <w:rPr>
                <w:rFonts w:hint="eastAsia" w:ascii="宋体" w:hAnsi="宋体" w:eastAsia="宋体" w:cs="宋体"/>
                <w:b w:val="0"/>
                <w:bCs w:val="0"/>
                <w:snapToGrid w:val="0"/>
                <w:color w:val="auto"/>
                <w:kern w:val="0"/>
                <w:sz w:val="24"/>
                <w:szCs w:val="24"/>
                <w:highlight w:val="none"/>
                <w:lang w:val="en-US" w:eastAsia="zh-CN" w:bidi="ar-SA"/>
              </w:rPr>
              <w:t>分。</w:t>
            </w:r>
          </w:p>
          <w:p w14:paraId="3221AA1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both"/>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3．银行资信评级A（含A＋、A－）的，得</w:t>
            </w:r>
            <w:r>
              <w:rPr>
                <w:rFonts w:hint="eastAsia" w:ascii="宋体" w:hAnsi="宋体" w:eastAsia="宋体" w:cs="宋体"/>
                <w:b w:val="0"/>
                <w:bCs w:val="0"/>
                <w:snapToGrid w:val="0"/>
                <w:color w:val="auto"/>
                <w:kern w:val="0"/>
                <w:sz w:val="24"/>
                <w:szCs w:val="24"/>
                <w:highlight w:val="none"/>
                <w:u w:val="single"/>
                <w:lang w:val="en-US" w:eastAsia="zh-CN" w:bidi="ar-SA"/>
              </w:rPr>
              <w:t xml:space="preserve"> 1 </w:t>
            </w:r>
            <w:r>
              <w:rPr>
                <w:rFonts w:hint="eastAsia" w:ascii="宋体" w:hAnsi="宋体" w:eastAsia="宋体" w:cs="宋体"/>
                <w:b w:val="0"/>
                <w:bCs w:val="0"/>
                <w:snapToGrid w:val="0"/>
                <w:color w:val="auto"/>
                <w:kern w:val="0"/>
                <w:sz w:val="24"/>
                <w:szCs w:val="24"/>
                <w:highlight w:val="none"/>
                <w:lang w:val="en-US" w:eastAsia="zh-CN" w:bidi="ar-SA"/>
              </w:rPr>
              <w:t>分。</w:t>
            </w:r>
          </w:p>
          <w:p w14:paraId="686E8C8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bidi="ar-SA"/>
              </w:rPr>
              <w:t>4．未获得过以上评级的，或评级证书无效的，不予计分。</w:t>
            </w:r>
          </w:p>
        </w:tc>
        <w:tc>
          <w:tcPr>
            <w:tcW w:w="4707" w:type="dxa"/>
            <w:noWrap w:val="0"/>
            <w:vAlign w:val="center"/>
          </w:tcPr>
          <w:p w14:paraId="22885CF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both"/>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1．需附在有效期内的资信评级证书（证明）</w:t>
            </w:r>
            <w:r>
              <w:rPr>
                <w:rFonts w:hint="eastAsia" w:ascii="宋体" w:hAnsi="宋体" w:eastAsia="宋体" w:cs="宋体"/>
                <w:snapToGrid w:val="0"/>
                <w:color w:val="auto"/>
                <w:kern w:val="0"/>
                <w:sz w:val="24"/>
                <w:szCs w:val="24"/>
                <w:highlight w:val="none"/>
                <w:lang w:val="en-US" w:eastAsia="zh-CN" w:bidi="ar-SA"/>
              </w:rPr>
              <w:t>彩色扫描件或打印件，</w:t>
            </w:r>
            <w:r>
              <w:rPr>
                <w:rFonts w:hint="eastAsia" w:ascii="宋体" w:hAnsi="宋体" w:eastAsia="宋体" w:cs="宋体"/>
                <w:b w:val="0"/>
                <w:bCs w:val="0"/>
                <w:snapToGrid w:val="0"/>
                <w:color w:val="auto"/>
                <w:kern w:val="0"/>
                <w:sz w:val="24"/>
                <w:szCs w:val="24"/>
                <w:highlight w:val="none"/>
                <w:lang w:val="en-US" w:eastAsia="zh-CN"/>
              </w:rPr>
              <w:t>同时提供原件供核对（证书为电子证书打印件的除外）</w:t>
            </w:r>
            <w:r>
              <w:rPr>
                <w:rFonts w:hint="eastAsia" w:ascii="宋体" w:hAnsi="宋体" w:eastAsia="宋体" w:cs="宋体"/>
                <w:b w:val="0"/>
                <w:bCs w:val="0"/>
                <w:snapToGrid w:val="0"/>
                <w:color w:val="auto"/>
                <w:kern w:val="0"/>
                <w:sz w:val="24"/>
                <w:szCs w:val="24"/>
                <w:highlight w:val="none"/>
                <w:lang w:val="en-US" w:eastAsia="zh-CN" w:bidi="ar-SA"/>
              </w:rPr>
              <w:t>；</w:t>
            </w:r>
          </w:p>
          <w:p w14:paraId="65681D7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both"/>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2．评级证书（证明）须由</w:t>
            </w:r>
            <w:r>
              <w:rPr>
                <w:rFonts w:hint="eastAsia" w:ascii="宋体" w:hAnsi="宋体" w:eastAsia="宋体" w:cs="宋体"/>
                <w:snapToGrid w:val="0"/>
                <w:color w:val="auto"/>
                <w:kern w:val="2"/>
                <w:sz w:val="24"/>
                <w:szCs w:val="24"/>
                <w:highlight w:val="none"/>
                <w:u w:val="single"/>
                <w:lang w:val="en-US" w:eastAsia="zh-CN" w:bidi="ar-SA"/>
              </w:rPr>
              <w:t>企业基本账户开户银行</w:t>
            </w:r>
            <w:r>
              <w:rPr>
                <w:rFonts w:hint="eastAsia" w:ascii="宋体" w:hAnsi="宋体" w:eastAsia="宋体" w:cs="宋体"/>
                <w:b w:val="0"/>
                <w:bCs w:val="0"/>
                <w:snapToGrid w:val="0"/>
                <w:color w:val="auto"/>
                <w:kern w:val="0"/>
                <w:sz w:val="24"/>
                <w:szCs w:val="24"/>
                <w:highlight w:val="none"/>
                <w:lang w:val="en-US" w:eastAsia="zh-CN" w:bidi="ar-SA"/>
              </w:rPr>
              <w:t xml:space="preserve"> 出具；</w:t>
            </w:r>
          </w:p>
          <w:p w14:paraId="66BC2E2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both"/>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3．评级证书（证明）有以下情形之一的，视为无效：</w:t>
            </w:r>
          </w:p>
          <w:p w14:paraId="7137520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both"/>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①评级证书（证明）不在有效期内的；</w:t>
            </w:r>
          </w:p>
          <w:p w14:paraId="0E67F4A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bidi="ar-SA"/>
              </w:rPr>
              <w:t>②出具机构不符合要求的。</w:t>
            </w:r>
          </w:p>
        </w:tc>
      </w:tr>
      <w:tr w14:paraId="5012D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noWrap w:val="0"/>
            <w:vAlign w:val="center"/>
          </w:tcPr>
          <w:p w14:paraId="76B82C53">
            <w:pPr>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0" w:firstLineChars="0"/>
              <w:jc w:val="center"/>
              <w:textAlignment w:val="auto"/>
              <w:outlineLvl w:val="9"/>
              <w:rPr>
                <w:rFonts w:hint="eastAsia" w:ascii="宋体" w:hAnsi="宋体" w:eastAsia="宋体" w:cs="宋体"/>
                <w:b w:val="0"/>
                <w:bCs w:val="0"/>
                <w:caps w:val="0"/>
                <w:smallCaps w:val="0"/>
                <w:snapToGrid w:val="0"/>
                <w:color w:val="auto"/>
                <w:spacing w:val="0"/>
                <w:kern w:val="0"/>
                <w:sz w:val="24"/>
                <w:szCs w:val="24"/>
                <w:highlight w:val="none"/>
                <w:lang w:val="en-US" w:eastAsia="zh-CN" w:bidi="ar"/>
              </w:rPr>
            </w:pPr>
            <w:r>
              <w:rPr>
                <w:rFonts w:hint="eastAsia" w:ascii="宋体" w:hAnsi="宋体" w:eastAsia="宋体" w:cs="宋体"/>
                <w:b w:val="0"/>
                <w:bCs w:val="0"/>
                <w:caps w:val="0"/>
                <w:smallCaps w:val="0"/>
                <w:snapToGrid w:val="0"/>
                <w:color w:val="auto"/>
                <w:spacing w:val="0"/>
                <w:kern w:val="0"/>
                <w:sz w:val="24"/>
                <w:szCs w:val="24"/>
                <w:highlight w:val="none"/>
                <w:lang w:val="en-US" w:eastAsia="zh-CN" w:bidi="ar"/>
              </w:rPr>
              <w:t>企业管理</w:t>
            </w:r>
          </w:p>
          <w:p w14:paraId="519B78CC">
            <w:pPr>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0" w:firstLineChars="0"/>
              <w:jc w:val="center"/>
              <w:textAlignment w:val="auto"/>
              <w:outlineLvl w:val="9"/>
              <w:rPr>
                <w:rFonts w:hint="eastAsia" w:ascii="宋体" w:hAnsi="宋体" w:eastAsia="宋体" w:cs="宋体"/>
                <w:b w:val="0"/>
                <w:bCs w:val="0"/>
                <w:caps w:val="0"/>
                <w:smallCaps w:val="0"/>
                <w:snapToGrid w:val="0"/>
                <w:color w:val="auto"/>
                <w:spacing w:val="0"/>
                <w:kern w:val="0"/>
                <w:sz w:val="24"/>
                <w:szCs w:val="24"/>
                <w:highlight w:val="none"/>
                <w:lang w:val="en-US" w:eastAsia="zh-CN" w:bidi="ar"/>
              </w:rPr>
            </w:pPr>
            <w:r>
              <w:rPr>
                <w:rFonts w:hint="eastAsia" w:ascii="宋体" w:hAnsi="宋体" w:eastAsia="宋体" w:cs="宋体"/>
                <w:b w:val="0"/>
                <w:bCs w:val="0"/>
                <w:caps w:val="0"/>
                <w:smallCaps w:val="0"/>
                <w:snapToGrid w:val="0"/>
                <w:color w:val="auto"/>
                <w:spacing w:val="0"/>
                <w:kern w:val="0"/>
                <w:sz w:val="24"/>
                <w:szCs w:val="24"/>
                <w:highlight w:val="none"/>
                <w:lang w:val="en-US" w:eastAsia="zh-CN" w:bidi="ar"/>
              </w:rPr>
              <w:t>体系认证</w:t>
            </w:r>
          </w:p>
          <w:p w14:paraId="7CFD6E64">
            <w:pPr>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0" w:firstLineChars="0"/>
              <w:jc w:val="center"/>
              <w:textAlignment w:val="auto"/>
              <w:outlineLvl w:val="9"/>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val="0"/>
                <w:bCs w:val="0"/>
                <w:caps w:val="0"/>
                <w:smallCaps w:val="0"/>
                <w:snapToGrid w:val="0"/>
                <w:color w:val="auto"/>
                <w:spacing w:val="0"/>
                <w:kern w:val="0"/>
                <w:sz w:val="24"/>
                <w:szCs w:val="24"/>
                <w:highlight w:val="none"/>
                <w:lang w:val="en-US" w:eastAsia="zh-CN" w:bidi="ar"/>
              </w:rPr>
              <w:t>（6分）</w:t>
            </w:r>
          </w:p>
        </w:tc>
        <w:tc>
          <w:tcPr>
            <w:tcW w:w="3933" w:type="dxa"/>
            <w:noWrap w:val="0"/>
            <w:vAlign w:val="center"/>
          </w:tcPr>
          <w:p w14:paraId="53BC3513">
            <w:pPr>
              <w:keepNext w:val="0"/>
              <w:keepLines w:val="0"/>
              <w:pageBreakBefore w:val="0"/>
              <w:widowControl w:val="0"/>
              <w:numPr>
                <w:ilvl w:val="0"/>
                <w:numId w:val="0"/>
              </w:numPr>
              <w:suppressLineNumbers w:val="0"/>
              <w:kinsoku/>
              <w:wordWrap w:val="0"/>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0" w:firstLineChars="0"/>
              <w:jc w:val="both"/>
              <w:textAlignment w:val="auto"/>
              <w:outlineLvl w:val="9"/>
              <w:rPr>
                <w:rFonts w:hint="eastAsia" w:ascii="宋体" w:hAnsi="宋体" w:eastAsia="宋体" w:cs="宋体"/>
                <w:b w:val="0"/>
                <w:bCs w:val="0"/>
                <w:caps w:val="0"/>
                <w:smallCaps w:val="0"/>
                <w:snapToGrid w:val="0"/>
                <w:color w:val="auto"/>
                <w:spacing w:val="0"/>
                <w:kern w:val="0"/>
                <w:sz w:val="24"/>
                <w:szCs w:val="24"/>
                <w:highlight w:val="none"/>
                <w:lang w:val="en-US" w:eastAsia="zh-CN" w:bidi="ar-SA"/>
              </w:rPr>
            </w:pPr>
            <w:r>
              <w:rPr>
                <w:rFonts w:hint="eastAsia" w:ascii="宋体" w:hAnsi="宋体" w:eastAsia="宋体" w:cs="宋体"/>
                <w:b w:val="0"/>
                <w:bCs w:val="0"/>
                <w:caps w:val="0"/>
                <w:smallCaps w:val="0"/>
                <w:snapToGrid w:val="0"/>
                <w:color w:val="auto"/>
                <w:spacing w:val="0"/>
                <w:kern w:val="0"/>
                <w:sz w:val="24"/>
                <w:szCs w:val="24"/>
                <w:highlight w:val="none"/>
                <w:lang w:val="en-US" w:eastAsia="zh-CN" w:bidi="ar-SA"/>
              </w:rPr>
              <w:t>1．质量管理体系认证</w:t>
            </w:r>
            <w:r>
              <w:rPr>
                <w:rFonts w:hint="eastAsia" w:ascii="宋体" w:hAnsi="宋体" w:eastAsia="宋体" w:cs="宋体"/>
                <w:b w:val="0"/>
                <w:bCs w:val="0"/>
                <w:caps w:val="0"/>
                <w:smallCaps w:val="0"/>
                <w:snapToGrid w:val="0"/>
                <w:color w:val="auto"/>
                <w:spacing w:val="0"/>
                <w:kern w:val="0"/>
                <w:sz w:val="24"/>
                <w:szCs w:val="24"/>
                <w:highlight w:val="none"/>
                <w:lang w:val="en-US" w:eastAsia="zh-CN" w:bidi="ar"/>
              </w:rPr>
              <w:t>、</w:t>
            </w:r>
            <w:r>
              <w:rPr>
                <w:rFonts w:hint="eastAsia" w:ascii="宋体" w:hAnsi="宋体" w:eastAsia="宋体" w:cs="宋体"/>
                <w:b w:val="0"/>
                <w:bCs w:val="0"/>
                <w:caps w:val="0"/>
                <w:smallCaps w:val="0"/>
                <w:snapToGrid w:val="0"/>
                <w:color w:val="auto"/>
                <w:spacing w:val="0"/>
                <w:kern w:val="0"/>
                <w:sz w:val="24"/>
                <w:szCs w:val="24"/>
                <w:highlight w:val="none"/>
                <w:lang w:val="en-US" w:eastAsia="zh-CN" w:bidi="ar-SA"/>
              </w:rPr>
              <w:t>职业健康安全管理体系认证</w:t>
            </w:r>
            <w:r>
              <w:rPr>
                <w:rFonts w:hint="eastAsia" w:ascii="宋体" w:hAnsi="宋体" w:eastAsia="宋体" w:cs="宋体"/>
                <w:b w:val="0"/>
                <w:bCs w:val="0"/>
                <w:caps w:val="0"/>
                <w:smallCaps w:val="0"/>
                <w:snapToGrid w:val="0"/>
                <w:color w:val="auto"/>
                <w:spacing w:val="0"/>
                <w:kern w:val="0"/>
                <w:sz w:val="24"/>
                <w:szCs w:val="24"/>
                <w:highlight w:val="none"/>
                <w:lang w:val="en-US" w:eastAsia="zh-CN" w:bidi="ar"/>
              </w:rPr>
              <w:t>、</w:t>
            </w:r>
            <w:r>
              <w:rPr>
                <w:rFonts w:hint="eastAsia" w:ascii="宋体" w:hAnsi="宋体" w:eastAsia="宋体" w:cs="宋体"/>
                <w:b w:val="0"/>
                <w:bCs w:val="0"/>
                <w:caps w:val="0"/>
                <w:smallCaps w:val="0"/>
                <w:snapToGrid w:val="0"/>
                <w:color w:val="auto"/>
                <w:spacing w:val="0"/>
                <w:kern w:val="0"/>
                <w:sz w:val="24"/>
                <w:szCs w:val="24"/>
                <w:highlight w:val="none"/>
                <w:lang w:val="en-US" w:eastAsia="zh-CN" w:bidi="ar-SA"/>
              </w:rPr>
              <w:t>环境管理体系认证</w:t>
            </w:r>
            <w:r>
              <w:rPr>
                <w:rFonts w:hint="eastAsia" w:ascii="宋体" w:hAnsi="宋体" w:eastAsia="宋体" w:cs="宋体"/>
                <w:b w:val="0"/>
                <w:bCs w:val="0"/>
                <w:caps w:val="0"/>
                <w:smallCaps w:val="0"/>
                <w:snapToGrid w:val="0"/>
                <w:color w:val="auto"/>
                <w:spacing w:val="0"/>
                <w:kern w:val="0"/>
                <w:sz w:val="24"/>
                <w:szCs w:val="24"/>
                <w:highlight w:val="none"/>
                <w:lang w:val="en-US" w:eastAsia="zh-CN" w:bidi="ar"/>
              </w:rPr>
              <w:t>中，每获得1项认证</w:t>
            </w:r>
            <w:r>
              <w:rPr>
                <w:rFonts w:hint="eastAsia" w:ascii="宋体" w:hAnsi="宋体" w:eastAsia="宋体" w:cs="宋体"/>
                <w:b w:val="0"/>
                <w:bCs w:val="0"/>
                <w:caps w:val="0"/>
                <w:smallCaps w:val="0"/>
                <w:snapToGrid w:val="0"/>
                <w:color w:val="auto"/>
                <w:spacing w:val="0"/>
                <w:kern w:val="0"/>
                <w:sz w:val="24"/>
                <w:szCs w:val="24"/>
                <w:highlight w:val="none"/>
                <w:lang w:val="en-US" w:eastAsia="zh-CN" w:bidi="ar-SA"/>
              </w:rPr>
              <w:t>得2分，最高得6分。</w:t>
            </w:r>
          </w:p>
          <w:p w14:paraId="29F69435">
            <w:pPr>
              <w:keepNext w:val="0"/>
              <w:keepLines w:val="0"/>
              <w:pageBreakBefore w:val="0"/>
              <w:widowControl w:val="0"/>
              <w:numPr>
                <w:ilvl w:val="0"/>
                <w:numId w:val="0"/>
              </w:numPr>
              <w:suppressLineNumbers w:val="0"/>
              <w:kinsoku/>
              <w:wordWrap w:val="0"/>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0" w:firstLineChars="0"/>
              <w:jc w:val="both"/>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b w:val="0"/>
                <w:bCs w:val="0"/>
                <w:caps w:val="0"/>
                <w:smallCaps w:val="0"/>
                <w:snapToGrid w:val="0"/>
                <w:color w:val="auto"/>
                <w:spacing w:val="0"/>
                <w:kern w:val="0"/>
                <w:sz w:val="24"/>
                <w:szCs w:val="24"/>
                <w:highlight w:val="none"/>
                <w:lang w:val="en-US" w:eastAsia="zh-CN" w:bidi="ar-SA"/>
              </w:rPr>
              <w:t>2．未获得以上认证的，不予计分。</w:t>
            </w:r>
          </w:p>
        </w:tc>
        <w:tc>
          <w:tcPr>
            <w:tcW w:w="4707" w:type="dxa"/>
            <w:noWrap w:val="0"/>
            <w:vAlign w:val="center"/>
          </w:tcPr>
          <w:p w14:paraId="4F9CC726">
            <w:pPr>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0" w:firstLineChars="0"/>
              <w:jc w:val="both"/>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bidi="ar-SA"/>
              </w:rPr>
              <w:t>需附在有效期内的认证证书</w:t>
            </w:r>
            <w:r>
              <w:rPr>
                <w:rFonts w:hint="eastAsia" w:ascii="宋体" w:hAnsi="宋体" w:eastAsia="宋体" w:cs="宋体"/>
                <w:snapToGrid w:val="0"/>
                <w:color w:val="auto"/>
                <w:kern w:val="0"/>
                <w:sz w:val="24"/>
                <w:szCs w:val="24"/>
                <w:highlight w:val="none"/>
                <w:lang w:val="en-US" w:eastAsia="zh-CN" w:bidi="ar-SA"/>
              </w:rPr>
              <w:t>彩色扫描件或打印件，</w:t>
            </w:r>
            <w:r>
              <w:rPr>
                <w:rFonts w:hint="eastAsia" w:ascii="宋体" w:hAnsi="宋体" w:eastAsia="宋体" w:cs="宋体"/>
                <w:b w:val="0"/>
                <w:bCs w:val="0"/>
                <w:snapToGrid w:val="0"/>
                <w:color w:val="auto"/>
                <w:kern w:val="0"/>
                <w:sz w:val="24"/>
                <w:szCs w:val="24"/>
                <w:highlight w:val="none"/>
                <w:lang w:val="en-US" w:eastAsia="zh-CN"/>
              </w:rPr>
              <w:t>同时提供原件供核对（证书为电子证书打印件的除外）</w:t>
            </w:r>
            <w:r>
              <w:rPr>
                <w:rFonts w:hint="eastAsia" w:ascii="宋体" w:hAnsi="宋体" w:eastAsia="宋体" w:cs="宋体"/>
                <w:b w:val="0"/>
                <w:bCs w:val="0"/>
                <w:snapToGrid w:val="0"/>
                <w:color w:val="auto"/>
                <w:kern w:val="0"/>
                <w:sz w:val="24"/>
                <w:szCs w:val="24"/>
                <w:highlight w:val="none"/>
                <w:lang w:val="en-US" w:eastAsia="zh-CN" w:bidi="ar-SA"/>
              </w:rPr>
              <w:t>。</w:t>
            </w:r>
          </w:p>
        </w:tc>
      </w:tr>
      <w:tr w14:paraId="6CB72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9" w:hRule="atLeast"/>
        </w:trPr>
        <w:tc>
          <w:tcPr>
            <w:tcW w:w="1214" w:type="dxa"/>
            <w:noWrap w:val="0"/>
            <w:vAlign w:val="center"/>
          </w:tcPr>
          <w:p w14:paraId="427A2D9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center"/>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企业</w:t>
            </w:r>
          </w:p>
          <w:p w14:paraId="5E68E1A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center"/>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财务状况</w:t>
            </w:r>
          </w:p>
          <w:p w14:paraId="4CC2156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bidi="ar-SA"/>
              </w:rPr>
              <w:t>（9分）</w:t>
            </w:r>
          </w:p>
        </w:tc>
        <w:tc>
          <w:tcPr>
            <w:tcW w:w="3933" w:type="dxa"/>
            <w:noWrap w:val="0"/>
            <w:vAlign w:val="center"/>
          </w:tcPr>
          <w:p w14:paraId="089C4DCB">
            <w:pPr>
              <w:pStyle w:val="50"/>
              <w:keepNext w:val="0"/>
              <w:keepLines w:val="0"/>
              <w:pageBreakBefore w:val="0"/>
              <w:widowControl w:val="0"/>
              <w:numPr>
                <w:ilvl w:val="0"/>
                <w:numId w:val="4"/>
              </w:numPr>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提供不少于</w:t>
            </w:r>
            <w:r>
              <w:rPr>
                <w:rFonts w:hint="eastAsia" w:ascii="宋体" w:hAnsi="宋体" w:eastAsia="宋体" w:cs="宋体"/>
                <w:b w:val="0"/>
                <w:bCs w:val="0"/>
                <w:snapToGrid w:val="0"/>
                <w:color w:val="auto"/>
                <w:kern w:val="0"/>
                <w:sz w:val="24"/>
                <w:szCs w:val="24"/>
                <w:highlight w:val="none"/>
                <w:u w:val="single"/>
                <w:lang w:val="en-US" w:eastAsia="zh-CN"/>
              </w:rPr>
              <w:t>50</w:t>
            </w:r>
            <w:r>
              <w:rPr>
                <w:rFonts w:hint="eastAsia" w:ascii="宋体" w:hAnsi="宋体" w:eastAsia="宋体" w:cs="宋体"/>
                <w:b w:val="0"/>
                <w:bCs w:val="0"/>
                <w:snapToGrid w:val="0"/>
                <w:color w:val="auto"/>
                <w:kern w:val="0"/>
                <w:sz w:val="24"/>
                <w:szCs w:val="24"/>
                <w:highlight w:val="none"/>
              </w:rPr>
              <w:t>万元银行授信证明的，得</w:t>
            </w:r>
            <w:r>
              <w:rPr>
                <w:rFonts w:hint="eastAsia" w:ascii="宋体" w:hAnsi="宋体" w:eastAsia="宋体" w:cs="宋体"/>
                <w:b w:val="0"/>
                <w:bCs w:val="0"/>
                <w:snapToGrid w:val="0"/>
                <w:color w:val="auto"/>
                <w:kern w:val="0"/>
                <w:sz w:val="24"/>
                <w:szCs w:val="24"/>
                <w:highlight w:val="none"/>
                <w:lang w:val="en-US" w:eastAsia="zh-CN"/>
              </w:rPr>
              <w:t>4</w:t>
            </w:r>
            <w:r>
              <w:rPr>
                <w:rFonts w:hint="eastAsia" w:ascii="宋体" w:hAnsi="宋体" w:eastAsia="宋体" w:cs="宋体"/>
                <w:b w:val="0"/>
                <w:bCs w:val="0"/>
                <w:snapToGrid w:val="0"/>
                <w:color w:val="auto"/>
                <w:kern w:val="0"/>
                <w:sz w:val="24"/>
                <w:szCs w:val="24"/>
                <w:highlight w:val="none"/>
              </w:rPr>
              <w:t>分。</w:t>
            </w:r>
          </w:p>
          <w:p w14:paraId="60F3D008">
            <w:pPr>
              <w:pStyle w:val="50"/>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2．提供投标人基本账户在本项目招标公告发布之日起至投标截止时间期间出现过至少连续3日不少于</w:t>
            </w:r>
            <w:r>
              <w:rPr>
                <w:rFonts w:hint="eastAsia" w:ascii="宋体" w:hAnsi="宋体" w:eastAsia="宋体" w:cs="宋体"/>
                <w:b w:val="0"/>
                <w:bCs w:val="0"/>
                <w:snapToGrid w:val="0"/>
                <w:color w:val="auto"/>
                <w:kern w:val="0"/>
                <w:sz w:val="24"/>
                <w:szCs w:val="24"/>
                <w:highlight w:val="none"/>
                <w:u w:val="single"/>
                <w:lang w:val="en-US" w:eastAsia="zh-CN"/>
              </w:rPr>
              <w:t>50</w:t>
            </w:r>
            <w:r>
              <w:rPr>
                <w:rFonts w:hint="eastAsia" w:ascii="宋体" w:hAnsi="宋体" w:eastAsia="宋体" w:cs="宋体"/>
                <w:b w:val="0"/>
                <w:bCs w:val="0"/>
                <w:snapToGrid w:val="0"/>
                <w:color w:val="auto"/>
                <w:kern w:val="0"/>
                <w:sz w:val="24"/>
                <w:szCs w:val="24"/>
                <w:highlight w:val="none"/>
              </w:rPr>
              <w:t>万元存款余额资金流水证明的，得</w:t>
            </w:r>
            <w:r>
              <w:rPr>
                <w:rFonts w:hint="eastAsia" w:ascii="宋体" w:hAnsi="宋体" w:eastAsia="宋体" w:cs="宋体"/>
                <w:b w:val="0"/>
                <w:bCs w:val="0"/>
                <w:snapToGrid w:val="0"/>
                <w:color w:val="auto"/>
                <w:kern w:val="0"/>
                <w:sz w:val="24"/>
                <w:szCs w:val="24"/>
                <w:highlight w:val="none"/>
                <w:lang w:val="en-US" w:eastAsia="zh-CN"/>
              </w:rPr>
              <w:t>5</w:t>
            </w:r>
            <w:r>
              <w:rPr>
                <w:rFonts w:hint="eastAsia" w:ascii="宋体" w:hAnsi="宋体" w:eastAsia="宋体" w:cs="宋体"/>
                <w:b w:val="0"/>
                <w:bCs w:val="0"/>
                <w:snapToGrid w:val="0"/>
                <w:color w:val="auto"/>
                <w:kern w:val="0"/>
                <w:sz w:val="24"/>
                <w:szCs w:val="24"/>
                <w:highlight w:val="none"/>
              </w:rPr>
              <w:t>分。</w:t>
            </w:r>
          </w:p>
          <w:p w14:paraId="7BC96ADD">
            <w:pPr>
              <w:pStyle w:val="50"/>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kern w:val="0"/>
                <w:sz w:val="24"/>
                <w:szCs w:val="24"/>
                <w:highlight w:val="none"/>
                <w:lang w:val="en-US" w:eastAsia="zh-CN"/>
              </w:rPr>
            </w:pPr>
          </w:p>
        </w:tc>
        <w:tc>
          <w:tcPr>
            <w:tcW w:w="4707" w:type="dxa"/>
            <w:noWrap w:val="0"/>
            <w:vAlign w:val="center"/>
          </w:tcPr>
          <w:p w14:paraId="7AD1F4A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both"/>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1．需附在有效期内的有关证明</w:t>
            </w:r>
            <w:r>
              <w:rPr>
                <w:rFonts w:hint="eastAsia" w:ascii="宋体" w:hAnsi="宋体" w:eastAsia="宋体" w:cs="宋体"/>
                <w:snapToGrid w:val="0"/>
                <w:color w:val="auto"/>
                <w:kern w:val="0"/>
                <w:sz w:val="24"/>
                <w:szCs w:val="24"/>
                <w:highlight w:val="none"/>
                <w:lang w:val="en-US" w:eastAsia="zh-CN" w:bidi="ar-SA"/>
              </w:rPr>
              <w:t>彩色扫描件或打印件，</w:t>
            </w:r>
            <w:r>
              <w:rPr>
                <w:rFonts w:hint="eastAsia" w:ascii="宋体" w:hAnsi="宋体" w:eastAsia="宋体" w:cs="宋体"/>
                <w:b w:val="0"/>
                <w:bCs w:val="0"/>
                <w:snapToGrid w:val="0"/>
                <w:color w:val="auto"/>
                <w:kern w:val="0"/>
                <w:sz w:val="24"/>
                <w:szCs w:val="24"/>
                <w:highlight w:val="none"/>
                <w:lang w:val="en-US" w:eastAsia="zh-CN"/>
              </w:rPr>
              <w:t>同时提供原件供核对（证书为电子证书打印件的除外）</w:t>
            </w:r>
            <w:r>
              <w:rPr>
                <w:rFonts w:hint="eastAsia" w:ascii="宋体" w:hAnsi="宋体" w:eastAsia="宋体" w:cs="宋体"/>
                <w:b w:val="0"/>
                <w:bCs w:val="0"/>
                <w:snapToGrid w:val="0"/>
                <w:color w:val="auto"/>
                <w:kern w:val="0"/>
                <w:sz w:val="24"/>
                <w:szCs w:val="24"/>
                <w:highlight w:val="none"/>
                <w:lang w:val="en-US" w:eastAsia="zh-CN" w:bidi="ar-SA"/>
              </w:rPr>
              <w:t>；</w:t>
            </w:r>
          </w:p>
          <w:p w14:paraId="1AC290C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both"/>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2．银行授信证明有以下情形之一的，视为无效，不予计分：</w:t>
            </w:r>
          </w:p>
          <w:p w14:paraId="0618CF3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both"/>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①授信证明不在有效期内的；</w:t>
            </w:r>
          </w:p>
          <w:p w14:paraId="54E6938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both"/>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②授信额度不符合要求的；</w:t>
            </w:r>
          </w:p>
          <w:p w14:paraId="4FFE28F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both"/>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3．存款余额资金流水证明有以下情形之一的，视为无效，不予计分：</w:t>
            </w:r>
          </w:p>
          <w:p w14:paraId="625A843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both"/>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①存款账户不是基本账户的；</w:t>
            </w:r>
          </w:p>
          <w:p w14:paraId="2AF1C9E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both"/>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②存款时间不符合要求的；</w:t>
            </w:r>
          </w:p>
          <w:p w14:paraId="63DA9AD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bidi="ar-SA"/>
              </w:rPr>
              <w:t>③存款额度不符合要求的。</w:t>
            </w:r>
          </w:p>
        </w:tc>
      </w:tr>
      <w:tr w14:paraId="72B4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4" w:hRule="atLeast"/>
        </w:trPr>
        <w:tc>
          <w:tcPr>
            <w:tcW w:w="1214" w:type="dxa"/>
            <w:vMerge w:val="restart"/>
            <w:noWrap w:val="0"/>
            <w:vAlign w:val="center"/>
          </w:tcPr>
          <w:p w14:paraId="122B6E42">
            <w:pPr>
              <w:keepNext w:val="0"/>
              <w:keepLines w:val="0"/>
              <w:widowControl/>
              <w:suppressLineNumbers w:val="0"/>
              <w:wordWrap w:val="0"/>
              <w:adjustRightInd w:val="0"/>
              <w:snapToGrid w:val="0"/>
              <w:spacing w:before="0" w:beforeAutospacing="0" w:after="120" w:afterAutospacing="0" w:line="360" w:lineRule="auto"/>
              <w:ind w:left="0" w:right="0"/>
              <w:jc w:val="center"/>
              <w:rPr>
                <w:rFonts w:hint="eastAsia" w:ascii="宋体" w:hAnsi="宋体" w:eastAsia="宋体" w:cs="宋体"/>
                <w:snapToGrid w:val="0"/>
                <w:color w:val="auto"/>
                <w:kern w:val="0"/>
                <w:sz w:val="24"/>
                <w:szCs w:val="24"/>
                <w:highlight w:val="none"/>
                <w:lang w:bidi="ar"/>
              </w:rPr>
            </w:pPr>
            <w:r>
              <w:rPr>
                <w:rFonts w:hint="eastAsia" w:ascii="宋体" w:hAnsi="宋体" w:eastAsia="宋体" w:cs="宋体"/>
                <w:snapToGrid w:val="0"/>
                <w:color w:val="auto"/>
                <w:kern w:val="0"/>
                <w:sz w:val="24"/>
                <w:szCs w:val="24"/>
                <w:highlight w:val="none"/>
                <w:lang w:bidi="ar"/>
              </w:rPr>
              <w:t>招标人</w:t>
            </w:r>
          </w:p>
          <w:p w14:paraId="56531D20">
            <w:pPr>
              <w:keepNext w:val="0"/>
              <w:keepLines w:val="0"/>
              <w:widowControl/>
              <w:suppressLineNumbers w:val="0"/>
              <w:wordWrap w:val="0"/>
              <w:adjustRightInd w:val="0"/>
              <w:snapToGrid w:val="0"/>
              <w:spacing w:before="0" w:beforeAutospacing="0" w:after="120" w:afterAutospacing="0" w:line="360" w:lineRule="auto"/>
              <w:ind w:left="0" w:right="0"/>
              <w:jc w:val="center"/>
              <w:rPr>
                <w:rFonts w:hint="eastAsia" w:ascii="宋体" w:hAnsi="宋体" w:eastAsia="宋体" w:cs="宋体"/>
                <w:snapToGrid w:val="0"/>
                <w:color w:val="auto"/>
                <w:kern w:val="0"/>
                <w:sz w:val="24"/>
                <w:szCs w:val="24"/>
                <w:highlight w:val="none"/>
                <w:lang w:bidi="ar"/>
              </w:rPr>
            </w:pPr>
            <w:r>
              <w:rPr>
                <w:rFonts w:hint="eastAsia" w:ascii="宋体" w:hAnsi="宋体" w:eastAsia="宋体" w:cs="宋体"/>
                <w:snapToGrid w:val="0"/>
                <w:color w:val="auto"/>
                <w:kern w:val="0"/>
                <w:sz w:val="24"/>
                <w:szCs w:val="24"/>
                <w:highlight w:val="none"/>
                <w:lang w:bidi="ar"/>
              </w:rPr>
              <w:t>自选项</w:t>
            </w:r>
          </w:p>
          <w:p w14:paraId="4D764126">
            <w:pPr>
              <w:pStyle w:val="34"/>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lang w:bidi="ar"/>
              </w:rPr>
              <w:t>（</w:t>
            </w:r>
            <w:r>
              <w:rPr>
                <w:rFonts w:hint="eastAsia" w:ascii="宋体" w:hAnsi="宋体" w:eastAsia="宋体" w:cs="宋体"/>
                <w:b w:val="0"/>
                <w:bCs w:val="0"/>
                <w:snapToGrid w:val="0"/>
                <w:color w:val="auto"/>
                <w:kern w:val="0"/>
                <w:sz w:val="24"/>
                <w:szCs w:val="24"/>
                <w:highlight w:val="none"/>
                <w:lang w:val="en-US" w:eastAsia="zh-CN" w:bidi="ar"/>
              </w:rPr>
              <w:t>20</w:t>
            </w:r>
            <w:r>
              <w:rPr>
                <w:rFonts w:hint="eastAsia" w:ascii="宋体" w:hAnsi="宋体" w:eastAsia="宋体" w:cs="宋体"/>
                <w:b w:val="0"/>
                <w:bCs w:val="0"/>
                <w:snapToGrid w:val="0"/>
                <w:color w:val="auto"/>
                <w:kern w:val="0"/>
                <w:sz w:val="24"/>
                <w:szCs w:val="24"/>
                <w:highlight w:val="none"/>
                <w:lang w:bidi="ar"/>
              </w:rPr>
              <w:t>分）</w:t>
            </w:r>
          </w:p>
        </w:tc>
        <w:tc>
          <w:tcPr>
            <w:tcW w:w="3933" w:type="dxa"/>
            <w:noWrap w:val="0"/>
            <w:vAlign w:val="center"/>
          </w:tcPr>
          <w:p w14:paraId="62604651">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近 5 年来（</w:t>
            </w:r>
            <w:r>
              <w:rPr>
                <w:rFonts w:hint="eastAsia" w:ascii="宋体" w:hAnsi="宋体" w:eastAsia="宋体" w:cs="宋体"/>
                <w:snapToGrid w:val="0"/>
                <w:color w:val="auto"/>
                <w:kern w:val="0"/>
                <w:sz w:val="24"/>
                <w:szCs w:val="24"/>
                <w:highlight w:val="none"/>
                <w:lang w:val="en-US" w:eastAsia="zh-CN"/>
              </w:rPr>
              <w:t>2021</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日至今）投标人未发生事故等级为一般事故及以上的生产安全事故、一般质量事故及以上的工程质量事故的，得</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分；</w:t>
            </w:r>
          </w:p>
          <w:p w14:paraId="6E47D468">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b w:val="0"/>
                <w:bCs w:val="0"/>
                <w:color w:val="auto"/>
                <w:kern w:val="0"/>
                <w:sz w:val="24"/>
                <w:szCs w:val="24"/>
                <w:lang w:val="en-US" w:eastAsia="zh-CN"/>
              </w:rPr>
            </w:pPr>
            <w:r>
              <w:rPr>
                <w:rFonts w:hint="eastAsia" w:ascii="宋体" w:hAnsi="宋体" w:eastAsia="宋体" w:cs="宋体"/>
                <w:snapToGrid w:val="0"/>
                <w:color w:val="auto"/>
                <w:kern w:val="0"/>
                <w:sz w:val="24"/>
                <w:szCs w:val="24"/>
                <w:highlight w:val="none"/>
              </w:rPr>
              <w:t>2.其他情形的，不予计分。</w:t>
            </w:r>
          </w:p>
        </w:tc>
        <w:tc>
          <w:tcPr>
            <w:tcW w:w="4707" w:type="dxa"/>
            <w:noWrap w:val="0"/>
            <w:vAlign w:val="center"/>
          </w:tcPr>
          <w:p w14:paraId="7C4B0761">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需提供本单位承诺书（格式自定）并加盖本单位公章。</w:t>
            </w:r>
          </w:p>
          <w:p w14:paraId="3A086321">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b w:val="0"/>
                <w:bCs w:val="0"/>
                <w:color w:val="auto"/>
                <w:kern w:val="0"/>
                <w:sz w:val="24"/>
                <w:szCs w:val="24"/>
                <w:lang w:val="en-US" w:eastAsia="zh-CN"/>
              </w:rPr>
            </w:pPr>
            <w:r>
              <w:rPr>
                <w:rFonts w:hint="eastAsia" w:ascii="宋体" w:hAnsi="宋体" w:eastAsia="宋体" w:cs="宋体"/>
                <w:snapToGrid w:val="0"/>
                <w:color w:val="auto"/>
                <w:kern w:val="0"/>
                <w:sz w:val="24"/>
                <w:szCs w:val="24"/>
                <w:highlight w:val="none"/>
              </w:rPr>
              <w:t>未提供本单位承诺书并加盖本单位公章的，按第2项标准处理。</w:t>
            </w:r>
          </w:p>
        </w:tc>
      </w:tr>
      <w:tr w14:paraId="4C46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noWrap w:val="0"/>
            <w:vAlign w:val="top"/>
          </w:tcPr>
          <w:p w14:paraId="742DF8A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4"/>
                <w:highlight w:val="none"/>
              </w:rPr>
            </w:pPr>
          </w:p>
        </w:tc>
        <w:tc>
          <w:tcPr>
            <w:tcW w:w="3933" w:type="dxa"/>
            <w:shd w:val="clear" w:color="auto" w:fill="auto"/>
            <w:noWrap w:val="0"/>
            <w:vAlign w:val="center"/>
          </w:tcPr>
          <w:p w14:paraId="63EF94F9">
            <w:pPr>
              <w:keepNext w:val="0"/>
              <w:keepLines w:val="0"/>
              <w:widowControl w:val="0"/>
              <w:suppressLineNumbers w:val="0"/>
              <w:wordWrap w:val="0"/>
              <w:adjustRightInd w:val="0"/>
              <w:snapToGrid w:val="0"/>
              <w:spacing w:before="0" w:beforeAutospacing="0" w:after="120" w:afterLines="0" w:afterAutospacing="0" w:line="360" w:lineRule="auto"/>
              <w:ind w:left="0" w:right="0"/>
              <w:jc w:val="both"/>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1.企业连续 10年以上(含10 年)获得纳税信用 A级纳税人的，得5分。(其中必须有 2024年度)</w:t>
            </w:r>
          </w:p>
          <w:p w14:paraId="663BE26A">
            <w:pPr>
              <w:keepNext w:val="0"/>
              <w:keepLines w:val="0"/>
              <w:widowControl w:val="0"/>
              <w:suppressLineNumbers w:val="0"/>
              <w:wordWrap w:val="0"/>
              <w:adjustRightInd w:val="0"/>
              <w:snapToGrid w:val="0"/>
              <w:spacing w:before="0" w:beforeAutospacing="0" w:after="120" w:afterLines="0" w:afterAutospacing="0" w:line="360" w:lineRule="auto"/>
              <w:ind w:left="0" w:right="0"/>
              <w:jc w:val="both"/>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2.企业连续获得5-9年纳税信用A级纳税人的，得 2分。(其中必须有 2024 年度)</w:t>
            </w:r>
          </w:p>
          <w:p w14:paraId="0A40C6B7">
            <w:pPr>
              <w:keepNext w:val="0"/>
              <w:keepLines w:val="0"/>
              <w:widowControl w:val="0"/>
              <w:suppressLineNumbers w:val="0"/>
              <w:wordWrap w:val="0"/>
              <w:adjustRightInd w:val="0"/>
              <w:snapToGrid w:val="0"/>
              <w:spacing w:before="0" w:beforeAutospacing="0" w:after="120" w:afterLines="0" w:afterAutospacing="0" w:line="360" w:lineRule="auto"/>
              <w:ind w:left="0" w:right="0"/>
              <w:jc w:val="both"/>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3.企业获得1-4年纳税信用 A 级纳税人的，得1分。(其中必须有 2024年度)</w:t>
            </w:r>
          </w:p>
          <w:p w14:paraId="5F2C5475">
            <w:pPr>
              <w:keepNext w:val="0"/>
              <w:keepLines w:val="0"/>
              <w:widowControl w:val="0"/>
              <w:suppressLineNumbers w:val="0"/>
              <w:wordWrap w:val="0"/>
              <w:adjustRightInd w:val="0"/>
              <w:snapToGrid w:val="0"/>
              <w:spacing w:before="0" w:beforeAutospacing="0" w:after="120" w:afterLines="0" w:afterAutospacing="0" w:line="360" w:lineRule="auto"/>
              <w:ind w:left="0" w:right="0"/>
              <w:jc w:val="both"/>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4.其他情形的，不予计分。</w:t>
            </w:r>
          </w:p>
          <w:p w14:paraId="201C050F">
            <w:pPr>
              <w:keepNext w:val="0"/>
              <w:keepLines w:val="0"/>
              <w:widowControl w:val="0"/>
              <w:suppressLineNumbers w:val="0"/>
              <w:wordWrap w:val="0"/>
              <w:adjustRightInd w:val="0"/>
              <w:snapToGrid w:val="0"/>
              <w:spacing w:before="0" w:beforeAutospacing="0" w:after="120" w:afterLines="0" w:afterAutospacing="0" w:line="360" w:lineRule="auto"/>
              <w:ind w:left="0" w:right="0"/>
              <w:jc w:val="both"/>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本项最高得 5 分。</w:t>
            </w:r>
          </w:p>
        </w:tc>
        <w:tc>
          <w:tcPr>
            <w:tcW w:w="4707" w:type="dxa"/>
            <w:shd w:val="clear" w:color="auto" w:fill="auto"/>
            <w:noWrap w:val="0"/>
            <w:vAlign w:val="center"/>
          </w:tcPr>
          <w:p w14:paraId="19188A75">
            <w:pPr>
              <w:keepNext w:val="0"/>
              <w:keepLines w:val="0"/>
              <w:suppressLineNumbers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1.</w:t>
            </w:r>
            <w:r>
              <w:rPr>
                <w:rFonts w:hint="eastAsia" w:ascii="宋体" w:hAnsi="宋体" w:eastAsia="宋体" w:cs="宋体"/>
                <w:snapToGrid w:val="0"/>
                <w:color w:val="auto"/>
                <w:kern w:val="0"/>
                <w:sz w:val="24"/>
                <w:szCs w:val="24"/>
                <w:highlight w:val="none"/>
              </w:rPr>
              <w:t>必须提供企业纳税信用A级纳税人证明材料（或证书）</w:t>
            </w:r>
            <w:r>
              <w:rPr>
                <w:rFonts w:hint="eastAsia" w:ascii="宋体" w:hAnsi="宋体" w:eastAsia="宋体" w:cs="宋体"/>
                <w:snapToGrid w:val="0"/>
                <w:color w:val="auto"/>
                <w:kern w:val="0"/>
                <w:sz w:val="24"/>
                <w:szCs w:val="24"/>
                <w:highlight w:val="none"/>
                <w:lang w:val="en-US" w:eastAsia="zh-CN" w:bidi="ar-SA"/>
              </w:rPr>
              <w:t>彩色扫描件或打印件，</w:t>
            </w:r>
            <w:r>
              <w:rPr>
                <w:rFonts w:hint="eastAsia" w:ascii="宋体" w:hAnsi="宋体" w:eastAsia="宋体" w:cs="宋体"/>
                <w:b w:val="0"/>
                <w:bCs w:val="0"/>
                <w:snapToGrid w:val="0"/>
                <w:color w:val="auto"/>
                <w:kern w:val="0"/>
                <w:sz w:val="24"/>
                <w:szCs w:val="24"/>
                <w:highlight w:val="none"/>
                <w:lang w:val="en-US" w:eastAsia="zh-CN"/>
              </w:rPr>
              <w:t>同时提供原件供核对（证书为电子证书打印件的除外）</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bidi="ar-SA"/>
              </w:rPr>
              <w:t>否则不得分；</w:t>
            </w:r>
          </w:p>
          <w:p w14:paraId="03C99C48">
            <w:pPr>
              <w:keepNext w:val="0"/>
              <w:keepLines w:val="0"/>
              <w:widowControl w:val="0"/>
              <w:numPr>
                <w:ilvl w:val="0"/>
                <w:numId w:val="0"/>
              </w:numPr>
              <w:suppressLineNumbers w:val="0"/>
              <w:wordWrap w:val="0"/>
              <w:adjustRightInd w:val="0"/>
              <w:snapToGrid w:val="0"/>
              <w:spacing w:before="0" w:beforeAutospacing="0" w:after="120" w:afterLines="0" w:afterAutospacing="0" w:line="360" w:lineRule="auto"/>
              <w:ind w:left="0" w:leftChars="0" w:right="0" w:firstLine="0" w:firstLineChars="0"/>
              <w:jc w:val="both"/>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SA"/>
              </w:rPr>
              <w:t>2.只计算投标人自身（不计算投标人的分公司、子公司及分支机构）。</w:t>
            </w:r>
          </w:p>
        </w:tc>
      </w:tr>
      <w:tr w14:paraId="4782A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noWrap w:val="0"/>
            <w:vAlign w:val="top"/>
          </w:tcPr>
          <w:p w14:paraId="05E9C04D">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4"/>
                <w:highlight w:val="none"/>
              </w:rPr>
            </w:pPr>
          </w:p>
        </w:tc>
        <w:tc>
          <w:tcPr>
            <w:tcW w:w="3933" w:type="dxa"/>
            <w:shd w:val="clear" w:color="auto" w:fill="auto"/>
            <w:noWrap w:val="0"/>
            <w:vAlign w:val="center"/>
          </w:tcPr>
          <w:p w14:paraId="563B4CBA">
            <w:pPr>
              <w:keepNext w:val="0"/>
              <w:keepLines w:val="0"/>
              <w:widowControl w:val="0"/>
              <w:suppressLineNumbers w:val="0"/>
              <w:wordWrap w:val="0"/>
              <w:adjustRightInd w:val="0"/>
              <w:spacing w:before="0" w:beforeAutospacing="0" w:after="0" w:afterAutospacing="0" w:line="360" w:lineRule="auto"/>
              <w:ind w:left="0" w:right="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1.企业近5年（</w:t>
            </w:r>
            <w:r>
              <w:rPr>
                <w:rFonts w:hint="eastAsia" w:ascii="宋体" w:hAnsi="宋体" w:eastAsia="宋体" w:cs="宋体"/>
                <w:strike w:val="0"/>
                <w:snapToGrid w:val="0"/>
                <w:color w:val="auto"/>
                <w:kern w:val="0"/>
                <w:sz w:val="24"/>
                <w:szCs w:val="24"/>
                <w:highlight w:val="none"/>
                <w:lang w:val="en-US" w:eastAsia="zh-CN" w:bidi="ar-SA"/>
              </w:rPr>
              <w:t>2021年</w:t>
            </w:r>
            <w:r>
              <w:rPr>
                <w:rFonts w:hint="eastAsia" w:ascii="宋体" w:hAnsi="宋体" w:eastAsia="宋体" w:cs="宋体"/>
                <w:snapToGrid w:val="0"/>
                <w:color w:val="auto"/>
                <w:kern w:val="0"/>
                <w:sz w:val="24"/>
                <w:szCs w:val="24"/>
                <w:highlight w:val="none"/>
                <w:lang w:val="en-US" w:eastAsia="zh-CN" w:bidi="ar-SA"/>
              </w:rPr>
              <w:t>1月1日</w:t>
            </w:r>
            <w:r>
              <w:rPr>
                <w:rFonts w:hint="eastAsia" w:ascii="宋体" w:hAnsi="宋体" w:eastAsia="宋体" w:cs="宋体"/>
                <w:strike w:val="0"/>
                <w:snapToGrid w:val="0"/>
                <w:color w:val="auto"/>
                <w:kern w:val="0"/>
                <w:sz w:val="24"/>
                <w:szCs w:val="24"/>
                <w:highlight w:val="none"/>
                <w:lang w:val="en-US" w:eastAsia="zh-CN" w:bidi="ar-SA"/>
              </w:rPr>
              <w:t>至</w:t>
            </w:r>
            <w:r>
              <w:rPr>
                <w:rFonts w:hint="eastAsia" w:ascii="宋体" w:hAnsi="宋体" w:eastAsia="宋体" w:cs="宋体"/>
                <w:b w:val="0"/>
                <w:bCs w:val="0"/>
                <w:snapToGrid w:val="0"/>
                <w:color w:val="auto"/>
                <w:kern w:val="0"/>
                <w:sz w:val="24"/>
                <w:szCs w:val="24"/>
                <w:highlight w:val="none"/>
                <w:lang w:val="en-US" w:eastAsia="zh-CN" w:bidi="ar-SA"/>
              </w:rPr>
              <w:t>今</w:t>
            </w:r>
            <w:r>
              <w:rPr>
                <w:rFonts w:hint="eastAsia" w:ascii="宋体" w:hAnsi="宋体" w:eastAsia="宋体" w:cs="宋体"/>
                <w:snapToGrid w:val="0"/>
                <w:color w:val="auto"/>
                <w:kern w:val="0"/>
                <w:sz w:val="24"/>
                <w:szCs w:val="24"/>
                <w:highlight w:val="none"/>
                <w:lang w:val="en-US" w:eastAsia="zh-CN" w:bidi="ar-SA"/>
              </w:rPr>
              <w:t>）获得过中国建筑业协会中小企业分会或中国建筑业协会中小企业与供应链分会颁发的AAA级企业信用等级证书的得5分；</w:t>
            </w:r>
          </w:p>
          <w:p w14:paraId="03CAD18F">
            <w:pPr>
              <w:pStyle w:val="50"/>
              <w:keepNext w:val="0"/>
              <w:keepLines w:val="0"/>
              <w:suppressLineNumbers w:val="0"/>
              <w:wordWrap w:val="0"/>
              <w:adjustRightInd w:val="0"/>
              <w:spacing w:before="0" w:beforeAutospacing="0" w:after="0" w:afterAutospacing="0" w:line="360" w:lineRule="auto"/>
              <w:ind w:left="0" w:right="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2.其他情形的不予计分。</w:t>
            </w:r>
          </w:p>
        </w:tc>
        <w:tc>
          <w:tcPr>
            <w:tcW w:w="4707" w:type="dxa"/>
            <w:shd w:val="clear" w:color="auto" w:fill="auto"/>
            <w:noWrap w:val="0"/>
            <w:vAlign w:val="center"/>
          </w:tcPr>
          <w:p w14:paraId="6FCA3723">
            <w:pPr>
              <w:pStyle w:val="50"/>
              <w:keepNext w:val="0"/>
              <w:keepLines w:val="0"/>
              <w:suppressLineNumbers w:val="0"/>
              <w:wordWrap w:val="0"/>
              <w:adjustRightInd w:val="0"/>
              <w:spacing w:before="0" w:beforeAutospacing="0" w:after="0" w:afterAutospacing="0" w:line="360" w:lineRule="auto"/>
              <w:ind w:left="0" w:right="0"/>
              <w:jc w:val="lef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1.证书由“中国建筑业协会中小企业分会或中国建筑业协会中小企业与供应链分会”颁发，须提供有关证书</w:t>
            </w:r>
            <w:r>
              <w:rPr>
                <w:rFonts w:hint="eastAsia" w:ascii="宋体" w:hAnsi="宋体" w:eastAsia="宋体" w:cs="宋体"/>
                <w:snapToGrid w:val="0"/>
                <w:color w:val="auto"/>
                <w:kern w:val="0"/>
                <w:sz w:val="24"/>
                <w:szCs w:val="24"/>
                <w:highlight w:val="none"/>
                <w:lang w:val="en-US" w:eastAsia="zh-CN" w:bidi="ar-SA"/>
              </w:rPr>
              <w:t>彩色扫描件或打印件，</w:t>
            </w:r>
            <w:r>
              <w:rPr>
                <w:rFonts w:hint="eastAsia" w:ascii="宋体" w:hAnsi="宋体" w:eastAsia="宋体" w:cs="宋体"/>
                <w:b w:val="0"/>
                <w:bCs w:val="0"/>
                <w:snapToGrid w:val="0"/>
                <w:color w:val="auto"/>
                <w:kern w:val="0"/>
                <w:sz w:val="24"/>
                <w:szCs w:val="24"/>
                <w:highlight w:val="none"/>
                <w:lang w:val="en-US" w:eastAsia="zh-CN"/>
              </w:rPr>
              <w:t>同时提供原件供核对（证书为电子证书打印件的除外）</w:t>
            </w:r>
            <w:r>
              <w:rPr>
                <w:rFonts w:hint="eastAsia" w:ascii="宋体" w:hAnsi="宋体" w:eastAsia="宋体" w:cs="宋体"/>
                <w:snapToGrid w:val="0"/>
                <w:color w:val="auto"/>
                <w:kern w:val="0"/>
                <w:sz w:val="24"/>
                <w:szCs w:val="24"/>
                <w:highlight w:val="none"/>
                <w:lang w:eastAsia="zh-CN"/>
              </w:rPr>
              <w:t>；</w:t>
            </w:r>
          </w:p>
          <w:p w14:paraId="2B2D6CA5">
            <w:pPr>
              <w:pStyle w:val="50"/>
              <w:keepNext w:val="0"/>
              <w:keepLines w:val="0"/>
              <w:suppressLineNumbers w:val="0"/>
              <w:wordWrap w:val="0"/>
              <w:adjustRightInd w:val="0"/>
              <w:spacing w:before="0" w:beforeAutospacing="0" w:after="0" w:afterAutospacing="0" w:line="360" w:lineRule="auto"/>
              <w:ind w:left="0" w:right="0"/>
              <w:jc w:val="left"/>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rPr>
              <w:t>2.颁发机构不符合的，按第2项标准处理。</w:t>
            </w:r>
          </w:p>
        </w:tc>
      </w:tr>
      <w:tr w14:paraId="194CA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noWrap w:val="0"/>
            <w:vAlign w:val="top"/>
          </w:tcPr>
          <w:p w14:paraId="1B555E67">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4"/>
                <w:highlight w:val="none"/>
              </w:rPr>
            </w:pPr>
          </w:p>
        </w:tc>
        <w:tc>
          <w:tcPr>
            <w:tcW w:w="3933" w:type="dxa"/>
            <w:shd w:val="clear" w:color="auto" w:fill="auto"/>
            <w:noWrap w:val="0"/>
            <w:vAlign w:val="center"/>
          </w:tcPr>
          <w:p w14:paraId="4C52D4DD">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1.投标人获得省级或以上“企业诚信公约证书”称号的得1分，超过1年的，每增加一年加0.5分，满分得5分。</w:t>
            </w:r>
          </w:p>
        </w:tc>
        <w:tc>
          <w:tcPr>
            <w:tcW w:w="4707" w:type="dxa"/>
            <w:shd w:val="clear" w:color="auto" w:fill="auto"/>
            <w:noWrap w:val="0"/>
            <w:vAlign w:val="center"/>
          </w:tcPr>
          <w:p w14:paraId="17FCA167">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b/>
                <w:bCs/>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1．需附相关证书彩色扫描件或打印件，</w:t>
            </w:r>
            <w:r>
              <w:rPr>
                <w:rFonts w:hint="eastAsia" w:ascii="宋体" w:hAnsi="宋体" w:eastAsia="宋体" w:cs="宋体"/>
                <w:b w:val="0"/>
                <w:bCs w:val="0"/>
                <w:snapToGrid w:val="0"/>
                <w:color w:val="auto"/>
                <w:kern w:val="0"/>
                <w:sz w:val="24"/>
                <w:szCs w:val="24"/>
                <w:highlight w:val="none"/>
                <w:lang w:val="en-US" w:eastAsia="zh-CN"/>
              </w:rPr>
              <w:t>同时提供原件供核对（证书为电子证书打印件的除外）</w:t>
            </w:r>
            <w:r>
              <w:rPr>
                <w:rFonts w:hint="eastAsia" w:ascii="宋体" w:hAnsi="宋体" w:eastAsia="宋体" w:cs="宋体"/>
                <w:b/>
                <w:bCs/>
                <w:snapToGrid w:val="0"/>
                <w:color w:val="auto"/>
                <w:kern w:val="0"/>
                <w:sz w:val="24"/>
                <w:szCs w:val="24"/>
                <w:highlight w:val="none"/>
                <w:lang w:val="en-US" w:eastAsia="zh-CN" w:bidi="ar-SA"/>
              </w:rPr>
              <w:t>；</w:t>
            </w:r>
          </w:p>
          <w:p w14:paraId="14B5C234">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2．证书须由省级</w:t>
            </w:r>
            <w:r>
              <w:rPr>
                <w:rFonts w:hint="eastAsia" w:ascii="宋体" w:hAnsi="宋体" w:eastAsia="宋体" w:cs="宋体"/>
                <w:snapToGrid w:val="0"/>
                <w:color w:val="auto"/>
                <w:kern w:val="0"/>
                <w:sz w:val="24"/>
                <w:szCs w:val="24"/>
                <w:highlight w:val="none"/>
                <w:lang w:val="en-US" w:eastAsia="zh-CN"/>
              </w:rPr>
              <w:t>或以上</w:t>
            </w:r>
            <w:r>
              <w:rPr>
                <w:rFonts w:hint="eastAsia" w:ascii="宋体" w:hAnsi="宋体" w:eastAsia="宋体" w:cs="宋体"/>
                <w:snapToGrid w:val="0"/>
                <w:color w:val="auto"/>
                <w:kern w:val="0"/>
                <w:sz w:val="24"/>
                <w:szCs w:val="24"/>
                <w:highlight w:val="none"/>
              </w:rPr>
              <w:t>企业联合会和企业家协会</w:t>
            </w:r>
            <w:r>
              <w:rPr>
                <w:rFonts w:hint="eastAsia" w:ascii="宋体" w:hAnsi="宋体" w:eastAsia="宋体" w:cs="宋体"/>
                <w:snapToGrid w:val="0"/>
                <w:color w:val="auto"/>
                <w:kern w:val="0"/>
                <w:sz w:val="24"/>
                <w:szCs w:val="24"/>
                <w:highlight w:val="none"/>
                <w:lang w:val="en-US" w:eastAsia="zh-CN"/>
              </w:rPr>
              <w:t>（需经民政局备案）</w:t>
            </w:r>
            <w:r>
              <w:rPr>
                <w:rFonts w:hint="eastAsia" w:ascii="宋体" w:hAnsi="宋体" w:eastAsia="宋体" w:cs="宋体"/>
                <w:snapToGrid w:val="0"/>
                <w:color w:val="auto"/>
                <w:kern w:val="0"/>
                <w:sz w:val="24"/>
                <w:szCs w:val="24"/>
                <w:highlight w:val="none"/>
              </w:rPr>
              <w:t>同时颁发</w:t>
            </w:r>
            <w:r>
              <w:rPr>
                <w:rFonts w:hint="eastAsia" w:ascii="宋体" w:hAnsi="宋体" w:eastAsia="宋体" w:cs="宋体"/>
                <w:snapToGrid w:val="0"/>
                <w:color w:val="auto"/>
                <w:kern w:val="0"/>
                <w:sz w:val="24"/>
                <w:szCs w:val="24"/>
                <w:highlight w:val="none"/>
                <w:lang w:eastAsia="zh-CN"/>
              </w:rPr>
              <w:t>；</w:t>
            </w:r>
          </w:p>
          <w:p w14:paraId="150EC788">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SA"/>
              </w:rPr>
              <w:t>3．颁发机构不符合评分标准和备注规定的，不予得分。</w:t>
            </w:r>
          </w:p>
        </w:tc>
      </w:tr>
      <w:tr w14:paraId="5E5E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3"/>
            <w:noWrap w:val="0"/>
            <w:vAlign w:val="top"/>
          </w:tcPr>
          <w:p w14:paraId="68D9845A">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技术部分（施工组织设计），满分：20分。</w:t>
            </w:r>
          </w:p>
        </w:tc>
      </w:tr>
      <w:tr w14:paraId="63296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noWrap w:val="0"/>
            <w:vAlign w:val="center"/>
          </w:tcPr>
          <w:p w14:paraId="7916CF1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评分因素</w:t>
            </w:r>
          </w:p>
        </w:tc>
        <w:tc>
          <w:tcPr>
            <w:tcW w:w="3933" w:type="dxa"/>
            <w:noWrap w:val="0"/>
            <w:vAlign w:val="center"/>
          </w:tcPr>
          <w:p w14:paraId="1BDAB47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评分标准</w:t>
            </w:r>
          </w:p>
        </w:tc>
        <w:tc>
          <w:tcPr>
            <w:tcW w:w="4707" w:type="dxa"/>
            <w:noWrap w:val="0"/>
            <w:vAlign w:val="center"/>
          </w:tcPr>
          <w:p w14:paraId="6266BF0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备注</w:t>
            </w:r>
          </w:p>
        </w:tc>
      </w:tr>
      <w:tr w14:paraId="453B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noWrap w:val="0"/>
            <w:vAlign w:val="center"/>
          </w:tcPr>
          <w:p w14:paraId="083F049D">
            <w:pPr>
              <w:pStyle w:val="36"/>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总体概述</w:t>
            </w:r>
          </w:p>
          <w:p w14:paraId="7EACDD58">
            <w:pPr>
              <w:pStyle w:val="9"/>
              <w:keepNext w:val="0"/>
              <w:keepLines w:val="0"/>
              <w:widowControl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分）</w:t>
            </w:r>
          </w:p>
        </w:tc>
        <w:tc>
          <w:tcPr>
            <w:tcW w:w="3933" w:type="dxa"/>
            <w:noWrap w:val="0"/>
            <w:vAlign w:val="center"/>
          </w:tcPr>
          <w:p w14:paraId="01A347D5">
            <w:pPr>
              <w:pStyle w:val="35"/>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【优】得该项因素分的90%～100</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（含90%）；</w:t>
            </w:r>
          </w:p>
          <w:p w14:paraId="6379AD6F">
            <w:pPr>
              <w:pStyle w:val="35"/>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【良】得该项因素分的80%～90%（含80%）；</w:t>
            </w:r>
          </w:p>
          <w:p w14:paraId="4DCB21AB">
            <w:pPr>
              <w:pStyle w:val="35"/>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【中】得该项因素分的70%～80%（含70%）；</w:t>
            </w:r>
          </w:p>
          <w:p w14:paraId="1AB0F289">
            <w:pPr>
              <w:pStyle w:val="9"/>
              <w:keepNext w:val="0"/>
              <w:keepLines w:val="0"/>
              <w:widowControl w:val="0"/>
              <w:suppressLineNumbers w:val="0"/>
              <w:wordWrap w:val="0"/>
              <w:adjustRightInd w:val="0"/>
              <w:snapToGrid w:val="0"/>
              <w:spacing w:before="0" w:beforeAutospacing="0" w:after="0" w:afterAutospacing="0" w:line="360" w:lineRule="auto"/>
              <w:ind w:left="0" w:right="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【差】得该项因素分的60%～70%（含60%）。</w:t>
            </w:r>
          </w:p>
        </w:tc>
        <w:tc>
          <w:tcPr>
            <w:tcW w:w="4707" w:type="dxa"/>
            <w:noWrap w:val="0"/>
            <w:vAlign w:val="center"/>
          </w:tcPr>
          <w:p w14:paraId="656F52E7">
            <w:pPr>
              <w:pStyle w:val="9"/>
              <w:keepNext w:val="0"/>
              <w:keepLines w:val="0"/>
              <w:widowControl w:val="0"/>
              <w:suppressLineNumbers w:val="0"/>
              <w:wordWrap w:val="0"/>
              <w:adjustRightInd w:val="0"/>
              <w:snapToGrid w:val="0"/>
              <w:spacing w:before="0" w:beforeAutospacing="0" w:after="0" w:afterAutospacing="0" w:line="360" w:lineRule="auto"/>
              <w:ind w:left="0" w:right="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【优】对项目总体有深刻认识，表述清晰、完整、严谨、合理，措施先进、具体、有效、成熟，采用了新技术、新工艺、新材料、新设备；施工段划分呼应总体表述，划分清晰、合理，符合规范要求。</w:t>
            </w:r>
          </w:p>
          <w:p w14:paraId="209B9739">
            <w:pPr>
              <w:pStyle w:val="9"/>
              <w:keepNext w:val="0"/>
              <w:keepLines w:val="0"/>
              <w:widowControl w:val="0"/>
              <w:suppressLineNumbers w:val="0"/>
              <w:wordWrap w:val="0"/>
              <w:adjustRightInd w:val="0"/>
              <w:snapToGrid w:val="0"/>
              <w:spacing w:before="0" w:beforeAutospacing="0" w:after="0" w:afterAutospacing="0" w:line="360" w:lineRule="auto"/>
              <w:ind w:left="0" w:right="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【良】对项目总体有一定认识，表述清晰、完整，措施具体有效；施工段划分呼应总体表述，划分清晰，符合规范要求。</w:t>
            </w:r>
          </w:p>
          <w:p w14:paraId="20FF11BC">
            <w:pPr>
              <w:pStyle w:val="9"/>
              <w:keepNext w:val="0"/>
              <w:keepLines w:val="0"/>
              <w:widowControl w:val="0"/>
              <w:suppressLineNumbers w:val="0"/>
              <w:wordWrap w:val="0"/>
              <w:adjustRightInd w:val="0"/>
              <w:snapToGrid w:val="0"/>
              <w:spacing w:before="0" w:beforeAutospacing="0" w:after="0" w:afterAutospacing="0" w:line="360" w:lineRule="auto"/>
              <w:ind w:left="0" w:right="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【中】对项目总体有认识，有一定的措施但部分不具体；施工段划分较合理，符合规范要求。</w:t>
            </w:r>
          </w:p>
          <w:p w14:paraId="79F33912">
            <w:pPr>
              <w:pStyle w:val="9"/>
              <w:keepNext w:val="0"/>
              <w:keepLines w:val="0"/>
              <w:widowControl w:val="0"/>
              <w:suppressLineNumbers w:val="0"/>
              <w:wordWrap w:val="0"/>
              <w:adjustRightInd w:val="0"/>
              <w:snapToGrid w:val="0"/>
              <w:spacing w:before="0" w:beforeAutospacing="0" w:after="0" w:afterAutospacing="0" w:line="360" w:lineRule="auto"/>
              <w:ind w:left="0" w:right="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【差】对项目认识不足，表述不清晰，措施不具体；施工段划分不合理。</w:t>
            </w:r>
          </w:p>
        </w:tc>
      </w:tr>
      <w:tr w14:paraId="5FD86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noWrap w:val="0"/>
            <w:vAlign w:val="center"/>
          </w:tcPr>
          <w:p w14:paraId="2AC9352A">
            <w:pPr>
              <w:pStyle w:val="34"/>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施工总进度计划及保证措施</w:t>
            </w:r>
          </w:p>
          <w:p w14:paraId="58E7F4D0">
            <w:pPr>
              <w:pStyle w:val="34"/>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分）</w:t>
            </w:r>
          </w:p>
        </w:tc>
        <w:tc>
          <w:tcPr>
            <w:tcW w:w="3933" w:type="dxa"/>
            <w:noWrap w:val="0"/>
            <w:vAlign w:val="center"/>
          </w:tcPr>
          <w:p w14:paraId="0C370C6E">
            <w:pPr>
              <w:pStyle w:val="35"/>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【优】得该项因素分的90%～100%（含90%）；</w:t>
            </w:r>
          </w:p>
          <w:p w14:paraId="700FCE37">
            <w:pPr>
              <w:pStyle w:val="35"/>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【良】得该项因素分的80%～90%（含80%）；</w:t>
            </w:r>
          </w:p>
          <w:p w14:paraId="7EDA5EFA">
            <w:pPr>
              <w:pStyle w:val="35"/>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【中】得该项因素分的70%～80%（含70%）；</w:t>
            </w:r>
          </w:p>
          <w:p w14:paraId="76618ED6">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【差】得该项因素分的60%～70%（含60%）。</w:t>
            </w:r>
          </w:p>
        </w:tc>
        <w:tc>
          <w:tcPr>
            <w:tcW w:w="4707" w:type="dxa"/>
            <w:noWrap w:val="0"/>
            <w:vAlign w:val="center"/>
          </w:tcPr>
          <w:p w14:paraId="33B0A435">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【优】关键线路清晰、准确、完整，计划编制合理、可行。关键节点的控制措施有力、合理、可行。人、材、机需求和进场计划与进度计划相呼应，较</w:t>
            </w:r>
            <w:r>
              <w:rPr>
                <w:rFonts w:hint="eastAsia" w:ascii="宋体" w:hAnsi="宋体" w:eastAsia="宋体" w:cs="宋体"/>
                <w:snapToGrid w:val="0"/>
                <w:color w:val="auto"/>
                <w:kern w:val="0"/>
                <w:sz w:val="24"/>
                <w:szCs w:val="24"/>
                <w:highlight w:val="none"/>
                <w:lang w:eastAsia="zh-CN"/>
              </w:rPr>
              <w:t>好地</w:t>
            </w:r>
            <w:r>
              <w:rPr>
                <w:rFonts w:hint="eastAsia" w:ascii="宋体" w:hAnsi="宋体" w:eastAsia="宋体" w:cs="宋体"/>
                <w:snapToGrid w:val="0"/>
                <w:color w:val="auto"/>
                <w:kern w:val="0"/>
                <w:sz w:val="24"/>
                <w:szCs w:val="24"/>
                <w:highlight w:val="none"/>
              </w:rPr>
              <w:t>满足施工需要，调配投入计划合理、准确。进度违约责任承诺具体，</w:t>
            </w:r>
            <w:r>
              <w:rPr>
                <w:rFonts w:hint="eastAsia" w:ascii="宋体" w:hAnsi="宋体" w:eastAsia="宋体" w:cs="宋体"/>
                <w:b/>
                <w:bCs/>
                <w:snapToGrid w:val="0"/>
                <w:color w:val="auto"/>
                <w:kern w:val="0"/>
                <w:sz w:val="24"/>
                <w:szCs w:val="24"/>
                <w:highlight w:val="none"/>
              </w:rPr>
              <w:t>经济赔偿合理。</w:t>
            </w:r>
          </w:p>
          <w:p w14:paraId="56D27A36">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【良】关键线路清晰、准确、完整，计划编制可行。关键节点的控制措施合理、可行。人、材、机需求和进场计划与进度计划相呼应，基本满足施工需要，调配投入计划基本合理、准确。进度违约责任承诺具体，</w:t>
            </w:r>
            <w:r>
              <w:rPr>
                <w:rFonts w:hint="eastAsia" w:ascii="宋体" w:hAnsi="宋体" w:eastAsia="宋体" w:cs="宋体"/>
                <w:b/>
                <w:bCs/>
                <w:snapToGrid w:val="0"/>
                <w:color w:val="auto"/>
                <w:kern w:val="0"/>
                <w:sz w:val="24"/>
                <w:szCs w:val="24"/>
                <w:highlight w:val="none"/>
              </w:rPr>
              <w:t>经济赔偿较合理。</w:t>
            </w:r>
          </w:p>
          <w:p w14:paraId="7CEE9F38">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【中】关键线路基本准确，计划编制基本合理。关键节点的控制措施基本可行。人、材、机需求和进场计划与进度计划相呼应，基本满足施工需要，调配投入计划基本合理。进度违约责任承诺具体。</w:t>
            </w:r>
          </w:p>
          <w:p w14:paraId="5D404C03">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【差】关键线路不准确，计划编制不合理。关键节点的控制不可行。人、材、机需求和进场计划与进度计划不相呼应，不能满足施工需要。没有违约责任承诺。</w:t>
            </w:r>
          </w:p>
        </w:tc>
      </w:tr>
      <w:tr w14:paraId="50D5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noWrap w:val="0"/>
            <w:vAlign w:val="center"/>
          </w:tcPr>
          <w:p w14:paraId="67B2A001">
            <w:pPr>
              <w:pStyle w:val="34"/>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质量保证措施</w:t>
            </w:r>
          </w:p>
          <w:p w14:paraId="17DB601E">
            <w:pPr>
              <w:pStyle w:val="34"/>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4</w:t>
            </w:r>
            <w:r>
              <w:rPr>
                <w:rFonts w:hint="eastAsia" w:ascii="宋体" w:hAnsi="宋体" w:eastAsia="宋体" w:cs="宋体"/>
                <w:snapToGrid w:val="0"/>
                <w:color w:val="auto"/>
                <w:kern w:val="0"/>
                <w:sz w:val="24"/>
                <w:szCs w:val="24"/>
                <w:highlight w:val="none"/>
              </w:rPr>
              <w:t>分）</w:t>
            </w:r>
          </w:p>
        </w:tc>
        <w:tc>
          <w:tcPr>
            <w:tcW w:w="3933" w:type="dxa"/>
            <w:noWrap w:val="0"/>
            <w:vAlign w:val="center"/>
          </w:tcPr>
          <w:p w14:paraId="234D43CE">
            <w:pPr>
              <w:pStyle w:val="35"/>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【优】得该项因素分的90%～100%（含90%）；</w:t>
            </w:r>
          </w:p>
          <w:p w14:paraId="69301940">
            <w:pPr>
              <w:pStyle w:val="35"/>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【良】得该项因素分的80%～90%（含80%）；</w:t>
            </w:r>
          </w:p>
          <w:p w14:paraId="5685476B">
            <w:pPr>
              <w:pStyle w:val="35"/>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【中】得该项因素分的70%～80%（含70%）；</w:t>
            </w:r>
          </w:p>
          <w:p w14:paraId="20684A9A">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【差】得该项因素分的60%～70%（含60%）。</w:t>
            </w:r>
          </w:p>
        </w:tc>
        <w:tc>
          <w:tcPr>
            <w:tcW w:w="4707" w:type="dxa"/>
            <w:noWrap w:val="0"/>
            <w:vAlign w:val="center"/>
          </w:tcPr>
          <w:p w14:paraId="20BD2820">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【优】应用新技术、新工艺、新材料、新设备，针对项目实际提出先进、可行、具体的保证措施。超过招标文件的质量要求。</w:t>
            </w:r>
          </w:p>
          <w:p w14:paraId="1796C812">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【良】针对项目实际提出先进、可行、具体的保证措施。满足招标文件的质量要求。</w:t>
            </w:r>
          </w:p>
          <w:p w14:paraId="310A57BC">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【中】具体措施可行。满足招标文件的质量要求。</w:t>
            </w:r>
          </w:p>
          <w:p w14:paraId="7278CB3B">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【差】措施不可行，没有质量违约责任承诺。</w:t>
            </w:r>
          </w:p>
        </w:tc>
      </w:tr>
      <w:tr w14:paraId="12083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noWrap w:val="0"/>
            <w:vAlign w:val="center"/>
          </w:tcPr>
          <w:p w14:paraId="0C710FC4">
            <w:pPr>
              <w:pStyle w:val="34"/>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施工技术措施</w:t>
            </w:r>
          </w:p>
          <w:p w14:paraId="3210183E">
            <w:pPr>
              <w:pStyle w:val="34"/>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2</w:t>
            </w:r>
            <w:r>
              <w:rPr>
                <w:rFonts w:hint="eastAsia" w:ascii="宋体" w:hAnsi="宋体" w:eastAsia="宋体" w:cs="宋体"/>
                <w:snapToGrid w:val="0"/>
                <w:color w:val="auto"/>
                <w:kern w:val="0"/>
                <w:sz w:val="24"/>
                <w:szCs w:val="24"/>
                <w:highlight w:val="none"/>
              </w:rPr>
              <w:t>分）</w:t>
            </w:r>
          </w:p>
        </w:tc>
        <w:tc>
          <w:tcPr>
            <w:tcW w:w="3933" w:type="dxa"/>
            <w:noWrap w:val="0"/>
            <w:vAlign w:val="center"/>
          </w:tcPr>
          <w:p w14:paraId="58E48AF2">
            <w:pPr>
              <w:pStyle w:val="35"/>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【优】得该项因素分的90%～100%（含90%）；</w:t>
            </w:r>
          </w:p>
          <w:p w14:paraId="05718174">
            <w:pPr>
              <w:pStyle w:val="35"/>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【良】得该项因素分的80%～90%（含80%）；</w:t>
            </w:r>
          </w:p>
          <w:p w14:paraId="19517C4E">
            <w:pPr>
              <w:pStyle w:val="35"/>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【中】得该项因素分的70%～80%（含70%）；</w:t>
            </w:r>
          </w:p>
          <w:p w14:paraId="316ECFA0">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【差】得该项因素分的60%～70%（含60%）。</w:t>
            </w:r>
          </w:p>
        </w:tc>
        <w:tc>
          <w:tcPr>
            <w:tcW w:w="4707" w:type="dxa"/>
            <w:noWrap w:val="0"/>
            <w:vAlign w:val="center"/>
          </w:tcPr>
          <w:p w14:paraId="2886F6D6">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w:t>
            </w:r>
            <w:r>
              <w:rPr>
                <w:rFonts w:hint="eastAsia" w:ascii="宋体" w:hAnsi="宋体" w:eastAsia="宋体" w:cs="宋体"/>
                <w:b/>
                <w:bCs/>
                <w:snapToGrid w:val="0"/>
                <w:color w:val="auto"/>
                <w:kern w:val="0"/>
                <w:sz w:val="24"/>
                <w:szCs w:val="24"/>
                <w:highlight w:val="none"/>
              </w:rPr>
              <w:t>经济赔偿合理。</w:t>
            </w:r>
          </w:p>
          <w:p w14:paraId="752E7DAE">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w:t>
            </w:r>
            <w:r>
              <w:rPr>
                <w:rFonts w:hint="eastAsia" w:ascii="宋体" w:hAnsi="宋体" w:eastAsia="宋体" w:cs="宋体"/>
                <w:b/>
                <w:bCs/>
                <w:snapToGrid w:val="0"/>
                <w:color w:val="auto"/>
                <w:kern w:val="0"/>
                <w:sz w:val="24"/>
                <w:szCs w:val="24"/>
                <w:highlight w:val="none"/>
              </w:rPr>
              <w:t>经济赔偿较合理。</w:t>
            </w:r>
          </w:p>
          <w:p w14:paraId="22A95D5D">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4CBB09BD">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【差】对项目关键技术有表述，对重点、难点有建议，解决方案不可行。采用的新技术针对性不强或验证材料不可靠，对节约投资、工期没有具体收益。无违约责任承诺。</w:t>
            </w:r>
          </w:p>
        </w:tc>
      </w:tr>
      <w:tr w14:paraId="688D9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noWrap w:val="0"/>
            <w:vAlign w:val="center"/>
          </w:tcPr>
          <w:p w14:paraId="1C7E6CFB">
            <w:pPr>
              <w:pStyle w:val="34"/>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绿色施工、安全防护、文明施工措施计划</w:t>
            </w:r>
          </w:p>
          <w:p w14:paraId="72A9524C">
            <w:pPr>
              <w:pStyle w:val="34"/>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分）</w:t>
            </w:r>
          </w:p>
        </w:tc>
        <w:tc>
          <w:tcPr>
            <w:tcW w:w="3933" w:type="dxa"/>
            <w:noWrap w:val="0"/>
            <w:vAlign w:val="center"/>
          </w:tcPr>
          <w:p w14:paraId="0C25D416">
            <w:pPr>
              <w:pStyle w:val="35"/>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【优】得该项因素分的90%～100%（含90%）；</w:t>
            </w:r>
          </w:p>
          <w:p w14:paraId="12787C17">
            <w:pPr>
              <w:pStyle w:val="35"/>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【良】得该项因素分的80%～90%（含80%）；</w:t>
            </w:r>
          </w:p>
          <w:p w14:paraId="0447BDA7">
            <w:pPr>
              <w:pStyle w:val="35"/>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【中】得该项因素分的70%～80%（含70%）；</w:t>
            </w:r>
          </w:p>
          <w:p w14:paraId="2B59EE45">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【差】得该项因素分的60%～70%（含60%）。</w:t>
            </w:r>
          </w:p>
        </w:tc>
        <w:tc>
          <w:tcPr>
            <w:tcW w:w="4707" w:type="dxa"/>
            <w:noWrap w:val="0"/>
            <w:vAlign w:val="center"/>
          </w:tcPr>
          <w:p w14:paraId="5FECCEDB">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【优】针对项目实际情况，有先进、具体、完整、可行的措施，采用规范准确、清晰。</w:t>
            </w:r>
          </w:p>
          <w:p w14:paraId="25ECA367">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【良】针对项目实际情况，有合理的措施且具体、完整，采用规范准确。</w:t>
            </w:r>
          </w:p>
          <w:p w14:paraId="574D9F34">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【中】有基本合理的措施，采用规范准确。</w:t>
            </w:r>
          </w:p>
          <w:p w14:paraId="538D346D">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【差】措施不力，采用规范不正确。</w:t>
            </w:r>
          </w:p>
        </w:tc>
      </w:tr>
      <w:tr w14:paraId="034D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noWrap w:val="0"/>
            <w:vAlign w:val="center"/>
          </w:tcPr>
          <w:p w14:paraId="60117008">
            <w:pPr>
              <w:pStyle w:val="34"/>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施工平面布置和临时设施布置</w:t>
            </w:r>
          </w:p>
          <w:p w14:paraId="542D8EFD">
            <w:pPr>
              <w:pStyle w:val="34"/>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2</w:t>
            </w:r>
            <w:r>
              <w:rPr>
                <w:rFonts w:hint="eastAsia" w:ascii="宋体" w:hAnsi="宋体" w:eastAsia="宋体" w:cs="宋体"/>
                <w:snapToGrid w:val="0"/>
                <w:color w:val="auto"/>
                <w:kern w:val="0"/>
                <w:sz w:val="24"/>
                <w:szCs w:val="24"/>
                <w:highlight w:val="none"/>
              </w:rPr>
              <w:t>分）</w:t>
            </w:r>
          </w:p>
        </w:tc>
        <w:tc>
          <w:tcPr>
            <w:tcW w:w="3933" w:type="dxa"/>
            <w:noWrap w:val="0"/>
            <w:vAlign w:val="center"/>
          </w:tcPr>
          <w:p w14:paraId="5526E522">
            <w:pPr>
              <w:pStyle w:val="35"/>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【优】得该项因素分的90%～100%（含90%）；</w:t>
            </w:r>
          </w:p>
          <w:p w14:paraId="215724CE">
            <w:pPr>
              <w:pStyle w:val="35"/>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【良】得该项因素分的80%～90%（含80%）；</w:t>
            </w:r>
          </w:p>
          <w:p w14:paraId="38FFFAAC">
            <w:pPr>
              <w:pStyle w:val="35"/>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【中】得该项因素分的70%～80%（含70%）；</w:t>
            </w:r>
          </w:p>
          <w:p w14:paraId="7DC7AF64">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【差】得该项因素分的60%～70%（含60%）。</w:t>
            </w:r>
          </w:p>
        </w:tc>
        <w:tc>
          <w:tcPr>
            <w:tcW w:w="4707" w:type="dxa"/>
            <w:noWrap w:val="0"/>
            <w:vAlign w:val="center"/>
          </w:tcPr>
          <w:p w14:paraId="527467CD">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【优】总体布置有针对性、合理，较好满足施工需要，符合绿色施工、安全防护、文明施工要求。</w:t>
            </w:r>
          </w:p>
          <w:p w14:paraId="753F28C5">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【良】总体布置合理，能满足施工需要，基本符合绿色施工、安全防护、文明施工要求。</w:t>
            </w:r>
          </w:p>
          <w:p w14:paraId="4BB69DB4">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【中】总体布置基本合理，基本满足施工需要。</w:t>
            </w:r>
          </w:p>
          <w:p w14:paraId="02022A9E">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【差】总体布置不合理，不符合绿色施工、安全防护、文明施工要求。</w:t>
            </w:r>
          </w:p>
        </w:tc>
      </w:tr>
      <w:tr w14:paraId="51B1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0" w:hRule="atLeast"/>
        </w:trPr>
        <w:tc>
          <w:tcPr>
            <w:tcW w:w="1214" w:type="dxa"/>
            <w:noWrap w:val="0"/>
            <w:vAlign w:val="center"/>
          </w:tcPr>
          <w:p w14:paraId="0195317F">
            <w:pPr>
              <w:pStyle w:val="34"/>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项目管理机构</w:t>
            </w:r>
          </w:p>
          <w:p w14:paraId="7601202D">
            <w:pPr>
              <w:pStyle w:val="34"/>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分）</w:t>
            </w:r>
          </w:p>
        </w:tc>
        <w:tc>
          <w:tcPr>
            <w:tcW w:w="3933" w:type="dxa"/>
            <w:noWrap w:val="0"/>
            <w:vAlign w:val="center"/>
          </w:tcPr>
          <w:p w14:paraId="57C2C0ED">
            <w:pPr>
              <w:pStyle w:val="35"/>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【优】得该项因素分的90%～100%（含90%）；</w:t>
            </w:r>
          </w:p>
          <w:p w14:paraId="56A9B595">
            <w:pPr>
              <w:pStyle w:val="35"/>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【良】得该项因素分的80%～90%（含80%）；</w:t>
            </w:r>
          </w:p>
          <w:p w14:paraId="48268F5A">
            <w:pPr>
              <w:pStyle w:val="35"/>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【中】得该项因素分的70%～80%（含70%）；</w:t>
            </w:r>
          </w:p>
          <w:p w14:paraId="06C4AE31">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【差】得该项因素分的60%～70%（含60%）。</w:t>
            </w:r>
          </w:p>
        </w:tc>
        <w:tc>
          <w:tcPr>
            <w:tcW w:w="4707" w:type="dxa"/>
            <w:noWrap w:val="0"/>
            <w:vAlign w:val="center"/>
          </w:tcPr>
          <w:p w14:paraId="274F6F8B">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【优】组织机构形式合理，有完善的指挥系统，生产及质量、绿色施工、安全、文明施工、创优达标监控系统、联络协调系统，项目管理人员内高级职称人员</w:t>
            </w:r>
            <w:r>
              <w:rPr>
                <w:rFonts w:hint="eastAsia" w:ascii="宋体" w:hAnsi="宋体" w:eastAsia="宋体" w:cs="宋体"/>
                <w:snapToGrid w:val="0"/>
                <w:color w:val="auto"/>
                <w:kern w:val="0"/>
                <w:sz w:val="24"/>
                <w:szCs w:val="24"/>
                <w:highlight w:val="none"/>
                <w:lang w:val="en-US" w:eastAsia="zh-CN"/>
              </w:rPr>
              <w:t>15</w:t>
            </w:r>
            <w:r>
              <w:rPr>
                <w:rFonts w:hint="eastAsia" w:ascii="宋体" w:hAnsi="宋体" w:eastAsia="宋体" w:cs="宋体"/>
                <w:snapToGrid w:val="0"/>
                <w:color w:val="auto"/>
                <w:kern w:val="0"/>
                <w:sz w:val="24"/>
                <w:szCs w:val="24"/>
                <w:highlight w:val="none"/>
              </w:rPr>
              <w:t>%（含</w:t>
            </w:r>
            <w:r>
              <w:rPr>
                <w:rFonts w:hint="eastAsia" w:ascii="宋体" w:hAnsi="宋体" w:eastAsia="宋体" w:cs="宋体"/>
                <w:snapToGrid w:val="0"/>
                <w:color w:val="auto"/>
                <w:kern w:val="0"/>
                <w:sz w:val="24"/>
                <w:szCs w:val="24"/>
                <w:highlight w:val="none"/>
                <w:lang w:val="en-US" w:eastAsia="zh-CN"/>
              </w:rPr>
              <w:t>15</w:t>
            </w:r>
            <w:r>
              <w:rPr>
                <w:rFonts w:hint="eastAsia" w:ascii="宋体" w:hAnsi="宋体" w:eastAsia="宋体" w:cs="宋体"/>
                <w:snapToGrid w:val="0"/>
                <w:color w:val="auto"/>
                <w:kern w:val="0"/>
                <w:sz w:val="24"/>
                <w:szCs w:val="24"/>
                <w:highlight w:val="none"/>
              </w:rPr>
              <w:t>%）以上、中级职称人员</w:t>
            </w:r>
            <w:r>
              <w:rPr>
                <w:rFonts w:hint="eastAsia" w:ascii="宋体" w:hAnsi="宋体" w:eastAsia="宋体" w:cs="宋体"/>
                <w:b/>
                <w:bCs/>
                <w:snapToGrid w:val="0"/>
                <w:color w:val="auto"/>
                <w:kern w:val="0"/>
                <w:sz w:val="24"/>
                <w:szCs w:val="24"/>
                <w:highlight w:val="none"/>
              </w:rPr>
              <w:t>及以上职称</w:t>
            </w:r>
            <w:r>
              <w:rPr>
                <w:rFonts w:hint="eastAsia" w:ascii="宋体" w:hAnsi="宋体" w:eastAsia="宋体" w:cs="宋体"/>
                <w:snapToGrid w:val="0"/>
                <w:color w:val="auto"/>
                <w:kern w:val="0"/>
                <w:sz w:val="24"/>
                <w:szCs w:val="24"/>
                <w:highlight w:val="none"/>
              </w:rPr>
              <w:t>60%（含60%）以上。</w:t>
            </w:r>
          </w:p>
          <w:p w14:paraId="780FAC24">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【良】组织机构形式合理，指挥系统，生产及质量、绿色施工、安全、文明施工、创优达标监控系统、联络协调系统齐全，项目管理人员内高级职称人员</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15</w:t>
            </w:r>
            <w:r>
              <w:rPr>
                <w:rFonts w:hint="eastAsia" w:ascii="宋体" w:hAnsi="宋体" w:eastAsia="宋体" w:cs="宋体"/>
                <w:snapToGrid w:val="0"/>
                <w:color w:val="auto"/>
                <w:kern w:val="0"/>
                <w:sz w:val="24"/>
                <w:szCs w:val="24"/>
                <w:highlight w:val="none"/>
              </w:rPr>
              <w:t>%（含</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%）、中级职称</w:t>
            </w:r>
            <w:r>
              <w:rPr>
                <w:rFonts w:hint="eastAsia" w:ascii="宋体" w:hAnsi="宋体" w:eastAsia="宋体" w:cs="宋体"/>
                <w:b/>
                <w:bCs/>
                <w:snapToGrid w:val="0"/>
                <w:color w:val="auto"/>
                <w:kern w:val="0"/>
                <w:sz w:val="24"/>
                <w:szCs w:val="24"/>
                <w:highlight w:val="none"/>
              </w:rPr>
              <w:t>及以上职称</w:t>
            </w:r>
            <w:r>
              <w:rPr>
                <w:rFonts w:hint="eastAsia" w:ascii="宋体" w:hAnsi="宋体" w:eastAsia="宋体" w:cs="宋体"/>
                <w:snapToGrid w:val="0"/>
                <w:color w:val="auto"/>
                <w:kern w:val="0"/>
                <w:sz w:val="24"/>
                <w:szCs w:val="24"/>
                <w:highlight w:val="none"/>
              </w:rPr>
              <w:t>人员50%～60%（含50%）。</w:t>
            </w:r>
          </w:p>
          <w:p w14:paraId="4B424958">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【中】组织机构形式基本合理，有指挥系统，生产及质量、绿色施工、安全、文明施工、创优达标监控系统、联络协调系统，项目管理人员内高级职称人员</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%（含</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%）、中级职称人员</w:t>
            </w:r>
            <w:r>
              <w:rPr>
                <w:rFonts w:hint="eastAsia" w:ascii="宋体" w:hAnsi="宋体" w:eastAsia="宋体" w:cs="宋体"/>
                <w:b/>
                <w:bCs/>
                <w:snapToGrid w:val="0"/>
                <w:color w:val="auto"/>
                <w:kern w:val="0"/>
                <w:sz w:val="24"/>
                <w:szCs w:val="24"/>
                <w:highlight w:val="none"/>
              </w:rPr>
              <w:t>及以上职称</w:t>
            </w:r>
            <w:r>
              <w:rPr>
                <w:rFonts w:hint="eastAsia" w:ascii="宋体" w:hAnsi="宋体" w:eastAsia="宋体" w:cs="宋体"/>
                <w:snapToGrid w:val="0"/>
                <w:color w:val="auto"/>
                <w:kern w:val="0"/>
                <w:sz w:val="24"/>
                <w:szCs w:val="24"/>
                <w:highlight w:val="none"/>
              </w:rPr>
              <w:t>40%～50%（含40%）。</w:t>
            </w:r>
          </w:p>
          <w:p w14:paraId="1CE61C8B">
            <w:pPr>
              <w:pStyle w:val="37"/>
              <w:keepNext w:val="0"/>
              <w:keepLines w:val="0"/>
              <w:suppressLineNumbers w:val="0"/>
              <w:wordWrap w:val="0"/>
              <w:adjustRightInd w:val="0"/>
              <w:snapToGrid w:val="0"/>
              <w:spacing w:before="0" w:beforeAutospacing="0" w:after="0" w:afterAutospacing="0" w:line="360" w:lineRule="auto"/>
              <w:ind w:left="0" w:right="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【差】组织机构形式合理，指挥系统，生产及质量、绿色施工、安全、文明施工、创优达标监控系统、联络协调系统不齐全，项目管理人员内高级职称人员10%以下、中级职称人员</w:t>
            </w:r>
            <w:r>
              <w:rPr>
                <w:rFonts w:hint="eastAsia" w:ascii="宋体" w:hAnsi="宋体" w:eastAsia="宋体" w:cs="宋体"/>
                <w:b/>
                <w:bCs/>
                <w:snapToGrid w:val="0"/>
                <w:color w:val="auto"/>
                <w:kern w:val="0"/>
                <w:sz w:val="24"/>
                <w:szCs w:val="24"/>
                <w:highlight w:val="none"/>
              </w:rPr>
              <w:t>及以上职称</w:t>
            </w:r>
            <w:r>
              <w:rPr>
                <w:rFonts w:hint="eastAsia" w:ascii="宋体" w:hAnsi="宋体" w:eastAsia="宋体" w:cs="宋体"/>
                <w:snapToGrid w:val="0"/>
                <w:color w:val="auto"/>
                <w:kern w:val="0"/>
                <w:sz w:val="24"/>
                <w:szCs w:val="24"/>
                <w:highlight w:val="none"/>
              </w:rPr>
              <w:t>40%以下。</w:t>
            </w:r>
          </w:p>
        </w:tc>
      </w:tr>
      <w:tr w14:paraId="0202D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3"/>
            <w:noWrap w:val="0"/>
            <w:vAlign w:val="top"/>
          </w:tcPr>
          <w:p w14:paraId="2072D7E1">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4"/>
                <w:highlight w:val="none"/>
                <w:vertAlign w:val="baseline"/>
              </w:rPr>
            </w:pPr>
            <w:r>
              <w:rPr>
                <w:rFonts w:hint="eastAsia" w:ascii="宋体" w:hAnsi="宋体" w:eastAsia="宋体" w:cs="宋体"/>
                <w:b/>
                <w:bCs/>
                <w:snapToGrid w:val="0"/>
                <w:color w:val="auto"/>
                <w:kern w:val="0"/>
                <w:sz w:val="24"/>
                <w:szCs w:val="24"/>
                <w:highlight w:val="none"/>
              </w:rPr>
              <w:t>投标报价部分，满分：100分。</w:t>
            </w:r>
          </w:p>
        </w:tc>
      </w:tr>
      <w:tr w14:paraId="570D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noWrap w:val="0"/>
            <w:vAlign w:val="center"/>
          </w:tcPr>
          <w:p w14:paraId="6A400CBE">
            <w:pPr>
              <w:keepNext w:val="0"/>
              <w:keepLines w:val="0"/>
              <w:widowControl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评分事项</w:t>
            </w:r>
          </w:p>
        </w:tc>
        <w:tc>
          <w:tcPr>
            <w:tcW w:w="8640" w:type="dxa"/>
            <w:gridSpan w:val="2"/>
            <w:noWrap w:val="0"/>
            <w:vAlign w:val="center"/>
          </w:tcPr>
          <w:p w14:paraId="1F095ADC">
            <w:pPr>
              <w:keepNext w:val="0"/>
              <w:keepLines w:val="0"/>
              <w:widowControl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评分方法</w:t>
            </w:r>
          </w:p>
        </w:tc>
      </w:tr>
      <w:tr w14:paraId="40B8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noWrap w:val="0"/>
            <w:vAlign w:val="center"/>
          </w:tcPr>
          <w:p w14:paraId="1A6FFB89">
            <w:pPr>
              <w:pStyle w:val="34"/>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评标基准价D</w:t>
            </w:r>
          </w:p>
        </w:tc>
        <w:tc>
          <w:tcPr>
            <w:tcW w:w="8640" w:type="dxa"/>
            <w:gridSpan w:val="2"/>
            <w:noWrap w:val="0"/>
            <w:vAlign w:val="center"/>
          </w:tcPr>
          <w:p w14:paraId="665F9744">
            <w:pPr>
              <w:keepNext w:val="0"/>
              <w:keepLines w:val="0"/>
              <w:widowControl w:val="0"/>
              <w:suppressLineNumbers w:val="0"/>
              <w:wordWrap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（1）确定招标控制价下浮系数n：用1～21号球分别代表一个下浮系数，由评委代表从这21个号码中随机抽取</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次，每次抽取1个号码，抽出的号球不参与下次抽取。所抽取的3个号码对应下浮系数的算术平均值作为招标控制价下浮系数n。具体号码对应的下浮系数可参考下表。</w:t>
            </w:r>
          </w:p>
          <w:tbl>
            <w:tblPr>
              <w:tblStyle w:val="21"/>
              <w:tblW w:w="0" w:type="auto"/>
              <w:jc w:val="center"/>
              <w:shd w:val="clear" w:color="auto" w:fill="FFFFFF"/>
              <w:tblLayout w:type="autofit"/>
              <w:tblCellMar>
                <w:top w:w="0" w:type="dxa"/>
                <w:left w:w="108" w:type="dxa"/>
                <w:bottom w:w="0" w:type="dxa"/>
                <w:right w:w="108" w:type="dxa"/>
              </w:tblCellMar>
            </w:tblPr>
            <w:tblGrid>
              <w:gridCol w:w="1818"/>
              <w:gridCol w:w="828"/>
              <w:gridCol w:w="865"/>
              <w:gridCol w:w="901"/>
              <w:gridCol w:w="885"/>
              <w:gridCol w:w="921"/>
              <w:gridCol w:w="864"/>
              <w:gridCol w:w="854"/>
            </w:tblGrid>
            <w:tr w14:paraId="5454860C">
              <w:tblPrEx>
                <w:shd w:val="clear" w:color="auto" w:fill="FFFFFF"/>
                <w:tblCellMar>
                  <w:top w:w="0" w:type="dxa"/>
                  <w:left w:w="108" w:type="dxa"/>
                  <w:bottom w:w="0" w:type="dxa"/>
                  <w:right w:w="108" w:type="dxa"/>
                </w:tblCellMar>
              </w:tblPrEx>
              <w:trPr>
                <w:trHeight w:val="454" w:hRule="exact"/>
                <w:jc w:val="center"/>
              </w:trPr>
              <w:tc>
                <w:tcPr>
                  <w:tcW w:w="18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112DF0">
                  <w:pPr>
                    <w:wordWrap w:val="0"/>
                    <w:adjustRightInd w:val="0"/>
                    <w:snapToGrid w:val="0"/>
                    <w:spacing w:line="360" w:lineRule="auto"/>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8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C19D2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8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7B70A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9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CFBD93">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A9B76A">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92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FFD98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86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033FBB">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8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60B69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r>
            <w:tr w14:paraId="2B4C7E23">
              <w:tblPrEx>
                <w:tblCellMar>
                  <w:top w:w="0" w:type="dxa"/>
                  <w:left w:w="108" w:type="dxa"/>
                  <w:bottom w:w="0" w:type="dxa"/>
                  <w:right w:w="108" w:type="dxa"/>
                </w:tblCellMar>
              </w:tblPrEx>
              <w:trPr>
                <w:trHeight w:val="454" w:hRule="exact"/>
                <w:jc w:val="center"/>
              </w:trPr>
              <w:tc>
                <w:tcPr>
                  <w:tcW w:w="18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65AE4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8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350F0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8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4AB1A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9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AACE2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70BF9A">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92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026E7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86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940A5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8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4D1EB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r>
            <w:tr w14:paraId="5B50B18F">
              <w:tblPrEx>
                <w:tblCellMar>
                  <w:top w:w="0" w:type="dxa"/>
                  <w:left w:w="108" w:type="dxa"/>
                  <w:bottom w:w="0" w:type="dxa"/>
                  <w:right w:w="108" w:type="dxa"/>
                </w:tblCellMar>
              </w:tblPrEx>
              <w:trPr>
                <w:trHeight w:val="454" w:hRule="exact"/>
                <w:jc w:val="center"/>
              </w:trPr>
              <w:tc>
                <w:tcPr>
                  <w:tcW w:w="18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141C35">
                  <w:pPr>
                    <w:wordWrap w:val="0"/>
                    <w:adjustRightInd w:val="0"/>
                    <w:snapToGrid w:val="0"/>
                    <w:spacing w:line="360" w:lineRule="auto"/>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8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16B4C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8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377023">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9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1B72E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B7935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92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4AFE1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86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9CD67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8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9F217F">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r>
            <w:tr w14:paraId="3DDCF90B">
              <w:tblPrEx>
                <w:tblCellMar>
                  <w:top w:w="0" w:type="dxa"/>
                  <w:left w:w="108" w:type="dxa"/>
                  <w:bottom w:w="0" w:type="dxa"/>
                  <w:right w:w="108" w:type="dxa"/>
                </w:tblCellMar>
              </w:tblPrEx>
              <w:trPr>
                <w:trHeight w:val="454" w:hRule="exact"/>
                <w:jc w:val="center"/>
              </w:trPr>
              <w:tc>
                <w:tcPr>
                  <w:tcW w:w="18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74C5A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8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E8F470">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8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EEEA1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9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1DFAD6">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3DC50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92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DEB9C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86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DCA8FB">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8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3AE3C9">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r>
            <w:tr w14:paraId="0D0882BE">
              <w:tblPrEx>
                <w:tblCellMar>
                  <w:top w:w="0" w:type="dxa"/>
                  <w:left w:w="108" w:type="dxa"/>
                  <w:bottom w:w="0" w:type="dxa"/>
                  <w:right w:w="108" w:type="dxa"/>
                </w:tblCellMar>
              </w:tblPrEx>
              <w:trPr>
                <w:trHeight w:val="454" w:hRule="exact"/>
                <w:jc w:val="center"/>
              </w:trPr>
              <w:tc>
                <w:tcPr>
                  <w:tcW w:w="18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5533F8">
                  <w:pPr>
                    <w:wordWrap w:val="0"/>
                    <w:adjustRightInd w:val="0"/>
                    <w:snapToGrid w:val="0"/>
                    <w:spacing w:line="360" w:lineRule="auto"/>
                    <w:jc w:val="center"/>
                    <w:rPr>
                      <w:rFonts w:hint="eastAsia" w:ascii="宋体" w:hAnsi="宋体" w:eastAsia="宋体" w:cs="宋体"/>
                      <w:b/>
                      <w:snapToGrid w:val="0"/>
                      <w:color w:val="auto"/>
                      <w:kern w:val="0"/>
                      <w:sz w:val="24"/>
                      <w:szCs w:val="24"/>
                      <w:highlight w:val="none"/>
                      <w:lang w:val="en-US" w:eastAsia="en-US" w:bidi="ar-SA"/>
                    </w:rPr>
                  </w:pPr>
                  <w:r>
                    <w:rPr>
                      <w:rFonts w:hint="eastAsia" w:ascii="宋体" w:hAnsi="宋体" w:eastAsia="宋体" w:cs="宋体"/>
                      <w:bCs/>
                      <w:snapToGrid w:val="0"/>
                      <w:color w:val="auto"/>
                      <w:kern w:val="0"/>
                      <w:sz w:val="24"/>
                      <w:szCs w:val="24"/>
                      <w:highlight w:val="none"/>
                    </w:rPr>
                    <w:t>号球</w:t>
                  </w:r>
                </w:p>
              </w:tc>
              <w:tc>
                <w:tcPr>
                  <w:tcW w:w="8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601B2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rPr>
                    <w:t>15</w:t>
                  </w:r>
                </w:p>
              </w:tc>
              <w:tc>
                <w:tcPr>
                  <w:tcW w:w="8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EB1073">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rPr>
                    <w:t>16</w:t>
                  </w:r>
                </w:p>
              </w:tc>
              <w:tc>
                <w:tcPr>
                  <w:tcW w:w="9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50EDE0">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rPr>
                    <w:t>17</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693080">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rPr>
                    <w:t>18</w:t>
                  </w:r>
                </w:p>
              </w:tc>
              <w:tc>
                <w:tcPr>
                  <w:tcW w:w="92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5A9FBB">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rPr>
                    <w:t>19</w:t>
                  </w:r>
                </w:p>
              </w:tc>
              <w:tc>
                <w:tcPr>
                  <w:tcW w:w="86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4AB00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rPr>
                    <w:t>20</w:t>
                  </w:r>
                </w:p>
              </w:tc>
              <w:tc>
                <w:tcPr>
                  <w:tcW w:w="8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CCF8C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rPr>
                    <w:t>21</w:t>
                  </w:r>
                </w:p>
              </w:tc>
            </w:tr>
            <w:tr w14:paraId="5241759C">
              <w:tblPrEx>
                <w:tblCellMar>
                  <w:top w:w="0" w:type="dxa"/>
                  <w:left w:w="108" w:type="dxa"/>
                  <w:bottom w:w="0" w:type="dxa"/>
                  <w:right w:w="108" w:type="dxa"/>
                </w:tblCellMar>
              </w:tblPrEx>
              <w:trPr>
                <w:trHeight w:val="454" w:hRule="exact"/>
                <w:jc w:val="center"/>
              </w:trPr>
              <w:tc>
                <w:tcPr>
                  <w:tcW w:w="18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E4D3A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rPr>
                    <w:t>下浮系数（%）</w:t>
                  </w:r>
                </w:p>
              </w:tc>
              <w:tc>
                <w:tcPr>
                  <w:tcW w:w="8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0771D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rPr>
                    <w:t>2.4</w:t>
                  </w:r>
                </w:p>
              </w:tc>
              <w:tc>
                <w:tcPr>
                  <w:tcW w:w="8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DE5633">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rPr>
                    <w:t>2.5</w:t>
                  </w:r>
                </w:p>
              </w:tc>
              <w:tc>
                <w:tcPr>
                  <w:tcW w:w="9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D81F30">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rPr>
                    <w:t>2.6</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463AA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rPr>
                    <w:t>2.7</w:t>
                  </w:r>
                </w:p>
              </w:tc>
              <w:tc>
                <w:tcPr>
                  <w:tcW w:w="92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1C7303">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rPr>
                    <w:t>2.8</w:t>
                  </w:r>
                </w:p>
              </w:tc>
              <w:tc>
                <w:tcPr>
                  <w:tcW w:w="86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61AC6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rPr>
                    <w:t>2.9</w:t>
                  </w:r>
                </w:p>
              </w:tc>
              <w:tc>
                <w:tcPr>
                  <w:tcW w:w="8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729ABB">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rPr>
                    <w:t>3.0</w:t>
                  </w:r>
                </w:p>
              </w:tc>
            </w:tr>
          </w:tbl>
          <w:p w14:paraId="1ADD7FC8">
            <w:pPr>
              <w:keepNext w:val="0"/>
              <w:keepLines w:val="0"/>
              <w:widowControl w:val="0"/>
              <w:suppressLineNumbers w:val="0"/>
              <w:wordWrap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（2）评标基准价D＝招标控制价×（1－n）</w:t>
            </w:r>
          </w:p>
        </w:tc>
      </w:tr>
      <w:tr w14:paraId="5F3B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noWrap w:val="0"/>
            <w:vAlign w:val="center"/>
          </w:tcPr>
          <w:p w14:paraId="16F0FCD2">
            <w:pPr>
              <w:pStyle w:val="34"/>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投标报价</w:t>
            </w:r>
          </w:p>
          <w:p w14:paraId="4BDD2D45">
            <w:pPr>
              <w:pStyle w:val="34"/>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得分N</w:t>
            </w:r>
          </w:p>
        </w:tc>
        <w:tc>
          <w:tcPr>
            <w:tcW w:w="8640" w:type="dxa"/>
            <w:gridSpan w:val="2"/>
            <w:noWrap w:val="0"/>
            <w:vAlign w:val="center"/>
          </w:tcPr>
          <w:p w14:paraId="5BB598E2">
            <w:pPr>
              <w:keepNext w:val="0"/>
              <w:keepLines w:val="0"/>
              <w:widowControl w:val="0"/>
              <w:suppressLineNumbers w:val="0"/>
              <w:wordWrap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采用内插法计算某投标人的投标报价得分N，即当投标人的投标总价等于评标基准价时得100分，每高于评标基准价一个百分点扣1分，每低于评标基准价一个百分点扣0.5分，扣完为止。公式如下：</w:t>
            </w:r>
          </w:p>
          <w:p w14:paraId="71C92F26">
            <w:pPr>
              <w:keepNext w:val="0"/>
              <w:keepLines w:val="0"/>
              <w:widowControl w:val="0"/>
              <w:suppressLineNumbers w:val="0"/>
              <w:wordWrap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N＝100－（|Di－D|÷D）×100×E</w:t>
            </w:r>
          </w:p>
          <w:p w14:paraId="035E42E8">
            <w:pPr>
              <w:keepNext w:val="0"/>
              <w:keepLines w:val="0"/>
              <w:widowControl w:val="0"/>
              <w:suppressLineNumbers w:val="0"/>
              <w:wordWrap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式中：D为评标基准价；Di为某投标人的投标总价；E为扣分因子，当Di＞D时，E＝1；当Di＜D时，E＝0.5。</w:t>
            </w:r>
          </w:p>
        </w:tc>
      </w:tr>
    </w:tbl>
    <w:p w14:paraId="7052BEAA">
      <w:pPr>
        <w:pStyle w:val="3"/>
        <w:bidi w:val="0"/>
        <w:ind w:left="0" w:leftChars="0" w:firstLine="0" w:firstLineChars="0"/>
        <w:rPr>
          <w:rFonts w:hint="eastAsia" w:ascii="宋体" w:hAnsi="宋体" w:eastAsia="宋体" w:cs="宋体"/>
          <w:color w:val="auto"/>
          <w:lang w:val="en-US" w:eastAsia="zh-CN"/>
        </w:rPr>
      </w:pPr>
      <w:bookmarkStart w:id="42" w:name="_Toc31485"/>
      <w:r>
        <w:rPr>
          <w:rFonts w:hint="eastAsia" w:ascii="宋体" w:hAnsi="宋体" w:eastAsia="宋体" w:cs="宋体"/>
          <w:color w:val="auto"/>
          <w:lang w:val="en-US" w:eastAsia="zh-CN"/>
        </w:rPr>
        <w:t>四、定标细则</w:t>
      </w:r>
      <w:bookmarkEnd w:id="42"/>
    </w:p>
    <w:p w14:paraId="7F1714AB">
      <w:pPr>
        <w:keepNext w:val="0"/>
        <w:keepLines w:val="0"/>
        <w:pageBreakBefore w:val="0"/>
        <w:kinsoku/>
        <w:wordWrap/>
        <w:overflowPunct/>
        <w:topLinePunct w:val="0"/>
        <w:autoSpaceDE/>
        <w:autoSpaceDN/>
        <w:bidi w:val="0"/>
        <w:adjustRightInd/>
        <w:snapToGrid/>
        <w:spacing w:line="400" w:lineRule="exact"/>
        <w:ind w:firstLine="422" w:firstLineChars="150"/>
        <w:jc w:val="center"/>
        <w:textAlignment w:val="auto"/>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票决数量法</w:t>
      </w:r>
    </w:p>
    <w:p w14:paraId="7DD9AF1E">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本项目采用票决数量法定标。</w:t>
      </w:r>
    </w:p>
    <w:p w14:paraId="6C5B6BF2">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eastAsia="zh-CN"/>
        </w:rPr>
      </w:pPr>
      <w:r>
        <w:rPr>
          <w:rFonts w:hint="eastAsia" w:ascii="宋体" w:hAnsi="宋体" w:eastAsia="宋体" w:cs="宋体"/>
          <w:b/>
          <w:bCs/>
          <w:color w:val="auto"/>
          <w:spacing w:val="0"/>
          <w:position w:val="0"/>
          <w:sz w:val="24"/>
          <w:szCs w:val="24"/>
          <w:highlight w:val="none"/>
          <w:u w:val="none" w:color="auto"/>
          <w:lang w:val="en-US" w:eastAsia="zh-CN"/>
        </w:rPr>
        <w:t>一、票决数量法程序</w:t>
      </w:r>
    </w:p>
    <w:p w14:paraId="4D823C4B">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i w:val="0"/>
          <w:snapToGrid/>
          <w:color w:val="auto"/>
          <w:sz w:val="24"/>
          <w:szCs w:val="24"/>
          <w:highlight w:val="none"/>
          <w:u w:val="none"/>
          <w:shd w:val="clear" w:color="auto" w:fill="FFFFFF"/>
          <w:lang w:eastAsia="zh-CN"/>
        </w:rPr>
        <w:t>定标委员会根据定标因素对定标候选人进行评审比较后，每名定标委员会成员</w:t>
      </w:r>
      <w:r>
        <w:rPr>
          <w:rFonts w:hint="eastAsia" w:ascii="宋体" w:hAnsi="宋体" w:eastAsia="宋体" w:cs="宋体"/>
          <w:color w:val="auto"/>
          <w:sz w:val="24"/>
          <w:szCs w:val="24"/>
          <w:highlight w:val="none"/>
          <w:u w:val="none"/>
          <w:lang w:val="en-US" w:eastAsia="zh-CN"/>
        </w:rPr>
        <w:t>有且仅有投出1票的权利，1票只能投1名定标候选人，</w:t>
      </w:r>
      <w:r>
        <w:rPr>
          <w:rFonts w:hint="eastAsia" w:ascii="宋体" w:hAnsi="宋体" w:eastAsia="宋体" w:cs="宋体"/>
          <w:b w:val="0"/>
          <w:i w:val="0"/>
          <w:snapToGrid/>
          <w:color w:val="auto"/>
          <w:sz w:val="24"/>
          <w:szCs w:val="24"/>
          <w:highlight w:val="none"/>
          <w:u w:val="none"/>
          <w:shd w:val="clear" w:color="auto" w:fill="FFFFFF"/>
          <w:lang w:eastAsia="zh-CN"/>
        </w:rPr>
        <w:t>进行票决排名确定排序的中标候选人。即各定标委员会成员对定标候选人进行投票，按得票高低推荐排序的前三名中标候选人。</w:t>
      </w:r>
      <w:r>
        <w:rPr>
          <w:rFonts w:hint="eastAsia" w:ascii="宋体" w:hAnsi="宋体" w:eastAsia="宋体" w:cs="宋体"/>
          <w:color w:val="auto"/>
          <w:sz w:val="24"/>
          <w:szCs w:val="24"/>
          <w:highlight w:val="none"/>
          <w:u w:val="none"/>
          <w:lang w:val="en-US" w:eastAsia="zh-CN"/>
        </w:rPr>
        <w:t>若第一轮投票中前三名中标候选人有</w:t>
      </w:r>
      <w:r>
        <w:rPr>
          <w:rFonts w:hint="eastAsia" w:ascii="宋体" w:hAnsi="宋体" w:eastAsia="宋体" w:cs="宋体"/>
          <w:color w:val="auto"/>
          <w:sz w:val="24"/>
          <w:szCs w:val="24"/>
          <w:highlight w:val="none"/>
          <w:u w:val="none"/>
          <w:shd w:val="clear" w:color="auto" w:fill="FFFFFF"/>
          <w:lang w:val="en-US" w:eastAsia="zh-CN"/>
        </w:rPr>
        <w:t>得票相同且影响中标候选人排序确定的，由定标委员会对总票数相同的单位进行再次票决确定排序,</w:t>
      </w:r>
      <w:r>
        <w:rPr>
          <w:rFonts w:hint="eastAsia" w:ascii="宋体" w:hAnsi="宋体" w:eastAsia="宋体" w:cs="宋体"/>
          <w:color w:val="auto"/>
          <w:sz w:val="24"/>
          <w:szCs w:val="24"/>
          <w:highlight w:val="none"/>
          <w:u w:val="none"/>
          <w:lang w:val="en-US" w:eastAsia="zh-CN"/>
        </w:rPr>
        <w:t>直至决出排序的前三名中标候选人。若定标候选人中没有符合评审要求的三名中标候选人，则宣告本次招标失败。</w:t>
      </w:r>
      <w:r>
        <w:rPr>
          <w:rFonts w:hint="eastAsia" w:ascii="宋体" w:hAnsi="宋体" w:eastAsia="宋体" w:cs="宋体"/>
          <w:b w:val="0"/>
          <w:i w:val="0"/>
          <w:snapToGrid/>
          <w:color w:val="auto"/>
          <w:sz w:val="24"/>
          <w:szCs w:val="24"/>
          <w:highlight w:val="none"/>
          <w:u w:val="none"/>
          <w:shd w:val="clear" w:color="auto" w:fill="FFFFFF"/>
          <w:lang w:eastAsia="zh-CN"/>
        </w:rPr>
        <w:t>票决采用记名方式并注明投票理由。</w:t>
      </w:r>
    </w:p>
    <w:p w14:paraId="05D6BDDB">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1.</w:t>
      </w:r>
      <w:r>
        <w:rPr>
          <w:rFonts w:hint="eastAsia" w:ascii="宋体" w:hAnsi="宋体" w:eastAsia="宋体" w:cs="宋体"/>
          <w:b/>
          <w:bCs/>
          <w:color w:val="auto"/>
          <w:sz w:val="24"/>
          <w:szCs w:val="24"/>
          <w:highlight w:val="none"/>
          <w:u w:val="none"/>
          <w:shd w:val="clear" w:color="auto" w:fill="FFFFFF"/>
        </w:rPr>
        <w:t>项目情况介绍</w:t>
      </w:r>
    </w:p>
    <w:p w14:paraId="1E19CF0E">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eastAsia="zh-CN"/>
        </w:rPr>
      </w:pPr>
      <w:r>
        <w:rPr>
          <w:rFonts w:hint="eastAsia" w:ascii="宋体" w:hAnsi="宋体" w:eastAsia="宋体" w:cs="宋体"/>
          <w:b w:val="0"/>
          <w:bCs w:val="0"/>
          <w:color w:val="auto"/>
          <w:spacing w:val="0"/>
          <w:position w:val="0"/>
          <w:sz w:val="24"/>
          <w:szCs w:val="24"/>
          <w:highlight w:val="none"/>
          <w:u w:val="none" w:color="auto"/>
          <w:lang w:eastAsia="zh-CN"/>
        </w:rPr>
        <w:t>招标人代表介绍项目的概况及招标要求，以及定标方法与定标工作规则，不得发表具有倾向性的言论。</w:t>
      </w:r>
    </w:p>
    <w:p w14:paraId="7CF0D255">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2.</w:t>
      </w:r>
      <w:r>
        <w:rPr>
          <w:rFonts w:hint="eastAsia" w:ascii="宋体" w:hAnsi="宋体" w:eastAsia="宋体" w:cs="宋体"/>
          <w:b/>
          <w:bCs/>
          <w:color w:val="auto"/>
          <w:sz w:val="24"/>
          <w:szCs w:val="24"/>
          <w:highlight w:val="none"/>
          <w:u w:val="none"/>
          <w:shd w:val="clear" w:color="auto" w:fill="FFFFFF"/>
        </w:rPr>
        <w:t>审阅定标资料</w:t>
      </w:r>
    </w:p>
    <w:p w14:paraId="292F119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eastAsia="zh-CN"/>
        </w:rPr>
      </w:pPr>
      <w:r>
        <w:rPr>
          <w:rFonts w:hint="eastAsia" w:ascii="宋体" w:hAnsi="宋体" w:eastAsia="宋体" w:cs="宋体"/>
          <w:b w:val="0"/>
          <w:bCs w:val="0"/>
          <w:color w:val="auto"/>
          <w:spacing w:val="0"/>
          <w:position w:val="0"/>
          <w:sz w:val="24"/>
          <w:szCs w:val="24"/>
          <w:highlight w:val="none"/>
          <w:u w:val="none" w:color="auto"/>
          <w:lang w:eastAsia="zh-CN"/>
        </w:rPr>
        <w:t>定标委员会成员对各定标候选人的投标文件进行审阅，审阅内容主要是定标工作规则所规定的定标因素，</w:t>
      </w:r>
      <w:r>
        <w:rPr>
          <w:rFonts w:hint="eastAsia" w:ascii="宋体" w:hAnsi="宋体" w:eastAsia="宋体" w:cs="宋体"/>
          <w:b w:val="0"/>
          <w:bCs w:val="0"/>
          <w:color w:val="auto"/>
          <w:spacing w:val="0"/>
          <w:position w:val="0"/>
          <w:sz w:val="24"/>
          <w:szCs w:val="24"/>
          <w:highlight w:val="none"/>
          <w:u w:val="none" w:color="auto"/>
          <w:lang w:val="en-US" w:eastAsia="zh-CN"/>
        </w:rPr>
        <w:t>聚焦于项目需求与候选人能力的匹配度</w:t>
      </w:r>
      <w:r>
        <w:rPr>
          <w:rFonts w:hint="eastAsia" w:ascii="宋体" w:hAnsi="宋体" w:eastAsia="宋体" w:cs="宋体"/>
          <w:color w:val="auto"/>
          <w:sz w:val="24"/>
          <w:szCs w:val="24"/>
          <w:highlight w:val="none"/>
          <w:u w:val="none"/>
          <w:shd w:val="clear" w:color="auto" w:fill="FFFFFF"/>
          <w:lang w:eastAsia="zh-CN"/>
        </w:rPr>
        <w:t>。</w:t>
      </w:r>
    </w:p>
    <w:p w14:paraId="44F8B727">
      <w:pPr>
        <w:pStyle w:val="18"/>
        <w:keepNext w:val="0"/>
        <w:keepLines w:val="0"/>
        <w:pageBreakBefore w:val="0"/>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exact"/>
        <w:ind w:leftChars="228"/>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3.</w:t>
      </w:r>
      <w:r>
        <w:rPr>
          <w:rFonts w:hint="eastAsia" w:ascii="宋体" w:hAnsi="宋体" w:eastAsia="宋体" w:cs="宋体"/>
          <w:b/>
          <w:bCs/>
          <w:color w:val="auto"/>
          <w:sz w:val="24"/>
          <w:szCs w:val="24"/>
          <w:highlight w:val="none"/>
          <w:u w:val="none"/>
          <w:shd w:val="clear" w:color="auto" w:fill="FFFFFF"/>
        </w:rPr>
        <w:t>疑问澄清</w:t>
      </w:r>
    </w:p>
    <w:p w14:paraId="3EEBD96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color w:val="auto"/>
          <w:sz w:val="24"/>
          <w:szCs w:val="24"/>
          <w:highlight w:val="none"/>
          <w:u w:val="none"/>
          <w:shd w:val="clear" w:color="auto" w:fill="FFFFFF"/>
        </w:rPr>
        <w:t>讨论过程中，若成员对投标文件内容或项目细节存在疑问，可向招标人代表提出。招标人应现场作出答复，答复内容不得改变招标文件和投标文件的实质性内容，不得明示或暗示中标人。问答过程需形成书面记录，并由提问人与答复人签字确认。</w:t>
      </w:r>
    </w:p>
    <w:p w14:paraId="2667D58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bCs/>
          <w:color w:val="auto"/>
          <w:kern w:val="0"/>
          <w:sz w:val="24"/>
          <w:szCs w:val="24"/>
          <w:highlight w:val="none"/>
          <w:u w:val="none"/>
          <w:shd w:val="clear" w:color="auto" w:fill="FFFFFF"/>
          <w:lang w:val="en-US" w:eastAsia="zh-CN" w:bidi="ar-SA"/>
        </w:rPr>
        <w:t>4.投票，收票，点票和汇总</w:t>
      </w:r>
    </w:p>
    <w:p w14:paraId="3EA57285">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eastAsia="zh-CN"/>
        </w:rPr>
        <w:t>定标委员会成员按照票决定标法程序，根据公平、公正、择优原则，独立完成票决后，统一由定标工作人员收集、清点，并对票数进行汇总排名。得票相同且影响中标候选人排序确定的，可由定标委员会对总票数相同的单位进行再次票决确定排序。</w:t>
      </w:r>
    </w:p>
    <w:p w14:paraId="5A62C3E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bCs/>
          <w:color w:val="auto"/>
          <w:kern w:val="0"/>
          <w:sz w:val="24"/>
          <w:szCs w:val="24"/>
          <w:highlight w:val="none"/>
          <w:u w:val="none"/>
          <w:shd w:val="clear" w:color="auto" w:fill="FFFFFF"/>
          <w:lang w:val="en-US" w:eastAsia="zh-CN" w:bidi="ar-SA"/>
        </w:rPr>
        <w:t>5.公布结果和出具定标报告</w:t>
      </w:r>
    </w:p>
    <w:p w14:paraId="1FDEE32B">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color w:val="auto"/>
          <w:sz w:val="24"/>
          <w:szCs w:val="24"/>
          <w:highlight w:val="none"/>
          <w:lang w:eastAsia="zh-CN"/>
        </w:rPr>
        <w:t>点票工作完成后，定标委员会组长汇总定标结果，编制定标报告，确定中标候选人，全体成员签名。</w:t>
      </w:r>
    </w:p>
    <w:p w14:paraId="674ABFD3">
      <w:pPr>
        <w:pStyle w:val="18"/>
        <w:keepNext w:val="0"/>
        <w:keepLines w:val="0"/>
        <w:pageBreakBefore w:val="0"/>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exact"/>
        <w:ind w:left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6.</w:t>
      </w:r>
      <w:r>
        <w:rPr>
          <w:rFonts w:hint="eastAsia" w:ascii="宋体" w:hAnsi="宋体" w:eastAsia="宋体" w:cs="宋体"/>
          <w:b/>
          <w:bCs/>
          <w:color w:val="auto"/>
          <w:sz w:val="24"/>
          <w:szCs w:val="24"/>
          <w:highlight w:val="none"/>
          <w:u w:val="none"/>
          <w:shd w:val="clear" w:color="auto" w:fill="FFFFFF"/>
        </w:rPr>
        <w:t>全程监督</w:t>
      </w:r>
    </w:p>
    <w:p w14:paraId="2A46EECE">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招标监督小组对集体议定的全过程进行监督，确保程序合规、讨论充分、记录完整，结论形成过程公正、透明。</w:t>
      </w:r>
    </w:p>
    <w:p w14:paraId="061AC07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二、定标因素</w:t>
      </w:r>
    </w:p>
    <w:p w14:paraId="37CD0AF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i/>
          <w:iCs/>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在同等条件下，择优的定标因素和相对标准有以下几个方面：</w:t>
      </w:r>
    </w:p>
    <w:p w14:paraId="52446C3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（一）拟派团队管理能力与水平（履约能力）</w:t>
      </w:r>
    </w:p>
    <w:p w14:paraId="38640129">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相对标准：拟派团队管理能力与水平（履约能力）强的定标候选人优于拟派团队管理能力与水平（履约能力）一般的定标候选人。</w:t>
      </w:r>
    </w:p>
    <w:p w14:paraId="5AF833E2">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（二）企业信誉</w:t>
      </w:r>
    </w:p>
    <w:p w14:paraId="10AD37B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相对标准：企业信誉评价好的定标候选人优于企业信誉评价一般的定标候选人。</w:t>
      </w:r>
    </w:p>
    <w:p w14:paraId="4E88E0E2">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（三）企业社会贡献（助力“百千万工程”、社会公益项目）</w:t>
      </w:r>
    </w:p>
    <w:p w14:paraId="5B0C511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相对标准：承诺助力“百千万工程”的定标候选人优于未承诺的定标候选人（以《助力项目承诺书》为准）；参与过社会公益项目的定标候选人优于未参与过的定标候选人（提供相关佐证）。</w:t>
      </w:r>
    </w:p>
    <w:p w14:paraId="3859211D">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（四）评标报告</w:t>
      </w:r>
    </w:p>
    <w:p w14:paraId="0A8EFCF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相对标准：评标委员会评审意见为具有优势</w:t>
      </w:r>
      <w:r>
        <w:rPr>
          <w:rFonts w:hint="eastAsia" w:ascii="宋体" w:hAnsi="宋体" w:eastAsia="宋体" w:cs="宋体"/>
          <w:color w:val="auto"/>
          <w:sz w:val="24"/>
          <w:szCs w:val="24"/>
          <w:highlight w:val="none"/>
        </w:rPr>
        <w:t>风险</w:t>
      </w:r>
      <w:r>
        <w:rPr>
          <w:rFonts w:hint="eastAsia" w:ascii="宋体" w:hAnsi="宋体" w:eastAsia="宋体" w:cs="宋体"/>
          <w:color w:val="auto"/>
          <w:sz w:val="24"/>
          <w:szCs w:val="24"/>
          <w:highlight w:val="none"/>
          <w:lang w:val="en-US" w:eastAsia="zh-CN"/>
        </w:rPr>
        <w:t>低</w:t>
      </w:r>
      <w:r>
        <w:rPr>
          <w:rFonts w:hint="eastAsia" w:ascii="宋体" w:hAnsi="宋体" w:eastAsia="宋体" w:cs="宋体"/>
          <w:b w:val="0"/>
          <w:bCs w:val="0"/>
          <w:color w:val="auto"/>
          <w:spacing w:val="0"/>
          <w:position w:val="0"/>
          <w:sz w:val="24"/>
          <w:szCs w:val="24"/>
          <w:highlight w:val="none"/>
          <w:u w:val="none" w:color="auto"/>
          <w:lang w:val="en-US" w:eastAsia="zh-CN"/>
        </w:rPr>
        <w:t>的定标候选人优于评标委员会评审意见为没有优势</w:t>
      </w:r>
      <w:r>
        <w:rPr>
          <w:rFonts w:hint="eastAsia" w:ascii="宋体" w:hAnsi="宋体" w:eastAsia="宋体" w:cs="宋体"/>
          <w:color w:val="auto"/>
          <w:sz w:val="24"/>
          <w:szCs w:val="24"/>
          <w:highlight w:val="none"/>
        </w:rPr>
        <w:t>风险</w:t>
      </w:r>
      <w:r>
        <w:rPr>
          <w:rFonts w:hint="eastAsia" w:ascii="宋体" w:hAnsi="宋体" w:eastAsia="宋体" w:cs="宋体"/>
          <w:color w:val="auto"/>
          <w:sz w:val="24"/>
          <w:szCs w:val="24"/>
          <w:highlight w:val="none"/>
          <w:lang w:val="en-US" w:eastAsia="zh-CN"/>
        </w:rPr>
        <w:t>高</w:t>
      </w:r>
      <w:r>
        <w:rPr>
          <w:rFonts w:hint="eastAsia" w:ascii="宋体" w:hAnsi="宋体" w:eastAsia="宋体" w:cs="宋体"/>
          <w:b w:val="0"/>
          <w:bCs w:val="0"/>
          <w:color w:val="auto"/>
          <w:spacing w:val="0"/>
          <w:position w:val="0"/>
          <w:sz w:val="24"/>
          <w:szCs w:val="24"/>
          <w:highlight w:val="none"/>
          <w:u w:val="none" w:color="auto"/>
          <w:lang w:val="en-US" w:eastAsia="zh-CN"/>
        </w:rPr>
        <w:t>的</w:t>
      </w:r>
      <w:r>
        <w:rPr>
          <w:rFonts w:hint="eastAsia" w:ascii="宋体" w:hAnsi="宋体" w:eastAsia="宋体" w:cs="宋体"/>
          <w:color w:val="auto"/>
          <w:sz w:val="24"/>
          <w:szCs w:val="24"/>
          <w:highlight w:val="none"/>
        </w:rPr>
        <w:t>定标候选人</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pacing w:val="0"/>
          <w:position w:val="0"/>
          <w:sz w:val="24"/>
          <w:szCs w:val="24"/>
          <w:highlight w:val="none"/>
          <w:u w:val="none" w:color="auto"/>
          <w:lang w:val="en-US" w:eastAsia="zh-CN"/>
        </w:rPr>
        <w:t>综合考虑评标委员会的评审意见，对各定标候选人</w:t>
      </w:r>
      <w:r>
        <w:rPr>
          <w:rFonts w:hint="eastAsia" w:ascii="宋体" w:hAnsi="宋体" w:eastAsia="宋体" w:cs="宋体"/>
          <w:color w:val="auto"/>
          <w:sz w:val="24"/>
          <w:szCs w:val="24"/>
          <w:highlight w:val="none"/>
        </w:rPr>
        <w:t>的优势、风险等评审情况</w:t>
      </w:r>
      <w:r>
        <w:rPr>
          <w:rFonts w:hint="eastAsia" w:ascii="宋体" w:hAnsi="宋体" w:eastAsia="宋体" w:cs="宋体"/>
          <w:b w:val="0"/>
          <w:bCs w:val="0"/>
          <w:color w:val="auto"/>
          <w:spacing w:val="0"/>
          <w:position w:val="0"/>
          <w:sz w:val="24"/>
          <w:szCs w:val="24"/>
          <w:highlight w:val="none"/>
          <w:u w:val="none" w:color="auto"/>
          <w:lang w:val="en-US" w:eastAsia="zh-CN"/>
        </w:rPr>
        <w:t>进行评审比较</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pacing w:val="0"/>
          <w:position w:val="0"/>
          <w:sz w:val="24"/>
          <w:szCs w:val="24"/>
          <w:highlight w:val="none"/>
          <w:u w:val="none" w:color="auto"/>
          <w:lang w:val="en-US" w:eastAsia="zh-CN"/>
        </w:rPr>
        <w:t>。</w:t>
      </w:r>
    </w:p>
    <w:p w14:paraId="61E9A6D5">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（五）农民工工资保障情况</w:t>
      </w:r>
    </w:p>
    <w:p w14:paraId="234D629F">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相对标准：农民工工资保障情况好的定标候选人优于农民工工资保障情况差的定标候选人（结合定标候选人提交的证明材料和招标人查询的材料进行评审）。</w:t>
      </w:r>
    </w:p>
    <w:p w14:paraId="7A2E2B72">
      <w:pPr>
        <w:rPr>
          <w:rFonts w:hint="eastAsia" w:ascii="宋体" w:hAnsi="宋体" w:eastAsia="宋体" w:cs="宋体"/>
          <w:color w:val="auto"/>
        </w:rPr>
      </w:pPr>
    </w:p>
    <w:p w14:paraId="4C17EF25">
      <w:pPr>
        <w:rPr>
          <w:rFonts w:hint="eastAsia" w:ascii="宋体" w:hAnsi="宋体" w:eastAsia="宋体" w:cs="宋体"/>
          <w:color w:val="auto"/>
        </w:rPr>
      </w:pPr>
    </w:p>
    <w:p w14:paraId="23DC9E05">
      <w:pPr>
        <w:rPr>
          <w:rFonts w:hint="eastAsia" w:ascii="宋体" w:hAnsi="宋体" w:eastAsia="宋体" w:cs="宋体"/>
          <w:color w:val="auto"/>
        </w:rPr>
      </w:pPr>
    </w:p>
    <w:p w14:paraId="24615DB7">
      <w:pPr>
        <w:rPr>
          <w:rFonts w:hint="eastAsia" w:ascii="宋体" w:hAnsi="宋体" w:eastAsia="宋体" w:cs="宋体"/>
          <w:color w:val="auto"/>
        </w:rPr>
      </w:pPr>
    </w:p>
    <w:p w14:paraId="68DBB0BE">
      <w:pPr>
        <w:pStyle w:val="2"/>
        <w:bidi w:val="0"/>
        <w:jc w:val="center"/>
        <w:rPr>
          <w:rFonts w:hint="eastAsia" w:ascii="宋体" w:hAnsi="宋体" w:eastAsia="宋体" w:cs="宋体"/>
          <w:color w:val="auto"/>
        </w:rPr>
      </w:pPr>
      <w:bookmarkStart w:id="43" w:name="_Toc8582"/>
      <w:r>
        <w:rPr>
          <w:rFonts w:hint="eastAsia" w:ascii="宋体" w:hAnsi="宋体" w:eastAsia="宋体" w:cs="宋体"/>
          <w:color w:val="auto"/>
        </w:rPr>
        <w:t>第四章</w:t>
      </w:r>
      <w:r>
        <w:rPr>
          <w:rFonts w:hint="eastAsia" w:ascii="宋体" w:hAnsi="宋体" w:eastAsia="宋体" w:cs="宋体"/>
          <w:color w:val="auto"/>
          <w:lang w:val="en-US" w:eastAsia="zh-CN"/>
        </w:rPr>
        <w:t xml:space="preserve">   </w:t>
      </w:r>
      <w:r>
        <w:rPr>
          <w:rFonts w:hint="eastAsia" w:ascii="宋体" w:hAnsi="宋体" w:eastAsia="宋体" w:cs="宋体"/>
          <w:color w:val="auto"/>
        </w:rPr>
        <w:t>投标文件格式</w:t>
      </w:r>
      <w:bookmarkEnd w:id="43"/>
    </w:p>
    <w:p w14:paraId="0641AD1A">
      <w:pPr>
        <w:pStyle w:val="3"/>
        <w:bidi w:val="0"/>
        <w:ind w:left="0" w:leftChars="0" w:firstLine="0" w:firstLineChars="0"/>
        <w:jc w:val="left"/>
        <w:rPr>
          <w:rFonts w:hint="eastAsia" w:ascii="宋体" w:hAnsi="宋体" w:eastAsia="宋体" w:cs="宋体"/>
          <w:color w:val="auto"/>
          <w:lang w:val="en-US"/>
        </w:rPr>
      </w:pPr>
      <w:bookmarkStart w:id="44" w:name="_Toc21542"/>
      <w:bookmarkStart w:id="45" w:name="_Toc32717"/>
      <w:bookmarkStart w:id="46" w:name="_Toc851"/>
      <w:r>
        <w:rPr>
          <w:rFonts w:hint="eastAsia" w:ascii="宋体" w:hAnsi="宋体" w:eastAsia="宋体" w:cs="宋体"/>
          <w:color w:val="auto"/>
          <w:lang w:eastAsia="zh-CN"/>
        </w:rPr>
        <w:t>格式一</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封面</w:t>
      </w:r>
      <w:bookmarkEnd w:id="44"/>
      <w:bookmarkEnd w:id="45"/>
      <w:bookmarkEnd w:id="46"/>
    </w:p>
    <w:p w14:paraId="49897C4E">
      <w:pPr>
        <w:rPr>
          <w:rFonts w:hint="eastAsia" w:ascii="宋体" w:hAnsi="宋体" w:eastAsia="宋体" w:cs="宋体"/>
          <w:color w:val="auto"/>
          <w:lang w:val="en-US" w:eastAsia="zh-CN"/>
        </w:rPr>
      </w:pPr>
    </w:p>
    <w:p w14:paraId="5A0E4E02">
      <w:pPr>
        <w:rPr>
          <w:rFonts w:hint="eastAsia" w:ascii="宋体" w:hAnsi="宋体" w:eastAsia="宋体" w:cs="宋体"/>
          <w:color w:val="auto"/>
          <w:lang w:val="en-US" w:eastAsia="zh-CN"/>
        </w:rPr>
      </w:pPr>
    </w:p>
    <w:p w14:paraId="1263E196">
      <w:pPr>
        <w:rPr>
          <w:rFonts w:hint="eastAsia" w:ascii="宋体" w:hAnsi="宋体" w:eastAsia="宋体" w:cs="宋体"/>
          <w:color w:val="auto"/>
          <w:lang w:val="en-US" w:eastAsia="zh-CN"/>
        </w:rPr>
      </w:pPr>
    </w:p>
    <w:p w14:paraId="31D37306">
      <w:pPr>
        <w:rPr>
          <w:rFonts w:hint="eastAsia" w:ascii="宋体" w:hAnsi="宋体" w:eastAsia="宋体" w:cs="宋体"/>
          <w:color w:val="auto"/>
          <w:lang w:val="en-US" w:eastAsia="zh-CN"/>
        </w:rPr>
      </w:pPr>
    </w:p>
    <w:p w14:paraId="644B35D6">
      <w:pPr>
        <w:rPr>
          <w:rFonts w:hint="eastAsia" w:ascii="宋体" w:hAnsi="宋体" w:eastAsia="宋体" w:cs="宋体"/>
          <w:color w:val="auto"/>
          <w:lang w:val="en-US" w:eastAsia="zh-CN"/>
        </w:rPr>
      </w:pPr>
    </w:p>
    <w:p w14:paraId="15FFA7C8">
      <w:pPr>
        <w:rPr>
          <w:rFonts w:hint="eastAsia" w:ascii="宋体" w:hAnsi="宋体" w:eastAsia="宋体" w:cs="宋体"/>
          <w:color w:val="auto"/>
          <w:lang w:val="en-US" w:eastAsia="zh-CN"/>
        </w:rPr>
      </w:pPr>
    </w:p>
    <w:p w14:paraId="2A72B20C">
      <w:pPr>
        <w:spacing w:before="153" w:line="225" w:lineRule="auto"/>
        <w:ind w:left="-1" w:leftChars="0" w:firstLine="0" w:firstLineChars="0"/>
        <w:jc w:val="center"/>
        <w:rPr>
          <w:rFonts w:hint="eastAsia" w:ascii="宋体" w:hAnsi="宋体" w:eastAsia="宋体" w:cs="宋体"/>
          <w:color w:val="auto"/>
          <w:sz w:val="47"/>
          <w:szCs w:val="47"/>
          <w:highlight w:val="none"/>
        </w:rPr>
      </w:pPr>
      <w:r>
        <w:rPr>
          <w:rFonts w:hint="eastAsia" w:ascii="宋体" w:hAnsi="宋体" w:eastAsia="宋体" w:cs="宋体"/>
          <w:b/>
          <w:bCs/>
          <w:color w:val="auto"/>
          <w:spacing w:val="8"/>
          <w:sz w:val="47"/>
          <w:szCs w:val="47"/>
          <w:highlight w:val="none"/>
          <w:u w:val="single"/>
          <w:lang w:val="en-US" w:eastAsia="zh-CN"/>
        </w:rPr>
        <w:t xml:space="preserve">           </w:t>
      </w:r>
      <w:r>
        <w:rPr>
          <w:rFonts w:hint="eastAsia" w:ascii="宋体" w:hAnsi="宋体" w:eastAsia="宋体" w:cs="宋体"/>
          <w:b/>
          <w:bCs/>
          <w:color w:val="auto"/>
          <w:spacing w:val="8"/>
          <w:sz w:val="47"/>
          <w:szCs w:val="47"/>
          <w:highlight w:val="none"/>
          <w:u w:val="single"/>
        </w:rPr>
        <w:t>（项目名称</w:t>
      </w:r>
      <w:r>
        <w:rPr>
          <w:rFonts w:hint="eastAsia" w:ascii="宋体" w:hAnsi="宋体" w:eastAsia="宋体" w:cs="宋体"/>
          <w:b/>
          <w:bCs/>
          <w:color w:val="auto"/>
          <w:spacing w:val="-32"/>
          <w:sz w:val="47"/>
          <w:szCs w:val="47"/>
          <w:highlight w:val="none"/>
          <w:u w:val="single"/>
        </w:rPr>
        <w:t>）</w:t>
      </w:r>
      <w:r>
        <w:rPr>
          <w:rFonts w:hint="eastAsia" w:ascii="宋体" w:hAnsi="宋体" w:eastAsia="宋体" w:cs="宋体"/>
          <w:b/>
          <w:bCs/>
          <w:color w:val="auto"/>
          <w:spacing w:val="8"/>
          <w:sz w:val="47"/>
          <w:szCs w:val="47"/>
          <w:highlight w:val="none"/>
        </w:rPr>
        <w:t>招标</w:t>
      </w:r>
    </w:p>
    <w:p w14:paraId="652F4C9D">
      <w:pPr>
        <w:keepNext w:val="0"/>
        <w:keepLines w:val="0"/>
        <w:widowControl w:val="0"/>
        <w:suppressLineNumbers w:val="0"/>
        <w:spacing w:before="0" w:beforeAutospacing="0" w:after="0" w:afterAutospacing="0" w:line="360" w:lineRule="auto"/>
        <w:ind w:left="0" w:right="482"/>
        <w:jc w:val="center"/>
        <w:rPr>
          <w:rFonts w:hint="eastAsia" w:ascii="宋体" w:hAnsi="宋体" w:eastAsia="宋体" w:cs="宋体"/>
          <w:b/>
          <w:bCs w:val="0"/>
          <w:color w:val="auto"/>
          <w:sz w:val="48"/>
          <w:szCs w:val="48"/>
          <w:highlight w:val="none"/>
          <w:lang w:val="en-US"/>
        </w:rPr>
      </w:pPr>
    </w:p>
    <w:p w14:paraId="23AC18C0">
      <w:pPr>
        <w:keepNext w:val="0"/>
        <w:keepLines w:val="0"/>
        <w:widowControl w:val="0"/>
        <w:suppressLineNumbers w:val="0"/>
        <w:spacing w:before="0" w:beforeAutospacing="0" w:after="0" w:afterAutospacing="0" w:line="360" w:lineRule="auto"/>
        <w:ind w:left="0" w:right="482"/>
        <w:jc w:val="center"/>
        <w:rPr>
          <w:rFonts w:hint="eastAsia" w:ascii="宋体" w:hAnsi="宋体" w:eastAsia="宋体" w:cs="宋体"/>
          <w:b/>
          <w:bCs w:val="0"/>
          <w:color w:val="auto"/>
          <w:sz w:val="48"/>
          <w:szCs w:val="48"/>
          <w:highlight w:val="none"/>
          <w:lang w:val="en-US"/>
        </w:rPr>
      </w:pPr>
    </w:p>
    <w:p w14:paraId="0EBD5D8F">
      <w:pPr>
        <w:rPr>
          <w:rFonts w:hint="eastAsia" w:ascii="宋体" w:hAnsi="宋体" w:eastAsia="宋体" w:cs="宋体"/>
          <w:color w:val="auto"/>
          <w:lang w:val="en-US"/>
        </w:rPr>
      </w:pPr>
    </w:p>
    <w:p w14:paraId="1B31B166">
      <w:pPr>
        <w:rPr>
          <w:rFonts w:hint="eastAsia" w:ascii="宋体" w:hAnsi="宋体" w:eastAsia="宋体" w:cs="宋体"/>
          <w:color w:val="auto"/>
          <w:lang w:val="en-US"/>
        </w:rPr>
      </w:pPr>
    </w:p>
    <w:p w14:paraId="0E4D7458">
      <w:pPr>
        <w:rPr>
          <w:rFonts w:hint="eastAsia" w:ascii="宋体" w:hAnsi="宋体" w:eastAsia="宋体" w:cs="宋体"/>
          <w:color w:val="auto"/>
          <w:lang w:val="en-US"/>
        </w:rPr>
      </w:pPr>
    </w:p>
    <w:p w14:paraId="7615CE61">
      <w:pPr>
        <w:rPr>
          <w:rFonts w:hint="eastAsia" w:ascii="宋体" w:hAnsi="宋体" w:eastAsia="宋体" w:cs="宋体"/>
          <w:color w:val="auto"/>
          <w:lang w:val="en-US"/>
        </w:rPr>
      </w:pPr>
    </w:p>
    <w:p w14:paraId="289E8065">
      <w:pPr>
        <w:rPr>
          <w:rFonts w:hint="eastAsia" w:ascii="宋体" w:hAnsi="宋体" w:eastAsia="宋体" w:cs="宋体"/>
          <w:color w:val="auto"/>
          <w:lang w:val="en-US"/>
        </w:rPr>
      </w:pPr>
    </w:p>
    <w:p w14:paraId="74BBC0A9">
      <w:pPr>
        <w:rPr>
          <w:rFonts w:hint="eastAsia" w:ascii="宋体" w:hAnsi="宋体" w:eastAsia="宋体" w:cs="宋体"/>
          <w:color w:val="auto"/>
          <w:lang w:val="en-US"/>
        </w:rPr>
      </w:pPr>
    </w:p>
    <w:p w14:paraId="1EF6F2EA">
      <w:pPr>
        <w:pStyle w:val="39"/>
        <w:keepNext w:val="0"/>
        <w:keepLines w:val="0"/>
        <w:widowControl w:val="0"/>
        <w:suppressLineNumbers w:val="0"/>
        <w:wordWrap w:val="0"/>
        <w:ind w:left="0" w:firstLine="0"/>
        <w:jc w:val="center"/>
        <w:rPr>
          <w:rFonts w:hint="eastAsia" w:ascii="宋体" w:hAnsi="宋体" w:eastAsia="宋体" w:cs="宋体"/>
          <w:b/>
          <w:bCs w:val="0"/>
          <w:color w:val="auto"/>
          <w:sz w:val="72"/>
          <w:szCs w:val="72"/>
          <w:highlight w:val="none"/>
          <w:lang w:val="en-US"/>
        </w:rPr>
      </w:pPr>
      <w:r>
        <w:rPr>
          <w:rFonts w:hint="eastAsia" w:ascii="宋体" w:hAnsi="宋体" w:eastAsia="宋体" w:cs="宋体"/>
          <w:b/>
          <w:bCs w:val="0"/>
          <w:color w:val="auto"/>
          <w:sz w:val="72"/>
          <w:szCs w:val="72"/>
          <w:highlight w:val="none"/>
          <w:lang w:eastAsia="zh-CN"/>
        </w:rPr>
        <w:t>投</w:t>
      </w:r>
      <w:r>
        <w:rPr>
          <w:rFonts w:hint="eastAsia" w:ascii="宋体" w:hAnsi="宋体" w:eastAsia="宋体" w:cs="宋体"/>
          <w:b/>
          <w:bCs w:val="0"/>
          <w:color w:val="auto"/>
          <w:sz w:val="72"/>
          <w:szCs w:val="72"/>
          <w:highlight w:val="none"/>
          <w:lang w:val="en-US"/>
        </w:rPr>
        <w:t xml:space="preserve">  </w:t>
      </w:r>
      <w:r>
        <w:rPr>
          <w:rFonts w:hint="eastAsia" w:ascii="宋体" w:hAnsi="宋体" w:eastAsia="宋体" w:cs="宋体"/>
          <w:b/>
          <w:bCs w:val="0"/>
          <w:color w:val="auto"/>
          <w:sz w:val="72"/>
          <w:szCs w:val="72"/>
          <w:highlight w:val="none"/>
          <w:lang w:eastAsia="zh-CN"/>
        </w:rPr>
        <w:t>标</w:t>
      </w:r>
      <w:r>
        <w:rPr>
          <w:rFonts w:hint="eastAsia" w:ascii="宋体" w:hAnsi="宋体" w:eastAsia="宋体" w:cs="宋体"/>
          <w:b/>
          <w:bCs w:val="0"/>
          <w:color w:val="auto"/>
          <w:sz w:val="72"/>
          <w:szCs w:val="72"/>
          <w:highlight w:val="none"/>
          <w:lang w:val="en-US"/>
        </w:rPr>
        <w:t xml:space="preserve">  </w:t>
      </w:r>
      <w:r>
        <w:rPr>
          <w:rFonts w:hint="eastAsia" w:ascii="宋体" w:hAnsi="宋体" w:eastAsia="宋体" w:cs="宋体"/>
          <w:b/>
          <w:bCs w:val="0"/>
          <w:color w:val="auto"/>
          <w:sz w:val="72"/>
          <w:szCs w:val="72"/>
          <w:highlight w:val="none"/>
          <w:lang w:eastAsia="zh-CN"/>
        </w:rPr>
        <w:t>文</w:t>
      </w:r>
      <w:r>
        <w:rPr>
          <w:rFonts w:hint="eastAsia" w:ascii="宋体" w:hAnsi="宋体" w:eastAsia="宋体" w:cs="宋体"/>
          <w:b/>
          <w:bCs w:val="0"/>
          <w:color w:val="auto"/>
          <w:sz w:val="72"/>
          <w:szCs w:val="72"/>
          <w:highlight w:val="none"/>
          <w:lang w:val="en-US"/>
        </w:rPr>
        <w:t xml:space="preserve">  </w:t>
      </w:r>
      <w:r>
        <w:rPr>
          <w:rFonts w:hint="eastAsia" w:ascii="宋体" w:hAnsi="宋体" w:eastAsia="宋体" w:cs="宋体"/>
          <w:b/>
          <w:bCs w:val="0"/>
          <w:color w:val="auto"/>
          <w:sz w:val="72"/>
          <w:szCs w:val="72"/>
          <w:highlight w:val="none"/>
          <w:lang w:eastAsia="zh-CN"/>
        </w:rPr>
        <w:t>件</w:t>
      </w:r>
    </w:p>
    <w:p w14:paraId="7DAB493D">
      <w:pPr>
        <w:rPr>
          <w:rFonts w:hint="eastAsia" w:ascii="宋体" w:hAnsi="宋体" w:eastAsia="宋体" w:cs="宋体"/>
          <w:color w:val="auto"/>
          <w:lang w:val="en-US"/>
        </w:rPr>
      </w:pPr>
    </w:p>
    <w:p w14:paraId="6DC7139F">
      <w:pPr>
        <w:rPr>
          <w:rFonts w:hint="eastAsia" w:ascii="宋体" w:hAnsi="宋体" w:eastAsia="宋体" w:cs="宋体"/>
          <w:color w:val="auto"/>
          <w:lang w:val="en-US"/>
        </w:rPr>
      </w:pPr>
    </w:p>
    <w:p w14:paraId="3804CB4D">
      <w:pPr>
        <w:rPr>
          <w:rFonts w:hint="eastAsia" w:ascii="宋体" w:hAnsi="宋体" w:eastAsia="宋体" w:cs="宋体"/>
          <w:color w:val="auto"/>
          <w:lang w:val="en-US"/>
        </w:rPr>
      </w:pPr>
    </w:p>
    <w:p w14:paraId="2182C9C7">
      <w:pPr>
        <w:rPr>
          <w:rFonts w:hint="eastAsia" w:ascii="宋体" w:hAnsi="宋体" w:eastAsia="宋体" w:cs="宋体"/>
          <w:color w:val="auto"/>
          <w:lang w:val="en-US"/>
        </w:rPr>
      </w:pPr>
    </w:p>
    <w:p w14:paraId="69244C4F">
      <w:pPr>
        <w:rPr>
          <w:rFonts w:hint="eastAsia" w:ascii="宋体" w:hAnsi="宋体" w:eastAsia="宋体" w:cs="宋体"/>
          <w:color w:val="auto"/>
          <w:lang w:val="en-US"/>
        </w:rPr>
      </w:pPr>
    </w:p>
    <w:p w14:paraId="14557528">
      <w:pPr>
        <w:rPr>
          <w:rFonts w:hint="eastAsia" w:ascii="宋体" w:hAnsi="宋体" w:eastAsia="宋体" w:cs="宋体"/>
          <w:color w:val="auto"/>
          <w:lang w:val="en-US"/>
        </w:rPr>
      </w:pPr>
    </w:p>
    <w:p w14:paraId="4B756F30">
      <w:pPr>
        <w:pStyle w:val="39"/>
        <w:keepNext w:val="0"/>
        <w:keepLines w:val="0"/>
        <w:widowControl w:val="0"/>
        <w:suppressLineNumbers w:val="0"/>
        <w:wordWrap w:val="0"/>
        <w:ind w:left="0" w:firstLine="0"/>
        <w:jc w:val="center"/>
        <w:rPr>
          <w:rFonts w:hint="eastAsia" w:ascii="宋体" w:hAnsi="宋体" w:eastAsia="宋体" w:cs="宋体"/>
          <w:b w:val="0"/>
          <w:bCs/>
          <w:color w:val="auto"/>
          <w:sz w:val="44"/>
          <w:szCs w:val="44"/>
          <w:highlight w:val="none"/>
          <w:lang w:val="en-US"/>
        </w:rPr>
      </w:pPr>
      <w:r>
        <w:rPr>
          <w:rFonts w:hint="eastAsia" w:ascii="宋体" w:hAnsi="宋体" w:eastAsia="宋体" w:cs="宋体"/>
          <w:b w:val="0"/>
          <w:bCs/>
          <w:color w:val="auto"/>
          <w:sz w:val="44"/>
          <w:szCs w:val="44"/>
          <w:highlight w:val="none"/>
          <w:lang w:eastAsia="zh-CN"/>
        </w:rPr>
        <w:t>（</w:t>
      </w:r>
      <w:r>
        <w:rPr>
          <w:rFonts w:hint="eastAsia" w:ascii="宋体" w:hAnsi="宋体" w:eastAsia="宋体" w:cs="宋体"/>
          <w:b w:val="0"/>
          <w:bCs/>
          <w:color w:val="auto"/>
          <w:sz w:val="44"/>
          <w:szCs w:val="44"/>
          <w:highlight w:val="none"/>
          <w:lang w:val="en-US" w:eastAsia="zh-CN"/>
        </w:rPr>
        <w:t>商务标书/经济标书/施工组织设计</w:t>
      </w:r>
      <w:r>
        <w:rPr>
          <w:rFonts w:hint="eastAsia" w:hAnsi="宋体" w:cs="宋体"/>
          <w:b w:val="0"/>
          <w:bCs/>
          <w:color w:val="auto"/>
          <w:sz w:val="44"/>
          <w:szCs w:val="44"/>
          <w:highlight w:val="none"/>
          <w:lang w:val="en-US" w:eastAsia="zh-CN"/>
        </w:rPr>
        <w:t>/</w:t>
      </w:r>
      <w:r>
        <w:rPr>
          <w:rFonts w:hint="eastAsia" w:ascii="宋体" w:hAnsi="宋体" w:eastAsia="宋体" w:cs="宋体"/>
          <w:b w:val="0"/>
          <w:bCs/>
          <w:color w:val="auto"/>
          <w:sz w:val="44"/>
          <w:szCs w:val="44"/>
          <w:highlight w:val="none"/>
          <w:lang w:val="en-US" w:eastAsia="zh-CN"/>
        </w:rPr>
        <w:t>定标文件</w:t>
      </w:r>
      <w:r>
        <w:rPr>
          <w:rFonts w:hint="eastAsia" w:ascii="宋体" w:hAnsi="宋体" w:eastAsia="宋体" w:cs="宋体"/>
          <w:b w:val="0"/>
          <w:bCs/>
          <w:color w:val="auto"/>
          <w:sz w:val="44"/>
          <w:szCs w:val="44"/>
          <w:highlight w:val="none"/>
          <w:lang w:eastAsia="zh-CN"/>
        </w:rPr>
        <w:t>）</w:t>
      </w:r>
    </w:p>
    <w:p w14:paraId="6265A279">
      <w:pPr>
        <w:rPr>
          <w:rFonts w:hint="eastAsia" w:ascii="宋体" w:hAnsi="宋体" w:eastAsia="宋体" w:cs="宋体"/>
          <w:color w:val="auto"/>
          <w:lang w:val="en-US"/>
        </w:rPr>
      </w:pPr>
    </w:p>
    <w:p w14:paraId="29828FA6">
      <w:pPr>
        <w:rPr>
          <w:rFonts w:hint="eastAsia" w:ascii="宋体" w:hAnsi="宋体" w:eastAsia="宋体" w:cs="宋体"/>
          <w:color w:val="auto"/>
          <w:lang w:val="en-US"/>
        </w:rPr>
      </w:pPr>
    </w:p>
    <w:p w14:paraId="07CA7B94">
      <w:pPr>
        <w:rPr>
          <w:rFonts w:hint="eastAsia" w:ascii="宋体" w:hAnsi="宋体" w:eastAsia="宋体" w:cs="宋体"/>
          <w:color w:val="auto"/>
          <w:lang w:val="en-US"/>
        </w:rPr>
      </w:pPr>
    </w:p>
    <w:p w14:paraId="233B75EF">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37293E27">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u w:val="singl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2496E2BB">
      <w:pPr>
        <w:pStyle w:val="39"/>
        <w:widowControl w:val="0"/>
        <w:wordWrap w:val="0"/>
        <w:adjustRightInd w:val="0"/>
        <w:snapToGrid w:val="0"/>
        <w:spacing w:line="36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0CA69982">
      <w:pPr>
        <w:rPr>
          <w:rFonts w:hint="eastAsia" w:ascii="宋体" w:hAnsi="宋体" w:eastAsia="宋体" w:cs="宋体"/>
          <w:color w:val="auto"/>
          <w:lang w:val="en-US"/>
        </w:rPr>
      </w:pPr>
    </w:p>
    <w:p w14:paraId="3F4EB613">
      <w:pPr>
        <w:rPr>
          <w:rFonts w:hint="eastAsia" w:ascii="宋体" w:hAnsi="宋体" w:eastAsia="宋体" w:cs="宋体"/>
          <w:color w:val="auto"/>
          <w:lang w:val="en-US"/>
        </w:rPr>
      </w:pPr>
    </w:p>
    <w:p w14:paraId="5852A1E7">
      <w:pPr>
        <w:pStyle w:val="3"/>
        <w:bidi w:val="0"/>
        <w:ind w:left="0" w:leftChars="0" w:firstLine="0" w:firstLineChars="0"/>
        <w:jc w:val="left"/>
        <w:rPr>
          <w:rFonts w:hint="eastAsia" w:ascii="宋体" w:hAnsi="宋体" w:eastAsia="宋体" w:cs="宋体"/>
          <w:color w:val="auto"/>
          <w:lang w:val="en-US" w:eastAsia="zh-CN"/>
        </w:rPr>
      </w:pPr>
      <w:bookmarkStart w:id="47" w:name="_Toc28280"/>
      <w:bookmarkEnd w:id="47"/>
      <w:bookmarkStart w:id="48" w:name="_Toc106418843"/>
      <w:bookmarkEnd w:id="48"/>
      <w:bookmarkStart w:id="49" w:name="_Toc9797"/>
      <w:bookmarkStart w:id="50" w:name="_Toc18245"/>
      <w:bookmarkStart w:id="51" w:name="_Toc11959"/>
      <w:r>
        <w:rPr>
          <w:rFonts w:hint="eastAsia" w:ascii="宋体" w:hAnsi="宋体" w:eastAsia="宋体" w:cs="宋体"/>
          <w:color w:val="auto"/>
          <w:lang w:eastAsia="zh-CN"/>
        </w:rPr>
        <w:t>格式</w:t>
      </w:r>
      <w:bookmarkStart w:id="52" w:name="_Hlt97526007"/>
      <w:bookmarkEnd w:id="52"/>
      <w:r>
        <w:rPr>
          <w:rFonts w:hint="eastAsia" w:ascii="宋体" w:hAnsi="宋体" w:eastAsia="宋体" w:cs="宋体"/>
          <w:color w:val="auto"/>
          <w:lang w:eastAsia="zh-CN"/>
        </w:rPr>
        <w:t>二</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投标函</w:t>
      </w:r>
      <w:bookmarkEnd w:id="49"/>
      <w:bookmarkEnd w:id="50"/>
      <w:bookmarkEnd w:id="51"/>
    </w:p>
    <w:p w14:paraId="598ABCA4">
      <w:pPr>
        <w:keepNext w:val="0"/>
        <w:keepLines w:val="0"/>
        <w:widowControl w:val="0"/>
        <w:suppressLineNumbers w:val="0"/>
        <w:wordWrap w:val="0"/>
        <w:spacing w:before="260" w:beforeAutospacing="0" w:after="260" w:afterAutospacing="0" w:line="440" w:lineRule="exact"/>
        <w:ind w:left="0" w:right="0"/>
        <w:jc w:val="center"/>
        <w:outlineLvl w:val="9"/>
        <w:rPr>
          <w:rFonts w:hint="eastAsia" w:ascii="宋体" w:hAnsi="宋体" w:eastAsia="宋体" w:cs="宋体"/>
          <w:color w:val="auto"/>
          <w:lang w:val="en-US"/>
        </w:rPr>
      </w:pPr>
      <w:r>
        <w:rPr>
          <w:rFonts w:hint="eastAsia" w:ascii="宋体" w:hAnsi="宋体" w:eastAsia="宋体" w:cs="宋体"/>
          <w:b/>
          <w:bCs w:val="0"/>
          <w:color w:val="auto"/>
          <w:kern w:val="0"/>
          <w:sz w:val="36"/>
          <w:szCs w:val="36"/>
          <w:highlight w:val="none"/>
          <w:lang w:eastAsia="zh-CN"/>
        </w:rPr>
        <w:t>投</w:t>
      </w:r>
      <w:r>
        <w:rPr>
          <w:rFonts w:hint="eastAsia" w:ascii="宋体" w:hAnsi="宋体" w:eastAsia="宋体" w:cs="宋体"/>
          <w:b/>
          <w:bCs w:val="0"/>
          <w:color w:val="auto"/>
          <w:kern w:val="0"/>
          <w:sz w:val="36"/>
          <w:szCs w:val="36"/>
          <w:highlight w:val="none"/>
          <w:lang w:val="en-US"/>
        </w:rPr>
        <w:t xml:space="preserve">  </w:t>
      </w:r>
      <w:r>
        <w:rPr>
          <w:rFonts w:hint="eastAsia" w:ascii="宋体" w:hAnsi="宋体" w:eastAsia="宋体" w:cs="宋体"/>
          <w:b/>
          <w:bCs w:val="0"/>
          <w:color w:val="auto"/>
          <w:kern w:val="0"/>
          <w:sz w:val="36"/>
          <w:szCs w:val="36"/>
          <w:highlight w:val="none"/>
          <w:lang w:eastAsia="zh-CN"/>
        </w:rPr>
        <w:t>标</w:t>
      </w:r>
      <w:r>
        <w:rPr>
          <w:rFonts w:hint="eastAsia" w:ascii="宋体" w:hAnsi="宋体" w:eastAsia="宋体" w:cs="宋体"/>
          <w:b/>
          <w:bCs w:val="0"/>
          <w:color w:val="auto"/>
          <w:kern w:val="0"/>
          <w:sz w:val="36"/>
          <w:szCs w:val="36"/>
          <w:highlight w:val="none"/>
          <w:lang w:val="en-US"/>
        </w:rPr>
        <w:t xml:space="preserve">  </w:t>
      </w:r>
      <w:r>
        <w:rPr>
          <w:rFonts w:hint="eastAsia" w:ascii="宋体" w:hAnsi="宋体" w:eastAsia="宋体" w:cs="宋体"/>
          <w:b/>
          <w:bCs w:val="0"/>
          <w:color w:val="auto"/>
          <w:kern w:val="0"/>
          <w:sz w:val="36"/>
          <w:szCs w:val="36"/>
          <w:highlight w:val="none"/>
          <w:lang w:eastAsia="zh-CN"/>
        </w:rPr>
        <w:t>函</w:t>
      </w:r>
    </w:p>
    <w:p w14:paraId="1F93B18B">
      <w:pPr>
        <w:keepNext w:val="0"/>
        <w:keepLines w:val="0"/>
        <w:widowControl w:val="0"/>
        <w:suppressLineNumbers w:val="0"/>
        <w:wordWrap w:val="0"/>
        <w:spacing w:before="0" w:beforeAutospacing="0" w:after="0" w:afterAutospacing="0" w:line="440" w:lineRule="exact"/>
        <w:ind w:left="0" w:right="0"/>
        <w:jc w:val="both"/>
        <w:rPr>
          <w:rFonts w:hint="eastAsia" w:ascii="宋体" w:hAnsi="宋体" w:eastAsia="宋体" w:cs="宋体"/>
          <w:color w:val="auto"/>
          <w:kern w:val="0"/>
          <w:highlight w:val="none"/>
          <w:lang w:val="en-US"/>
        </w:rPr>
      </w:pPr>
      <w:r>
        <w:rPr>
          <w:rFonts w:hint="eastAsia" w:ascii="宋体" w:hAnsi="宋体" w:eastAsia="宋体" w:cs="宋体"/>
          <w:color w:val="auto"/>
          <w:kern w:val="0"/>
          <w:sz w:val="24"/>
          <w:szCs w:val="24"/>
          <w:highlight w:val="none"/>
          <w:lang w:val="en-US" w:eastAsia="zh-CN" w:bidi="ar"/>
        </w:rPr>
        <w:t>致：（招标人名称）</w:t>
      </w:r>
    </w:p>
    <w:p w14:paraId="4B0A7B2B">
      <w:pPr>
        <w:keepNext w:val="0"/>
        <w:keepLines w:val="0"/>
        <w:widowControl w:val="0"/>
        <w:suppressLineNumbers w:val="0"/>
        <w:wordWrap w:val="0"/>
        <w:spacing w:before="0" w:beforeAutospacing="0" w:after="0" w:afterAutospacing="0" w:line="440" w:lineRule="exact"/>
        <w:ind w:left="0" w:right="0" w:firstLine="570"/>
        <w:jc w:val="both"/>
        <w:rPr>
          <w:rFonts w:hint="eastAsia" w:ascii="宋体" w:hAnsi="宋体" w:eastAsia="宋体" w:cs="宋体"/>
          <w:color w:val="auto"/>
          <w:kern w:val="0"/>
          <w:highlight w:val="none"/>
          <w:lang w:val="en-US"/>
        </w:rPr>
      </w:pPr>
      <w:r>
        <w:rPr>
          <w:rFonts w:hint="eastAsia" w:ascii="宋体" w:hAnsi="宋体" w:eastAsia="宋体" w:cs="宋体"/>
          <w:color w:val="auto"/>
          <w:kern w:val="0"/>
          <w:sz w:val="24"/>
          <w:szCs w:val="24"/>
          <w:highlight w:val="none"/>
          <w:lang w:val="en-US" w:eastAsia="zh-CN" w:bidi="ar"/>
        </w:rPr>
        <w:t>1. 我方考察现场并充分研究（项目名称）（以下简称“本项目”）施工招标文件所有内容后，结合自身资质、能力和特点，愿意接受招标文件的全部内容和条件，兹以人民币（大写）：</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）的投标总价竞投本项目施工。</w:t>
      </w:r>
    </w:p>
    <w:p w14:paraId="32BCFA6B">
      <w:pPr>
        <w:keepNext w:val="0"/>
        <w:keepLines w:val="0"/>
        <w:widowControl w:val="0"/>
        <w:suppressLineNumbers w:val="0"/>
        <w:wordWrap w:val="0"/>
        <w:spacing w:before="0" w:beforeAutospacing="0" w:after="0" w:afterAutospacing="0" w:line="440" w:lineRule="exact"/>
        <w:ind w:left="0" w:right="0" w:firstLine="570"/>
        <w:jc w:val="both"/>
        <w:rPr>
          <w:rFonts w:hint="eastAsia" w:ascii="宋体" w:hAnsi="宋体" w:eastAsia="宋体" w:cs="宋体"/>
          <w:color w:val="auto"/>
          <w:kern w:val="0"/>
          <w:highlight w:val="none"/>
          <w:lang w:val="en-US"/>
        </w:rPr>
      </w:pPr>
      <w:r>
        <w:rPr>
          <w:rFonts w:hint="eastAsia" w:ascii="宋体" w:hAnsi="宋体" w:eastAsia="宋体" w:cs="宋体"/>
          <w:color w:val="auto"/>
          <w:kern w:val="0"/>
          <w:sz w:val="24"/>
          <w:szCs w:val="24"/>
          <w:highlight w:val="none"/>
          <w:lang w:val="en-US" w:eastAsia="zh-CN" w:bidi="ar"/>
        </w:rPr>
        <w:t>在我方的上述投标总价中，包括：安全生产措施费¥</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，暂列金额¥</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，暂估价¥</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w:t>
      </w:r>
    </w:p>
    <w:p w14:paraId="40F5B0A7">
      <w:pPr>
        <w:keepNext w:val="0"/>
        <w:keepLines w:val="0"/>
        <w:widowControl w:val="0"/>
        <w:suppressLineNumbers w:val="0"/>
        <w:wordWrap w:val="0"/>
        <w:spacing w:before="0" w:beforeAutospacing="0" w:after="0" w:afterAutospacing="0" w:line="440" w:lineRule="exact"/>
        <w:ind w:left="0" w:right="0" w:firstLine="570"/>
        <w:jc w:val="both"/>
        <w:rPr>
          <w:rFonts w:hint="eastAsia" w:ascii="宋体" w:hAnsi="宋体" w:eastAsia="宋体" w:cs="宋体"/>
          <w:color w:val="auto"/>
          <w:kern w:val="0"/>
          <w:highlight w:val="none"/>
          <w:lang w:val="en-US"/>
        </w:rPr>
      </w:pPr>
      <w:r>
        <w:rPr>
          <w:rFonts w:hint="eastAsia" w:ascii="宋体" w:hAnsi="宋体" w:eastAsia="宋体" w:cs="宋体"/>
          <w:color w:val="auto"/>
          <w:kern w:val="0"/>
          <w:sz w:val="24"/>
          <w:szCs w:val="24"/>
          <w:highlight w:val="none"/>
          <w:lang w:val="en-US" w:eastAsia="zh-CN" w:bidi="ar"/>
        </w:rPr>
        <w:t>2. 如果我方中标，我方保证按照合同约定的开工日期开始本项目的施工，</w:t>
      </w:r>
      <w:r>
        <w:rPr>
          <w:rFonts w:hint="eastAsia" w:ascii="宋体" w:hAnsi="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个日历天内竣工，并确保工程质量达到</w:t>
      </w:r>
      <w:r>
        <w:rPr>
          <w:rFonts w:hint="eastAsia" w:ascii="宋体" w:hAnsi="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标准和维修其中的任何缺陷。</w:t>
      </w:r>
    </w:p>
    <w:p w14:paraId="165314F3">
      <w:pPr>
        <w:keepNext w:val="0"/>
        <w:keepLines w:val="0"/>
        <w:widowControl w:val="0"/>
        <w:suppressLineNumbers w:val="0"/>
        <w:wordWrap w:val="0"/>
        <w:spacing w:before="0" w:beforeAutospacing="0" w:after="0" w:afterAutospacing="0" w:line="440" w:lineRule="exact"/>
        <w:ind w:left="0" w:right="0" w:firstLine="570"/>
        <w:jc w:val="both"/>
        <w:rPr>
          <w:rFonts w:hint="eastAsia" w:ascii="宋体" w:hAnsi="宋体" w:eastAsia="宋体" w:cs="宋体"/>
          <w:color w:val="auto"/>
          <w:kern w:val="0"/>
          <w:highlight w:val="none"/>
          <w:lang w:val="en-US"/>
        </w:rPr>
      </w:pPr>
      <w:r>
        <w:rPr>
          <w:rFonts w:hint="eastAsia" w:ascii="宋体" w:hAnsi="宋体" w:eastAsia="宋体" w:cs="宋体"/>
          <w:color w:val="auto"/>
          <w:kern w:val="0"/>
          <w:sz w:val="24"/>
          <w:szCs w:val="24"/>
          <w:highlight w:val="none"/>
          <w:lang w:val="en-US" w:eastAsia="zh-CN" w:bidi="ar"/>
        </w:rPr>
        <w:t>3. 本投标函在你方接收我方递交的投标文件之日起、到招标文件规定的投标有效期期满前对我方具有约束力。我方随时准备接受你方发出的中标通知书。</w:t>
      </w:r>
    </w:p>
    <w:p w14:paraId="3AB5B4D8">
      <w:pPr>
        <w:keepNext w:val="0"/>
        <w:keepLines w:val="0"/>
        <w:widowControl w:val="0"/>
        <w:suppressLineNumbers w:val="0"/>
        <w:wordWrap w:val="0"/>
        <w:spacing w:before="0" w:beforeAutospacing="0" w:after="0" w:afterAutospacing="0" w:line="440" w:lineRule="exact"/>
        <w:ind w:left="0" w:right="0" w:firstLine="570"/>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4．我方在此声明，我方不存在本项目招标文件第二章投标人须知第4.5条“禁止投标条款”所列出的任何一种情形，并愿意承担因我方就此弄虚作假所引起的一切法律后果。</w:t>
      </w:r>
    </w:p>
    <w:p w14:paraId="56669D73">
      <w:pPr>
        <w:keepNext w:val="0"/>
        <w:keepLines w:val="0"/>
        <w:widowControl w:val="0"/>
        <w:suppressLineNumbers w:val="0"/>
        <w:wordWrap w:val="0"/>
        <w:spacing w:before="0" w:beforeAutospacing="0" w:after="0" w:afterAutospacing="0" w:line="440" w:lineRule="exact"/>
        <w:ind w:left="0" w:right="0" w:firstLine="570"/>
        <w:jc w:val="both"/>
        <w:rPr>
          <w:rFonts w:hint="eastAsia" w:ascii="宋体" w:hAnsi="宋体" w:eastAsia="宋体" w:cs="宋体"/>
          <w:color w:val="auto"/>
          <w:kern w:val="0"/>
          <w:highlight w:val="none"/>
          <w:lang w:val="en-US"/>
        </w:rPr>
      </w:pPr>
      <w:r>
        <w:rPr>
          <w:rFonts w:hint="eastAsia" w:ascii="宋体" w:hAnsi="宋体" w:eastAsia="宋体" w:cs="宋体"/>
          <w:color w:val="auto"/>
          <w:kern w:val="0"/>
          <w:sz w:val="24"/>
          <w:szCs w:val="24"/>
          <w:highlight w:val="none"/>
          <w:lang w:val="en-US" w:eastAsia="zh-CN" w:bidi="ar"/>
        </w:rPr>
        <w:t>5．我方在此承诺，所递交投标文件的全部内容均为真实、有效、准确的，并愿意承担因我方就此弄虚作假所引起的一切法律后果，同时理解和同意有可能被要求提供更多的资料。</w:t>
      </w:r>
    </w:p>
    <w:p w14:paraId="4C99D53A">
      <w:pPr>
        <w:keepNext w:val="0"/>
        <w:keepLines w:val="0"/>
        <w:widowControl w:val="0"/>
        <w:suppressLineNumbers w:val="0"/>
        <w:wordWrap w:val="0"/>
        <w:spacing w:before="0" w:beforeAutospacing="0" w:after="0" w:afterAutospacing="0" w:line="440" w:lineRule="exact"/>
        <w:ind w:left="0" w:right="0" w:firstLine="570"/>
        <w:jc w:val="both"/>
        <w:rPr>
          <w:rFonts w:hint="eastAsia" w:ascii="宋体" w:hAnsi="宋体" w:eastAsia="宋体" w:cs="宋体"/>
          <w:color w:val="auto"/>
          <w:kern w:val="0"/>
          <w:highlight w:val="none"/>
          <w:lang w:val="en-US"/>
        </w:rPr>
      </w:pPr>
      <w:bookmarkStart w:id="53" w:name="_Hlt68771070"/>
      <w:bookmarkEnd w:id="53"/>
      <w:r>
        <w:rPr>
          <w:rFonts w:hint="eastAsia" w:ascii="宋体" w:hAnsi="宋体" w:eastAsia="宋体" w:cs="宋体"/>
          <w:color w:val="auto"/>
          <w:kern w:val="0"/>
          <w:sz w:val="24"/>
          <w:szCs w:val="24"/>
          <w:highlight w:val="none"/>
          <w:lang w:val="en-US" w:eastAsia="zh-CN" w:bidi="ar"/>
        </w:rPr>
        <w:t>6. 我方理解你方不一定要接纳收到的最低投标总价或任何投标总价的投标人中标，也不要求你方解释我方是否中标的原因。</w:t>
      </w:r>
    </w:p>
    <w:p w14:paraId="272F1AE1">
      <w:pPr>
        <w:rPr>
          <w:rFonts w:hint="eastAsia" w:ascii="宋体" w:hAnsi="宋体" w:eastAsia="宋体" w:cs="宋体"/>
          <w:color w:val="auto"/>
          <w:lang w:val="en-US"/>
        </w:rPr>
      </w:pPr>
    </w:p>
    <w:p w14:paraId="02709EA9">
      <w:pPr>
        <w:rPr>
          <w:rFonts w:hint="eastAsia" w:ascii="宋体" w:hAnsi="宋体" w:eastAsia="宋体" w:cs="宋体"/>
          <w:color w:val="auto"/>
          <w:lang w:val="en-US"/>
        </w:rPr>
      </w:pPr>
    </w:p>
    <w:p w14:paraId="56589601">
      <w:pPr>
        <w:keepNext w:val="0"/>
        <w:keepLines w:val="0"/>
        <w:widowControl w:val="0"/>
        <w:suppressLineNumbers w:val="0"/>
        <w:wordWrap w:val="0"/>
        <w:spacing w:before="0" w:beforeAutospacing="0" w:after="0" w:afterAutospacing="0" w:line="440" w:lineRule="exact"/>
        <w:ind w:left="0" w:right="0"/>
        <w:jc w:val="right"/>
        <w:rPr>
          <w:rFonts w:hint="eastAsia" w:ascii="宋体" w:hAnsi="宋体" w:eastAsia="宋体" w:cs="宋体"/>
          <w:color w:val="auto"/>
          <w:kern w:val="0"/>
          <w:highlight w:val="none"/>
          <w:lang w:val="en-US"/>
        </w:rPr>
      </w:pPr>
      <w:r>
        <w:rPr>
          <w:rFonts w:hint="eastAsia" w:ascii="宋体" w:hAnsi="宋体" w:eastAsia="宋体" w:cs="宋体"/>
          <w:color w:val="auto"/>
          <w:kern w:val="0"/>
          <w:sz w:val="24"/>
          <w:szCs w:val="24"/>
          <w:highlight w:val="none"/>
          <w:lang w:val="en-US" w:eastAsia="zh-CN" w:bidi="ar"/>
        </w:rPr>
        <w:t xml:space="preserve">    投标人：   （盖单位章）</w:t>
      </w:r>
    </w:p>
    <w:p w14:paraId="1A3C7508">
      <w:pPr>
        <w:keepNext w:val="0"/>
        <w:keepLines w:val="0"/>
        <w:widowControl w:val="0"/>
        <w:suppressLineNumbers w:val="0"/>
        <w:wordWrap w:val="0"/>
        <w:spacing w:before="0" w:beforeAutospacing="0" w:after="0" w:afterAutospacing="0" w:line="440" w:lineRule="exact"/>
        <w:ind w:left="0" w:right="0"/>
        <w:jc w:val="right"/>
        <w:rPr>
          <w:rFonts w:hint="eastAsia" w:ascii="宋体" w:hAnsi="宋体" w:eastAsia="宋体" w:cs="宋体"/>
          <w:color w:val="auto"/>
          <w:kern w:val="0"/>
          <w:highlight w:val="none"/>
          <w:lang w:val="en-US"/>
        </w:rPr>
      </w:pPr>
      <w:r>
        <w:rPr>
          <w:rFonts w:hint="eastAsia" w:ascii="宋体" w:hAnsi="宋体" w:eastAsia="宋体" w:cs="宋体"/>
          <w:color w:val="auto"/>
          <w:kern w:val="0"/>
          <w:sz w:val="24"/>
          <w:szCs w:val="24"/>
          <w:highlight w:val="none"/>
          <w:lang w:val="en-US" w:eastAsia="zh-CN" w:bidi="ar"/>
        </w:rPr>
        <w:t xml:space="preserve"> </w:t>
      </w:r>
    </w:p>
    <w:p w14:paraId="38323162">
      <w:pPr>
        <w:keepNext w:val="0"/>
        <w:keepLines w:val="0"/>
        <w:widowControl w:val="0"/>
        <w:suppressLineNumbers w:val="0"/>
        <w:wordWrap w:val="0"/>
        <w:spacing w:before="0" w:beforeAutospacing="0" w:after="0" w:afterAutospacing="0" w:line="440" w:lineRule="exact"/>
        <w:ind w:left="0" w:right="0" w:firstLine="480" w:firstLineChars="200"/>
        <w:jc w:val="right"/>
        <w:rPr>
          <w:rFonts w:hint="eastAsia" w:ascii="宋体" w:hAnsi="宋体" w:eastAsia="宋体" w:cs="宋体"/>
          <w:color w:val="auto"/>
          <w:kern w:val="0"/>
          <w:highlight w:val="none"/>
          <w:lang w:val="en-US"/>
        </w:rPr>
      </w:pPr>
      <w:r>
        <w:rPr>
          <w:rFonts w:hint="eastAsia" w:ascii="宋体" w:hAnsi="宋体" w:eastAsia="宋体" w:cs="宋体"/>
          <w:color w:val="auto"/>
          <w:kern w:val="0"/>
          <w:sz w:val="24"/>
          <w:szCs w:val="24"/>
          <w:highlight w:val="none"/>
          <w:lang w:val="en-US" w:eastAsia="zh-CN" w:bidi="ar"/>
        </w:rPr>
        <w:t>法定代表人或其委托代理人：   （签字或盖章）</w:t>
      </w:r>
    </w:p>
    <w:p w14:paraId="1C6CEE0A">
      <w:pPr>
        <w:keepNext w:val="0"/>
        <w:keepLines w:val="0"/>
        <w:widowControl w:val="0"/>
        <w:suppressLineNumbers w:val="0"/>
        <w:wordWrap w:val="0"/>
        <w:spacing w:before="0" w:beforeAutospacing="0" w:after="0" w:afterAutospacing="0" w:line="440" w:lineRule="exact"/>
        <w:ind w:left="0" w:right="0" w:firstLine="480" w:firstLineChars="200"/>
        <w:jc w:val="right"/>
        <w:rPr>
          <w:rFonts w:hint="eastAsia" w:ascii="宋体" w:hAnsi="宋体" w:eastAsia="宋体" w:cs="宋体"/>
          <w:color w:val="auto"/>
          <w:kern w:val="0"/>
          <w:highlight w:val="none"/>
          <w:lang w:val="en-US"/>
        </w:rPr>
      </w:pPr>
      <w:r>
        <w:rPr>
          <w:rFonts w:hint="eastAsia" w:ascii="宋体" w:hAnsi="宋体" w:eastAsia="宋体" w:cs="宋体"/>
          <w:color w:val="auto"/>
          <w:kern w:val="0"/>
          <w:sz w:val="24"/>
          <w:szCs w:val="24"/>
          <w:highlight w:val="none"/>
          <w:lang w:val="en-US" w:eastAsia="zh-CN" w:bidi="ar"/>
        </w:rPr>
        <w:t xml:space="preserve"> </w:t>
      </w:r>
    </w:p>
    <w:p w14:paraId="25B58D60">
      <w:pPr>
        <w:keepNext w:val="0"/>
        <w:keepLines w:val="0"/>
        <w:widowControl w:val="0"/>
        <w:suppressLineNumbers w:val="0"/>
        <w:wordWrap w:val="0"/>
        <w:spacing w:before="0" w:beforeAutospacing="0" w:after="0" w:afterAutospacing="0" w:line="440" w:lineRule="exact"/>
        <w:ind w:left="0" w:right="0" w:firstLine="6960" w:firstLineChars="29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年  月  日</w:t>
      </w:r>
    </w:p>
    <w:p w14:paraId="4668B1AD">
      <w:pPr>
        <w:rPr>
          <w:rFonts w:hint="eastAsia" w:ascii="宋体" w:hAnsi="宋体" w:eastAsia="宋体" w:cs="宋体"/>
          <w:color w:val="auto"/>
          <w:lang w:val="en-US" w:eastAsia="zh-CN"/>
        </w:rPr>
      </w:pPr>
    </w:p>
    <w:p w14:paraId="0DE8C929">
      <w:pPr>
        <w:rPr>
          <w:rFonts w:hint="eastAsia" w:ascii="宋体" w:hAnsi="宋体" w:eastAsia="宋体" w:cs="宋体"/>
          <w:color w:val="auto"/>
          <w:lang w:val="en-US" w:eastAsia="zh-CN"/>
        </w:rPr>
      </w:pPr>
    </w:p>
    <w:p w14:paraId="0A5CF597">
      <w:pPr>
        <w:rPr>
          <w:rFonts w:hint="eastAsia" w:ascii="宋体" w:hAnsi="宋体" w:eastAsia="宋体" w:cs="宋体"/>
          <w:color w:val="auto"/>
          <w:lang w:val="en-US" w:eastAsia="zh-CN"/>
        </w:rPr>
      </w:pPr>
    </w:p>
    <w:p w14:paraId="16886D9D">
      <w:pPr>
        <w:rPr>
          <w:rFonts w:hint="eastAsia" w:ascii="宋体" w:hAnsi="宋体" w:eastAsia="宋体" w:cs="宋体"/>
          <w:color w:val="auto"/>
          <w:lang w:val="en-US" w:eastAsia="zh-CN"/>
        </w:rPr>
      </w:pPr>
    </w:p>
    <w:p w14:paraId="521B8FB2">
      <w:pPr>
        <w:rPr>
          <w:rFonts w:hint="eastAsia" w:ascii="宋体" w:hAnsi="宋体" w:eastAsia="宋体" w:cs="宋体"/>
          <w:color w:val="auto"/>
          <w:lang w:val="en-US" w:eastAsia="zh-CN"/>
        </w:rPr>
      </w:pPr>
    </w:p>
    <w:p w14:paraId="63FC54C2">
      <w:pPr>
        <w:rPr>
          <w:rFonts w:hint="eastAsia" w:ascii="宋体" w:hAnsi="宋体" w:eastAsia="宋体" w:cs="宋体"/>
          <w:color w:val="auto"/>
          <w:lang w:val="en-US" w:eastAsia="zh-CN"/>
        </w:rPr>
      </w:pPr>
    </w:p>
    <w:p w14:paraId="533C44B8">
      <w:pPr>
        <w:rPr>
          <w:rFonts w:hint="eastAsia" w:ascii="宋体" w:hAnsi="宋体" w:eastAsia="宋体" w:cs="宋体"/>
          <w:color w:val="auto"/>
          <w:lang w:val="en-US" w:eastAsia="zh-CN"/>
        </w:rPr>
      </w:pPr>
    </w:p>
    <w:p w14:paraId="1C31FCDF">
      <w:pPr>
        <w:rPr>
          <w:rFonts w:hint="eastAsia" w:ascii="宋体" w:hAnsi="宋体" w:eastAsia="宋体" w:cs="宋体"/>
          <w:color w:val="auto"/>
          <w:lang w:val="en-US" w:eastAsia="zh-CN"/>
        </w:rPr>
      </w:pPr>
    </w:p>
    <w:p w14:paraId="264E5A0E">
      <w:pPr>
        <w:rPr>
          <w:rFonts w:hint="eastAsia" w:ascii="宋体" w:hAnsi="宋体" w:eastAsia="宋体" w:cs="宋体"/>
          <w:color w:val="auto"/>
          <w:lang w:val="en-US" w:eastAsia="zh-CN"/>
        </w:rPr>
      </w:pPr>
    </w:p>
    <w:p w14:paraId="1EA7DB04">
      <w:pPr>
        <w:rPr>
          <w:rFonts w:hint="eastAsia" w:ascii="宋体" w:hAnsi="宋体" w:eastAsia="宋体" w:cs="宋体"/>
          <w:color w:val="auto"/>
          <w:lang w:val="en-US" w:eastAsia="zh-CN"/>
        </w:rPr>
      </w:pPr>
    </w:p>
    <w:p w14:paraId="1567AC5A">
      <w:pPr>
        <w:pStyle w:val="3"/>
        <w:bidi w:val="0"/>
        <w:ind w:left="0" w:leftChars="0" w:firstLine="0" w:firstLineChars="0"/>
        <w:jc w:val="left"/>
        <w:rPr>
          <w:rFonts w:hint="eastAsia" w:ascii="宋体" w:hAnsi="宋体" w:eastAsia="宋体" w:cs="宋体"/>
          <w:color w:val="auto"/>
          <w:lang w:val="en-US" w:eastAsia="zh-CN"/>
        </w:rPr>
      </w:pPr>
      <w:bookmarkStart w:id="54" w:name="_Toc2597"/>
      <w:bookmarkStart w:id="55" w:name="_Toc12610"/>
      <w:bookmarkStart w:id="56" w:name="_Toc21043"/>
      <w:r>
        <w:rPr>
          <w:rFonts w:hint="eastAsia" w:ascii="宋体" w:hAnsi="宋体" w:eastAsia="宋体" w:cs="宋体"/>
          <w:color w:val="auto"/>
          <w:lang w:eastAsia="zh-CN"/>
        </w:rPr>
        <w:t>格式三</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各项承诺一览表</w:t>
      </w:r>
      <w:bookmarkEnd w:id="54"/>
      <w:bookmarkEnd w:id="55"/>
      <w:bookmarkEnd w:id="56"/>
    </w:p>
    <w:p w14:paraId="58E48C83">
      <w:pPr>
        <w:pStyle w:val="38"/>
        <w:keepNext w:val="0"/>
        <w:keepLines w:val="0"/>
        <w:widowControl w:val="0"/>
        <w:suppressLineNumbers w:val="0"/>
        <w:wordWrap w:val="0"/>
        <w:spacing w:before="260" w:beforeAutospacing="0" w:after="260" w:afterAutospacing="0" w:line="440" w:lineRule="exact"/>
        <w:ind w:left="0" w:right="0" w:firstLine="0"/>
        <w:outlineLvl w:val="9"/>
        <w:rPr>
          <w:rFonts w:hint="eastAsia" w:ascii="宋体" w:hAnsi="宋体" w:eastAsia="宋体" w:cs="宋体"/>
          <w:b/>
          <w:bCs w:val="0"/>
          <w:color w:val="auto"/>
          <w:highlight w:val="none"/>
          <w:lang w:val="en-US"/>
        </w:rPr>
      </w:pPr>
      <w:r>
        <w:rPr>
          <w:rFonts w:hint="eastAsia" w:ascii="宋体" w:hAnsi="宋体" w:eastAsia="宋体" w:cs="宋体"/>
          <w:b/>
          <w:bCs w:val="0"/>
          <w:color w:val="auto"/>
          <w:sz w:val="30"/>
          <w:szCs w:val="30"/>
          <w:highlight w:val="none"/>
          <w:lang w:eastAsia="zh-CN"/>
        </w:rPr>
        <w:t>各项承诺一览表</w:t>
      </w:r>
    </w:p>
    <w:tbl>
      <w:tblPr>
        <w:tblStyle w:val="21"/>
        <w:tblW w:w="92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6"/>
        <w:gridCol w:w="1467"/>
        <w:gridCol w:w="2679"/>
        <w:gridCol w:w="4369"/>
      </w:tblGrid>
      <w:tr w14:paraId="675A7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5F790D24">
            <w:pPr>
              <w:pStyle w:val="40"/>
              <w:widowControl/>
              <w:wordWrap w:val="0"/>
              <w:spacing w:line="380" w:lineRule="exact"/>
              <w:jc w:val="center"/>
              <w:outlineLvl w:val="9"/>
              <w:rPr>
                <w:rFonts w:hint="eastAsia" w:ascii="宋体" w:hAnsi="宋体" w:eastAsia="宋体" w:cs="宋体"/>
                <w:bCs/>
                <w:color w:val="auto"/>
                <w:kern w:val="0"/>
                <w:sz w:val="24"/>
                <w:szCs w:val="24"/>
                <w:highlight w:val="none"/>
                <w:lang w:val="en-US"/>
              </w:rPr>
            </w:pPr>
            <w:r>
              <w:rPr>
                <w:rFonts w:hint="eastAsia" w:ascii="宋体" w:hAnsi="宋体" w:eastAsia="宋体" w:cs="宋体"/>
                <w:bCs/>
                <w:color w:val="auto"/>
                <w:kern w:val="0"/>
                <w:sz w:val="24"/>
                <w:szCs w:val="24"/>
                <w:highlight w:val="none"/>
              </w:rPr>
              <w:t>序号</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14:paraId="432185E2">
            <w:pPr>
              <w:pStyle w:val="40"/>
              <w:widowControl/>
              <w:wordWrap w:val="0"/>
              <w:spacing w:line="380" w:lineRule="exact"/>
              <w:jc w:val="center"/>
              <w:outlineLvl w:val="9"/>
              <w:rPr>
                <w:rFonts w:hint="eastAsia" w:ascii="宋体" w:hAnsi="宋体" w:eastAsia="宋体" w:cs="宋体"/>
                <w:bCs/>
                <w:color w:val="auto"/>
                <w:kern w:val="0"/>
                <w:sz w:val="24"/>
                <w:szCs w:val="24"/>
                <w:highlight w:val="none"/>
                <w:lang w:val="en-US"/>
              </w:rPr>
            </w:pPr>
            <w:r>
              <w:rPr>
                <w:rFonts w:hint="eastAsia" w:ascii="宋体" w:hAnsi="宋体" w:eastAsia="宋体" w:cs="宋体"/>
                <w:bCs/>
                <w:color w:val="auto"/>
                <w:kern w:val="0"/>
                <w:sz w:val="24"/>
                <w:szCs w:val="24"/>
                <w:highlight w:val="none"/>
              </w:rPr>
              <w:t>承诺事项</w:t>
            </w:r>
          </w:p>
        </w:tc>
        <w:tc>
          <w:tcPr>
            <w:tcW w:w="2679" w:type="dxa"/>
            <w:tcBorders>
              <w:top w:val="single" w:color="000000" w:sz="4" w:space="0"/>
              <w:left w:val="single" w:color="000000" w:sz="4" w:space="0"/>
              <w:bottom w:val="single" w:color="000000" w:sz="4" w:space="0"/>
              <w:right w:val="single" w:color="000000" w:sz="4" w:space="0"/>
            </w:tcBorders>
            <w:noWrap w:val="0"/>
            <w:vAlign w:val="center"/>
          </w:tcPr>
          <w:p w14:paraId="05CABA53">
            <w:pPr>
              <w:pStyle w:val="40"/>
              <w:widowControl/>
              <w:wordWrap w:val="0"/>
              <w:spacing w:line="380" w:lineRule="exact"/>
              <w:jc w:val="center"/>
              <w:outlineLvl w:val="9"/>
              <w:rPr>
                <w:rFonts w:hint="eastAsia" w:ascii="宋体" w:hAnsi="宋体" w:eastAsia="宋体" w:cs="宋体"/>
                <w:bCs/>
                <w:color w:val="auto"/>
                <w:kern w:val="0"/>
                <w:sz w:val="24"/>
                <w:szCs w:val="24"/>
                <w:highlight w:val="none"/>
                <w:lang w:val="en-US"/>
              </w:rPr>
            </w:pPr>
            <w:r>
              <w:rPr>
                <w:rFonts w:hint="eastAsia" w:ascii="宋体" w:hAnsi="宋体" w:eastAsia="宋体" w:cs="宋体"/>
                <w:bCs/>
                <w:color w:val="auto"/>
                <w:kern w:val="0"/>
                <w:sz w:val="24"/>
                <w:szCs w:val="24"/>
                <w:highlight w:val="none"/>
              </w:rPr>
              <w:t>承诺内容</w:t>
            </w:r>
          </w:p>
        </w:tc>
        <w:tc>
          <w:tcPr>
            <w:tcW w:w="4369" w:type="dxa"/>
            <w:tcBorders>
              <w:top w:val="single" w:color="000000" w:sz="4" w:space="0"/>
              <w:left w:val="single" w:color="000000" w:sz="4" w:space="0"/>
              <w:bottom w:val="single" w:color="000000" w:sz="4" w:space="0"/>
              <w:right w:val="single" w:color="000000" w:sz="4" w:space="0"/>
            </w:tcBorders>
            <w:noWrap w:val="0"/>
            <w:vAlign w:val="center"/>
          </w:tcPr>
          <w:p w14:paraId="06F80DF1">
            <w:pPr>
              <w:pStyle w:val="40"/>
              <w:widowControl/>
              <w:wordWrap w:val="0"/>
              <w:spacing w:line="380" w:lineRule="exact"/>
              <w:jc w:val="center"/>
              <w:outlineLvl w:val="9"/>
              <w:rPr>
                <w:rFonts w:hint="eastAsia" w:ascii="宋体" w:hAnsi="宋体" w:eastAsia="宋体" w:cs="宋体"/>
                <w:bCs/>
                <w:color w:val="auto"/>
                <w:kern w:val="0"/>
                <w:sz w:val="24"/>
                <w:szCs w:val="24"/>
                <w:highlight w:val="none"/>
                <w:lang w:val="en-US"/>
              </w:rPr>
            </w:pPr>
            <w:r>
              <w:rPr>
                <w:rFonts w:hint="eastAsia" w:ascii="宋体" w:hAnsi="宋体" w:eastAsia="宋体" w:cs="宋体"/>
                <w:bCs/>
                <w:color w:val="auto"/>
                <w:kern w:val="0"/>
                <w:sz w:val="24"/>
                <w:szCs w:val="24"/>
                <w:highlight w:val="none"/>
              </w:rPr>
              <w:t>违约承诺</w:t>
            </w:r>
          </w:p>
        </w:tc>
      </w:tr>
      <w:tr w14:paraId="23126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3" w:hRule="atLeast"/>
          <w:jc w:val="center"/>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28DE8ABA">
            <w:pPr>
              <w:pStyle w:val="40"/>
              <w:widowControl/>
              <w:wordWrap w:val="0"/>
              <w:spacing w:line="380" w:lineRule="exact"/>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rPr>
              <w:t>1</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14:paraId="11365F0C">
            <w:pPr>
              <w:pStyle w:val="41"/>
              <w:widowControl/>
              <w:wordWrap w:val="0"/>
              <w:spacing w:line="380" w:lineRule="exact"/>
              <w:ind w:left="0" w:firstLine="0" w:firstLineChars="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自愿接受招标</w:t>
            </w:r>
          </w:p>
          <w:p w14:paraId="7EC24D6F">
            <w:pPr>
              <w:pStyle w:val="41"/>
              <w:widowControl/>
              <w:wordWrap w:val="0"/>
              <w:spacing w:line="380" w:lineRule="exact"/>
              <w:ind w:left="0" w:firstLine="0" w:firstLineChars="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文件条款的承诺</w:t>
            </w:r>
          </w:p>
        </w:tc>
        <w:tc>
          <w:tcPr>
            <w:tcW w:w="2679" w:type="dxa"/>
            <w:tcBorders>
              <w:top w:val="single" w:color="000000" w:sz="4" w:space="0"/>
              <w:left w:val="single" w:color="000000" w:sz="4" w:space="0"/>
              <w:bottom w:val="single" w:color="000000" w:sz="4" w:space="0"/>
              <w:right w:val="single" w:color="000000" w:sz="4" w:space="0"/>
            </w:tcBorders>
            <w:noWrap w:val="0"/>
            <w:vAlign w:val="center"/>
          </w:tcPr>
          <w:p w14:paraId="65F8E596">
            <w:pPr>
              <w:pStyle w:val="41"/>
              <w:widowControl/>
              <w:wordWrap w:val="0"/>
              <w:spacing w:line="380" w:lineRule="exact"/>
              <w:ind w:left="0" w:firstLine="420"/>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我方自愿接受招标文件的所有条款，所递交的投标文件已经充分响应招标文件的实质性要求。</w:t>
            </w:r>
          </w:p>
        </w:tc>
        <w:tc>
          <w:tcPr>
            <w:tcW w:w="4369" w:type="dxa"/>
            <w:tcBorders>
              <w:top w:val="single" w:color="000000" w:sz="4" w:space="0"/>
              <w:left w:val="single" w:color="000000" w:sz="4" w:space="0"/>
              <w:bottom w:val="single" w:color="000000" w:sz="4" w:space="0"/>
              <w:right w:val="single" w:color="000000" w:sz="4" w:space="0"/>
            </w:tcBorders>
            <w:noWrap w:val="0"/>
            <w:vAlign w:val="center"/>
          </w:tcPr>
          <w:p w14:paraId="5D4EED04">
            <w:pPr>
              <w:pStyle w:val="41"/>
              <w:widowControl/>
              <w:wordWrap w:val="0"/>
              <w:spacing w:line="380" w:lineRule="exact"/>
              <w:ind w:left="0" w:firstLine="420"/>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如果我方的投标文件未响应、违反、偏离招标文件的实质性要求，我方接受招标人或其授权的招标代理机构或其组建的评标委员会依据招标文件作出的相应处理，包括否决投标。</w:t>
            </w:r>
          </w:p>
        </w:tc>
      </w:tr>
      <w:tr w14:paraId="73374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2" w:hRule="atLeast"/>
          <w:jc w:val="center"/>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5B4FC123">
            <w:pPr>
              <w:pStyle w:val="40"/>
              <w:widowControl/>
              <w:wordWrap w:val="0"/>
              <w:spacing w:line="380" w:lineRule="exact"/>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rPr>
              <w:t>2</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14:paraId="519E1FB5">
            <w:pPr>
              <w:pStyle w:val="41"/>
              <w:widowControl/>
              <w:wordWrap w:val="0"/>
              <w:spacing w:line="380" w:lineRule="exact"/>
              <w:ind w:left="0" w:firstLine="0" w:firstLineChars="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无禁止投标</w:t>
            </w:r>
          </w:p>
          <w:p w14:paraId="612DEC27">
            <w:pPr>
              <w:pStyle w:val="41"/>
              <w:widowControl/>
              <w:wordWrap w:val="0"/>
              <w:spacing w:line="380" w:lineRule="exact"/>
              <w:ind w:left="0" w:firstLine="0" w:firstLineChars="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情形的承诺</w:t>
            </w:r>
          </w:p>
        </w:tc>
        <w:tc>
          <w:tcPr>
            <w:tcW w:w="2679" w:type="dxa"/>
            <w:tcBorders>
              <w:top w:val="single" w:color="000000" w:sz="4" w:space="0"/>
              <w:left w:val="single" w:color="000000" w:sz="4" w:space="0"/>
              <w:bottom w:val="single" w:color="000000" w:sz="4" w:space="0"/>
              <w:right w:val="single" w:color="000000" w:sz="4" w:space="0"/>
            </w:tcBorders>
            <w:noWrap w:val="0"/>
            <w:vAlign w:val="center"/>
          </w:tcPr>
          <w:p w14:paraId="329B5D8B">
            <w:pPr>
              <w:pStyle w:val="41"/>
              <w:widowControl/>
              <w:wordWrap w:val="0"/>
              <w:spacing w:line="380" w:lineRule="exact"/>
              <w:ind w:left="0" w:firstLine="420"/>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我方不存在招标文件</w:t>
            </w:r>
            <w:r>
              <w:rPr>
                <w:rFonts w:hint="eastAsia" w:ascii="宋体" w:hAnsi="宋体" w:eastAsia="宋体" w:cs="宋体"/>
                <w:color w:val="auto"/>
                <w:kern w:val="0"/>
                <w:sz w:val="24"/>
                <w:szCs w:val="24"/>
                <w:highlight w:val="none"/>
                <w:lang w:val="en-US" w:eastAsia="zh-CN"/>
              </w:rPr>
              <w:t>第二章投标人须知第4.5条</w:t>
            </w:r>
            <w:r>
              <w:rPr>
                <w:rFonts w:hint="eastAsia" w:ascii="宋体" w:hAnsi="宋体" w:eastAsia="宋体" w:cs="宋体"/>
                <w:color w:val="auto"/>
                <w:kern w:val="0"/>
                <w:sz w:val="24"/>
                <w:szCs w:val="24"/>
                <w:highlight w:val="none"/>
              </w:rPr>
              <w:t>“禁止投标条款”规定的任何一种情形。</w:t>
            </w:r>
          </w:p>
        </w:tc>
        <w:tc>
          <w:tcPr>
            <w:tcW w:w="4369" w:type="dxa"/>
            <w:tcBorders>
              <w:top w:val="single" w:color="000000" w:sz="4" w:space="0"/>
              <w:left w:val="single" w:color="000000" w:sz="4" w:space="0"/>
              <w:bottom w:val="single" w:color="000000" w:sz="4" w:space="0"/>
              <w:right w:val="single" w:color="000000" w:sz="4" w:space="0"/>
            </w:tcBorders>
            <w:noWrap w:val="0"/>
            <w:vAlign w:val="center"/>
          </w:tcPr>
          <w:p w14:paraId="4FEA1515">
            <w:pPr>
              <w:pStyle w:val="41"/>
              <w:widowControl/>
              <w:wordWrap w:val="0"/>
              <w:spacing w:line="380" w:lineRule="exact"/>
              <w:ind w:left="0" w:firstLine="420"/>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如果我方有招标文件</w:t>
            </w:r>
            <w:r>
              <w:rPr>
                <w:rFonts w:hint="eastAsia" w:ascii="宋体" w:hAnsi="宋体" w:eastAsia="宋体" w:cs="宋体"/>
                <w:color w:val="auto"/>
                <w:kern w:val="0"/>
                <w:sz w:val="24"/>
                <w:szCs w:val="24"/>
                <w:highlight w:val="none"/>
                <w:lang w:val="en-US" w:eastAsia="zh-CN"/>
              </w:rPr>
              <w:t>第二章投标人须知第4.5条</w:t>
            </w:r>
            <w:r>
              <w:rPr>
                <w:rFonts w:hint="eastAsia" w:ascii="宋体" w:hAnsi="宋体" w:eastAsia="宋体" w:cs="宋体"/>
                <w:color w:val="auto"/>
                <w:kern w:val="0"/>
                <w:sz w:val="24"/>
                <w:szCs w:val="24"/>
                <w:highlight w:val="none"/>
              </w:rPr>
              <w:t>“禁止投标条款”规定的任何一种情形，我方接受招标人或其授权的招标代理机构或其组建的评标委员会依据招标文件作出的相应处理以及有关监督部门作出的行政处罚，并承担由此引起的一切法律后果。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48A4C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9" w:hRule="atLeast"/>
          <w:jc w:val="center"/>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0B1ABD92">
            <w:pPr>
              <w:pStyle w:val="40"/>
              <w:widowControl/>
              <w:wordWrap w:val="0"/>
              <w:spacing w:line="380" w:lineRule="exact"/>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rPr>
              <w:t>3</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14:paraId="628A1C5A">
            <w:pPr>
              <w:pStyle w:val="41"/>
              <w:widowControl/>
              <w:wordWrap w:val="0"/>
              <w:spacing w:line="380" w:lineRule="exact"/>
              <w:ind w:left="0" w:firstLine="0" w:firstLineChars="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自觉抵制围标</w:t>
            </w:r>
          </w:p>
          <w:p w14:paraId="537D3B35">
            <w:pPr>
              <w:pStyle w:val="41"/>
              <w:widowControl/>
              <w:wordWrap w:val="0"/>
              <w:spacing w:line="380" w:lineRule="exact"/>
              <w:ind w:left="0" w:firstLine="0" w:firstLineChars="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串标和弄虚</w:t>
            </w:r>
          </w:p>
          <w:p w14:paraId="1489D47C">
            <w:pPr>
              <w:pStyle w:val="41"/>
              <w:widowControl/>
              <w:wordWrap w:val="0"/>
              <w:spacing w:line="380" w:lineRule="exact"/>
              <w:ind w:left="0" w:firstLine="0" w:firstLineChars="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作假行为的承诺</w:t>
            </w:r>
          </w:p>
        </w:tc>
        <w:tc>
          <w:tcPr>
            <w:tcW w:w="2679" w:type="dxa"/>
            <w:tcBorders>
              <w:top w:val="single" w:color="000000" w:sz="4" w:space="0"/>
              <w:left w:val="single" w:color="000000" w:sz="4" w:space="0"/>
              <w:bottom w:val="single" w:color="000000" w:sz="4" w:space="0"/>
              <w:right w:val="single" w:color="000000" w:sz="4" w:space="0"/>
            </w:tcBorders>
            <w:noWrap w:val="0"/>
            <w:vAlign w:val="center"/>
          </w:tcPr>
          <w:p w14:paraId="0675049D">
            <w:pPr>
              <w:pStyle w:val="41"/>
              <w:widowControl/>
              <w:wordWrap w:val="0"/>
              <w:spacing w:line="380" w:lineRule="exact"/>
              <w:ind w:left="0" w:firstLine="420"/>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我方合法正当、诚实守信地参与投标，不组织、不参加围标串标违法行为，不通过弄虚作假行为骗取中标。</w:t>
            </w:r>
          </w:p>
        </w:tc>
        <w:tc>
          <w:tcPr>
            <w:tcW w:w="4369" w:type="dxa"/>
            <w:tcBorders>
              <w:top w:val="single" w:color="000000" w:sz="4" w:space="0"/>
              <w:left w:val="single" w:color="000000" w:sz="4" w:space="0"/>
              <w:bottom w:val="single" w:color="000000" w:sz="4" w:space="0"/>
              <w:right w:val="single" w:color="000000" w:sz="4" w:space="0"/>
            </w:tcBorders>
            <w:noWrap w:val="0"/>
            <w:vAlign w:val="center"/>
          </w:tcPr>
          <w:p w14:paraId="3EDA75A5">
            <w:pPr>
              <w:pStyle w:val="41"/>
              <w:widowControl/>
              <w:wordWrap w:val="0"/>
              <w:spacing w:line="380" w:lineRule="exact"/>
              <w:ind w:left="0" w:firstLine="420"/>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4BAA8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6" w:hRule="atLeast"/>
          <w:jc w:val="center"/>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C10A00E">
            <w:pPr>
              <w:pStyle w:val="40"/>
              <w:widowControl/>
              <w:wordWrap w:val="0"/>
              <w:spacing w:line="380" w:lineRule="exact"/>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rPr>
              <w:t>4</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14:paraId="47F2AC45">
            <w:pPr>
              <w:pStyle w:val="41"/>
              <w:widowControl/>
              <w:wordWrap w:val="0"/>
              <w:spacing w:line="380" w:lineRule="exact"/>
              <w:ind w:left="0" w:firstLine="0" w:firstLineChars="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项目经理</w:t>
            </w:r>
          </w:p>
          <w:p w14:paraId="326AC633">
            <w:pPr>
              <w:pStyle w:val="41"/>
              <w:widowControl/>
              <w:wordWrap w:val="0"/>
              <w:spacing w:line="380" w:lineRule="exact"/>
              <w:ind w:left="0" w:firstLine="0" w:firstLineChars="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任职承诺</w:t>
            </w:r>
          </w:p>
        </w:tc>
        <w:tc>
          <w:tcPr>
            <w:tcW w:w="2679" w:type="dxa"/>
            <w:tcBorders>
              <w:top w:val="single" w:color="000000" w:sz="4" w:space="0"/>
              <w:left w:val="single" w:color="000000" w:sz="4" w:space="0"/>
              <w:bottom w:val="single" w:color="000000" w:sz="4" w:space="0"/>
              <w:right w:val="single" w:color="000000" w:sz="4" w:space="0"/>
            </w:tcBorders>
            <w:noWrap w:val="0"/>
            <w:vAlign w:val="center"/>
          </w:tcPr>
          <w:p w14:paraId="1573134C">
            <w:pPr>
              <w:pStyle w:val="41"/>
              <w:widowControl/>
              <w:wordWrap w:val="0"/>
              <w:spacing w:line="380" w:lineRule="exact"/>
              <w:ind w:left="0" w:firstLine="420"/>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我方拟派项目经理现阶段没有担任任何在施（包括已中标未开工、已开工未竣工）建设工程项目的项目经理。</w:t>
            </w:r>
          </w:p>
        </w:tc>
        <w:tc>
          <w:tcPr>
            <w:tcW w:w="4369" w:type="dxa"/>
            <w:tcBorders>
              <w:top w:val="single" w:color="000000" w:sz="4" w:space="0"/>
              <w:left w:val="single" w:color="000000" w:sz="4" w:space="0"/>
              <w:bottom w:val="single" w:color="000000" w:sz="4" w:space="0"/>
              <w:right w:val="single" w:color="000000" w:sz="4" w:space="0"/>
            </w:tcBorders>
            <w:noWrap w:val="0"/>
            <w:vAlign w:val="center"/>
          </w:tcPr>
          <w:p w14:paraId="47C5E8B0">
            <w:pPr>
              <w:pStyle w:val="41"/>
              <w:widowControl/>
              <w:wordWrap w:val="0"/>
              <w:spacing w:line="380" w:lineRule="exact"/>
              <w:ind w:left="0" w:firstLine="420"/>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4EECC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0" w:hRule="atLeast"/>
          <w:jc w:val="center"/>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12C05F6">
            <w:pPr>
              <w:pStyle w:val="40"/>
              <w:widowControl/>
              <w:wordWrap w:val="0"/>
              <w:spacing w:line="380" w:lineRule="exact"/>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rPr>
              <w:t>5</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14:paraId="0D7125EB">
            <w:pPr>
              <w:pStyle w:val="41"/>
              <w:widowControl/>
              <w:wordWrap w:val="0"/>
              <w:spacing w:line="380" w:lineRule="exact"/>
              <w:ind w:left="0" w:firstLine="0" w:firstLineChars="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投标文件</w:t>
            </w:r>
          </w:p>
          <w:p w14:paraId="32C81A48">
            <w:pPr>
              <w:pStyle w:val="41"/>
              <w:widowControl/>
              <w:wordWrap w:val="0"/>
              <w:spacing w:line="380" w:lineRule="exact"/>
              <w:ind w:left="0" w:firstLine="0" w:firstLineChars="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真实性承诺</w:t>
            </w:r>
          </w:p>
        </w:tc>
        <w:tc>
          <w:tcPr>
            <w:tcW w:w="2679" w:type="dxa"/>
            <w:tcBorders>
              <w:top w:val="single" w:color="000000" w:sz="4" w:space="0"/>
              <w:left w:val="single" w:color="000000" w:sz="4" w:space="0"/>
              <w:bottom w:val="single" w:color="000000" w:sz="4" w:space="0"/>
              <w:right w:val="single" w:color="000000" w:sz="4" w:space="0"/>
            </w:tcBorders>
            <w:noWrap w:val="0"/>
            <w:vAlign w:val="center"/>
          </w:tcPr>
          <w:p w14:paraId="680E99D2">
            <w:pPr>
              <w:pStyle w:val="41"/>
              <w:widowControl/>
              <w:wordWrap w:val="0"/>
              <w:spacing w:line="380" w:lineRule="exact"/>
              <w:ind w:left="0" w:firstLine="420"/>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我方所递交投标文件的全部内容均为真实、有效、准确的。</w:t>
            </w:r>
          </w:p>
        </w:tc>
        <w:tc>
          <w:tcPr>
            <w:tcW w:w="4369" w:type="dxa"/>
            <w:tcBorders>
              <w:top w:val="single" w:color="000000" w:sz="4" w:space="0"/>
              <w:left w:val="single" w:color="000000" w:sz="4" w:space="0"/>
              <w:bottom w:val="single" w:color="000000" w:sz="4" w:space="0"/>
              <w:right w:val="single" w:color="000000" w:sz="4" w:space="0"/>
            </w:tcBorders>
            <w:noWrap w:val="0"/>
            <w:vAlign w:val="center"/>
          </w:tcPr>
          <w:p w14:paraId="070B643E">
            <w:pPr>
              <w:pStyle w:val="41"/>
              <w:widowControl/>
              <w:wordWrap w:val="0"/>
              <w:spacing w:line="380" w:lineRule="exact"/>
              <w:ind w:left="0" w:firstLine="420"/>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如果我方递交的投标文件任何内容不真实或无效或不准确，我方接受招标人或其授权的招标代理机构或其组建的评标委员会依据招标文件作出的相应处理，包括否决投标。</w:t>
            </w:r>
          </w:p>
        </w:tc>
      </w:tr>
      <w:tr w14:paraId="2D836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4C271B4">
            <w:pPr>
              <w:pStyle w:val="40"/>
              <w:widowControl/>
              <w:wordWrap w:val="0"/>
              <w:spacing w:line="380" w:lineRule="exact"/>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rPr>
              <w:t>6</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14:paraId="68215FF8">
            <w:pPr>
              <w:pStyle w:val="41"/>
              <w:widowControl/>
              <w:wordWrap w:val="0"/>
              <w:spacing w:line="380" w:lineRule="exact"/>
              <w:ind w:left="0" w:firstLine="0" w:firstLineChars="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投标文件</w:t>
            </w:r>
          </w:p>
          <w:p w14:paraId="0347EF9D">
            <w:pPr>
              <w:pStyle w:val="41"/>
              <w:widowControl/>
              <w:wordWrap w:val="0"/>
              <w:spacing w:line="380" w:lineRule="exact"/>
              <w:ind w:left="0" w:firstLine="0" w:firstLineChars="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信息公开承诺</w:t>
            </w:r>
          </w:p>
        </w:tc>
        <w:tc>
          <w:tcPr>
            <w:tcW w:w="2679" w:type="dxa"/>
            <w:tcBorders>
              <w:top w:val="single" w:color="000000" w:sz="4" w:space="0"/>
              <w:left w:val="single" w:color="000000" w:sz="4" w:space="0"/>
              <w:bottom w:val="single" w:color="000000" w:sz="4" w:space="0"/>
              <w:right w:val="single" w:color="000000" w:sz="4" w:space="0"/>
            </w:tcBorders>
            <w:noWrap w:val="0"/>
            <w:vAlign w:val="center"/>
          </w:tcPr>
          <w:p w14:paraId="2CF5B6DD">
            <w:pPr>
              <w:pStyle w:val="41"/>
              <w:widowControl/>
              <w:wordWrap w:val="0"/>
              <w:spacing w:line="380" w:lineRule="exact"/>
              <w:ind w:left="0" w:firstLine="420"/>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我方提供完整的文件。如果我方成为本项目中标候选人，我方同意并授权招标人在评标结果公示期内公开我方商务标书的全部内容。</w:t>
            </w:r>
          </w:p>
        </w:tc>
        <w:tc>
          <w:tcPr>
            <w:tcW w:w="4369" w:type="dxa"/>
            <w:tcBorders>
              <w:top w:val="single" w:color="000000" w:sz="4" w:space="0"/>
              <w:left w:val="single" w:color="000000" w:sz="4" w:space="0"/>
              <w:bottom w:val="single" w:color="000000" w:sz="4" w:space="0"/>
              <w:right w:val="single" w:color="000000" w:sz="4" w:space="0"/>
            </w:tcBorders>
            <w:noWrap w:val="0"/>
            <w:vAlign w:val="center"/>
          </w:tcPr>
          <w:p w14:paraId="2BDBC8F8">
            <w:pPr>
              <w:pStyle w:val="41"/>
              <w:widowControl/>
              <w:wordWrap w:val="0"/>
              <w:spacing w:line="380" w:lineRule="exact"/>
              <w:ind w:left="0" w:firstLine="0" w:firstLineChars="0"/>
              <w:jc w:val="center"/>
              <w:outlineLvl w:val="9"/>
              <w:rPr>
                <w:rFonts w:hint="eastAsia" w:ascii="宋体" w:hAnsi="宋体" w:eastAsia="宋体" w:cs="宋体"/>
                <w:b/>
                <w:bCs/>
                <w:color w:val="auto"/>
                <w:kern w:val="0"/>
                <w:sz w:val="24"/>
                <w:szCs w:val="24"/>
                <w:highlight w:val="none"/>
                <w:lang w:val="en-US"/>
              </w:rPr>
            </w:pPr>
            <w:r>
              <w:rPr>
                <w:rFonts w:hint="eastAsia" w:ascii="宋体" w:hAnsi="宋体" w:eastAsia="宋体" w:cs="宋体"/>
                <w:b/>
                <w:bCs/>
                <w:color w:val="auto"/>
                <w:kern w:val="0"/>
                <w:sz w:val="24"/>
                <w:szCs w:val="24"/>
                <w:highlight w:val="none"/>
                <w:lang w:val="en-US"/>
              </w:rPr>
              <w:t>/</w:t>
            </w:r>
          </w:p>
        </w:tc>
      </w:tr>
      <w:tr w14:paraId="5051F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1" w:hRule="atLeast"/>
          <w:jc w:val="center"/>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62ED1963">
            <w:pPr>
              <w:pStyle w:val="40"/>
              <w:widowControl/>
              <w:wordWrap w:val="0"/>
              <w:spacing w:line="380" w:lineRule="exact"/>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rPr>
              <w:t>7</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14:paraId="76544555">
            <w:pPr>
              <w:pStyle w:val="41"/>
              <w:widowControl/>
              <w:wordWrap w:val="0"/>
              <w:spacing w:line="380" w:lineRule="exact"/>
              <w:ind w:left="0" w:firstLine="0" w:firstLineChars="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对不正常报价</w:t>
            </w:r>
          </w:p>
          <w:p w14:paraId="1A641035">
            <w:pPr>
              <w:pStyle w:val="41"/>
              <w:widowControl/>
              <w:wordWrap w:val="0"/>
              <w:spacing w:line="380" w:lineRule="exact"/>
              <w:ind w:left="0" w:firstLine="0" w:firstLineChars="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的确认承诺</w:t>
            </w:r>
          </w:p>
        </w:tc>
        <w:tc>
          <w:tcPr>
            <w:tcW w:w="2679" w:type="dxa"/>
            <w:tcBorders>
              <w:top w:val="single" w:color="000000" w:sz="4" w:space="0"/>
              <w:left w:val="single" w:color="000000" w:sz="4" w:space="0"/>
              <w:bottom w:val="single" w:color="000000" w:sz="4" w:space="0"/>
              <w:right w:val="single" w:color="000000" w:sz="4" w:space="0"/>
            </w:tcBorders>
            <w:noWrap w:val="0"/>
            <w:vAlign w:val="center"/>
          </w:tcPr>
          <w:p w14:paraId="1E8E1E06">
            <w:pPr>
              <w:pStyle w:val="41"/>
              <w:widowControl/>
              <w:wordWrap w:val="0"/>
              <w:spacing w:line="380" w:lineRule="exact"/>
              <w:ind w:left="0" w:firstLine="420"/>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如果我方中标，我方接受招标人在合同订立期间依据招标文件有关条款约定对我方已标价工程量清单中不正常报价的修正或认定，并按要求签署《不正常报价清单》加以确认。</w:t>
            </w:r>
          </w:p>
        </w:tc>
        <w:tc>
          <w:tcPr>
            <w:tcW w:w="4369" w:type="dxa"/>
            <w:tcBorders>
              <w:top w:val="single" w:color="000000" w:sz="4" w:space="0"/>
              <w:left w:val="single" w:color="000000" w:sz="4" w:space="0"/>
              <w:bottom w:val="single" w:color="000000" w:sz="4" w:space="0"/>
              <w:right w:val="single" w:color="000000" w:sz="4" w:space="0"/>
            </w:tcBorders>
            <w:noWrap w:val="0"/>
            <w:vAlign w:val="center"/>
          </w:tcPr>
          <w:p w14:paraId="47F65CD4">
            <w:pPr>
              <w:pStyle w:val="41"/>
              <w:widowControl/>
              <w:wordWrap w:val="0"/>
              <w:spacing w:line="380" w:lineRule="exact"/>
              <w:ind w:left="0" w:firstLine="0" w:firstLineChars="0"/>
              <w:jc w:val="center"/>
              <w:outlineLvl w:val="9"/>
              <w:rPr>
                <w:rFonts w:hint="eastAsia" w:ascii="宋体" w:hAnsi="宋体" w:eastAsia="宋体" w:cs="宋体"/>
                <w:b/>
                <w:bCs/>
                <w:color w:val="auto"/>
                <w:kern w:val="0"/>
                <w:sz w:val="24"/>
                <w:szCs w:val="24"/>
                <w:highlight w:val="none"/>
                <w:lang w:val="en-US"/>
              </w:rPr>
            </w:pPr>
            <w:r>
              <w:rPr>
                <w:rFonts w:hint="eastAsia" w:ascii="宋体" w:hAnsi="宋体" w:eastAsia="宋体" w:cs="宋体"/>
                <w:b/>
                <w:bCs/>
                <w:color w:val="auto"/>
                <w:kern w:val="0"/>
                <w:sz w:val="24"/>
                <w:szCs w:val="24"/>
                <w:highlight w:val="none"/>
                <w:lang w:val="en-US"/>
              </w:rPr>
              <w:t>/</w:t>
            </w:r>
          </w:p>
          <w:p w14:paraId="3F2F6174">
            <w:pPr>
              <w:pStyle w:val="41"/>
              <w:widowControl/>
              <w:wordWrap w:val="0"/>
              <w:spacing w:line="380" w:lineRule="exact"/>
              <w:ind w:left="0" w:firstLine="0" w:firstLineChars="0"/>
              <w:jc w:val="center"/>
              <w:outlineLvl w:val="9"/>
              <w:rPr>
                <w:rFonts w:hint="eastAsia" w:ascii="宋体" w:hAnsi="宋体" w:eastAsia="宋体" w:cs="宋体"/>
                <w:b/>
                <w:bCs/>
                <w:color w:val="auto"/>
                <w:kern w:val="0"/>
                <w:sz w:val="24"/>
                <w:szCs w:val="24"/>
                <w:highlight w:val="none"/>
                <w:lang w:val="en-US"/>
              </w:rPr>
            </w:pPr>
          </w:p>
        </w:tc>
      </w:tr>
      <w:tr w14:paraId="2348B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6" w:hRule="atLeast"/>
          <w:jc w:val="center"/>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55BAF092">
            <w:pPr>
              <w:pStyle w:val="40"/>
              <w:widowControl/>
              <w:wordWrap w:val="0"/>
              <w:spacing w:line="380" w:lineRule="exact"/>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rPr>
              <w:t>8</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14:paraId="50F03FF6">
            <w:pPr>
              <w:pStyle w:val="41"/>
              <w:widowControl/>
              <w:wordWrap w:val="0"/>
              <w:spacing w:line="380" w:lineRule="exact"/>
              <w:ind w:left="0" w:firstLine="0" w:firstLineChars="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按时提交履约</w:t>
            </w:r>
          </w:p>
          <w:p w14:paraId="62FE09D2">
            <w:pPr>
              <w:pStyle w:val="41"/>
              <w:widowControl/>
              <w:wordWrap w:val="0"/>
              <w:spacing w:line="380" w:lineRule="exact"/>
              <w:ind w:left="0" w:firstLine="0" w:firstLineChars="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保证的承诺</w:t>
            </w:r>
          </w:p>
        </w:tc>
        <w:tc>
          <w:tcPr>
            <w:tcW w:w="2679" w:type="dxa"/>
            <w:tcBorders>
              <w:top w:val="single" w:color="000000" w:sz="4" w:space="0"/>
              <w:left w:val="single" w:color="000000" w:sz="4" w:space="0"/>
              <w:bottom w:val="single" w:color="000000" w:sz="4" w:space="0"/>
              <w:right w:val="single" w:color="000000" w:sz="4" w:space="0"/>
            </w:tcBorders>
            <w:noWrap w:val="0"/>
            <w:vAlign w:val="center"/>
          </w:tcPr>
          <w:p w14:paraId="65BC2820">
            <w:pPr>
              <w:pStyle w:val="41"/>
              <w:widowControl/>
              <w:wordWrap w:val="0"/>
              <w:spacing w:line="380" w:lineRule="exact"/>
              <w:ind w:left="0" w:firstLine="420"/>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如果我方中标，我方保证在招标文件规定的时限内全额提交履约保证。</w:t>
            </w:r>
          </w:p>
        </w:tc>
        <w:tc>
          <w:tcPr>
            <w:tcW w:w="4369" w:type="dxa"/>
            <w:tcBorders>
              <w:top w:val="single" w:color="000000" w:sz="4" w:space="0"/>
              <w:left w:val="single" w:color="000000" w:sz="4" w:space="0"/>
              <w:bottom w:val="single" w:color="000000" w:sz="4" w:space="0"/>
              <w:right w:val="single" w:color="000000" w:sz="4" w:space="0"/>
            </w:tcBorders>
            <w:noWrap w:val="0"/>
            <w:vAlign w:val="center"/>
          </w:tcPr>
          <w:p w14:paraId="465EB168">
            <w:pPr>
              <w:pStyle w:val="41"/>
              <w:widowControl/>
              <w:wordWrap w:val="0"/>
              <w:spacing w:line="380" w:lineRule="exact"/>
              <w:ind w:left="0" w:firstLine="0" w:firstLineChars="0"/>
              <w:jc w:val="left"/>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rPr>
              <w:t xml:space="preserve">    </w:t>
            </w:r>
            <w:r>
              <w:rPr>
                <w:rFonts w:hint="eastAsia" w:ascii="宋体" w:hAnsi="宋体" w:eastAsia="宋体" w:cs="宋体"/>
                <w:color w:val="auto"/>
                <w:kern w:val="0"/>
                <w:sz w:val="24"/>
                <w:szCs w:val="24"/>
                <w:highlight w:val="none"/>
              </w:rPr>
              <w:t>如果我方未在招标文件规定的时限内全额提交履约保证，我方接受招标人依据招标文件作出的相应处理以及有关监督部门作出的行政处罚，并承担由此引起的一切法律后果。</w:t>
            </w:r>
          </w:p>
        </w:tc>
      </w:tr>
      <w:tr w14:paraId="35178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jc w:val="center"/>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F936FE5">
            <w:pPr>
              <w:pStyle w:val="40"/>
              <w:widowControl/>
              <w:wordWrap w:val="0"/>
              <w:spacing w:line="380" w:lineRule="exact"/>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rPr>
              <w:t>9</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14:paraId="0C355214">
            <w:pPr>
              <w:pStyle w:val="41"/>
              <w:widowControl/>
              <w:wordWrap w:val="0"/>
              <w:spacing w:line="380" w:lineRule="exact"/>
              <w:ind w:left="0" w:firstLine="0" w:firstLineChars="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按时签订合同</w:t>
            </w:r>
          </w:p>
          <w:p w14:paraId="796AD0D7">
            <w:pPr>
              <w:pStyle w:val="41"/>
              <w:widowControl/>
              <w:wordWrap w:val="0"/>
              <w:spacing w:line="380" w:lineRule="exact"/>
              <w:ind w:left="0" w:firstLine="0" w:firstLineChars="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的承诺</w:t>
            </w:r>
          </w:p>
        </w:tc>
        <w:tc>
          <w:tcPr>
            <w:tcW w:w="2679" w:type="dxa"/>
            <w:tcBorders>
              <w:top w:val="single" w:color="000000" w:sz="4" w:space="0"/>
              <w:left w:val="single" w:color="000000" w:sz="4" w:space="0"/>
              <w:bottom w:val="single" w:color="000000" w:sz="4" w:space="0"/>
              <w:right w:val="single" w:color="000000" w:sz="4" w:space="0"/>
            </w:tcBorders>
            <w:noWrap w:val="0"/>
            <w:vAlign w:val="center"/>
          </w:tcPr>
          <w:p w14:paraId="563B7AE8">
            <w:pPr>
              <w:pStyle w:val="41"/>
              <w:widowControl/>
              <w:wordWrap w:val="0"/>
              <w:spacing w:line="380" w:lineRule="exact"/>
              <w:ind w:left="0" w:firstLine="420"/>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如果我方中标，我方保证在招标文件规定的时限内与招标人签订合同，不提出违背或超出招标文件、中标文件的要求。</w:t>
            </w:r>
          </w:p>
        </w:tc>
        <w:tc>
          <w:tcPr>
            <w:tcW w:w="4369" w:type="dxa"/>
            <w:tcBorders>
              <w:top w:val="single" w:color="000000" w:sz="4" w:space="0"/>
              <w:left w:val="single" w:color="000000" w:sz="4" w:space="0"/>
              <w:bottom w:val="single" w:color="000000" w:sz="4" w:space="0"/>
              <w:right w:val="single" w:color="000000" w:sz="4" w:space="0"/>
            </w:tcBorders>
            <w:noWrap w:val="0"/>
            <w:vAlign w:val="center"/>
          </w:tcPr>
          <w:p w14:paraId="56BA4E4B">
            <w:pPr>
              <w:pStyle w:val="41"/>
              <w:widowControl/>
              <w:wordWrap w:val="0"/>
              <w:spacing w:line="380" w:lineRule="exact"/>
              <w:ind w:left="0" w:firstLine="420"/>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6868FBB6">
      <w:pPr>
        <w:rPr>
          <w:rFonts w:hint="eastAsia" w:ascii="宋体" w:hAnsi="宋体" w:eastAsia="宋体" w:cs="宋体"/>
          <w:color w:val="auto"/>
          <w:lang w:val="en-US"/>
        </w:rPr>
      </w:pPr>
    </w:p>
    <w:p w14:paraId="19AF3205">
      <w:pPr>
        <w:pStyle w:val="18"/>
        <w:keepNext w:val="0"/>
        <w:keepLines w:val="0"/>
        <w:widowControl w:val="0"/>
        <w:suppressLineNumbers w:val="0"/>
        <w:wordWrap w:val="0"/>
        <w:spacing w:before="0" w:beforeAutospacing="0" w:after="0" w:afterAutospacing="0" w:line="420" w:lineRule="exact"/>
        <w:ind w:left="0" w:right="0" w:firstLine="480" w:firstLineChars="200"/>
        <w:jc w:val="right"/>
        <w:rPr>
          <w:rFonts w:hint="eastAsia" w:ascii="宋体" w:hAnsi="宋体" w:eastAsia="宋体" w:cs="宋体"/>
          <w:color w:val="auto"/>
          <w:kern w:val="0"/>
          <w:highlight w:val="none"/>
          <w:lang w:val="en-US"/>
        </w:rPr>
      </w:pPr>
      <w:r>
        <w:rPr>
          <w:rFonts w:hint="eastAsia" w:ascii="宋体" w:hAnsi="宋体" w:eastAsia="宋体" w:cs="宋体"/>
          <w:color w:val="auto"/>
          <w:kern w:val="0"/>
          <w:sz w:val="24"/>
          <w:szCs w:val="24"/>
          <w:highlight w:val="none"/>
          <w:lang w:val="en-US" w:eastAsia="zh-CN" w:bidi="ar"/>
        </w:rPr>
        <w:t>投标人：（盖单位章）</w:t>
      </w:r>
    </w:p>
    <w:p w14:paraId="2C7C71B5">
      <w:pPr>
        <w:rPr>
          <w:rFonts w:hint="eastAsia" w:ascii="宋体" w:hAnsi="宋体" w:eastAsia="宋体" w:cs="宋体"/>
          <w:color w:val="auto"/>
          <w:lang w:val="en-US"/>
        </w:rPr>
      </w:pPr>
    </w:p>
    <w:p w14:paraId="1107DB15">
      <w:pPr>
        <w:pStyle w:val="18"/>
        <w:keepNext w:val="0"/>
        <w:keepLines w:val="0"/>
        <w:widowControl w:val="0"/>
        <w:suppressLineNumbers w:val="0"/>
        <w:wordWrap w:val="0"/>
        <w:spacing w:before="0" w:beforeAutospacing="0" w:after="0" w:afterAutospacing="0" w:line="420" w:lineRule="exact"/>
        <w:ind w:left="0" w:right="0" w:firstLine="480" w:firstLineChars="200"/>
        <w:jc w:val="right"/>
        <w:rPr>
          <w:rFonts w:hint="eastAsia" w:ascii="宋体" w:hAnsi="宋体" w:eastAsia="宋体" w:cs="宋体"/>
          <w:color w:val="auto"/>
          <w:kern w:val="0"/>
          <w:highlight w:val="none"/>
          <w:lang w:val="en-US"/>
        </w:rPr>
      </w:pPr>
      <w:r>
        <w:rPr>
          <w:rFonts w:hint="eastAsia" w:ascii="宋体" w:hAnsi="宋体" w:eastAsia="宋体" w:cs="宋体"/>
          <w:color w:val="auto"/>
          <w:kern w:val="0"/>
          <w:sz w:val="24"/>
          <w:szCs w:val="24"/>
          <w:highlight w:val="none"/>
          <w:lang w:val="en-US" w:eastAsia="zh-CN" w:bidi="ar"/>
        </w:rPr>
        <w:t>法定代表人或其委托代理人：（签字或盖章）</w:t>
      </w:r>
    </w:p>
    <w:p w14:paraId="08A6678D">
      <w:pPr>
        <w:rPr>
          <w:rFonts w:hint="eastAsia" w:ascii="宋体" w:hAnsi="宋体" w:eastAsia="宋体" w:cs="宋体"/>
          <w:color w:val="auto"/>
          <w:lang w:val="en-US"/>
        </w:rPr>
      </w:pPr>
    </w:p>
    <w:p w14:paraId="5BA22516">
      <w:pPr>
        <w:pStyle w:val="18"/>
        <w:keepNext w:val="0"/>
        <w:keepLines w:val="0"/>
        <w:widowControl w:val="0"/>
        <w:suppressLineNumbers w:val="0"/>
        <w:wordWrap w:val="0"/>
        <w:spacing w:before="0" w:beforeAutospacing="0" w:after="0" w:afterAutospacing="0" w:line="420" w:lineRule="exact"/>
        <w:ind w:left="0" w:right="0" w:firstLine="480" w:firstLineChars="200"/>
        <w:jc w:val="center"/>
        <w:rPr>
          <w:rFonts w:hint="eastAsia" w:ascii="宋体" w:hAnsi="宋体" w:eastAsia="宋体" w:cs="宋体"/>
          <w:color w:val="auto"/>
          <w:kern w:val="0"/>
          <w:highlight w:val="none"/>
          <w:lang w:val="en-US"/>
        </w:rPr>
      </w:pPr>
      <w:r>
        <w:rPr>
          <w:rFonts w:hint="eastAsia" w:ascii="宋体" w:hAnsi="宋体" w:eastAsia="宋体" w:cs="宋体"/>
          <w:color w:val="auto"/>
          <w:kern w:val="0"/>
          <w:sz w:val="24"/>
          <w:szCs w:val="24"/>
          <w:highlight w:val="none"/>
          <w:lang w:val="en-US" w:eastAsia="zh-CN" w:bidi="ar"/>
        </w:rPr>
        <w:t xml:space="preserve">                                            年   月    日</w:t>
      </w:r>
    </w:p>
    <w:p w14:paraId="2BE725F7">
      <w:pPr>
        <w:keepNext w:val="0"/>
        <w:keepLines w:val="0"/>
        <w:widowControl w:val="0"/>
        <w:suppressLineNumbers w:val="0"/>
        <w:wordWrap w:val="0"/>
        <w:spacing w:before="0" w:beforeAutospacing="0" w:after="0" w:afterAutospacing="0" w:line="420" w:lineRule="exact"/>
        <w:ind w:left="0" w:right="0"/>
        <w:jc w:val="left"/>
        <w:outlineLvl w:val="9"/>
        <w:rPr>
          <w:rFonts w:hint="eastAsia" w:ascii="宋体" w:hAnsi="宋体" w:eastAsia="宋体" w:cs="宋体"/>
          <w:b/>
          <w:bCs w:val="0"/>
          <w:color w:val="auto"/>
          <w:kern w:val="0"/>
          <w:sz w:val="24"/>
          <w:szCs w:val="24"/>
          <w:highlight w:val="none"/>
          <w:lang w:val="en-US" w:eastAsia="zh-CN" w:bidi="ar"/>
        </w:rPr>
      </w:pPr>
    </w:p>
    <w:p w14:paraId="526C496E">
      <w:pPr>
        <w:keepNext w:val="0"/>
        <w:keepLines w:val="0"/>
        <w:widowControl w:val="0"/>
        <w:suppressLineNumbers w:val="0"/>
        <w:wordWrap w:val="0"/>
        <w:spacing w:before="0" w:beforeAutospacing="0" w:after="0" w:afterAutospacing="0" w:line="420" w:lineRule="exact"/>
        <w:ind w:left="0" w:right="0"/>
        <w:jc w:val="left"/>
        <w:outlineLvl w:val="9"/>
        <w:rPr>
          <w:rFonts w:hint="eastAsia" w:ascii="宋体" w:hAnsi="宋体" w:eastAsia="宋体" w:cs="宋体"/>
          <w:b/>
          <w:bCs w:val="0"/>
          <w:color w:val="auto"/>
          <w:kern w:val="0"/>
          <w:sz w:val="24"/>
          <w:szCs w:val="24"/>
          <w:highlight w:val="none"/>
          <w:lang w:val="en-US" w:eastAsia="zh-CN" w:bidi="ar"/>
        </w:rPr>
      </w:pPr>
    </w:p>
    <w:p w14:paraId="57A5EDE0">
      <w:pPr>
        <w:keepNext w:val="0"/>
        <w:keepLines w:val="0"/>
        <w:widowControl w:val="0"/>
        <w:suppressLineNumbers w:val="0"/>
        <w:wordWrap w:val="0"/>
        <w:spacing w:before="0" w:beforeAutospacing="0" w:after="0" w:afterAutospacing="0" w:line="420" w:lineRule="exact"/>
        <w:ind w:left="0" w:right="0"/>
        <w:jc w:val="left"/>
        <w:outlineLvl w:val="9"/>
        <w:rPr>
          <w:rFonts w:hint="eastAsia" w:ascii="宋体" w:hAnsi="宋体" w:eastAsia="宋体" w:cs="宋体"/>
          <w:b/>
          <w:bCs w:val="0"/>
          <w:color w:val="auto"/>
          <w:kern w:val="0"/>
          <w:sz w:val="24"/>
          <w:szCs w:val="24"/>
          <w:highlight w:val="none"/>
          <w:lang w:val="en-US" w:eastAsia="zh-CN" w:bidi="ar"/>
        </w:rPr>
      </w:pPr>
    </w:p>
    <w:p w14:paraId="2F4C97C7">
      <w:pPr>
        <w:keepNext w:val="0"/>
        <w:keepLines w:val="0"/>
        <w:widowControl w:val="0"/>
        <w:suppressLineNumbers w:val="0"/>
        <w:wordWrap w:val="0"/>
        <w:spacing w:before="0" w:beforeAutospacing="0" w:after="0" w:afterAutospacing="0" w:line="420" w:lineRule="exact"/>
        <w:ind w:left="0" w:right="0"/>
        <w:jc w:val="left"/>
        <w:outlineLvl w:val="9"/>
        <w:rPr>
          <w:rFonts w:hint="eastAsia" w:ascii="宋体" w:hAnsi="宋体" w:eastAsia="宋体" w:cs="宋体"/>
          <w:b/>
          <w:bCs w:val="0"/>
          <w:color w:val="auto"/>
          <w:kern w:val="0"/>
          <w:sz w:val="24"/>
          <w:szCs w:val="24"/>
          <w:highlight w:val="none"/>
          <w:lang w:val="en-US" w:eastAsia="zh-CN" w:bidi="ar"/>
        </w:rPr>
      </w:pPr>
    </w:p>
    <w:p w14:paraId="0603E65E">
      <w:pPr>
        <w:keepNext w:val="0"/>
        <w:keepLines w:val="0"/>
        <w:widowControl w:val="0"/>
        <w:suppressLineNumbers w:val="0"/>
        <w:wordWrap w:val="0"/>
        <w:spacing w:before="0" w:beforeAutospacing="0" w:after="0" w:afterAutospacing="0" w:line="420" w:lineRule="exact"/>
        <w:ind w:left="0" w:right="0"/>
        <w:jc w:val="left"/>
        <w:outlineLvl w:val="9"/>
        <w:rPr>
          <w:rFonts w:hint="eastAsia" w:ascii="宋体" w:hAnsi="宋体" w:eastAsia="宋体" w:cs="宋体"/>
          <w:b/>
          <w:bCs w:val="0"/>
          <w:color w:val="auto"/>
          <w:kern w:val="0"/>
          <w:sz w:val="24"/>
          <w:szCs w:val="24"/>
          <w:highlight w:val="none"/>
          <w:lang w:val="en-US" w:eastAsia="zh-CN" w:bidi="ar"/>
        </w:rPr>
      </w:pPr>
    </w:p>
    <w:p w14:paraId="2357EA1E">
      <w:pPr>
        <w:keepNext w:val="0"/>
        <w:keepLines w:val="0"/>
        <w:widowControl w:val="0"/>
        <w:suppressLineNumbers w:val="0"/>
        <w:wordWrap w:val="0"/>
        <w:spacing w:before="0" w:beforeAutospacing="0" w:after="0" w:afterAutospacing="0" w:line="420" w:lineRule="exact"/>
        <w:ind w:left="0" w:right="0"/>
        <w:jc w:val="left"/>
        <w:outlineLvl w:val="9"/>
        <w:rPr>
          <w:rFonts w:hint="eastAsia" w:ascii="宋体" w:hAnsi="宋体" w:eastAsia="宋体" w:cs="宋体"/>
          <w:b/>
          <w:bCs w:val="0"/>
          <w:color w:val="auto"/>
          <w:kern w:val="0"/>
          <w:sz w:val="24"/>
          <w:szCs w:val="24"/>
          <w:highlight w:val="none"/>
          <w:lang w:val="en-US" w:eastAsia="zh-CN" w:bidi="ar"/>
        </w:rPr>
      </w:pPr>
    </w:p>
    <w:p w14:paraId="2D3A5CBC">
      <w:pPr>
        <w:keepNext w:val="0"/>
        <w:keepLines w:val="0"/>
        <w:widowControl w:val="0"/>
        <w:suppressLineNumbers w:val="0"/>
        <w:wordWrap w:val="0"/>
        <w:spacing w:before="0" w:beforeAutospacing="0" w:after="0" w:afterAutospacing="0" w:line="420" w:lineRule="exact"/>
        <w:ind w:left="0" w:right="0"/>
        <w:jc w:val="left"/>
        <w:outlineLvl w:val="9"/>
        <w:rPr>
          <w:rFonts w:hint="eastAsia" w:ascii="宋体" w:hAnsi="宋体" w:eastAsia="宋体" w:cs="宋体"/>
          <w:b/>
          <w:bCs w:val="0"/>
          <w:color w:val="auto"/>
          <w:kern w:val="0"/>
          <w:sz w:val="24"/>
          <w:szCs w:val="24"/>
          <w:highlight w:val="none"/>
          <w:lang w:val="en-US" w:eastAsia="zh-CN" w:bidi="ar"/>
        </w:rPr>
      </w:pPr>
    </w:p>
    <w:p w14:paraId="65FA8F40">
      <w:pPr>
        <w:keepNext w:val="0"/>
        <w:keepLines w:val="0"/>
        <w:widowControl w:val="0"/>
        <w:suppressLineNumbers w:val="0"/>
        <w:wordWrap w:val="0"/>
        <w:spacing w:before="0" w:beforeAutospacing="0" w:after="0" w:afterAutospacing="0" w:line="420" w:lineRule="exact"/>
        <w:ind w:left="0" w:right="0"/>
        <w:jc w:val="left"/>
        <w:outlineLvl w:val="9"/>
        <w:rPr>
          <w:rFonts w:hint="eastAsia" w:ascii="宋体" w:hAnsi="宋体" w:eastAsia="宋体" w:cs="宋体"/>
          <w:b/>
          <w:bCs w:val="0"/>
          <w:color w:val="auto"/>
          <w:kern w:val="0"/>
          <w:sz w:val="24"/>
          <w:szCs w:val="24"/>
          <w:highlight w:val="none"/>
          <w:lang w:val="en-US" w:eastAsia="zh-CN" w:bidi="ar"/>
        </w:rPr>
      </w:pPr>
    </w:p>
    <w:p w14:paraId="168F8302">
      <w:pPr>
        <w:pStyle w:val="3"/>
        <w:bidi w:val="0"/>
        <w:ind w:left="0" w:leftChars="0" w:firstLine="0" w:firstLineChars="0"/>
        <w:rPr>
          <w:rFonts w:hint="eastAsia" w:ascii="宋体" w:hAnsi="宋体" w:eastAsia="宋体" w:cs="宋体"/>
          <w:b/>
          <w:bCs w:val="0"/>
          <w:color w:val="auto"/>
          <w:kern w:val="0"/>
          <w:highlight w:val="none"/>
          <w:lang w:val="en-US"/>
        </w:rPr>
      </w:pPr>
      <w:bookmarkStart w:id="57" w:name="_Toc15220"/>
      <w:bookmarkStart w:id="58" w:name="_Toc18202"/>
      <w:bookmarkStart w:id="59" w:name="_Toc1712"/>
      <w:r>
        <w:rPr>
          <w:rFonts w:hint="eastAsia" w:ascii="宋体" w:hAnsi="宋体" w:eastAsia="宋体" w:cs="宋体"/>
          <w:color w:val="auto"/>
          <w:lang w:val="en-US" w:eastAsia="zh-CN"/>
        </w:rPr>
        <w:t>格式四   法定代表人身份证明</w:t>
      </w:r>
      <w:bookmarkEnd w:id="57"/>
      <w:bookmarkEnd w:id="58"/>
      <w:bookmarkEnd w:id="59"/>
    </w:p>
    <w:p w14:paraId="769A1A9A">
      <w:pPr>
        <w:keepNext w:val="0"/>
        <w:keepLines w:val="0"/>
        <w:widowControl w:val="0"/>
        <w:suppressLineNumbers w:val="0"/>
        <w:wordWrap w:val="0"/>
        <w:spacing w:before="260" w:beforeAutospacing="0" w:after="260" w:afterAutospacing="0" w:line="440" w:lineRule="exact"/>
        <w:ind w:left="0" w:right="0"/>
        <w:jc w:val="center"/>
        <w:rPr>
          <w:rFonts w:hint="eastAsia" w:ascii="宋体" w:hAnsi="宋体" w:eastAsia="宋体" w:cs="宋体"/>
          <w:color w:val="auto"/>
          <w:kern w:val="0"/>
          <w:highlight w:val="none"/>
          <w:lang w:val="en-US"/>
        </w:rPr>
      </w:pPr>
      <w:r>
        <w:rPr>
          <w:rFonts w:hint="eastAsia" w:ascii="宋体" w:hAnsi="宋体" w:eastAsia="宋体" w:cs="宋体"/>
          <w:b/>
          <w:bCs w:val="0"/>
          <w:color w:val="auto"/>
          <w:kern w:val="0"/>
          <w:sz w:val="30"/>
          <w:szCs w:val="30"/>
          <w:highlight w:val="none"/>
          <w:lang w:val="en-US" w:eastAsia="zh-CN" w:bidi="ar"/>
        </w:rPr>
        <w:t>法定代表人身份证明</w:t>
      </w:r>
    </w:p>
    <w:p w14:paraId="51786EB0">
      <w:pPr>
        <w:keepNext w:val="0"/>
        <w:keepLines w:val="0"/>
        <w:widowControl w:val="0"/>
        <w:suppressLineNumbers w:val="0"/>
        <w:wordWrap w:val="0"/>
        <w:spacing w:before="0" w:beforeAutospacing="0" w:after="0" w:afterAutospacing="0" w:line="440" w:lineRule="exact"/>
        <w:ind w:left="0" w:right="0"/>
        <w:jc w:val="both"/>
        <w:rPr>
          <w:rFonts w:hint="eastAsia" w:ascii="宋体" w:hAnsi="宋体" w:eastAsia="宋体" w:cs="宋体"/>
          <w:color w:val="auto"/>
          <w:kern w:val="0"/>
          <w:highlight w:val="none"/>
          <w:u w:val="single"/>
          <w:lang w:val="en-US"/>
        </w:rPr>
      </w:pPr>
      <w:r>
        <w:rPr>
          <w:rFonts w:hint="eastAsia" w:ascii="宋体" w:hAnsi="宋体" w:eastAsia="宋体" w:cs="宋体"/>
          <w:color w:val="auto"/>
          <w:kern w:val="0"/>
          <w:sz w:val="24"/>
          <w:szCs w:val="24"/>
          <w:highlight w:val="none"/>
          <w:lang w:val="en-US" w:eastAsia="zh-CN" w:bidi="ar"/>
        </w:rPr>
        <w:t>投标人名称：</w:t>
      </w:r>
    </w:p>
    <w:p w14:paraId="5DF5ADF6">
      <w:pPr>
        <w:keepNext w:val="0"/>
        <w:keepLines w:val="0"/>
        <w:widowControl w:val="0"/>
        <w:suppressLineNumbers w:val="0"/>
        <w:wordWrap w:val="0"/>
        <w:spacing w:before="0" w:beforeAutospacing="0" w:after="0" w:afterAutospacing="0" w:line="440" w:lineRule="exact"/>
        <w:ind w:left="0" w:right="0"/>
        <w:jc w:val="both"/>
        <w:rPr>
          <w:rFonts w:hint="eastAsia" w:ascii="宋体" w:hAnsi="宋体" w:eastAsia="宋体" w:cs="宋体"/>
          <w:color w:val="auto"/>
          <w:kern w:val="0"/>
          <w:highlight w:val="none"/>
          <w:u w:val="single"/>
          <w:lang w:val="en-US"/>
        </w:rPr>
      </w:pPr>
      <w:r>
        <w:rPr>
          <w:rFonts w:hint="eastAsia" w:ascii="宋体" w:hAnsi="宋体" w:eastAsia="宋体" w:cs="宋体"/>
          <w:color w:val="auto"/>
          <w:kern w:val="0"/>
          <w:sz w:val="24"/>
          <w:szCs w:val="24"/>
          <w:highlight w:val="none"/>
          <w:lang w:val="en-US" w:eastAsia="zh-CN" w:bidi="ar"/>
        </w:rPr>
        <w:t>姓名：    性别：    年龄：      职务：</w:t>
      </w:r>
    </w:p>
    <w:p w14:paraId="4D5E5999">
      <w:pPr>
        <w:keepNext w:val="0"/>
        <w:keepLines w:val="0"/>
        <w:widowControl w:val="0"/>
        <w:suppressLineNumbers w:val="0"/>
        <w:wordWrap w:val="0"/>
        <w:spacing w:before="0" w:beforeAutospacing="0" w:after="0" w:afterAutospacing="0" w:line="440" w:lineRule="exact"/>
        <w:ind w:left="0" w:right="0"/>
        <w:jc w:val="both"/>
        <w:rPr>
          <w:rFonts w:hint="eastAsia" w:ascii="宋体" w:hAnsi="宋体" w:eastAsia="宋体" w:cs="宋体"/>
          <w:color w:val="auto"/>
          <w:kern w:val="0"/>
          <w:highlight w:val="none"/>
          <w:lang w:val="en-US"/>
        </w:rPr>
      </w:pPr>
      <w:r>
        <w:rPr>
          <w:rFonts w:hint="eastAsia" w:ascii="宋体" w:hAnsi="宋体" w:eastAsia="宋体" w:cs="宋体"/>
          <w:color w:val="auto"/>
          <w:kern w:val="0"/>
          <w:sz w:val="24"/>
          <w:szCs w:val="24"/>
          <w:highlight w:val="none"/>
          <w:lang w:val="en-US" w:eastAsia="zh-CN" w:bidi="ar"/>
        </w:rPr>
        <w:t>系</w:t>
      </w:r>
      <w:r>
        <w:rPr>
          <w:rFonts w:hint="eastAsia" w:ascii="宋体" w:hAnsi="宋体" w:eastAsia="宋体" w:cs="宋体"/>
          <w:color w:val="auto"/>
          <w:kern w:val="0"/>
          <w:sz w:val="24"/>
          <w:szCs w:val="24"/>
          <w:highlight w:val="none"/>
          <w:u w:val="single"/>
          <w:lang w:val="en-US" w:eastAsia="zh-CN" w:bidi="ar"/>
        </w:rPr>
        <w:t>（投标人名称）</w:t>
      </w:r>
      <w:r>
        <w:rPr>
          <w:rFonts w:hint="eastAsia" w:ascii="宋体" w:hAnsi="宋体" w:eastAsia="宋体" w:cs="宋体"/>
          <w:color w:val="auto"/>
          <w:kern w:val="0"/>
          <w:sz w:val="24"/>
          <w:szCs w:val="24"/>
          <w:highlight w:val="none"/>
          <w:lang w:val="en-US" w:eastAsia="zh-CN" w:bidi="ar"/>
        </w:rPr>
        <w:t>的法定代表人。</w:t>
      </w:r>
    </w:p>
    <w:p w14:paraId="715FF1B8">
      <w:pPr>
        <w:keepNext w:val="0"/>
        <w:keepLines w:val="0"/>
        <w:widowControl w:val="0"/>
        <w:suppressLineNumbers w:val="0"/>
        <w:wordWrap w:val="0"/>
        <w:spacing w:before="0" w:beforeAutospacing="0" w:after="0" w:afterAutospacing="0" w:line="440" w:lineRule="exact"/>
        <w:ind w:left="0" w:right="0"/>
        <w:jc w:val="both"/>
        <w:rPr>
          <w:rFonts w:hint="eastAsia" w:ascii="宋体" w:hAnsi="宋体" w:eastAsia="宋体" w:cs="宋体"/>
          <w:color w:val="auto"/>
          <w:kern w:val="0"/>
          <w:highlight w:val="none"/>
          <w:lang w:val="en-US"/>
        </w:rPr>
      </w:pPr>
      <w:r>
        <w:rPr>
          <w:rFonts w:hint="eastAsia" w:ascii="宋体" w:hAnsi="宋体" w:eastAsia="宋体" w:cs="宋体"/>
          <w:color w:val="auto"/>
          <w:kern w:val="0"/>
          <w:sz w:val="24"/>
          <w:szCs w:val="24"/>
          <w:highlight w:val="none"/>
          <w:lang w:val="en-US" w:eastAsia="zh-CN" w:bidi="ar"/>
        </w:rPr>
        <w:t xml:space="preserve">    特此证明。</w:t>
      </w:r>
    </w:p>
    <w:p w14:paraId="6ED656C0">
      <w:pPr>
        <w:rPr>
          <w:rFonts w:hint="eastAsia" w:ascii="宋体" w:hAnsi="宋体" w:eastAsia="宋体" w:cs="宋体"/>
          <w:color w:val="auto"/>
          <w:lang w:val="en-US"/>
        </w:rPr>
      </w:pPr>
    </w:p>
    <w:p w14:paraId="5228161D">
      <w:pPr>
        <w:rPr>
          <w:rFonts w:hint="eastAsia" w:ascii="宋体" w:hAnsi="宋体" w:eastAsia="宋体" w:cs="宋体"/>
          <w:color w:val="auto"/>
          <w:lang w:val="en-US"/>
        </w:rPr>
      </w:pPr>
    </w:p>
    <w:p w14:paraId="79B0FDCC">
      <w:pPr>
        <w:keepNext w:val="0"/>
        <w:keepLines w:val="0"/>
        <w:widowControl w:val="0"/>
        <w:suppressLineNumbers w:val="0"/>
        <w:wordWrap w:val="0"/>
        <w:spacing w:before="0" w:beforeAutospacing="0" w:after="0" w:afterAutospacing="0" w:line="440" w:lineRule="exact"/>
        <w:ind w:left="0" w:right="0"/>
        <w:jc w:val="right"/>
        <w:rPr>
          <w:rFonts w:hint="eastAsia" w:ascii="宋体" w:hAnsi="宋体" w:eastAsia="宋体" w:cs="宋体"/>
          <w:color w:val="auto"/>
          <w:kern w:val="0"/>
          <w:highlight w:val="none"/>
          <w:lang w:val="en-US"/>
        </w:rPr>
      </w:pPr>
      <w:r>
        <w:rPr>
          <w:rFonts w:hint="eastAsia" w:ascii="宋体" w:hAnsi="宋体" w:eastAsia="宋体" w:cs="宋体"/>
          <w:color w:val="auto"/>
          <w:kern w:val="0"/>
          <w:sz w:val="24"/>
          <w:szCs w:val="24"/>
          <w:highlight w:val="none"/>
          <w:lang w:val="en-US" w:eastAsia="zh-CN" w:bidi="ar"/>
        </w:rPr>
        <w:t>投标人：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（盖单位章）</w:t>
      </w:r>
    </w:p>
    <w:p w14:paraId="142F3D98">
      <w:pPr>
        <w:rPr>
          <w:rFonts w:hint="eastAsia" w:ascii="宋体" w:hAnsi="宋体" w:eastAsia="宋体" w:cs="宋体"/>
          <w:color w:val="auto"/>
          <w:lang w:val="en-US"/>
        </w:rPr>
      </w:pPr>
    </w:p>
    <w:p w14:paraId="024B84C0">
      <w:pPr>
        <w:keepNext w:val="0"/>
        <w:keepLines w:val="0"/>
        <w:widowControl w:val="0"/>
        <w:suppressLineNumbers w:val="0"/>
        <w:wordWrap w:val="0"/>
        <w:spacing w:before="0" w:beforeAutospacing="0" w:after="0" w:afterAutospacing="0" w:line="440" w:lineRule="exact"/>
        <w:ind w:left="0" w:right="0"/>
        <w:jc w:val="right"/>
        <w:rPr>
          <w:rFonts w:hint="eastAsia" w:ascii="宋体" w:hAnsi="宋体" w:eastAsia="宋体" w:cs="宋体"/>
          <w:color w:val="auto"/>
          <w:kern w:val="0"/>
          <w:highlight w:val="none"/>
          <w:lang w:val="en-US"/>
        </w:rPr>
      </w:pPr>
      <w:r>
        <w:rPr>
          <w:rFonts w:hint="eastAsia" w:ascii="宋体" w:hAnsi="宋体" w:eastAsia="宋体" w:cs="宋体"/>
          <w:color w:val="auto"/>
          <w:kern w:val="0"/>
          <w:sz w:val="24"/>
          <w:szCs w:val="24"/>
          <w:highlight w:val="none"/>
          <w:lang w:val="en-US" w:eastAsia="zh-CN" w:bidi="ar"/>
        </w:rPr>
        <w:t xml:space="preserve">                           法定代表人：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（签字或盖章）</w:t>
      </w:r>
    </w:p>
    <w:p w14:paraId="71070F8F">
      <w:pPr>
        <w:rPr>
          <w:rFonts w:hint="eastAsia" w:ascii="宋体" w:hAnsi="宋体" w:eastAsia="宋体" w:cs="宋体"/>
          <w:color w:val="auto"/>
          <w:lang w:val="en-US"/>
        </w:rPr>
      </w:pPr>
    </w:p>
    <w:p w14:paraId="28F30EF2">
      <w:pPr>
        <w:keepNext w:val="0"/>
        <w:keepLines w:val="0"/>
        <w:widowControl w:val="0"/>
        <w:suppressLineNumbers w:val="0"/>
        <w:wordWrap w:val="0"/>
        <w:spacing w:before="0" w:beforeAutospacing="0" w:after="0" w:afterAutospacing="0" w:line="440" w:lineRule="exact"/>
        <w:ind w:left="0" w:right="0"/>
        <w:jc w:val="center"/>
        <w:rPr>
          <w:rFonts w:hint="eastAsia" w:ascii="宋体" w:hAnsi="宋体" w:eastAsia="宋体" w:cs="宋体"/>
          <w:color w:val="auto"/>
          <w:kern w:val="0"/>
          <w:highlight w:val="none"/>
          <w:lang w:val="en-US"/>
        </w:rPr>
      </w:pPr>
      <w:r>
        <w:rPr>
          <w:rFonts w:hint="eastAsia" w:ascii="宋体" w:hAnsi="宋体" w:eastAsia="宋体" w:cs="宋体"/>
          <w:color w:val="auto"/>
          <w:kern w:val="0"/>
          <w:sz w:val="24"/>
          <w:szCs w:val="24"/>
          <w:highlight w:val="none"/>
          <w:lang w:val="en-US" w:eastAsia="zh-CN" w:bidi="ar"/>
        </w:rPr>
        <w:t xml:space="preserve">                                          年  月   日</w:t>
      </w:r>
    </w:p>
    <w:p w14:paraId="2B9A8099">
      <w:pPr>
        <w:rPr>
          <w:rFonts w:hint="eastAsia" w:ascii="宋体" w:hAnsi="宋体" w:eastAsia="宋体" w:cs="宋体"/>
          <w:color w:val="auto"/>
          <w:lang w:val="en-US"/>
        </w:rPr>
      </w:pPr>
    </w:p>
    <w:p w14:paraId="12330FDF">
      <w:pPr>
        <w:rPr>
          <w:rFonts w:hint="eastAsia" w:ascii="宋体" w:hAnsi="宋体" w:eastAsia="宋体" w:cs="宋体"/>
          <w:color w:val="auto"/>
          <w:lang w:val="en-US"/>
        </w:rPr>
      </w:pPr>
    </w:p>
    <w:p w14:paraId="06A4C3FE">
      <w:pPr>
        <w:jc w:val="center"/>
        <w:rPr>
          <w:rFonts w:hint="eastAsia" w:ascii="宋体" w:hAnsi="宋体" w:eastAsia="宋体" w:cs="宋体"/>
          <w:color w:val="auto"/>
          <w:lang w:val="en-US"/>
        </w:rPr>
      </w:pPr>
      <w:r>
        <w:rPr>
          <w:rFonts w:hint="eastAsia" w:ascii="宋体" w:hAnsi="宋体" w:eastAsia="宋体" w:cs="宋体"/>
          <w:color w:val="auto"/>
          <w:kern w:val="2"/>
          <w:sz w:val="24"/>
          <w:szCs w:val="24"/>
          <w:highlight w:val="none"/>
          <w:lang w:val="en-US" w:eastAsia="zh-CN" w:bidi="ar"/>
        </w:rPr>
        <w:fldChar w:fldCharType="begin"/>
      </w:r>
      <w:r>
        <w:rPr>
          <w:rFonts w:hint="eastAsia" w:ascii="宋体" w:hAnsi="宋体" w:eastAsia="宋体" w:cs="宋体"/>
          <w:color w:val="auto"/>
          <w:kern w:val="2"/>
          <w:sz w:val="24"/>
          <w:szCs w:val="24"/>
          <w:highlight w:val="none"/>
          <w:lang w:val="en-US" w:eastAsia="zh-CN" w:bidi="ar"/>
        </w:rPr>
        <w:instrText xml:space="preserve">INCLUDEPICTURE "C:\\Users\\user\\Downloads\\../AppData/Local/Temp/ksohtml12540/wps33.png" \* MERGEFORMATINET </w:instrText>
      </w:r>
      <w:r>
        <w:rPr>
          <w:rFonts w:hint="eastAsia" w:ascii="宋体" w:hAnsi="宋体" w:eastAsia="宋体" w:cs="宋体"/>
          <w:color w:val="auto"/>
          <w:kern w:val="2"/>
          <w:sz w:val="24"/>
          <w:szCs w:val="24"/>
          <w:highlight w:val="none"/>
          <w:lang w:val="en-US" w:eastAsia="zh-CN" w:bidi="ar"/>
        </w:rPr>
        <w:fldChar w:fldCharType="separate"/>
      </w:r>
      <w:r>
        <w:rPr>
          <w:rFonts w:hint="eastAsia" w:ascii="宋体" w:hAnsi="宋体" w:eastAsia="宋体" w:cs="宋体"/>
          <w:color w:val="auto"/>
          <w:kern w:val="2"/>
          <w:sz w:val="24"/>
          <w:szCs w:val="24"/>
          <w:highlight w:val="none"/>
          <w:lang w:val="en-US" w:eastAsia="zh-CN" w:bidi="ar"/>
        </w:rPr>
        <w:drawing>
          <wp:inline distT="0" distB="0" distL="114300" distR="114300">
            <wp:extent cx="2838450" cy="160020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2838450" cy="1600200"/>
                    </a:xfrm>
                    <a:prstGeom prst="rect">
                      <a:avLst/>
                    </a:prstGeom>
                    <a:noFill/>
                    <a:ln>
                      <a:noFill/>
                    </a:ln>
                  </pic:spPr>
                </pic:pic>
              </a:graphicData>
            </a:graphic>
          </wp:inline>
        </w:drawing>
      </w:r>
      <w:r>
        <w:rPr>
          <w:rFonts w:hint="eastAsia" w:ascii="宋体" w:hAnsi="宋体" w:eastAsia="宋体" w:cs="宋体"/>
          <w:color w:val="auto"/>
          <w:kern w:val="2"/>
          <w:sz w:val="24"/>
          <w:szCs w:val="24"/>
          <w:highlight w:val="none"/>
          <w:lang w:val="en-US" w:eastAsia="zh-CN" w:bidi="ar"/>
        </w:rPr>
        <w:fldChar w:fldCharType="end"/>
      </w:r>
    </w:p>
    <w:p w14:paraId="2D293CB1">
      <w:pPr>
        <w:rPr>
          <w:rFonts w:hint="eastAsia" w:ascii="宋体" w:hAnsi="宋体" w:eastAsia="宋体" w:cs="宋体"/>
          <w:color w:val="auto"/>
          <w:lang w:val="en-US" w:eastAsia="zh-CN"/>
        </w:rPr>
      </w:pPr>
    </w:p>
    <w:p w14:paraId="39F8496A">
      <w:pPr>
        <w:rPr>
          <w:rFonts w:hint="eastAsia" w:ascii="宋体" w:hAnsi="宋体" w:eastAsia="宋体" w:cs="宋体"/>
          <w:color w:val="auto"/>
          <w:lang w:val="en-US" w:eastAsia="zh-CN"/>
        </w:rPr>
      </w:pPr>
    </w:p>
    <w:p w14:paraId="2DB03154">
      <w:pPr>
        <w:rPr>
          <w:rFonts w:hint="eastAsia" w:ascii="宋体" w:hAnsi="宋体" w:eastAsia="宋体" w:cs="宋体"/>
          <w:color w:val="auto"/>
          <w:lang w:val="en-US"/>
        </w:rPr>
      </w:pPr>
    </w:p>
    <w:p w14:paraId="5ABC60B0">
      <w:pPr>
        <w:rPr>
          <w:rFonts w:hint="eastAsia" w:ascii="宋体" w:hAnsi="宋体" w:eastAsia="宋体" w:cs="宋体"/>
          <w:color w:val="auto"/>
          <w:lang w:val="en-US" w:eastAsia="zh-CN"/>
        </w:rPr>
      </w:pPr>
    </w:p>
    <w:p w14:paraId="60C50876">
      <w:pPr>
        <w:rPr>
          <w:rFonts w:hint="eastAsia" w:ascii="宋体" w:hAnsi="宋体" w:eastAsia="宋体" w:cs="宋体"/>
          <w:color w:val="auto"/>
          <w:lang w:val="en-US" w:eastAsia="zh-CN"/>
        </w:rPr>
      </w:pPr>
    </w:p>
    <w:p w14:paraId="1DB9E7C8">
      <w:pPr>
        <w:rPr>
          <w:rFonts w:hint="eastAsia" w:ascii="宋体" w:hAnsi="宋体" w:eastAsia="宋体" w:cs="宋体"/>
          <w:color w:val="auto"/>
          <w:lang w:val="en-US" w:eastAsia="zh-CN"/>
        </w:rPr>
      </w:pPr>
    </w:p>
    <w:p w14:paraId="1289D848">
      <w:pPr>
        <w:rPr>
          <w:rFonts w:hint="eastAsia" w:ascii="宋体" w:hAnsi="宋体" w:eastAsia="宋体" w:cs="宋体"/>
          <w:color w:val="auto"/>
          <w:lang w:val="en-US" w:eastAsia="zh-CN"/>
        </w:rPr>
      </w:pPr>
    </w:p>
    <w:p w14:paraId="0C0FC8CA">
      <w:pPr>
        <w:rPr>
          <w:rFonts w:hint="eastAsia" w:ascii="宋体" w:hAnsi="宋体" w:eastAsia="宋体" w:cs="宋体"/>
          <w:color w:val="auto"/>
          <w:lang w:val="en-US" w:eastAsia="zh-CN"/>
        </w:rPr>
      </w:pPr>
    </w:p>
    <w:p w14:paraId="746316D5">
      <w:pPr>
        <w:rPr>
          <w:rFonts w:hint="eastAsia" w:ascii="宋体" w:hAnsi="宋体" w:eastAsia="宋体" w:cs="宋体"/>
          <w:color w:val="auto"/>
          <w:lang w:val="en-US" w:eastAsia="zh-CN"/>
        </w:rPr>
      </w:pPr>
    </w:p>
    <w:p w14:paraId="5690B516">
      <w:pPr>
        <w:rPr>
          <w:rFonts w:hint="eastAsia" w:ascii="宋体" w:hAnsi="宋体" w:eastAsia="宋体" w:cs="宋体"/>
          <w:color w:val="auto"/>
          <w:lang w:val="en-US" w:eastAsia="zh-CN"/>
        </w:rPr>
      </w:pPr>
    </w:p>
    <w:p w14:paraId="5647698E">
      <w:pPr>
        <w:rPr>
          <w:rFonts w:hint="eastAsia" w:ascii="宋体" w:hAnsi="宋体" w:eastAsia="宋体" w:cs="宋体"/>
          <w:color w:val="auto"/>
          <w:lang w:val="en-US" w:eastAsia="zh-CN"/>
        </w:rPr>
      </w:pPr>
    </w:p>
    <w:p w14:paraId="1DD2D1DD">
      <w:pPr>
        <w:rPr>
          <w:rFonts w:hint="eastAsia" w:ascii="宋体" w:hAnsi="宋体" w:eastAsia="宋体" w:cs="宋体"/>
          <w:color w:val="auto"/>
          <w:lang w:val="en-US" w:eastAsia="zh-CN"/>
        </w:rPr>
      </w:pPr>
    </w:p>
    <w:p w14:paraId="1C8CB851">
      <w:pPr>
        <w:rPr>
          <w:rFonts w:hint="eastAsia" w:ascii="宋体" w:hAnsi="宋体" w:eastAsia="宋体" w:cs="宋体"/>
          <w:color w:val="auto"/>
          <w:lang w:val="en-US" w:eastAsia="zh-CN"/>
        </w:rPr>
      </w:pPr>
    </w:p>
    <w:p w14:paraId="5E3987B5">
      <w:pPr>
        <w:rPr>
          <w:rFonts w:hint="eastAsia" w:ascii="宋体" w:hAnsi="宋体" w:eastAsia="宋体" w:cs="宋体"/>
          <w:color w:val="auto"/>
          <w:lang w:val="en-US" w:eastAsia="zh-CN"/>
        </w:rPr>
      </w:pPr>
    </w:p>
    <w:p w14:paraId="474ED537">
      <w:pPr>
        <w:rPr>
          <w:rFonts w:hint="eastAsia" w:ascii="宋体" w:hAnsi="宋体" w:eastAsia="宋体" w:cs="宋体"/>
          <w:color w:val="auto"/>
          <w:lang w:val="en-US" w:eastAsia="zh-CN"/>
        </w:rPr>
      </w:pPr>
    </w:p>
    <w:p w14:paraId="2E58911D">
      <w:pPr>
        <w:rPr>
          <w:rFonts w:hint="eastAsia" w:ascii="宋体" w:hAnsi="宋体" w:eastAsia="宋体" w:cs="宋体"/>
          <w:color w:val="auto"/>
          <w:lang w:val="en-US" w:eastAsia="zh-CN"/>
        </w:rPr>
      </w:pPr>
    </w:p>
    <w:p w14:paraId="0E160005">
      <w:pPr>
        <w:pStyle w:val="3"/>
        <w:bidi w:val="0"/>
        <w:ind w:left="0" w:leftChars="0" w:firstLine="0" w:firstLineChars="0"/>
        <w:rPr>
          <w:rFonts w:hint="eastAsia" w:ascii="宋体" w:hAnsi="宋体" w:eastAsia="宋体" w:cs="宋体"/>
          <w:color w:val="auto"/>
          <w:highlight w:val="none"/>
        </w:rPr>
      </w:pPr>
      <w:bookmarkStart w:id="60" w:name="_Toc29668"/>
      <w:bookmarkStart w:id="61" w:name="_Toc30341"/>
      <w:bookmarkStart w:id="62" w:name="_Toc19245"/>
      <w:r>
        <w:rPr>
          <w:rFonts w:hint="eastAsia" w:ascii="宋体" w:hAnsi="宋体" w:eastAsia="宋体" w:cs="宋体"/>
          <w:color w:val="auto"/>
          <w:lang w:val="en-US" w:eastAsia="zh-CN"/>
        </w:rPr>
        <w:t>格式五</w:t>
      </w:r>
      <w:bookmarkEnd w:id="60"/>
      <w:r>
        <w:rPr>
          <w:rFonts w:hint="eastAsia" w:ascii="宋体" w:hAnsi="宋体" w:eastAsia="宋体" w:cs="宋体"/>
          <w:color w:val="auto"/>
          <w:lang w:val="en-US" w:eastAsia="zh-CN"/>
        </w:rPr>
        <w:t xml:space="preserve">   授权委托书</w:t>
      </w:r>
      <w:bookmarkEnd w:id="61"/>
      <w:bookmarkEnd w:id="62"/>
    </w:p>
    <w:p w14:paraId="145A31DC">
      <w:pPr>
        <w:wordWrap w:val="0"/>
        <w:adjustRightInd w:val="0"/>
        <w:snapToGrid w:val="0"/>
        <w:spacing w:before="260" w:after="260" w:line="440" w:lineRule="exact"/>
        <w:jc w:val="center"/>
        <w:rPr>
          <w:rFonts w:hint="eastAsia" w:ascii="宋体" w:hAnsi="宋体" w:eastAsia="宋体" w:cs="宋体"/>
          <w:color w:val="auto"/>
        </w:rPr>
      </w:pPr>
      <w:r>
        <w:rPr>
          <w:rFonts w:hint="eastAsia" w:ascii="宋体" w:hAnsi="宋体" w:eastAsia="宋体" w:cs="宋体"/>
          <w:b/>
          <w:snapToGrid w:val="0"/>
          <w:color w:val="auto"/>
          <w:kern w:val="0"/>
          <w:sz w:val="30"/>
          <w:highlight w:val="none"/>
        </w:rPr>
        <w:t>授权委托书</w:t>
      </w:r>
    </w:p>
    <w:p w14:paraId="3FCBFF2A">
      <w:pPr>
        <w:wordWrap w:val="0"/>
        <w:adjustRightInd w:val="0"/>
        <w:snapToGrid w:val="0"/>
        <w:spacing w:line="44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 w:val="24"/>
          <w:szCs w:val="24"/>
          <w:highlight w:val="none"/>
        </w:rPr>
        <w:t xml:space="preserve"> 本人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（姓名）系</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（投标人名称）的法定代表人，现委托</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（姓名）为我方代理人。代理人根据授权，以我方名义签署、澄清、说明、补正、递交、撤回、修改</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（项目名称）投标文件、签订合同和处理有关事宜，其法律后果由我方承担。</w:t>
      </w:r>
    </w:p>
    <w:p w14:paraId="05B6032E">
      <w:pPr>
        <w:wordWrap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委托期限：</w:t>
      </w:r>
      <w:r>
        <w:rPr>
          <w:rFonts w:hint="eastAsia" w:ascii="宋体" w:hAnsi="宋体" w:eastAsia="宋体" w:cs="宋体"/>
          <w:color w:val="auto"/>
          <w:sz w:val="24"/>
          <w:szCs w:val="24"/>
          <w:highlight w:val="none"/>
        </w:rPr>
        <w:t>至投标有效期的期满之日止。</w:t>
      </w:r>
    </w:p>
    <w:p w14:paraId="2A339288">
      <w:pPr>
        <w:wordWrap w:val="0"/>
        <w:adjustRightInd w:val="0"/>
        <w:snapToGrid w:val="0"/>
        <w:spacing w:line="44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代理人无转委托权。</w:t>
      </w:r>
    </w:p>
    <w:p w14:paraId="23211306">
      <w:pPr>
        <w:rPr>
          <w:rFonts w:hint="eastAsia" w:ascii="宋体" w:hAnsi="宋体" w:eastAsia="宋体" w:cs="宋体"/>
          <w:color w:val="auto"/>
        </w:rPr>
      </w:pPr>
    </w:p>
    <w:p w14:paraId="65696270">
      <w:pPr>
        <w:rPr>
          <w:rFonts w:hint="eastAsia" w:ascii="宋体" w:hAnsi="宋体" w:eastAsia="宋体" w:cs="宋体"/>
          <w:color w:val="auto"/>
        </w:rPr>
      </w:pPr>
    </w:p>
    <w:p w14:paraId="2D4A86A1">
      <w:pPr>
        <w:wordWrap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投  标  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（盖单位章）</w:t>
      </w:r>
    </w:p>
    <w:p w14:paraId="18F31895">
      <w:pPr>
        <w:rPr>
          <w:rFonts w:hint="eastAsia" w:ascii="宋体" w:hAnsi="宋体" w:eastAsia="宋体" w:cs="宋体"/>
          <w:color w:val="auto"/>
        </w:rPr>
      </w:pPr>
    </w:p>
    <w:p w14:paraId="6D33F063">
      <w:pPr>
        <w:rPr>
          <w:rFonts w:hint="eastAsia" w:ascii="宋体" w:hAnsi="宋体" w:eastAsia="宋体" w:cs="宋体"/>
          <w:color w:val="auto"/>
        </w:rPr>
      </w:pPr>
    </w:p>
    <w:p w14:paraId="7A14D37C">
      <w:pPr>
        <w:wordWrap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法定代表人：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（签字或盖章）</w:t>
      </w:r>
    </w:p>
    <w:p w14:paraId="64E96ACC">
      <w:pPr>
        <w:rPr>
          <w:rFonts w:hint="eastAsia" w:ascii="宋体" w:hAnsi="宋体" w:eastAsia="宋体" w:cs="宋体"/>
          <w:color w:val="auto"/>
        </w:rPr>
      </w:pPr>
    </w:p>
    <w:p w14:paraId="1E4441B8">
      <w:pPr>
        <w:rPr>
          <w:rFonts w:hint="eastAsia" w:ascii="宋体" w:hAnsi="宋体" w:eastAsia="宋体" w:cs="宋体"/>
          <w:color w:val="auto"/>
        </w:rPr>
      </w:pPr>
    </w:p>
    <w:p w14:paraId="4F69C810">
      <w:pPr>
        <w:wordWrap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委托代理人：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（签字或盖章）</w:t>
      </w:r>
    </w:p>
    <w:p w14:paraId="294B3249">
      <w:pPr>
        <w:rPr>
          <w:rFonts w:hint="eastAsia" w:ascii="宋体" w:hAnsi="宋体" w:eastAsia="宋体" w:cs="宋体"/>
          <w:color w:val="auto"/>
        </w:rPr>
      </w:pPr>
    </w:p>
    <w:p w14:paraId="619A66DE">
      <w:pPr>
        <w:rPr>
          <w:rFonts w:hint="eastAsia" w:ascii="宋体" w:hAnsi="宋体" w:eastAsia="宋体" w:cs="宋体"/>
          <w:color w:val="auto"/>
        </w:rPr>
      </w:pPr>
    </w:p>
    <w:p w14:paraId="4763C86C">
      <w:pPr>
        <w:wordWrap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40E7FD4C">
      <w:pPr>
        <w:rPr>
          <w:rFonts w:hint="eastAsia" w:ascii="宋体" w:hAnsi="宋体" w:eastAsia="宋体" w:cs="宋体"/>
          <w:color w:val="auto"/>
        </w:rPr>
      </w:pPr>
    </w:p>
    <w:p w14:paraId="6AB6EA26">
      <w:pPr>
        <w:rPr>
          <w:rFonts w:hint="eastAsia" w:ascii="宋体" w:hAnsi="宋体" w:eastAsia="宋体" w:cs="宋体"/>
          <w:color w:val="auto"/>
        </w:rPr>
      </w:pPr>
    </w:p>
    <w:p w14:paraId="5DD53728">
      <w:pPr>
        <w:rPr>
          <w:rFonts w:hint="eastAsia" w:ascii="宋体" w:hAnsi="宋体" w:eastAsia="宋体" w:cs="宋体"/>
          <w:color w:val="auto"/>
        </w:rPr>
      </w:pPr>
      <w:r>
        <w:rPr>
          <w:rFonts w:hint="eastAsia" w:ascii="宋体" w:hAnsi="宋体" w:eastAsia="宋体" w:cs="宋体"/>
          <w:color w:val="auto"/>
        </w:rPr>
        <mc:AlternateContent>
          <mc:Choice Requires="wps">
            <w:drawing>
              <wp:anchor distT="0" distB="0" distL="114300" distR="114300" simplePos="0" relativeHeight="251660288" behindDoc="0" locked="0" layoutInCell="1" allowOverlap="1">
                <wp:simplePos x="0" y="0"/>
                <wp:positionH relativeFrom="column">
                  <wp:posOffset>1466850</wp:posOffset>
                </wp:positionH>
                <wp:positionV relativeFrom="paragraph">
                  <wp:posOffset>312420</wp:posOffset>
                </wp:positionV>
                <wp:extent cx="3190875" cy="1584325"/>
                <wp:effectExtent l="4445" t="4445" r="5080" b="11430"/>
                <wp:wrapNone/>
                <wp:docPr id="5" name="流程图: 可选过程 5"/>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33A46F4">
                            <w:pPr>
                              <w:jc w:val="center"/>
                              <w:rPr>
                                <w:rFonts w:hint="eastAsia"/>
                                <w:szCs w:val="21"/>
                              </w:rPr>
                            </w:pPr>
                          </w:p>
                          <w:p w14:paraId="3A16FF7B">
                            <w:pPr>
                              <w:jc w:val="center"/>
                              <w:rPr>
                                <w:rFonts w:hint="eastAsia"/>
                                <w:szCs w:val="21"/>
                              </w:rPr>
                            </w:pPr>
                          </w:p>
                          <w:p w14:paraId="3453ADEF">
                            <w:pPr>
                              <w:jc w:val="center"/>
                              <w:rPr>
                                <w:rFonts w:hint="eastAsia"/>
                                <w:szCs w:val="21"/>
                              </w:rPr>
                            </w:pPr>
                          </w:p>
                          <w:p w14:paraId="21422217">
                            <w:pPr>
                              <w:jc w:val="center"/>
                              <w:rPr>
                                <w:szCs w:val="21"/>
                              </w:rPr>
                            </w:pPr>
                            <w:r>
                              <w:rPr>
                                <w:rFonts w:hint="eastAsia"/>
                                <w:szCs w:val="21"/>
                              </w:rPr>
                              <w:t>委托代理人身份证</w:t>
                            </w:r>
                            <w:r>
                              <w:rPr>
                                <w:rFonts w:hint="eastAsia" w:ascii="Times New Roman"/>
                                <w:snapToGrid w:val="0"/>
                                <w:kern w:val="0"/>
                              </w:rPr>
                              <w:t>彩色扫描件</w:t>
                            </w:r>
                            <w:r>
                              <w:rPr>
                                <w:rFonts w:hint="eastAsia"/>
                                <w:szCs w:val="21"/>
                              </w:rPr>
                              <w:t>正、反面</w:t>
                            </w:r>
                          </w:p>
                        </w:txbxContent>
                      </wps:txbx>
                      <wps:bodyPr upright="1"/>
                    </wps:wsp>
                  </a:graphicData>
                </a:graphic>
              </wp:anchor>
            </w:drawing>
          </mc:Choice>
          <mc:Fallback>
            <w:pict>
              <v:shape id="_x0000_s1026" o:spid="_x0000_s1026" o:spt="176" type="#_x0000_t176" style="position:absolute;left:0pt;margin-left:115.5pt;margin-top:24.6pt;height:124.75pt;width:251.25pt;z-index:251660288;mso-width-relative:page;mso-height-relative:page;" fillcolor="#FFFFFF" filled="t" stroked="t" coordsize="21600,21600" o:gfxdata="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xnzrq2AAAAAoBAAAPAAAAAAAAAAEAIAAAACIAAABkcnMvZG93bnJldi54bWxQSwECFAAU&#10;AAAACACHTuJAElPo7ioCAABQBAAADgAAAAAAAAABACAAAAAnAQAAZHJzL2Uyb0RvYy54bWxQSwUG&#10;AAAAAAYABgBZAQAAwwUAAAAA&#10;">
                <v:fill on="t" focussize="0,0"/>
                <v:stroke color="#000000" joinstyle="miter"/>
                <v:imagedata o:title=""/>
                <o:lock v:ext="edit" aspectratio="f"/>
                <v:textbox>
                  <w:txbxContent>
                    <w:p w14:paraId="433A46F4">
                      <w:pPr>
                        <w:jc w:val="center"/>
                        <w:rPr>
                          <w:rFonts w:hint="eastAsia"/>
                          <w:szCs w:val="21"/>
                        </w:rPr>
                      </w:pPr>
                    </w:p>
                    <w:p w14:paraId="3A16FF7B">
                      <w:pPr>
                        <w:jc w:val="center"/>
                        <w:rPr>
                          <w:rFonts w:hint="eastAsia"/>
                          <w:szCs w:val="21"/>
                        </w:rPr>
                      </w:pPr>
                    </w:p>
                    <w:p w14:paraId="3453ADEF">
                      <w:pPr>
                        <w:jc w:val="center"/>
                        <w:rPr>
                          <w:rFonts w:hint="eastAsia"/>
                          <w:szCs w:val="21"/>
                        </w:rPr>
                      </w:pPr>
                    </w:p>
                    <w:p w14:paraId="21422217">
                      <w:pPr>
                        <w:jc w:val="center"/>
                        <w:rPr>
                          <w:szCs w:val="21"/>
                        </w:rPr>
                      </w:pPr>
                      <w:r>
                        <w:rPr>
                          <w:rFonts w:hint="eastAsia"/>
                          <w:szCs w:val="21"/>
                        </w:rPr>
                        <w:t>委托代理人身份证</w:t>
                      </w:r>
                      <w:r>
                        <w:rPr>
                          <w:rFonts w:hint="eastAsia" w:ascii="Times New Roman"/>
                          <w:snapToGrid w:val="0"/>
                          <w:kern w:val="0"/>
                        </w:rPr>
                        <w:t>彩色扫描件</w:t>
                      </w:r>
                      <w:r>
                        <w:rPr>
                          <w:rFonts w:hint="eastAsia"/>
                          <w:szCs w:val="21"/>
                        </w:rPr>
                        <w:t>正、反面</w:t>
                      </w:r>
                    </w:p>
                  </w:txbxContent>
                </v:textbox>
              </v:shape>
            </w:pict>
          </mc:Fallback>
        </mc:AlternateContent>
      </w:r>
    </w:p>
    <w:p w14:paraId="04F05AAF">
      <w:pPr>
        <w:rPr>
          <w:rFonts w:hint="eastAsia" w:ascii="宋体" w:hAnsi="宋体" w:eastAsia="宋体" w:cs="宋体"/>
          <w:color w:val="auto"/>
        </w:rPr>
      </w:pPr>
    </w:p>
    <w:p w14:paraId="7EC7F422">
      <w:pPr>
        <w:rPr>
          <w:rFonts w:hint="eastAsia" w:ascii="宋体" w:hAnsi="宋体" w:eastAsia="宋体" w:cs="宋体"/>
          <w:color w:val="auto"/>
        </w:rPr>
      </w:pPr>
    </w:p>
    <w:p w14:paraId="540FC891">
      <w:pPr>
        <w:rPr>
          <w:rFonts w:hint="eastAsia" w:ascii="宋体" w:hAnsi="宋体" w:eastAsia="宋体" w:cs="宋体"/>
          <w:color w:val="auto"/>
        </w:rPr>
      </w:pPr>
    </w:p>
    <w:p w14:paraId="7EABE378">
      <w:pPr>
        <w:rPr>
          <w:rFonts w:hint="eastAsia" w:ascii="宋体" w:hAnsi="宋体" w:eastAsia="宋体" w:cs="宋体"/>
          <w:color w:val="auto"/>
        </w:rPr>
      </w:pPr>
    </w:p>
    <w:p w14:paraId="386E8059">
      <w:pPr>
        <w:rPr>
          <w:rFonts w:hint="eastAsia" w:ascii="宋体" w:hAnsi="宋体" w:eastAsia="宋体" w:cs="宋体"/>
          <w:color w:val="auto"/>
        </w:rPr>
      </w:pPr>
    </w:p>
    <w:p w14:paraId="21A7A190">
      <w:pPr>
        <w:rPr>
          <w:rFonts w:hint="eastAsia" w:ascii="宋体" w:hAnsi="宋体" w:eastAsia="宋体" w:cs="宋体"/>
          <w:color w:val="auto"/>
        </w:rPr>
      </w:pPr>
    </w:p>
    <w:p w14:paraId="70E6E964">
      <w:pPr>
        <w:rPr>
          <w:rFonts w:hint="eastAsia" w:ascii="宋体" w:hAnsi="宋体" w:eastAsia="宋体" w:cs="宋体"/>
          <w:color w:val="auto"/>
        </w:rPr>
      </w:pPr>
    </w:p>
    <w:p w14:paraId="2A951A4F">
      <w:pPr>
        <w:rPr>
          <w:rFonts w:hint="eastAsia" w:ascii="宋体" w:hAnsi="宋体" w:eastAsia="宋体" w:cs="宋体"/>
          <w:color w:val="auto"/>
        </w:rPr>
      </w:pPr>
    </w:p>
    <w:p w14:paraId="621BBDB5">
      <w:pPr>
        <w:rPr>
          <w:rFonts w:hint="eastAsia" w:ascii="宋体" w:hAnsi="宋体" w:eastAsia="宋体" w:cs="宋体"/>
          <w:color w:val="auto"/>
        </w:rPr>
      </w:pPr>
    </w:p>
    <w:p w14:paraId="451EA56E">
      <w:pPr>
        <w:rPr>
          <w:rFonts w:hint="eastAsia" w:ascii="宋体" w:hAnsi="宋体" w:eastAsia="宋体" w:cs="宋体"/>
          <w:color w:val="auto"/>
        </w:rPr>
      </w:pPr>
    </w:p>
    <w:p w14:paraId="0A6E0B67">
      <w:pPr>
        <w:rPr>
          <w:rFonts w:hint="eastAsia" w:ascii="宋体" w:hAnsi="宋体" w:eastAsia="宋体" w:cs="宋体"/>
          <w:color w:val="auto"/>
        </w:rPr>
      </w:pPr>
    </w:p>
    <w:p w14:paraId="72D71C47">
      <w:pPr>
        <w:rPr>
          <w:rFonts w:hint="eastAsia" w:ascii="宋体" w:hAnsi="宋体" w:eastAsia="宋体" w:cs="宋体"/>
          <w:color w:val="auto"/>
        </w:rPr>
      </w:pPr>
    </w:p>
    <w:p w14:paraId="26E00015">
      <w:pPr>
        <w:rPr>
          <w:rFonts w:hint="eastAsia" w:ascii="宋体" w:hAnsi="宋体" w:eastAsia="宋体" w:cs="宋体"/>
          <w:color w:val="auto"/>
        </w:rPr>
      </w:pPr>
    </w:p>
    <w:p w14:paraId="29103A0B">
      <w:pPr>
        <w:rPr>
          <w:rFonts w:hint="eastAsia" w:ascii="宋体" w:hAnsi="宋体" w:eastAsia="宋体" w:cs="宋体"/>
          <w:color w:val="auto"/>
        </w:rPr>
      </w:pPr>
    </w:p>
    <w:p w14:paraId="092652C7">
      <w:pPr>
        <w:rPr>
          <w:rFonts w:hint="eastAsia" w:ascii="宋体" w:hAnsi="宋体" w:eastAsia="宋体" w:cs="宋体"/>
          <w:color w:val="auto"/>
        </w:rPr>
      </w:pPr>
    </w:p>
    <w:p w14:paraId="6B4AE7A7">
      <w:pPr>
        <w:rPr>
          <w:rFonts w:hint="eastAsia" w:ascii="宋体" w:hAnsi="宋体" w:eastAsia="宋体" w:cs="宋体"/>
          <w:color w:val="auto"/>
        </w:rPr>
      </w:pPr>
    </w:p>
    <w:p w14:paraId="006329C9">
      <w:pPr>
        <w:rPr>
          <w:rFonts w:hint="eastAsia" w:ascii="宋体" w:hAnsi="宋体" w:eastAsia="宋体" w:cs="宋体"/>
          <w:color w:val="auto"/>
        </w:rPr>
      </w:pPr>
    </w:p>
    <w:p w14:paraId="37F6AA82">
      <w:pPr>
        <w:rPr>
          <w:rFonts w:hint="eastAsia" w:ascii="宋体" w:hAnsi="宋体" w:eastAsia="宋体" w:cs="宋体"/>
          <w:color w:val="auto"/>
        </w:rPr>
      </w:pPr>
    </w:p>
    <w:p w14:paraId="165CDE1B">
      <w:pPr>
        <w:pStyle w:val="3"/>
        <w:bidi w:val="0"/>
        <w:ind w:left="0" w:leftChars="0" w:firstLine="0" w:firstLineChars="0"/>
        <w:rPr>
          <w:rFonts w:hint="eastAsia" w:ascii="宋体" w:hAnsi="宋体" w:eastAsia="宋体" w:cs="宋体"/>
          <w:color w:val="auto"/>
          <w:lang w:val="en-US" w:eastAsia="zh-CN"/>
        </w:rPr>
      </w:pPr>
      <w:bookmarkStart w:id="63" w:name="_Toc11456"/>
      <w:bookmarkStart w:id="64" w:name="_Toc28692"/>
      <w:bookmarkStart w:id="65" w:name="_Toc19203"/>
      <w:r>
        <w:rPr>
          <w:rFonts w:hint="eastAsia" w:ascii="宋体" w:hAnsi="宋体" w:eastAsia="宋体" w:cs="宋体"/>
          <w:color w:val="auto"/>
          <w:lang w:val="en-US" w:eastAsia="zh-CN"/>
        </w:rPr>
        <w:t>格式六   投标人基本情况表</w:t>
      </w:r>
      <w:bookmarkEnd w:id="63"/>
      <w:bookmarkEnd w:id="64"/>
      <w:bookmarkEnd w:id="65"/>
    </w:p>
    <w:p w14:paraId="1F97EA74">
      <w:pPr>
        <w:pStyle w:val="39"/>
        <w:keepNext w:val="0"/>
        <w:keepLines w:val="0"/>
        <w:widowControl w:val="0"/>
        <w:suppressLineNumbers w:val="0"/>
        <w:wordWrap w:val="0"/>
        <w:spacing w:before="260" w:beforeAutospacing="0" w:after="260" w:afterAutospacing="0" w:line="400" w:lineRule="exact"/>
        <w:ind w:left="0" w:right="0" w:firstLine="0"/>
        <w:jc w:val="center"/>
        <w:rPr>
          <w:rFonts w:hint="eastAsia" w:ascii="宋体" w:hAnsi="宋体" w:eastAsia="宋体" w:cs="宋体"/>
          <w:color w:val="auto"/>
          <w:sz w:val="24"/>
          <w:szCs w:val="24"/>
          <w:highlight w:val="none"/>
          <w:lang w:val="en-US"/>
        </w:rPr>
      </w:pPr>
      <w:r>
        <w:rPr>
          <w:rFonts w:hint="eastAsia" w:ascii="宋体" w:hAnsi="宋体" w:eastAsia="宋体" w:cs="宋体"/>
          <w:b/>
          <w:bCs w:val="0"/>
          <w:color w:val="auto"/>
          <w:sz w:val="30"/>
          <w:szCs w:val="30"/>
          <w:highlight w:val="none"/>
          <w:lang w:eastAsia="zh-CN"/>
        </w:rPr>
        <w:t>投标人基本情况表</w:t>
      </w: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34"/>
        <w:gridCol w:w="1097"/>
        <w:gridCol w:w="1489"/>
        <w:gridCol w:w="803"/>
        <w:gridCol w:w="414"/>
        <w:gridCol w:w="832"/>
        <w:gridCol w:w="260"/>
        <w:gridCol w:w="709"/>
        <w:gridCol w:w="1416"/>
      </w:tblGrid>
      <w:tr w14:paraId="7523D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034" w:type="dxa"/>
            <w:tcBorders>
              <w:top w:val="single" w:color="000000" w:sz="4" w:space="0"/>
              <w:left w:val="single" w:color="000000" w:sz="4" w:space="0"/>
              <w:bottom w:val="single" w:color="000000" w:sz="4" w:space="0"/>
              <w:right w:val="single" w:color="000000" w:sz="4" w:space="0"/>
            </w:tcBorders>
            <w:noWrap w:val="0"/>
            <w:vAlign w:val="center"/>
          </w:tcPr>
          <w:p w14:paraId="1107758C">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投标人名称</w:t>
            </w:r>
          </w:p>
        </w:tc>
        <w:tc>
          <w:tcPr>
            <w:tcW w:w="7020" w:type="dxa"/>
            <w:gridSpan w:val="8"/>
            <w:tcBorders>
              <w:top w:val="single" w:color="000000" w:sz="4" w:space="0"/>
              <w:left w:val="single" w:color="000000" w:sz="4" w:space="0"/>
              <w:bottom w:val="single" w:color="000000" w:sz="4" w:space="0"/>
              <w:right w:val="single" w:color="000000" w:sz="4" w:space="0"/>
            </w:tcBorders>
            <w:noWrap w:val="0"/>
            <w:vAlign w:val="center"/>
          </w:tcPr>
          <w:p w14:paraId="7E6C4743">
            <w:pPr>
              <w:pStyle w:val="42"/>
              <w:widowControl/>
              <w:wordWrap w:val="0"/>
              <w:jc w:val="center"/>
              <w:rPr>
                <w:rFonts w:hint="eastAsia" w:ascii="宋体" w:hAnsi="宋体" w:eastAsia="宋体" w:cs="宋体"/>
                <w:color w:val="auto"/>
                <w:kern w:val="0"/>
                <w:sz w:val="24"/>
                <w:szCs w:val="24"/>
                <w:highlight w:val="none"/>
                <w:lang w:val="en-US"/>
              </w:rPr>
            </w:pPr>
          </w:p>
        </w:tc>
      </w:tr>
      <w:tr w14:paraId="381BA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034" w:type="dxa"/>
            <w:tcBorders>
              <w:top w:val="single" w:color="000000" w:sz="4" w:space="0"/>
              <w:left w:val="single" w:color="000000" w:sz="4" w:space="0"/>
              <w:bottom w:val="single" w:color="000000" w:sz="4" w:space="0"/>
              <w:right w:val="single" w:color="000000" w:sz="4" w:space="0"/>
            </w:tcBorders>
            <w:noWrap w:val="0"/>
            <w:vAlign w:val="center"/>
          </w:tcPr>
          <w:p w14:paraId="1FF9532E">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注册地址</w:t>
            </w:r>
          </w:p>
        </w:tc>
        <w:tc>
          <w:tcPr>
            <w:tcW w:w="3389" w:type="dxa"/>
            <w:gridSpan w:val="3"/>
            <w:tcBorders>
              <w:top w:val="single" w:color="000000" w:sz="4" w:space="0"/>
              <w:left w:val="single" w:color="000000" w:sz="4" w:space="0"/>
              <w:bottom w:val="single" w:color="000000" w:sz="4" w:space="0"/>
              <w:right w:val="single" w:color="000000" w:sz="4" w:space="0"/>
            </w:tcBorders>
            <w:noWrap w:val="0"/>
            <w:vAlign w:val="center"/>
          </w:tcPr>
          <w:p w14:paraId="52E11C35">
            <w:pPr>
              <w:pStyle w:val="42"/>
              <w:widowControl/>
              <w:wordWrap w:val="0"/>
              <w:jc w:val="center"/>
              <w:rPr>
                <w:rFonts w:hint="eastAsia" w:ascii="宋体" w:hAnsi="宋体" w:eastAsia="宋体" w:cs="宋体"/>
                <w:color w:val="auto"/>
                <w:kern w:val="0"/>
                <w:sz w:val="24"/>
                <w:szCs w:val="24"/>
                <w:highlight w:val="none"/>
                <w:lang w:val="en-US"/>
              </w:rPr>
            </w:pPr>
          </w:p>
        </w:tc>
        <w:tc>
          <w:tcPr>
            <w:tcW w:w="1246" w:type="dxa"/>
            <w:gridSpan w:val="2"/>
            <w:tcBorders>
              <w:top w:val="single" w:color="000000" w:sz="4" w:space="0"/>
              <w:left w:val="single" w:color="000000" w:sz="4" w:space="0"/>
              <w:bottom w:val="single" w:color="000000" w:sz="4" w:space="0"/>
              <w:right w:val="single" w:color="000000" w:sz="4" w:space="0"/>
            </w:tcBorders>
            <w:noWrap w:val="0"/>
            <w:vAlign w:val="center"/>
          </w:tcPr>
          <w:p w14:paraId="5DEE2275">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邮政编码</w:t>
            </w:r>
          </w:p>
        </w:tc>
        <w:tc>
          <w:tcPr>
            <w:tcW w:w="2385" w:type="dxa"/>
            <w:gridSpan w:val="3"/>
            <w:tcBorders>
              <w:top w:val="single" w:color="000000" w:sz="4" w:space="0"/>
              <w:left w:val="single" w:color="000000" w:sz="4" w:space="0"/>
              <w:bottom w:val="single" w:color="000000" w:sz="4" w:space="0"/>
              <w:right w:val="single" w:color="000000" w:sz="4" w:space="0"/>
            </w:tcBorders>
            <w:noWrap w:val="0"/>
            <w:vAlign w:val="center"/>
          </w:tcPr>
          <w:p w14:paraId="494B6A8F">
            <w:pPr>
              <w:pStyle w:val="42"/>
              <w:widowControl/>
              <w:wordWrap w:val="0"/>
              <w:jc w:val="center"/>
              <w:rPr>
                <w:rFonts w:hint="eastAsia" w:ascii="宋体" w:hAnsi="宋体" w:eastAsia="宋体" w:cs="宋体"/>
                <w:color w:val="auto"/>
                <w:kern w:val="0"/>
                <w:sz w:val="24"/>
                <w:szCs w:val="24"/>
                <w:highlight w:val="none"/>
                <w:lang w:val="en-US"/>
              </w:rPr>
            </w:pPr>
          </w:p>
        </w:tc>
      </w:tr>
      <w:tr w14:paraId="5E46D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034" w:type="dxa"/>
            <w:vMerge w:val="restart"/>
            <w:tcBorders>
              <w:top w:val="nil"/>
              <w:left w:val="single" w:color="000000" w:sz="4" w:space="0"/>
              <w:bottom w:val="single" w:color="000000" w:sz="4" w:space="0"/>
              <w:right w:val="single" w:color="000000" w:sz="4" w:space="0"/>
            </w:tcBorders>
            <w:noWrap w:val="0"/>
            <w:vAlign w:val="center"/>
          </w:tcPr>
          <w:p w14:paraId="088D7A56">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联系方式</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14:paraId="2CA9B86D">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联系人</w:t>
            </w:r>
          </w:p>
        </w:tc>
        <w:tc>
          <w:tcPr>
            <w:tcW w:w="2292" w:type="dxa"/>
            <w:gridSpan w:val="2"/>
            <w:tcBorders>
              <w:top w:val="single" w:color="000000" w:sz="4" w:space="0"/>
              <w:left w:val="single" w:color="000000" w:sz="4" w:space="0"/>
              <w:bottom w:val="single" w:color="000000" w:sz="4" w:space="0"/>
              <w:right w:val="single" w:color="000000" w:sz="4" w:space="0"/>
            </w:tcBorders>
            <w:noWrap w:val="0"/>
            <w:vAlign w:val="center"/>
          </w:tcPr>
          <w:p w14:paraId="1DE852A2">
            <w:pPr>
              <w:pStyle w:val="42"/>
              <w:widowControl/>
              <w:wordWrap w:val="0"/>
              <w:jc w:val="center"/>
              <w:rPr>
                <w:rFonts w:hint="eastAsia" w:ascii="宋体" w:hAnsi="宋体" w:eastAsia="宋体" w:cs="宋体"/>
                <w:color w:val="auto"/>
                <w:kern w:val="0"/>
                <w:sz w:val="24"/>
                <w:szCs w:val="24"/>
                <w:highlight w:val="none"/>
                <w:lang w:val="en-US"/>
              </w:rPr>
            </w:pPr>
          </w:p>
        </w:tc>
        <w:tc>
          <w:tcPr>
            <w:tcW w:w="1246" w:type="dxa"/>
            <w:gridSpan w:val="2"/>
            <w:tcBorders>
              <w:top w:val="single" w:color="000000" w:sz="4" w:space="0"/>
              <w:left w:val="single" w:color="000000" w:sz="4" w:space="0"/>
              <w:bottom w:val="single" w:color="000000" w:sz="4" w:space="0"/>
              <w:right w:val="single" w:color="000000" w:sz="4" w:space="0"/>
            </w:tcBorders>
            <w:noWrap w:val="0"/>
            <w:vAlign w:val="center"/>
          </w:tcPr>
          <w:p w14:paraId="19B9BCC7">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电</w:t>
            </w:r>
            <w:r>
              <w:rPr>
                <w:rFonts w:hint="eastAsia" w:ascii="宋体" w:hAnsi="宋体" w:eastAsia="宋体" w:cs="宋体"/>
                <w:color w:val="auto"/>
                <w:kern w:val="0"/>
                <w:sz w:val="24"/>
                <w:szCs w:val="24"/>
                <w:highlight w:val="none"/>
                <w:lang w:val="en-US"/>
              </w:rPr>
              <w:t xml:space="preserve">  </w:t>
            </w:r>
            <w:r>
              <w:rPr>
                <w:rFonts w:hint="eastAsia" w:ascii="宋体" w:hAnsi="宋体" w:eastAsia="宋体" w:cs="宋体"/>
                <w:color w:val="auto"/>
                <w:kern w:val="0"/>
                <w:sz w:val="24"/>
                <w:szCs w:val="24"/>
                <w:highlight w:val="none"/>
              </w:rPr>
              <w:t>话</w:t>
            </w:r>
          </w:p>
        </w:tc>
        <w:tc>
          <w:tcPr>
            <w:tcW w:w="2385" w:type="dxa"/>
            <w:gridSpan w:val="3"/>
            <w:tcBorders>
              <w:top w:val="single" w:color="000000" w:sz="4" w:space="0"/>
              <w:left w:val="single" w:color="000000" w:sz="4" w:space="0"/>
              <w:bottom w:val="single" w:color="000000" w:sz="4" w:space="0"/>
              <w:right w:val="single" w:color="000000" w:sz="4" w:space="0"/>
            </w:tcBorders>
            <w:noWrap w:val="0"/>
            <w:vAlign w:val="center"/>
          </w:tcPr>
          <w:p w14:paraId="6C4CD091">
            <w:pPr>
              <w:pStyle w:val="42"/>
              <w:widowControl/>
              <w:wordWrap w:val="0"/>
              <w:jc w:val="center"/>
              <w:rPr>
                <w:rFonts w:hint="eastAsia" w:ascii="宋体" w:hAnsi="宋体" w:eastAsia="宋体" w:cs="宋体"/>
                <w:color w:val="auto"/>
                <w:kern w:val="0"/>
                <w:sz w:val="24"/>
                <w:szCs w:val="24"/>
                <w:highlight w:val="none"/>
                <w:lang w:val="en-US"/>
              </w:rPr>
            </w:pPr>
          </w:p>
        </w:tc>
      </w:tr>
      <w:tr w14:paraId="63E3C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034" w:type="dxa"/>
            <w:vMerge w:val="continue"/>
            <w:tcBorders>
              <w:top w:val="nil"/>
              <w:left w:val="single" w:color="000000" w:sz="4" w:space="0"/>
              <w:bottom w:val="single" w:color="000000" w:sz="4" w:space="0"/>
              <w:right w:val="single" w:color="000000" w:sz="4" w:space="0"/>
            </w:tcBorders>
            <w:noWrap w:val="0"/>
            <w:vAlign w:val="center"/>
          </w:tcPr>
          <w:p w14:paraId="588EE3A1">
            <w:pPr>
              <w:rPr>
                <w:rFonts w:hint="eastAsia" w:ascii="宋体" w:hAnsi="宋体" w:eastAsia="宋体" w:cs="宋体"/>
                <w:color w:val="auto"/>
                <w:sz w:val="24"/>
                <w:szCs w:val="24"/>
                <w:highlight w:val="none"/>
              </w:rPr>
            </w:pPr>
          </w:p>
        </w:tc>
        <w:tc>
          <w:tcPr>
            <w:tcW w:w="1097" w:type="dxa"/>
            <w:tcBorders>
              <w:top w:val="single" w:color="000000" w:sz="4" w:space="0"/>
              <w:left w:val="single" w:color="000000" w:sz="4" w:space="0"/>
              <w:bottom w:val="single" w:color="000000" w:sz="4" w:space="0"/>
              <w:right w:val="single" w:color="000000" w:sz="4" w:space="0"/>
            </w:tcBorders>
            <w:noWrap w:val="0"/>
            <w:vAlign w:val="center"/>
          </w:tcPr>
          <w:p w14:paraId="52795EB0">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传</w:t>
            </w:r>
            <w:r>
              <w:rPr>
                <w:rFonts w:hint="eastAsia" w:ascii="宋体" w:hAnsi="宋体" w:eastAsia="宋体" w:cs="宋体"/>
                <w:color w:val="auto"/>
                <w:kern w:val="0"/>
                <w:sz w:val="24"/>
                <w:szCs w:val="24"/>
                <w:highlight w:val="none"/>
                <w:lang w:val="en-US"/>
              </w:rPr>
              <w:t xml:space="preserve">  </w:t>
            </w:r>
            <w:r>
              <w:rPr>
                <w:rFonts w:hint="eastAsia" w:ascii="宋体" w:hAnsi="宋体" w:eastAsia="宋体" w:cs="宋体"/>
                <w:color w:val="auto"/>
                <w:kern w:val="0"/>
                <w:sz w:val="24"/>
                <w:szCs w:val="24"/>
                <w:highlight w:val="none"/>
              </w:rPr>
              <w:t>真</w:t>
            </w:r>
          </w:p>
        </w:tc>
        <w:tc>
          <w:tcPr>
            <w:tcW w:w="2292" w:type="dxa"/>
            <w:gridSpan w:val="2"/>
            <w:tcBorders>
              <w:top w:val="single" w:color="000000" w:sz="4" w:space="0"/>
              <w:left w:val="single" w:color="000000" w:sz="4" w:space="0"/>
              <w:bottom w:val="single" w:color="000000" w:sz="4" w:space="0"/>
              <w:right w:val="single" w:color="000000" w:sz="4" w:space="0"/>
            </w:tcBorders>
            <w:noWrap w:val="0"/>
            <w:vAlign w:val="center"/>
          </w:tcPr>
          <w:p w14:paraId="2B3E0179">
            <w:pPr>
              <w:pStyle w:val="42"/>
              <w:widowControl/>
              <w:wordWrap w:val="0"/>
              <w:jc w:val="center"/>
              <w:rPr>
                <w:rFonts w:hint="eastAsia" w:ascii="宋体" w:hAnsi="宋体" w:eastAsia="宋体" w:cs="宋体"/>
                <w:color w:val="auto"/>
                <w:kern w:val="0"/>
                <w:sz w:val="24"/>
                <w:szCs w:val="24"/>
                <w:highlight w:val="none"/>
                <w:lang w:val="en-US"/>
              </w:rPr>
            </w:pPr>
          </w:p>
        </w:tc>
        <w:tc>
          <w:tcPr>
            <w:tcW w:w="1246" w:type="dxa"/>
            <w:gridSpan w:val="2"/>
            <w:tcBorders>
              <w:top w:val="single" w:color="000000" w:sz="4" w:space="0"/>
              <w:left w:val="single" w:color="000000" w:sz="4" w:space="0"/>
              <w:bottom w:val="single" w:color="000000" w:sz="4" w:space="0"/>
              <w:right w:val="single" w:color="000000" w:sz="4" w:space="0"/>
            </w:tcBorders>
            <w:noWrap w:val="0"/>
            <w:vAlign w:val="center"/>
          </w:tcPr>
          <w:p w14:paraId="21A47004">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电子邮箱</w:t>
            </w:r>
          </w:p>
        </w:tc>
        <w:tc>
          <w:tcPr>
            <w:tcW w:w="2385" w:type="dxa"/>
            <w:gridSpan w:val="3"/>
            <w:tcBorders>
              <w:top w:val="single" w:color="000000" w:sz="4" w:space="0"/>
              <w:left w:val="single" w:color="000000" w:sz="4" w:space="0"/>
              <w:bottom w:val="single" w:color="000000" w:sz="4" w:space="0"/>
              <w:right w:val="single" w:color="000000" w:sz="4" w:space="0"/>
            </w:tcBorders>
            <w:noWrap w:val="0"/>
            <w:vAlign w:val="center"/>
          </w:tcPr>
          <w:p w14:paraId="7C8FD014">
            <w:pPr>
              <w:pStyle w:val="42"/>
              <w:widowControl/>
              <w:wordWrap w:val="0"/>
              <w:jc w:val="center"/>
              <w:rPr>
                <w:rFonts w:hint="eastAsia" w:ascii="宋体" w:hAnsi="宋体" w:eastAsia="宋体" w:cs="宋体"/>
                <w:color w:val="auto"/>
                <w:kern w:val="0"/>
                <w:sz w:val="24"/>
                <w:szCs w:val="24"/>
                <w:highlight w:val="none"/>
                <w:lang w:val="en-US"/>
              </w:rPr>
            </w:pPr>
          </w:p>
        </w:tc>
      </w:tr>
      <w:tr w14:paraId="7042E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034" w:type="dxa"/>
            <w:tcBorders>
              <w:top w:val="single" w:color="000000" w:sz="4" w:space="0"/>
              <w:left w:val="single" w:color="000000" w:sz="4" w:space="0"/>
              <w:bottom w:val="single" w:color="000000" w:sz="4" w:space="0"/>
              <w:right w:val="single" w:color="000000" w:sz="4" w:space="0"/>
            </w:tcBorders>
            <w:noWrap w:val="0"/>
            <w:vAlign w:val="center"/>
          </w:tcPr>
          <w:p w14:paraId="6A7934B4">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单位性质</w:t>
            </w:r>
          </w:p>
        </w:tc>
        <w:tc>
          <w:tcPr>
            <w:tcW w:w="7020" w:type="dxa"/>
            <w:gridSpan w:val="8"/>
            <w:tcBorders>
              <w:top w:val="single" w:color="000000" w:sz="4" w:space="0"/>
              <w:left w:val="single" w:color="000000" w:sz="4" w:space="0"/>
              <w:bottom w:val="single" w:color="000000" w:sz="4" w:space="0"/>
              <w:right w:val="single" w:color="000000" w:sz="4" w:space="0"/>
            </w:tcBorders>
            <w:noWrap w:val="0"/>
            <w:vAlign w:val="center"/>
          </w:tcPr>
          <w:p w14:paraId="754871D0">
            <w:pPr>
              <w:pStyle w:val="42"/>
              <w:widowControl/>
              <w:wordWrap w:val="0"/>
              <w:jc w:val="center"/>
              <w:rPr>
                <w:rFonts w:hint="eastAsia" w:ascii="宋体" w:hAnsi="宋体" w:eastAsia="宋体" w:cs="宋体"/>
                <w:color w:val="auto"/>
                <w:kern w:val="0"/>
                <w:sz w:val="24"/>
                <w:szCs w:val="24"/>
                <w:highlight w:val="none"/>
                <w:lang w:val="en-US"/>
              </w:rPr>
            </w:pPr>
          </w:p>
        </w:tc>
      </w:tr>
      <w:tr w14:paraId="1E28D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034" w:type="dxa"/>
            <w:tcBorders>
              <w:top w:val="single" w:color="000000" w:sz="4" w:space="0"/>
              <w:left w:val="single" w:color="000000" w:sz="4" w:space="0"/>
              <w:bottom w:val="single" w:color="000000" w:sz="4" w:space="0"/>
              <w:right w:val="single" w:color="000000" w:sz="4" w:space="0"/>
            </w:tcBorders>
            <w:noWrap w:val="0"/>
            <w:vAlign w:val="center"/>
          </w:tcPr>
          <w:p w14:paraId="5DB125EF">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法定代表人</w:t>
            </w:r>
          </w:p>
        </w:tc>
        <w:tc>
          <w:tcPr>
            <w:tcW w:w="1097" w:type="dxa"/>
            <w:tcBorders>
              <w:top w:val="single" w:color="000000" w:sz="4" w:space="0"/>
              <w:left w:val="single" w:color="000000" w:sz="4" w:space="0"/>
              <w:bottom w:val="single" w:color="000000" w:sz="4" w:space="0"/>
              <w:right w:val="single" w:color="000000" w:sz="4" w:space="0"/>
            </w:tcBorders>
            <w:noWrap w:val="0"/>
            <w:vAlign w:val="center"/>
          </w:tcPr>
          <w:p w14:paraId="455D0EF4">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姓名</w:t>
            </w:r>
          </w:p>
        </w:tc>
        <w:tc>
          <w:tcPr>
            <w:tcW w:w="1489" w:type="dxa"/>
            <w:tcBorders>
              <w:top w:val="single" w:color="000000" w:sz="4" w:space="0"/>
              <w:left w:val="single" w:color="000000" w:sz="4" w:space="0"/>
              <w:bottom w:val="single" w:color="000000" w:sz="4" w:space="0"/>
              <w:right w:val="single" w:color="000000" w:sz="4" w:space="0"/>
            </w:tcBorders>
            <w:noWrap w:val="0"/>
            <w:vAlign w:val="center"/>
          </w:tcPr>
          <w:p w14:paraId="13108028">
            <w:pPr>
              <w:pStyle w:val="42"/>
              <w:widowControl/>
              <w:wordWrap w:val="0"/>
              <w:jc w:val="center"/>
              <w:rPr>
                <w:rFonts w:hint="eastAsia" w:ascii="宋体" w:hAnsi="宋体" w:eastAsia="宋体" w:cs="宋体"/>
                <w:color w:val="auto"/>
                <w:kern w:val="0"/>
                <w:sz w:val="24"/>
                <w:szCs w:val="24"/>
                <w:highlight w:val="none"/>
                <w:lang w:val="en-US"/>
              </w:rPr>
            </w:pPr>
          </w:p>
        </w:tc>
        <w:tc>
          <w:tcPr>
            <w:tcW w:w="1217" w:type="dxa"/>
            <w:gridSpan w:val="2"/>
            <w:tcBorders>
              <w:top w:val="single" w:color="000000" w:sz="4" w:space="0"/>
              <w:left w:val="single" w:color="000000" w:sz="4" w:space="0"/>
              <w:bottom w:val="single" w:color="000000" w:sz="4" w:space="0"/>
              <w:right w:val="single" w:color="000000" w:sz="4" w:space="0"/>
            </w:tcBorders>
            <w:noWrap w:val="0"/>
            <w:vAlign w:val="center"/>
          </w:tcPr>
          <w:p w14:paraId="5540E9E9">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技术职称</w:t>
            </w:r>
          </w:p>
        </w:tc>
        <w:tc>
          <w:tcPr>
            <w:tcW w:w="1092" w:type="dxa"/>
            <w:gridSpan w:val="2"/>
            <w:tcBorders>
              <w:top w:val="single" w:color="000000" w:sz="4" w:space="0"/>
              <w:left w:val="single" w:color="000000" w:sz="4" w:space="0"/>
              <w:bottom w:val="single" w:color="000000" w:sz="4" w:space="0"/>
              <w:right w:val="single" w:color="000000" w:sz="4" w:space="0"/>
            </w:tcBorders>
            <w:noWrap w:val="0"/>
            <w:vAlign w:val="center"/>
          </w:tcPr>
          <w:p w14:paraId="2DCF83A5">
            <w:pPr>
              <w:pStyle w:val="42"/>
              <w:widowControl/>
              <w:wordWrap w:val="0"/>
              <w:jc w:val="center"/>
              <w:rPr>
                <w:rFonts w:hint="eastAsia" w:ascii="宋体" w:hAnsi="宋体" w:eastAsia="宋体" w:cs="宋体"/>
                <w:color w:val="auto"/>
                <w:kern w:val="0"/>
                <w:sz w:val="24"/>
                <w:szCs w:val="24"/>
                <w:highlight w:val="none"/>
                <w:lang w:val="en-US"/>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5B7EC1B">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电话</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10798A9E">
            <w:pPr>
              <w:pStyle w:val="42"/>
              <w:widowControl/>
              <w:wordWrap w:val="0"/>
              <w:jc w:val="center"/>
              <w:rPr>
                <w:rFonts w:hint="eastAsia" w:ascii="宋体" w:hAnsi="宋体" w:eastAsia="宋体" w:cs="宋体"/>
                <w:color w:val="auto"/>
                <w:kern w:val="0"/>
                <w:sz w:val="24"/>
                <w:szCs w:val="24"/>
                <w:highlight w:val="none"/>
                <w:lang w:val="en-US"/>
              </w:rPr>
            </w:pPr>
          </w:p>
        </w:tc>
      </w:tr>
      <w:tr w14:paraId="7B7E9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034" w:type="dxa"/>
            <w:tcBorders>
              <w:top w:val="single" w:color="000000" w:sz="4" w:space="0"/>
              <w:left w:val="single" w:color="000000" w:sz="4" w:space="0"/>
              <w:bottom w:val="single" w:color="000000" w:sz="4" w:space="0"/>
              <w:right w:val="single" w:color="000000" w:sz="4" w:space="0"/>
            </w:tcBorders>
            <w:noWrap w:val="0"/>
            <w:vAlign w:val="center"/>
          </w:tcPr>
          <w:p w14:paraId="3532E714">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成立时间</w:t>
            </w:r>
          </w:p>
        </w:tc>
        <w:tc>
          <w:tcPr>
            <w:tcW w:w="2586" w:type="dxa"/>
            <w:gridSpan w:val="2"/>
            <w:tcBorders>
              <w:top w:val="single" w:color="000000" w:sz="4" w:space="0"/>
              <w:left w:val="single" w:color="000000" w:sz="4" w:space="0"/>
              <w:bottom w:val="single" w:color="000000" w:sz="4" w:space="0"/>
              <w:right w:val="single" w:color="000000" w:sz="4" w:space="0"/>
            </w:tcBorders>
            <w:noWrap w:val="0"/>
            <w:vAlign w:val="center"/>
          </w:tcPr>
          <w:p w14:paraId="0EE6ED2A">
            <w:pPr>
              <w:pStyle w:val="42"/>
              <w:widowControl/>
              <w:wordWrap w:val="0"/>
              <w:jc w:val="center"/>
              <w:rPr>
                <w:rFonts w:hint="eastAsia" w:ascii="宋体" w:hAnsi="宋体" w:eastAsia="宋体" w:cs="宋体"/>
                <w:color w:val="auto"/>
                <w:kern w:val="0"/>
                <w:sz w:val="24"/>
                <w:szCs w:val="24"/>
                <w:highlight w:val="none"/>
                <w:lang w:val="en-US"/>
              </w:rPr>
            </w:pPr>
          </w:p>
        </w:tc>
        <w:tc>
          <w:tcPr>
            <w:tcW w:w="4434" w:type="dxa"/>
            <w:gridSpan w:val="6"/>
            <w:tcBorders>
              <w:top w:val="single" w:color="000000" w:sz="4" w:space="0"/>
              <w:left w:val="single" w:color="000000" w:sz="4" w:space="0"/>
              <w:bottom w:val="single" w:color="000000" w:sz="4" w:space="0"/>
              <w:right w:val="single" w:color="000000" w:sz="4" w:space="0"/>
            </w:tcBorders>
            <w:noWrap w:val="0"/>
            <w:vAlign w:val="center"/>
          </w:tcPr>
          <w:p w14:paraId="2024A291">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员工总人数（个）：</w:t>
            </w:r>
          </w:p>
        </w:tc>
      </w:tr>
      <w:tr w14:paraId="7B4D1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2034" w:type="dxa"/>
            <w:tcBorders>
              <w:top w:val="single" w:color="000000" w:sz="4" w:space="0"/>
              <w:left w:val="single" w:color="000000" w:sz="4" w:space="0"/>
              <w:bottom w:val="single" w:color="000000" w:sz="4" w:space="0"/>
              <w:right w:val="single" w:color="000000" w:sz="4" w:space="0"/>
            </w:tcBorders>
            <w:noWrap w:val="0"/>
            <w:vAlign w:val="center"/>
          </w:tcPr>
          <w:p w14:paraId="2830E013">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企业资质</w:t>
            </w:r>
          </w:p>
          <w:p w14:paraId="42F1C5A0">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类型和等级</w:t>
            </w:r>
          </w:p>
        </w:tc>
        <w:tc>
          <w:tcPr>
            <w:tcW w:w="2586" w:type="dxa"/>
            <w:gridSpan w:val="2"/>
            <w:tcBorders>
              <w:top w:val="single" w:color="000000" w:sz="4" w:space="0"/>
              <w:left w:val="single" w:color="000000" w:sz="4" w:space="0"/>
              <w:bottom w:val="single" w:color="000000" w:sz="4" w:space="0"/>
              <w:right w:val="single" w:color="000000" w:sz="4" w:space="0"/>
            </w:tcBorders>
            <w:noWrap w:val="0"/>
            <w:vAlign w:val="center"/>
          </w:tcPr>
          <w:p w14:paraId="65D5BAB8">
            <w:pPr>
              <w:pStyle w:val="42"/>
              <w:widowControl/>
              <w:wordWrap w:val="0"/>
              <w:jc w:val="center"/>
              <w:rPr>
                <w:rFonts w:hint="eastAsia" w:ascii="宋体" w:hAnsi="宋体" w:eastAsia="宋体" w:cs="宋体"/>
                <w:color w:val="auto"/>
                <w:kern w:val="0"/>
                <w:sz w:val="24"/>
                <w:szCs w:val="24"/>
                <w:highlight w:val="none"/>
                <w:lang w:val="en-US"/>
              </w:rPr>
            </w:pPr>
          </w:p>
        </w:tc>
        <w:tc>
          <w:tcPr>
            <w:tcW w:w="1217" w:type="dxa"/>
            <w:gridSpan w:val="2"/>
            <w:vMerge w:val="restart"/>
            <w:tcBorders>
              <w:top w:val="nil"/>
              <w:left w:val="single" w:color="000000" w:sz="4" w:space="0"/>
              <w:bottom w:val="single" w:color="000000" w:sz="4" w:space="0"/>
              <w:right w:val="single" w:color="000000" w:sz="4" w:space="0"/>
            </w:tcBorders>
            <w:noWrap w:val="0"/>
            <w:vAlign w:val="center"/>
          </w:tcPr>
          <w:p w14:paraId="022C4BA9">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其中</w:t>
            </w:r>
          </w:p>
        </w:tc>
        <w:tc>
          <w:tcPr>
            <w:tcW w:w="1801" w:type="dxa"/>
            <w:gridSpan w:val="3"/>
            <w:tcBorders>
              <w:top w:val="single" w:color="000000" w:sz="4" w:space="0"/>
              <w:left w:val="single" w:color="000000" w:sz="4" w:space="0"/>
              <w:bottom w:val="single" w:color="000000" w:sz="4" w:space="0"/>
              <w:right w:val="single" w:color="000000" w:sz="4" w:space="0"/>
            </w:tcBorders>
            <w:noWrap w:val="0"/>
            <w:vAlign w:val="center"/>
          </w:tcPr>
          <w:p w14:paraId="454B26CB">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项目经理</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148BA691">
            <w:pPr>
              <w:pStyle w:val="42"/>
              <w:widowControl/>
              <w:wordWrap w:val="0"/>
              <w:jc w:val="center"/>
              <w:rPr>
                <w:rFonts w:hint="eastAsia" w:ascii="宋体" w:hAnsi="宋体" w:eastAsia="宋体" w:cs="宋体"/>
                <w:color w:val="auto"/>
                <w:kern w:val="0"/>
                <w:sz w:val="24"/>
                <w:szCs w:val="24"/>
                <w:highlight w:val="none"/>
                <w:lang w:val="en-US"/>
              </w:rPr>
            </w:pPr>
          </w:p>
        </w:tc>
      </w:tr>
      <w:tr w14:paraId="4E0CC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034" w:type="dxa"/>
            <w:tcBorders>
              <w:top w:val="single" w:color="000000" w:sz="4" w:space="0"/>
              <w:left w:val="single" w:color="000000" w:sz="4" w:space="0"/>
              <w:bottom w:val="single" w:color="000000" w:sz="4" w:space="0"/>
              <w:right w:val="single" w:color="000000" w:sz="4" w:space="0"/>
            </w:tcBorders>
            <w:noWrap w:val="0"/>
            <w:vAlign w:val="center"/>
          </w:tcPr>
          <w:p w14:paraId="09768680">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营业执照号</w:t>
            </w:r>
          </w:p>
        </w:tc>
        <w:tc>
          <w:tcPr>
            <w:tcW w:w="2586" w:type="dxa"/>
            <w:gridSpan w:val="2"/>
            <w:tcBorders>
              <w:top w:val="single" w:color="000000" w:sz="4" w:space="0"/>
              <w:left w:val="single" w:color="000000" w:sz="4" w:space="0"/>
              <w:bottom w:val="single" w:color="000000" w:sz="4" w:space="0"/>
              <w:right w:val="single" w:color="000000" w:sz="4" w:space="0"/>
            </w:tcBorders>
            <w:noWrap w:val="0"/>
            <w:vAlign w:val="center"/>
          </w:tcPr>
          <w:p w14:paraId="7DC16090">
            <w:pPr>
              <w:pStyle w:val="42"/>
              <w:widowControl/>
              <w:wordWrap w:val="0"/>
              <w:jc w:val="center"/>
              <w:rPr>
                <w:rFonts w:hint="eastAsia" w:ascii="宋体" w:hAnsi="宋体" w:eastAsia="宋体" w:cs="宋体"/>
                <w:color w:val="auto"/>
                <w:kern w:val="0"/>
                <w:sz w:val="24"/>
                <w:szCs w:val="24"/>
                <w:highlight w:val="none"/>
                <w:lang w:val="en-US"/>
              </w:rPr>
            </w:pPr>
          </w:p>
        </w:tc>
        <w:tc>
          <w:tcPr>
            <w:tcW w:w="1217" w:type="dxa"/>
            <w:gridSpan w:val="2"/>
            <w:vMerge w:val="continue"/>
            <w:tcBorders>
              <w:top w:val="nil"/>
              <w:left w:val="single" w:color="000000" w:sz="4" w:space="0"/>
              <w:bottom w:val="single" w:color="000000" w:sz="4" w:space="0"/>
              <w:right w:val="single" w:color="000000" w:sz="4" w:space="0"/>
            </w:tcBorders>
            <w:noWrap w:val="0"/>
            <w:vAlign w:val="center"/>
          </w:tcPr>
          <w:p w14:paraId="6FF3E57D">
            <w:pPr>
              <w:rPr>
                <w:rFonts w:hint="eastAsia" w:ascii="宋体" w:hAnsi="宋体" w:eastAsia="宋体" w:cs="宋体"/>
                <w:color w:val="auto"/>
                <w:sz w:val="24"/>
                <w:szCs w:val="24"/>
                <w:highlight w:val="none"/>
              </w:rPr>
            </w:pPr>
          </w:p>
        </w:tc>
        <w:tc>
          <w:tcPr>
            <w:tcW w:w="1801" w:type="dxa"/>
            <w:gridSpan w:val="3"/>
            <w:tcBorders>
              <w:top w:val="single" w:color="000000" w:sz="4" w:space="0"/>
              <w:left w:val="single" w:color="000000" w:sz="4" w:space="0"/>
              <w:bottom w:val="single" w:color="000000" w:sz="4" w:space="0"/>
              <w:right w:val="single" w:color="000000" w:sz="4" w:space="0"/>
            </w:tcBorders>
            <w:noWrap w:val="0"/>
            <w:vAlign w:val="center"/>
          </w:tcPr>
          <w:p w14:paraId="38F17E72">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高级职称人员</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0D7BAE08">
            <w:pPr>
              <w:pStyle w:val="42"/>
              <w:widowControl/>
              <w:wordWrap w:val="0"/>
              <w:jc w:val="center"/>
              <w:rPr>
                <w:rFonts w:hint="eastAsia" w:ascii="宋体" w:hAnsi="宋体" w:eastAsia="宋体" w:cs="宋体"/>
                <w:color w:val="auto"/>
                <w:kern w:val="0"/>
                <w:sz w:val="24"/>
                <w:szCs w:val="24"/>
                <w:highlight w:val="none"/>
                <w:lang w:val="en-US"/>
              </w:rPr>
            </w:pPr>
          </w:p>
        </w:tc>
      </w:tr>
      <w:tr w14:paraId="6C4E7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034" w:type="dxa"/>
            <w:tcBorders>
              <w:top w:val="single" w:color="000000" w:sz="4" w:space="0"/>
              <w:left w:val="single" w:color="000000" w:sz="4" w:space="0"/>
              <w:bottom w:val="single" w:color="000000" w:sz="4" w:space="0"/>
              <w:right w:val="single" w:color="000000" w:sz="4" w:space="0"/>
            </w:tcBorders>
            <w:noWrap w:val="0"/>
            <w:vAlign w:val="center"/>
          </w:tcPr>
          <w:p w14:paraId="1C0ABDD0">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注册资金</w:t>
            </w:r>
          </w:p>
        </w:tc>
        <w:tc>
          <w:tcPr>
            <w:tcW w:w="2586" w:type="dxa"/>
            <w:gridSpan w:val="2"/>
            <w:tcBorders>
              <w:top w:val="single" w:color="000000" w:sz="4" w:space="0"/>
              <w:left w:val="single" w:color="000000" w:sz="4" w:space="0"/>
              <w:bottom w:val="single" w:color="000000" w:sz="4" w:space="0"/>
              <w:right w:val="single" w:color="000000" w:sz="4" w:space="0"/>
            </w:tcBorders>
            <w:noWrap w:val="0"/>
            <w:vAlign w:val="center"/>
          </w:tcPr>
          <w:p w14:paraId="2432E4F8">
            <w:pPr>
              <w:pStyle w:val="42"/>
              <w:widowControl/>
              <w:wordWrap w:val="0"/>
              <w:jc w:val="center"/>
              <w:rPr>
                <w:rFonts w:hint="eastAsia" w:ascii="宋体" w:hAnsi="宋体" w:eastAsia="宋体" w:cs="宋体"/>
                <w:color w:val="auto"/>
                <w:kern w:val="0"/>
                <w:sz w:val="24"/>
                <w:szCs w:val="24"/>
                <w:highlight w:val="none"/>
                <w:lang w:val="en-US"/>
              </w:rPr>
            </w:pPr>
          </w:p>
        </w:tc>
        <w:tc>
          <w:tcPr>
            <w:tcW w:w="1217" w:type="dxa"/>
            <w:gridSpan w:val="2"/>
            <w:vMerge w:val="continue"/>
            <w:tcBorders>
              <w:top w:val="nil"/>
              <w:left w:val="single" w:color="000000" w:sz="4" w:space="0"/>
              <w:bottom w:val="single" w:color="000000" w:sz="4" w:space="0"/>
              <w:right w:val="single" w:color="000000" w:sz="4" w:space="0"/>
            </w:tcBorders>
            <w:noWrap w:val="0"/>
            <w:vAlign w:val="center"/>
          </w:tcPr>
          <w:p w14:paraId="44726B4C">
            <w:pPr>
              <w:rPr>
                <w:rFonts w:hint="eastAsia" w:ascii="宋体" w:hAnsi="宋体" w:eastAsia="宋体" w:cs="宋体"/>
                <w:color w:val="auto"/>
                <w:sz w:val="24"/>
                <w:szCs w:val="24"/>
                <w:highlight w:val="none"/>
              </w:rPr>
            </w:pPr>
          </w:p>
        </w:tc>
        <w:tc>
          <w:tcPr>
            <w:tcW w:w="1801" w:type="dxa"/>
            <w:gridSpan w:val="3"/>
            <w:tcBorders>
              <w:top w:val="single" w:color="000000" w:sz="4" w:space="0"/>
              <w:left w:val="single" w:color="000000" w:sz="4" w:space="0"/>
              <w:bottom w:val="single" w:color="000000" w:sz="4" w:space="0"/>
              <w:right w:val="single" w:color="000000" w:sz="4" w:space="0"/>
            </w:tcBorders>
            <w:noWrap w:val="0"/>
            <w:vAlign w:val="center"/>
          </w:tcPr>
          <w:p w14:paraId="6548771C">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中级职称人员</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2285B228">
            <w:pPr>
              <w:pStyle w:val="42"/>
              <w:widowControl/>
              <w:wordWrap w:val="0"/>
              <w:jc w:val="center"/>
              <w:rPr>
                <w:rFonts w:hint="eastAsia" w:ascii="宋体" w:hAnsi="宋体" w:eastAsia="宋体" w:cs="宋体"/>
                <w:color w:val="auto"/>
                <w:kern w:val="0"/>
                <w:sz w:val="24"/>
                <w:szCs w:val="24"/>
                <w:highlight w:val="none"/>
                <w:lang w:val="en-US"/>
              </w:rPr>
            </w:pPr>
          </w:p>
        </w:tc>
      </w:tr>
      <w:tr w14:paraId="6FC5F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2034" w:type="dxa"/>
            <w:tcBorders>
              <w:top w:val="single" w:color="000000" w:sz="4" w:space="0"/>
              <w:left w:val="single" w:color="000000" w:sz="4" w:space="0"/>
              <w:bottom w:val="single" w:color="000000" w:sz="4" w:space="0"/>
              <w:right w:val="single" w:color="000000" w:sz="4" w:space="0"/>
            </w:tcBorders>
            <w:noWrap w:val="0"/>
            <w:vAlign w:val="center"/>
          </w:tcPr>
          <w:p w14:paraId="7CEC645F">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基本账户</w:t>
            </w:r>
          </w:p>
          <w:p w14:paraId="04EE8BDE">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开户银行</w:t>
            </w:r>
          </w:p>
        </w:tc>
        <w:tc>
          <w:tcPr>
            <w:tcW w:w="2586" w:type="dxa"/>
            <w:gridSpan w:val="2"/>
            <w:tcBorders>
              <w:top w:val="single" w:color="000000" w:sz="4" w:space="0"/>
              <w:left w:val="single" w:color="000000" w:sz="4" w:space="0"/>
              <w:bottom w:val="single" w:color="000000" w:sz="4" w:space="0"/>
              <w:right w:val="single" w:color="000000" w:sz="4" w:space="0"/>
            </w:tcBorders>
            <w:noWrap w:val="0"/>
            <w:vAlign w:val="center"/>
          </w:tcPr>
          <w:p w14:paraId="311150DE">
            <w:pPr>
              <w:pStyle w:val="42"/>
              <w:widowControl/>
              <w:wordWrap w:val="0"/>
              <w:jc w:val="center"/>
              <w:rPr>
                <w:rFonts w:hint="eastAsia" w:ascii="宋体" w:hAnsi="宋体" w:eastAsia="宋体" w:cs="宋体"/>
                <w:color w:val="auto"/>
                <w:kern w:val="0"/>
                <w:sz w:val="24"/>
                <w:szCs w:val="24"/>
                <w:highlight w:val="none"/>
                <w:lang w:val="en-US"/>
              </w:rPr>
            </w:pPr>
          </w:p>
        </w:tc>
        <w:tc>
          <w:tcPr>
            <w:tcW w:w="1217" w:type="dxa"/>
            <w:gridSpan w:val="2"/>
            <w:vMerge w:val="continue"/>
            <w:tcBorders>
              <w:top w:val="nil"/>
              <w:left w:val="single" w:color="000000" w:sz="4" w:space="0"/>
              <w:bottom w:val="single" w:color="000000" w:sz="4" w:space="0"/>
              <w:right w:val="single" w:color="000000" w:sz="4" w:space="0"/>
            </w:tcBorders>
            <w:noWrap w:val="0"/>
            <w:vAlign w:val="center"/>
          </w:tcPr>
          <w:p w14:paraId="2BD3042B">
            <w:pPr>
              <w:rPr>
                <w:rFonts w:hint="eastAsia" w:ascii="宋体" w:hAnsi="宋体" w:eastAsia="宋体" w:cs="宋体"/>
                <w:color w:val="auto"/>
                <w:sz w:val="24"/>
                <w:szCs w:val="24"/>
                <w:highlight w:val="none"/>
              </w:rPr>
            </w:pPr>
          </w:p>
        </w:tc>
        <w:tc>
          <w:tcPr>
            <w:tcW w:w="1801" w:type="dxa"/>
            <w:gridSpan w:val="3"/>
            <w:tcBorders>
              <w:top w:val="single" w:color="000000" w:sz="4" w:space="0"/>
              <w:left w:val="single" w:color="000000" w:sz="4" w:space="0"/>
              <w:bottom w:val="single" w:color="000000" w:sz="4" w:space="0"/>
              <w:right w:val="single" w:color="000000" w:sz="4" w:space="0"/>
            </w:tcBorders>
            <w:noWrap w:val="0"/>
            <w:vAlign w:val="center"/>
          </w:tcPr>
          <w:p w14:paraId="3FAD1E4C">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初级职称人员</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3362D70B">
            <w:pPr>
              <w:pStyle w:val="42"/>
              <w:widowControl/>
              <w:wordWrap w:val="0"/>
              <w:jc w:val="center"/>
              <w:rPr>
                <w:rFonts w:hint="eastAsia" w:ascii="宋体" w:hAnsi="宋体" w:eastAsia="宋体" w:cs="宋体"/>
                <w:color w:val="auto"/>
                <w:kern w:val="0"/>
                <w:sz w:val="24"/>
                <w:szCs w:val="24"/>
                <w:highlight w:val="none"/>
                <w:lang w:val="en-US"/>
              </w:rPr>
            </w:pPr>
          </w:p>
        </w:tc>
      </w:tr>
      <w:tr w14:paraId="37A32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atLeast"/>
          <w:jc w:val="center"/>
        </w:trPr>
        <w:tc>
          <w:tcPr>
            <w:tcW w:w="2034" w:type="dxa"/>
            <w:tcBorders>
              <w:top w:val="single" w:color="000000" w:sz="4" w:space="0"/>
              <w:left w:val="single" w:color="000000" w:sz="4" w:space="0"/>
              <w:bottom w:val="single" w:color="000000" w:sz="4" w:space="0"/>
              <w:right w:val="single" w:color="000000" w:sz="4" w:space="0"/>
            </w:tcBorders>
            <w:noWrap w:val="0"/>
            <w:vAlign w:val="center"/>
          </w:tcPr>
          <w:p w14:paraId="6E37AD3F">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基本账户</w:t>
            </w:r>
          </w:p>
          <w:p w14:paraId="0E15C867">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银行账号</w:t>
            </w:r>
          </w:p>
        </w:tc>
        <w:tc>
          <w:tcPr>
            <w:tcW w:w="2586" w:type="dxa"/>
            <w:gridSpan w:val="2"/>
            <w:tcBorders>
              <w:top w:val="single" w:color="000000" w:sz="4" w:space="0"/>
              <w:left w:val="single" w:color="000000" w:sz="4" w:space="0"/>
              <w:bottom w:val="single" w:color="000000" w:sz="4" w:space="0"/>
              <w:right w:val="single" w:color="000000" w:sz="4" w:space="0"/>
            </w:tcBorders>
            <w:noWrap w:val="0"/>
            <w:vAlign w:val="center"/>
          </w:tcPr>
          <w:p w14:paraId="184D07FF">
            <w:pPr>
              <w:pStyle w:val="42"/>
              <w:widowControl/>
              <w:wordWrap w:val="0"/>
              <w:jc w:val="center"/>
              <w:rPr>
                <w:rFonts w:hint="eastAsia" w:ascii="宋体" w:hAnsi="宋体" w:eastAsia="宋体" w:cs="宋体"/>
                <w:color w:val="auto"/>
                <w:kern w:val="0"/>
                <w:sz w:val="24"/>
                <w:szCs w:val="24"/>
                <w:highlight w:val="none"/>
                <w:lang w:val="en-US"/>
              </w:rPr>
            </w:pPr>
          </w:p>
        </w:tc>
        <w:tc>
          <w:tcPr>
            <w:tcW w:w="1217" w:type="dxa"/>
            <w:gridSpan w:val="2"/>
            <w:vMerge w:val="continue"/>
            <w:tcBorders>
              <w:top w:val="nil"/>
              <w:left w:val="single" w:color="000000" w:sz="4" w:space="0"/>
              <w:bottom w:val="single" w:color="000000" w:sz="4" w:space="0"/>
              <w:right w:val="single" w:color="000000" w:sz="4" w:space="0"/>
            </w:tcBorders>
            <w:noWrap w:val="0"/>
            <w:vAlign w:val="center"/>
          </w:tcPr>
          <w:p w14:paraId="40DDC1A0">
            <w:pPr>
              <w:rPr>
                <w:rFonts w:hint="eastAsia" w:ascii="宋体" w:hAnsi="宋体" w:eastAsia="宋体" w:cs="宋体"/>
                <w:color w:val="auto"/>
                <w:sz w:val="24"/>
                <w:szCs w:val="24"/>
                <w:highlight w:val="none"/>
              </w:rPr>
            </w:pPr>
          </w:p>
        </w:tc>
        <w:tc>
          <w:tcPr>
            <w:tcW w:w="1801" w:type="dxa"/>
            <w:gridSpan w:val="3"/>
            <w:tcBorders>
              <w:top w:val="single" w:color="000000" w:sz="4" w:space="0"/>
              <w:left w:val="single" w:color="000000" w:sz="4" w:space="0"/>
              <w:bottom w:val="single" w:color="000000" w:sz="4" w:space="0"/>
              <w:right w:val="single" w:color="000000" w:sz="4" w:space="0"/>
            </w:tcBorders>
            <w:noWrap w:val="0"/>
            <w:vAlign w:val="center"/>
          </w:tcPr>
          <w:p w14:paraId="3F9FFC4A">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技术员</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66367298">
            <w:pPr>
              <w:pStyle w:val="42"/>
              <w:widowControl/>
              <w:wordWrap w:val="0"/>
              <w:jc w:val="center"/>
              <w:rPr>
                <w:rFonts w:hint="eastAsia" w:ascii="宋体" w:hAnsi="宋体" w:eastAsia="宋体" w:cs="宋体"/>
                <w:color w:val="auto"/>
                <w:kern w:val="0"/>
                <w:sz w:val="24"/>
                <w:szCs w:val="24"/>
                <w:highlight w:val="none"/>
                <w:lang w:val="en-US"/>
              </w:rPr>
            </w:pPr>
          </w:p>
        </w:tc>
      </w:tr>
      <w:tr w14:paraId="1102F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jc w:val="center"/>
        </w:trPr>
        <w:tc>
          <w:tcPr>
            <w:tcW w:w="2034" w:type="dxa"/>
            <w:tcBorders>
              <w:top w:val="single" w:color="000000" w:sz="4" w:space="0"/>
              <w:left w:val="single" w:color="000000" w:sz="4" w:space="0"/>
              <w:bottom w:val="single" w:color="000000" w:sz="4" w:space="0"/>
              <w:right w:val="single" w:color="000000" w:sz="4" w:space="0"/>
            </w:tcBorders>
            <w:noWrap w:val="0"/>
            <w:vAlign w:val="center"/>
          </w:tcPr>
          <w:p w14:paraId="6A2E8288">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经营范围</w:t>
            </w:r>
          </w:p>
        </w:tc>
        <w:tc>
          <w:tcPr>
            <w:tcW w:w="7020" w:type="dxa"/>
            <w:gridSpan w:val="8"/>
            <w:tcBorders>
              <w:top w:val="single" w:color="000000" w:sz="4" w:space="0"/>
              <w:left w:val="single" w:color="000000" w:sz="4" w:space="0"/>
              <w:bottom w:val="single" w:color="000000" w:sz="4" w:space="0"/>
              <w:right w:val="single" w:color="000000" w:sz="4" w:space="0"/>
            </w:tcBorders>
            <w:noWrap w:val="0"/>
            <w:vAlign w:val="center"/>
          </w:tcPr>
          <w:p w14:paraId="7834FD61">
            <w:pPr>
              <w:pStyle w:val="42"/>
              <w:widowControl/>
              <w:wordWrap w:val="0"/>
              <w:jc w:val="left"/>
              <w:rPr>
                <w:rFonts w:hint="eastAsia" w:ascii="宋体" w:hAnsi="宋体" w:eastAsia="宋体" w:cs="宋体"/>
                <w:color w:val="auto"/>
                <w:kern w:val="0"/>
                <w:sz w:val="24"/>
                <w:szCs w:val="24"/>
                <w:highlight w:val="none"/>
                <w:lang w:val="en-US"/>
              </w:rPr>
            </w:pPr>
          </w:p>
        </w:tc>
      </w:tr>
      <w:tr w14:paraId="6B61A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0" w:hRule="atLeast"/>
          <w:jc w:val="center"/>
        </w:trPr>
        <w:tc>
          <w:tcPr>
            <w:tcW w:w="2034" w:type="dxa"/>
            <w:tcBorders>
              <w:top w:val="single" w:color="000000" w:sz="4" w:space="0"/>
              <w:left w:val="single" w:color="000000" w:sz="4" w:space="0"/>
              <w:bottom w:val="single" w:color="000000" w:sz="4" w:space="0"/>
              <w:right w:val="single" w:color="000000" w:sz="4" w:space="0"/>
            </w:tcBorders>
            <w:noWrap w:val="0"/>
            <w:vAlign w:val="center"/>
          </w:tcPr>
          <w:p w14:paraId="0B0EF196">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关联企业情况</w:t>
            </w:r>
          </w:p>
        </w:tc>
        <w:tc>
          <w:tcPr>
            <w:tcW w:w="7020" w:type="dxa"/>
            <w:gridSpan w:val="8"/>
            <w:tcBorders>
              <w:top w:val="single" w:color="000000" w:sz="4" w:space="0"/>
              <w:left w:val="single" w:color="000000" w:sz="4" w:space="0"/>
              <w:bottom w:val="single" w:color="000000" w:sz="4" w:space="0"/>
              <w:right w:val="single" w:color="000000" w:sz="4" w:space="0"/>
            </w:tcBorders>
            <w:noWrap w:val="0"/>
            <w:vAlign w:val="center"/>
          </w:tcPr>
          <w:p w14:paraId="5F16FFA9">
            <w:pPr>
              <w:pStyle w:val="42"/>
              <w:widowControl/>
              <w:wordWrap w:val="0"/>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包括但不限于与投标人存在以下关系的不同单位：</w:t>
            </w:r>
          </w:p>
          <w:p w14:paraId="5129B660">
            <w:pPr>
              <w:pStyle w:val="42"/>
              <w:widowControl/>
              <w:wordWrap w:val="0"/>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rPr>
              <w:t>1</w:t>
            </w:r>
            <w:r>
              <w:rPr>
                <w:rFonts w:hint="eastAsia" w:ascii="宋体" w:hAnsi="宋体" w:eastAsia="宋体" w:cs="宋体"/>
                <w:color w:val="auto"/>
                <w:kern w:val="0"/>
                <w:sz w:val="24"/>
                <w:szCs w:val="24"/>
                <w:highlight w:val="none"/>
              </w:rPr>
              <w:t>．法定代表人为同一人的。</w:t>
            </w:r>
          </w:p>
          <w:p w14:paraId="576061E8">
            <w:pPr>
              <w:pStyle w:val="42"/>
              <w:widowControl/>
              <w:wordWrap w:val="0"/>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rPr>
              <w:t>2</w:t>
            </w:r>
            <w:r>
              <w:rPr>
                <w:rFonts w:hint="eastAsia" w:ascii="宋体" w:hAnsi="宋体" w:eastAsia="宋体" w:cs="宋体"/>
                <w:color w:val="auto"/>
                <w:kern w:val="0"/>
                <w:sz w:val="24"/>
                <w:szCs w:val="24"/>
                <w:highlight w:val="none"/>
              </w:rPr>
              <w:t>．存在控股、管理关系的。</w:t>
            </w:r>
          </w:p>
          <w:p w14:paraId="01015F45">
            <w:pPr>
              <w:pStyle w:val="42"/>
              <w:widowControl/>
              <w:wordWrap w:val="0"/>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rPr>
              <w:t>3</w:t>
            </w:r>
            <w:r>
              <w:rPr>
                <w:rFonts w:hint="eastAsia" w:ascii="宋体" w:hAnsi="宋体" w:eastAsia="宋体" w:cs="宋体"/>
                <w:color w:val="auto"/>
                <w:kern w:val="0"/>
                <w:sz w:val="24"/>
                <w:szCs w:val="24"/>
                <w:highlight w:val="none"/>
              </w:rPr>
              <w:t>．主要人员相互任职的。</w:t>
            </w:r>
          </w:p>
        </w:tc>
      </w:tr>
      <w:tr w14:paraId="02C10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4" w:hRule="atLeast"/>
          <w:jc w:val="center"/>
        </w:trPr>
        <w:tc>
          <w:tcPr>
            <w:tcW w:w="2034" w:type="dxa"/>
            <w:tcBorders>
              <w:top w:val="single" w:color="000000" w:sz="4" w:space="0"/>
              <w:left w:val="single" w:color="000000" w:sz="4" w:space="0"/>
              <w:bottom w:val="single" w:color="000000" w:sz="4" w:space="0"/>
              <w:right w:val="single" w:color="000000" w:sz="4" w:space="0"/>
            </w:tcBorders>
            <w:noWrap w:val="0"/>
            <w:vAlign w:val="center"/>
          </w:tcPr>
          <w:p w14:paraId="300FB50C">
            <w:pPr>
              <w:pStyle w:val="42"/>
              <w:widowControl/>
              <w:wordWrap w:val="0"/>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备注</w:t>
            </w:r>
          </w:p>
        </w:tc>
        <w:tc>
          <w:tcPr>
            <w:tcW w:w="7020" w:type="dxa"/>
            <w:gridSpan w:val="8"/>
            <w:tcBorders>
              <w:top w:val="single" w:color="000000" w:sz="4" w:space="0"/>
              <w:left w:val="single" w:color="000000" w:sz="4" w:space="0"/>
              <w:bottom w:val="single" w:color="000000" w:sz="4" w:space="0"/>
              <w:right w:val="single" w:color="000000" w:sz="4" w:space="0"/>
            </w:tcBorders>
            <w:noWrap w:val="0"/>
            <w:vAlign w:val="center"/>
          </w:tcPr>
          <w:p w14:paraId="30CDEEAF">
            <w:pPr>
              <w:pStyle w:val="42"/>
              <w:widowControl/>
              <w:wordWrap w:val="0"/>
              <w:jc w:val="center"/>
              <w:rPr>
                <w:rFonts w:hint="eastAsia" w:ascii="宋体" w:hAnsi="宋体" w:eastAsia="宋体" w:cs="宋体"/>
                <w:color w:val="auto"/>
                <w:kern w:val="0"/>
                <w:sz w:val="24"/>
                <w:szCs w:val="24"/>
                <w:highlight w:val="none"/>
                <w:lang w:val="en-US"/>
              </w:rPr>
            </w:pPr>
          </w:p>
        </w:tc>
      </w:tr>
    </w:tbl>
    <w:p w14:paraId="544C641D">
      <w:pPr>
        <w:pStyle w:val="42"/>
        <w:keepNext w:val="0"/>
        <w:keepLines w:val="0"/>
        <w:pageBreakBefore w:val="0"/>
        <w:widowControl w:val="0"/>
        <w:kinsoku/>
        <w:wordWrap w:val="0"/>
        <w:overflowPunct/>
        <w:topLinePunct w:val="0"/>
        <w:autoSpaceDE/>
        <w:autoSpaceDN/>
        <w:bidi w:val="0"/>
        <w:adjustRightInd/>
        <w:snapToGrid/>
        <w:spacing w:line="240" w:lineRule="auto"/>
        <w:ind w:left="0" w:firstLine="420" w:firstLineChars="200"/>
        <w:textAlignment w:val="auto"/>
        <w:rPr>
          <w:rFonts w:hint="eastAsia" w:ascii="宋体" w:hAnsi="宋体" w:eastAsia="宋体" w:cs="宋体"/>
          <w:color w:val="auto"/>
          <w:kern w:val="0"/>
          <w:highlight w:val="none"/>
          <w:lang w:val="en-US"/>
        </w:rPr>
      </w:pPr>
      <w:r>
        <w:rPr>
          <w:rFonts w:hint="eastAsia" w:ascii="宋体" w:hAnsi="宋体" w:eastAsia="宋体" w:cs="宋体"/>
          <w:color w:val="auto"/>
          <w:kern w:val="0"/>
          <w:highlight w:val="none"/>
          <w:lang w:eastAsia="zh-CN"/>
        </w:rPr>
        <w:t>说明：</w:t>
      </w:r>
    </w:p>
    <w:p w14:paraId="54F408E6">
      <w:pPr>
        <w:pStyle w:val="42"/>
        <w:keepNext w:val="0"/>
        <w:keepLines w:val="0"/>
        <w:pageBreakBefore w:val="0"/>
        <w:widowControl w:val="0"/>
        <w:kinsoku/>
        <w:wordWrap w:val="0"/>
        <w:overflowPunct/>
        <w:topLinePunct w:val="0"/>
        <w:autoSpaceDE/>
        <w:autoSpaceDN/>
        <w:bidi w:val="0"/>
        <w:adjustRightInd/>
        <w:snapToGrid/>
        <w:spacing w:line="240" w:lineRule="auto"/>
        <w:ind w:left="0" w:firstLine="420" w:firstLineChars="200"/>
        <w:textAlignment w:val="auto"/>
        <w:rPr>
          <w:rFonts w:hint="eastAsia" w:ascii="宋体" w:hAnsi="宋体" w:eastAsia="宋体" w:cs="宋体"/>
          <w:color w:val="auto"/>
          <w:kern w:val="0"/>
          <w:highlight w:val="none"/>
          <w:lang w:val="en-US"/>
        </w:rPr>
      </w:pPr>
      <w:r>
        <w:rPr>
          <w:rFonts w:hint="eastAsia" w:ascii="宋体" w:hAnsi="宋体" w:eastAsia="宋体" w:cs="宋体"/>
          <w:color w:val="auto"/>
          <w:kern w:val="0"/>
          <w:highlight w:val="none"/>
          <w:lang w:val="en-US"/>
        </w:rPr>
        <w:t>1</w:t>
      </w:r>
      <w:r>
        <w:rPr>
          <w:rFonts w:hint="eastAsia" w:ascii="宋体" w:hAnsi="宋体" w:eastAsia="宋体" w:cs="宋体"/>
          <w:color w:val="auto"/>
          <w:kern w:val="0"/>
          <w:highlight w:val="none"/>
          <w:lang w:eastAsia="zh-CN"/>
        </w:rPr>
        <w:t>．《投标人基本情况表》后应附以下资料：</w:t>
      </w:r>
    </w:p>
    <w:p w14:paraId="3319B5E7">
      <w:pPr>
        <w:pStyle w:val="42"/>
        <w:keepNext w:val="0"/>
        <w:keepLines w:val="0"/>
        <w:pageBreakBefore w:val="0"/>
        <w:widowControl w:val="0"/>
        <w:kinsoku/>
        <w:wordWrap w:val="0"/>
        <w:overflowPunct/>
        <w:topLinePunct w:val="0"/>
        <w:autoSpaceDE/>
        <w:autoSpaceDN/>
        <w:bidi w:val="0"/>
        <w:adjustRightInd/>
        <w:snapToGrid/>
        <w:spacing w:line="240" w:lineRule="auto"/>
        <w:ind w:left="0" w:firstLine="420" w:firstLineChars="200"/>
        <w:textAlignment w:val="auto"/>
        <w:rPr>
          <w:rFonts w:hint="eastAsia" w:ascii="宋体" w:hAnsi="宋体" w:eastAsia="宋体" w:cs="宋体"/>
          <w:b/>
          <w:bCs/>
          <w:color w:val="auto"/>
          <w:kern w:val="0"/>
          <w:highlight w:val="none"/>
          <w:lang w:val="en-US"/>
        </w:rPr>
      </w:pPr>
      <w:r>
        <w:rPr>
          <w:rFonts w:hint="eastAsia" w:ascii="宋体" w:hAnsi="宋体" w:eastAsia="宋体" w:cs="宋体"/>
          <w:color w:val="auto"/>
          <w:kern w:val="0"/>
          <w:highlight w:val="none"/>
          <w:lang w:eastAsia="zh-CN"/>
        </w:rPr>
        <w:t>（</w:t>
      </w:r>
      <w:r>
        <w:rPr>
          <w:rFonts w:hint="eastAsia" w:ascii="宋体" w:hAnsi="宋体" w:eastAsia="宋体" w:cs="宋体"/>
          <w:color w:val="auto"/>
          <w:kern w:val="0"/>
          <w:highlight w:val="none"/>
          <w:lang w:val="en-US"/>
        </w:rPr>
        <w:t>1</w:t>
      </w:r>
      <w:r>
        <w:rPr>
          <w:rFonts w:hint="eastAsia" w:ascii="宋体" w:hAnsi="宋体" w:eastAsia="宋体" w:cs="宋体"/>
          <w:color w:val="auto"/>
          <w:kern w:val="0"/>
          <w:highlight w:val="none"/>
          <w:lang w:eastAsia="zh-CN"/>
        </w:rPr>
        <w:t>）企业营业执照、资质证书、安全生产许可证的（</w:t>
      </w:r>
      <w:r>
        <w:rPr>
          <w:rFonts w:hint="eastAsia" w:ascii="宋体" w:hAnsi="宋体" w:eastAsia="宋体" w:cs="宋体"/>
          <w:b/>
          <w:bCs/>
          <w:color w:val="auto"/>
          <w:kern w:val="0"/>
          <w:highlight w:val="none"/>
          <w:lang w:eastAsia="zh-CN"/>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企业的安全生产许可证实时网页查询路径：登录“中华人民共和国住房和城乡建设部”，进入“全国工程质量安全监管信息平台公共服务门户”版块，具体网址为：</w:t>
      </w:r>
      <w:r>
        <w:rPr>
          <w:rFonts w:hint="eastAsia" w:ascii="宋体" w:hAnsi="宋体" w:eastAsia="宋体" w:cs="宋体"/>
          <w:b/>
          <w:bCs/>
          <w:color w:val="auto"/>
          <w:kern w:val="0"/>
          <w:highlight w:val="none"/>
          <w:lang w:val="en-US"/>
        </w:rPr>
        <w:t>https://zlaq.mohurd.gov.cn</w:t>
      </w:r>
      <w:r>
        <w:rPr>
          <w:rFonts w:hint="eastAsia" w:ascii="宋体" w:hAnsi="宋体" w:eastAsia="宋体" w:cs="宋体"/>
          <w:b/>
          <w:bCs/>
          <w:color w:val="auto"/>
          <w:kern w:val="0"/>
          <w:highlight w:val="none"/>
          <w:lang w:eastAsia="zh-CN"/>
        </w:rPr>
        <w:t>，进入后点击“安全生产许可证信息”，输入企业名称和统一社会信用代码即可查询。如中标后，投标单位安全生产许可证发生被暂扣情形，需双方另行协商）；</w:t>
      </w:r>
    </w:p>
    <w:p w14:paraId="0247C9B7">
      <w:pPr>
        <w:pStyle w:val="42"/>
        <w:keepNext w:val="0"/>
        <w:keepLines w:val="0"/>
        <w:pageBreakBefore w:val="0"/>
        <w:widowControl w:val="0"/>
        <w:kinsoku/>
        <w:wordWrap w:val="0"/>
        <w:overflowPunct/>
        <w:topLinePunct w:val="0"/>
        <w:autoSpaceDE/>
        <w:autoSpaceDN/>
        <w:bidi w:val="0"/>
        <w:adjustRightInd/>
        <w:snapToGrid/>
        <w:spacing w:line="240" w:lineRule="auto"/>
        <w:ind w:left="0" w:firstLine="420" w:firstLineChars="200"/>
        <w:textAlignment w:val="auto"/>
        <w:rPr>
          <w:rFonts w:hint="eastAsia" w:ascii="宋体" w:hAnsi="宋体" w:eastAsia="宋体" w:cs="宋体"/>
          <w:color w:val="auto"/>
          <w:kern w:val="0"/>
          <w:highlight w:val="none"/>
          <w:lang w:val="en-US"/>
        </w:rPr>
      </w:pPr>
      <w:r>
        <w:rPr>
          <w:rFonts w:hint="eastAsia" w:ascii="宋体" w:hAnsi="宋体" w:eastAsia="宋体" w:cs="宋体"/>
          <w:color w:val="auto"/>
          <w:kern w:val="0"/>
          <w:highlight w:val="none"/>
          <w:lang w:eastAsia="zh-CN"/>
        </w:rPr>
        <w:t>（</w:t>
      </w:r>
      <w:r>
        <w:rPr>
          <w:rFonts w:hint="eastAsia" w:ascii="宋体" w:hAnsi="宋体" w:eastAsia="宋体" w:cs="宋体"/>
          <w:color w:val="auto"/>
          <w:kern w:val="0"/>
          <w:highlight w:val="none"/>
          <w:lang w:val="en-US"/>
        </w:rPr>
        <w:t>2</w:t>
      </w:r>
      <w:r>
        <w:rPr>
          <w:rFonts w:hint="eastAsia" w:ascii="宋体" w:hAnsi="宋体" w:eastAsia="宋体" w:cs="宋体"/>
          <w:color w:val="auto"/>
          <w:kern w:val="0"/>
          <w:highlight w:val="none"/>
          <w:lang w:eastAsia="zh-CN"/>
        </w:rPr>
        <w:t>）“进粤企业和人员诚信信息登记平台”企业信息情况打印页。（适用于省外建筑企业）</w:t>
      </w:r>
    </w:p>
    <w:p w14:paraId="55004909">
      <w:pPr>
        <w:pStyle w:val="42"/>
        <w:keepNext w:val="0"/>
        <w:keepLines w:val="0"/>
        <w:pageBreakBefore w:val="0"/>
        <w:widowControl w:val="0"/>
        <w:kinsoku/>
        <w:wordWrap w:val="0"/>
        <w:overflowPunct/>
        <w:topLinePunct w:val="0"/>
        <w:autoSpaceDE/>
        <w:autoSpaceDN/>
        <w:bidi w:val="0"/>
        <w:adjustRightInd/>
        <w:snapToGrid/>
        <w:spacing w:line="240" w:lineRule="auto"/>
        <w:ind w:left="0" w:firstLine="420" w:firstLineChars="200"/>
        <w:textAlignment w:val="auto"/>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eastAsia="zh-CN"/>
        </w:rPr>
        <w:t>（</w:t>
      </w:r>
      <w:r>
        <w:rPr>
          <w:rFonts w:hint="eastAsia" w:ascii="宋体" w:hAnsi="宋体" w:eastAsia="宋体" w:cs="宋体"/>
          <w:color w:val="auto"/>
          <w:kern w:val="0"/>
          <w:highlight w:val="none"/>
          <w:lang w:val="en-US"/>
        </w:rPr>
        <w:t>3</w:t>
      </w:r>
      <w:r>
        <w:rPr>
          <w:rFonts w:hint="eastAsia" w:ascii="宋体" w:hAnsi="宋体" w:eastAsia="宋体" w:cs="宋体"/>
          <w:color w:val="auto"/>
          <w:kern w:val="0"/>
          <w:highlight w:val="none"/>
          <w:lang w:eastAsia="zh-CN"/>
        </w:rPr>
        <w:t>）《法人和非法人组织公共信用信息报告》（在“信用中国”网站企业查询界面中下载）。</w:t>
      </w:r>
    </w:p>
    <w:p w14:paraId="3ABF5CD4">
      <w:pPr>
        <w:pStyle w:val="3"/>
        <w:bidi w:val="0"/>
        <w:ind w:left="0" w:leftChars="0" w:firstLine="0" w:firstLineChars="0"/>
        <w:rPr>
          <w:rFonts w:hint="eastAsia" w:ascii="宋体" w:hAnsi="宋体" w:eastAsia="宋体" w:cs="宋体"/>
          <w:b/>
          <w:bCs/>
          <w:color w:val="auto"/>
          <w:kern w:val="0"/>
          <w:highlight w:val="none"/>
          <w:lang w:val="en-US"/>
        </w:rPr>
      </w:pPr>
      <w:bookmarkStart w:id="66" w:name="_Toc26101"/>
      <w:bookmarkStart w:id="67" w:name="_Toc15844"/>
      <w:bookmarkStart w:id="68" w:name="_Toc2093"/>
      <w:r>
        <w:rPr>
          <w:rFonts w:hint="eastAsia" w:ascii="宋体" w:hAnsi="宋体" w:eastAsia="宋体" w:cs="宋体"/>
          <w:color w:val="auto"/>
          <w:lang w:val="en-US" w:eastAsia="zh-CN"/>
        </w:rPr>
        <w:t>格式七   项目经理简历表</w:t>
      </w:r>
      <w:bookmarkEnd w:id="66"/>
      <w:bookmarkEnd w:id="67"/>
      <w:bookmarkEnd w:id="68"/>
    </w:p>
    <w:p w14:paraId="7670EFD4">
      <w:pPr>
        <w:keepNext w:val="0"/>
        <w:keepLines w:val="0"/>
        <w:widowControl w:val="0"/>
        <w:suppressLineNumbers w:val="0"/>
        <w:wordWrap w:val="0"/>
        <w:spacing w:before="0" w:beforeAutospacing="0" w:after="0" w:afterAutospacing="0" w:line="440" w:lineRule="exact"/>
        <w:ind w:left="0" w:right="0"/>
        <w:jc w:val="center"/>
        <w:outlineLvl w:val="9"/>
        <w:rPr>
          <w:rFonts w:hint="eastAsia" w:ascii="宋体" w:hAnsi="宋体" w:eastAsia="宋体" w:cs="宋体"/>
          <w:color w:val="auto"/>
          <w:kern w:val="0"/>
          <w:highlight w:val="none"/>
          <w:lang w:val="en-US"/>
        </w:rPr>
      </w:pPr>
      <w:r>
        <w:rPr>
          <w:rFonts w:hint="eastAsia" w:ascii="宋体" w:hAnsi="宋体" w:eastAsia="宋体" w:cs="宋体"/>
          <w:b/>
          <w:bCs w:val="0"/>
          <w:color w:val="auto"/>
          <w:kern w:val="0"/>
          <w:sz w:val="30"/>
          <w:szCs w:val="30"/>
          <w:highlight w:val="none"/>
          <w:lang w:val="en-US" w:eastAsia="zh-CN" w:bidi="ar"/>
        </w:rPr>
        <w:t>项目经理简历表</w:t>
      </w:r>
    </w:p>
    <w:p w14:paraId="162B9385">
      <w:pPr>
        <w:pStyle w:val="40"/>
        <w:widowControl/>
        <w:wordWrap w:val="0"/>
        <w:spacing w:line="440" w:lineRule="exact"/>
        <w:jc w:val="right"/>
        <w:outlineLvl w:val="9"/>
        <w:rPr>
          <w:rFonts w:hint="eastAsia" w:ascii="宋体" w:hAnsi="宋体" w:eastAsia="宋体" w:cs="宋体"/>
          <w:color w:val="auto"/>
          <w:kern w:val="0"/>
          <w:highlight w:val="none"/>
          <w:lang w:val="en-US"/>
        </w:rPr>
      </w:pPr>
      <w:r>
        <w:rPr>
          <w:rFonts w:hint="eastAsia" w:ascii="宋体" w:hAnsi="宋体" w:eastAsia="宋体" w:cs="宋体"/>
          <w:color w:val="auto"/>
          <w:kern w:val="0"/>
          <w:highlight w:val="none"/>
          <w:lang w:val="en-US"/>
        </w:rPr>
        <w:t xml:space="preserve"> </w:t>
      </w:r>
    </w:p>
    <w:tbl>
      <w:tblPr>
        <w:tblStyle w:val="21"/>
        <w:tblpPr w:leftFromText="180" w:rightFromText="180" w:vertAnchor="text" w:horzAnchor="page" w:tblpX="1370" w:tblpY="17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116A7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530A5D9D">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姓   名</w:t>
            </w:r>
          </w:p>
        </w:tc>
        <w:tc>
          <w:tcPr>
            <w:tcW w:w="1232" w:type="dxa"/>
            <w:gridSpan w:val="2"/>
            <w:tcBorders>
              <w:top w:val="single" w:color="auto" w:sz="4" w:space="0"/>
              <w:left w:val="single" w:color="auto" w:sz="4" w:space="0"/>
              <w:bottom w:val="single" w:color="auto" w:sz="4" w:space="0"/>
              <w:right w:val="single" w:color="auto" w:sz="4" w:space="0"/>
            </w:tcBorders>
            <w:noWrap w:val="0"/>
            <w:vAlign w:val="center"/>
          </w:tcPr>
          <w:p w14:paraId="04DE065D">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294" w:type="dxa"/>
            <w:tcBorders>
              <w:top w:val="single" w:color="auto" w:sz="4" w:space="0"/>
              <w:left w:val="single" w:color="auto" w:sz="4" w:space="0"/>
              <w:bottom w:val="single" w:color="auto" w:sz="4" w:space="0"/>
              <w:right w:val="single" w:color="auto" w:sz="4" w:space="0"/>
            </w:tcBorders>
            <w:noWrap w:val="0"/>
            <w:vAlign w:val="center"/>
          </w:tcPr>
          <w:p w14:paraId="51D9AF00">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性  别</w:t>
            </w:r>
          </w:p>
        </w:tc>
        <w:tc>
          <w:tcPr>
            <w:tcW w:w="1946" w:type="dxa"/>
            <w:tcBorders>
              <w:top w:val="single" w:color="auto" w:sz="4" w:space="0"/>
              <w:left w:val="single" w:color="auto" w:sz="4" w:space="0"/>
              <w:bottom w:val="single" w:color="auto" w:sz="4" w:space="0"/>
              <w:right w:val="single" w:color="auto" w:sz="4" w:space="0"/>
            </w:tcBorders>
            <w:noWrap w:val="0"/>
            <w:vAlign w:val="center"/>
          </w:tcPr>
          <w:p w14:paraId="01CCFE5C">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733" w:type="dxa"/>
            <w:gridSpan w:val="2"/>
            <w:tcBorders>
              <w:top w:val="single" w:color="auto" w:sz="4" w:space="0"/>
              <w:left w:val="single" w:color="auto" w:sz="4" w:space="0"/>
              <w:bottom w:val="single" w:color="auto" w:sz="4" w:space="0"/>
              <w:right w:val="single" w:color="auto" w:sz="4" w:space="0"/>
            </w:tcBorders>
            <w:noWrap w:val="0"/>
            <w:vAlign w:val="center"/>
          </w:tcPr>
          <w:p w14:paraId="0A88D456">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年   龄</w:t>
            </w:r>
          </w:p>
        </w:tc>
        <w:tc>
          <w:tcPr>
            <w:tcW w:w="1327" w:type="dxa"/>
            <w:tcBorders>
              <w:top w:val="single" w:color="auto" w:sz="4" w:space="0"/>
              <w:left w:val="single" w:color="auto" w:sz="4" w:space="0"/>
              <w:bottom w:val="single" w:color="auto" w:sz="4" w:space="0"/>
              <w:right w:val="single" w:color="auto" w:sz="4" w:space="0"/>
            </w:tcBorders>
            <w:noWrap w:val="0"/>
            <w:vAlign w:val="center"/>
          </w:tcPr>
          <w:p w14:paraId="319A7883">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r>
      <w:tr w14:paraId="1E214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20E51B77">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职   务</w:t>
            </w:r>
          </w:p>
        </w:tc>
        <w:tc>
          <w:tcPr>
            <w:tcW w:w="1232" w:type="dxa"/>
            <w:gridSpan w:val="2"/>
            <w:tcBorders>
              <w:top w:val="single" w:color="auto" w:sz="4" w:space="0"/>
              <w:left w:val="single" w:color="auto" w:sz="4" w:space="0"/>
              <w:bottom w:val="single" w:color="auto" w:sz="4" w:space="0"/>
              <w:right w:val="single" w:color="auto" w:sz="4" w:space="0"/>
            </w:tcBorders>
            <w:noWrap w:val="0"/>
            <w:vAlign w:val="center"/>
          </w:tcPr>
          <w:p w14:paraId="2C92D7E3">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294" w:type="dxa"/>
            <w:tcBorders>
              <w:top w:val="single" w:color="auto" w:sz="4" w:space="0"/>
              <w:left w:val="single" w:color="auto" w:sz="4" w:space="0"/>
              <w:bottom w:val="single" w:color="auto" w:sz="4" w:space="0"/>
              <w:right w:val="single" w:color="auto" w:sz="4" w:space="0"/>
            </w:tcBorders>
            <w:noWrap w:val="0"/>
            <w:vAlign w:val="center"/>
          </w:tcPr>
          <w:p w14:paraId="41FFF4B6">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职  称</w:t>
            </w:r>
          </w:p>
        </w:tc>
        <w:tc>
          <w:tcPr>
            <w:tcW w:w="1946" w:type="dxa"/>
            <w:tcBorders>
              <w:top w:val="single" w:color="auto" w:sz="4" w:space="0"/>
              <w:left w:val="single" w:color="auto" w:sz="4" w:space="0"/>
              <w:bottom w:val="single" w:color="auto" w:sz="4" w:space="0"/>
              <w:right w:val="single" w:color="auto" w:sz="4" w:space="0"/>
            </w:tcBorders>
            <w:noWrap w:val="0"/>
            <w:vAlign w:val="center"/>
          </w:tcPr>
          <w:p w14:paraId="31C33C4D">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733" w:type="dxa"/>
            <w:gridSpan w:val="2"/>
            <w:tcBorders>
              <w:top w:val="single" w:color="auto" w:sz="4" w:space="0"/>
              <w:left w:val="single" w:color="auto" w:sz="4" w:space="0"/>
              <w:bottom w:val="single" w:color="auto" w:sz="4" w:space="0"/>
              <w:right w:val="single" w:color="auto" w:sz="4" w:space="0"/>
            </w:tcBorders>
            <w:noWrap w:val="0"/>
            <w:vAlign w:val="center"/>
          </w:tcPr>
          <w:p w14:paraId="1F5C678F">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学   历</w:t>
            </w:r>
          </w:p>
        </w:tc>
        <w:tc>
          <w:tcPr>
            <w:tcW w:w="1327" w:type="dxa"/>
            <w:tcBorders>
              <w:top w:val="single" w:color="auto" w:sz="4" w:space="0"/>
              <w:left w:val="single" w:color="auto" w:sz="4" w:space="0"/>
              <w:bottom w:val="single" w:color="auto" w:sz="4" w:space="0"/>
              <w:right w:val="single" w:color="auto" w:sz="4" w:space="0"/>
            </w:tcBorders>
            <w:noWrap w:val="0"/>
            <w:vAlign w:val="center"/>
          </w:tcPr>
          <w:p w14:paraId="5A50DF8B">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r>
      <w:tr w14:paraId="3A58E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5F0A1CE6">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参加工作时间</w:t>
            </w:r>
          </w:p>
        </w:tc>
        <w:tc>
          <w:tcPr>
            <w:tcW w:w="2526" w:type="dxa"/>
            <w:gridSpan w:val="3"/>
            <w:tcBorders>
              <w:top w:val="single" w:color="auto" w:sz="4" w:space="0"/>
              <w:left w:val="single" w:color="auto" w:sz="4" w:space="0"/>
              <w:bottom w:val="single" w:color="auto" w:sz="4" w:space="0"/>
              <w:right w:val="single" w:color="auto" w:sz="4" w:space="0"/>
            </w:tcBorders>
            <w:noWrap w:val="0"/>
            <w:vAlign w:val="center"/>
          </w:tcPr>
          <w:p w14:paraId="7821BEE1">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3679" w:type="dxa"/>
            <w:gridSpan w:val="3"/>
            <w:tcBorders>
              <w:top w:val="single" w:color="auto" w:sz="4" w:space="0"/>
              <w:left w:val="single" w:color="auto" w:sz="4" w:space="0"/>
              <w:bottom w:val="single" w:color="auto" w:sz="4" w:space="0"/>
              <w:right w:val="single" w:color="auto" w:sz="4" w:space="0"/>
            </w:tcBorders>
            <w:noWrap w:val="0"/>
            <w:vAlign w:val="center"/>
          </w:tcPr>
          <w:p w14:paraId="5849C3D4">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从事工程建设项目管理工作年限</w:t>
            </w:r>
          </w:p>
        </w:tc>
        <w:tc>
          <w:tcPr>
            <w:tcW w:w="1327" w:type="dxa"/>
            <w:tcBorders>
              <w:top w:val="single" w:color="auto" w:sz="4" w:space="0"/>
              <w:left w:val="single" w:color="auto" w:sz="4" w:space="0"/>
              <w:bottom w:val="single" w:color="auto" w:sz="4" w:space="0"/>
              <w:right w:val="single" w:color="auto" w:sz="4" w:space="0"/>
            </w:tcBorders>
            <w:noWrap w:val="0"/>
            <w:vAlign w:val="center"/>
          </w:tcPr>
          <w:p w14:paraId="6B2286D5">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r>
      <w:tr w14:paraId="5234D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70" w:type="dxa"/>
            <w:gridSpan w:val="9"/>
            <w:tcBorders>
              <w:top w:val="single" w:color="auto" w:sz="4" w:space="0"/>
              <w:left w:val="single" w:color="auto" w:sz="4" w:space="0"/>
              <w:bottom w:val="single" w:color="auto" w:sz="4" w:space="0"/>
              <w:right w:val="single" w:color="auto" w:sz="4" w:space="0"/>
            </w:tcBorders>
            <w:noWrap w:val="0"/>
            <w:vAlign w:val="center"/>
          </w:tcPr>
          <w:p w14:paraId="478F5911">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以项目经理身份参与过的主要业绩（已完工项目）</w:t>
            </w:r>
          </w:p>
        </w:tc>
      </w:tr>
      <w:tr w14:paraId="1C1D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5" w:type="dxa"/>
            <w:tcBorders>
              <w:top w:val="single" w:color="auto" w:sz="4" w:space="0"/>
              <w:left w:val="single" w:color="auto" w:sz="4" w:space="0"/>
              <w:bottom w:val="single" w:color="auto" w:sz="4" w:space="0"/>
              <w:right w:val="single" w:color="auto" w:sz="4" w:space="0"/>
            </w:tcBorders>
            <w:noWrap w:val="0"/>
            <w:vAlign w:val="center"/>
          </w:tcPr>
          <w:p w14:paraId="70046C0C">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序号</w:t>
            </w:r>
          </w:p>
        </w:tc>
        <w:tc>
          <w:tcPr>
            <w:tcW w:w="1547" w:type="dxa"/>
            <w:gridSpan w:val="2"/>
            <w:tcBorders>
              <w:top w:val="single" w:color="auto" w:sz="4" w:space="0"/>
              <w:left w:val="single" w:color="auto" w:sz="4" w:space="0"/>
              <w:bottom w:val="single" w:color="auto" w:sz="4" w:space="0"/>
              <w:right w:val="single" w:color="auto" w:sz="4" w:space="0"/>
            </w:tcBorders>
            <w:noWrap w:val="0"/>
            <w:vAlign w:val="center"/>
          </w:tcPr>
          <w:p w14:paraId="5A25E37A">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项目名称</w:t>
            </w:r>
          </w:p>
        </w:tc>
        <w:tc>
          <w:tcPr>
            <w:tcW w:w="1942" w:type="dxa"/>
            <w:gridSpan w:val="2"/>
            <w:tcBorders>
              <w:top w:val="single" w:color="auto" w:sz="4" w:space="0"/>
              <w:left w:val="single" w:color="auto" w:sz="4" w:space="0"/>
              <w:bottom w:val="single" w:color="auto" w:sz="4" w:space="0"/>
              <w:right w:val="single" w:color="auto" w:sz="4" w:space="0"/>
            </w:tcBorders>
            <w:noWrap w:val="0"/>
            <w:vAlign w:val="center"/>
          </w:tcPr>
          <w:p w14:paraId="2F78D6CD">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建设单位</w:t>
            </w:r>
          </w:p>
        </w:tc>
        <w:tc>
          <w:tcPr>
            <w:tcW w:w="1973" w:type="dxa"/>
            <w:gridSpan w:val="2"/>
            <w:tcBorders>
              <w:top w:val="single" w:color="auto" w:sz="4" w:space="0"/>
              <w:left w:val="single" w:color="auto" w:sz="4" w:space="0"/>
              <w:bottom w:val="single" w:color="auto" w:sz="4" w:space="0"/>
              <w:right w:val="single" w:color="auto" w:sz="4" w:space="0"/>
            </w:tcBorders>
            <w:noWrap w:val="0"/>
            <w:vAlign w:val="center"/>
          </w:tcPr>
          <w:p w14:paraId="532D37EA">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建设内容和规模</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4525B1BC">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开、竣工日期</w:t>
            </w:r>
          </w:p>
        </w:tc>
        <w:tc>
          <w:tcPr>
            <w:tcW w:w="1327" w:type="dxa"/>
            <w:tcBorders>
              <w:top w:val="single" w:color="auto" w:sz="4" w:space="0"/>
              <w:left w:val="single" w:color="auto" w:sz="4" w:space="0"/>
              <w:bottom w:val="single" w:color="auto" w:sz="4" w:space="0"/>
              <w:right w:val="single" w:color="auto" w:sz="4" w:space="0"/>
            </w:tcBorders>
            <w:noWrap w:val="0"/>
            <w:vAlign w:val="center"/>
          </w:tcPr>
          <w:p w14:paraId="00448AB2">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质量等级</w:t>
            </w:r>
          </w:p>
        </w:tc>
      </w:tr>
      <w:tr w14:paraId="0352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5" w:type="dxa"/>
            <w:tcBorders>
              <w:top w:val="single" w:color="auto" w:sz="4" w:space="0"/>
              <w:left w:val="single" w:color="auto" w:sz="4" w:space="0"/>
              <w:bottom w:val="single" w:color="auto" w:sz="4" w:space="0"/>
              <w:right w:val="single" w:color="auto" w:sz="4" w:space="0"/>
            </w:tcBorders>
            <w:noWrap w:val="0"/>
            <w:vAlign w:val="center"/>
          </w:tcPr>
          <w:p w14:paraId="649EB660">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1</w:t>
            </w:r>
          </w:p>
        </w:tc>
        <w:tc>
          <w:tcPr>
            <w:tcW w:w="1547" w:type="dxa"/>
            <w:gridSpan w:val="2"/>
            <w:tcBorders>
              <w:top w:val="single" w:color="auto" w:sz="4" w:space="0"/>
              <w:left w:val="single" w:color="auto" w:sz="4" w:space="0"/>
              <w:bottom w:val="single" w:color="auto" w:sz="4" w:space="0"/>
              <w:right w:val="single" w:color="auto" w:sz="4" w:space="0"/>
            </w:tcBorders>
            <w:noWrap w:val="0"/>
            <w:vAlign w:val="center"/>
          </w:tcPr>
          <w:p w14:paraId="155FD6C2">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942" w:type="dxa"/>
            <w:gridSpan w:val="2"/>
            <w:tcBorders>
              <w:top w:val="single" w:color="auto" w:sz="4" w:space="0"/>
              <w:left w:val="single" w:color="auto" w:sz="4" w:space="0"/>
              <w:bottom w:val="single" w:color="auto" w:sz="4" w:space="0"/>
              <w:right w:val="single" w:color="auto" w:sz="4" w:space="0"/>
            </w:tcBorders>
            <w:noWrap w:val="0"/>
            <w:vAlign w:val="center"/>
          </w:tcPr>
          <w:p w14:paraId="64347126">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973" w:type="dxa"/>
            <w:gridSpan w:val="2"/>
            <w:tcBorders>
              <w:top w:val="single" w:color="auto" w:sz="4" w:space="0"/>
              <w:left w:val="single" w:color="auto" w:sz="4" w:space="0"/>
              <w:bottom w:val="single" w:color="auto" w:sz="4" w:space="0"/>
              <w:right w:val="single" w:color="auto" w:sz="4" w:space="0"/>
            </w:tcBorders>
            <w:noWrap w:val="0"/>
            <w:vAlign w:val="center"/>
          </w:tcPr>
          <w:p w14:paraId="342E6F0E">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706" w:type="dxa"/>
            <w:tcBorders>
              <w:top w:val="single" w:color="auto" w:sz="4" w:space="0"/>
              <w:left w:val="single" w:color="auto" w:sz="4" w:space="0"/>
              <w:bottom w:val="single" w:color="auto" w:sz="4" w:space="0"/>
              <w:right w:val="single" w:color="auto" w:sz="4" w:space="0"/>
            </w:tcBorders>
            <w:noWrap w:val="0"/>
            <w:vAlign w:val="center"/>
          </w:tcPr>
          <w:p w14:paraId="2921DA5A">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09A05136">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r>
      <w:tr w14:paraId="19955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5" w:type="dxa"/>
            <w:tcBorders>
              <w:top w:val="single" w:color="auto" w:sz="4" w:space="0"/>
              <w:left w:val="single" w:color="auto" w:sz="4" w:space="0"/>
              <w:bottom w:val="single" w:color="auto" w:sz="4" w:space="0"/>
              <w:right w:val="single" w:color="auto" w:sz="4" w:space="0"/>
            </w:tcBorders>
            <w:noWrap w:val="0"/>
            <w:vAlign w:val="center"/>
          </w:tcPr>
          <w:p w14:paraId="3FA2B7D1">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2</w:t>
            </w:r>
          </w:p>
        </w:tc>
        <w:tc>
          <w:tcPr>
            <w:tcW w:w="1547" w:type="dxa"/>
            <w:gridSpan w:val="2"/>
            <w:tcBorders>
              <w:top w:val="single" w:color="auto" w:sz="4" w:space="0"/>
              <w:left w:val="single" w:color="auto" w:sz="4" w:space="0"/>
              <w:bottom w:val="single" w:color="auto" w:sz="4" w:space="0"/>
              <w:right w:val="single" w:color="auto" w:sz="4" w:space="0"/>
            </w:tcBorders>
            <w:noWrap w:val="0"/>
            <w:vAlign w:val="center"/>
          </w:tcPr>
          <w:p w14:paraId="52D95693">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942" w:type="dxa"/>
            <w:gridSpan w:val="2"/>
            <w:tcBorders>
              <w:top w:val="single" w:color="auto" w:sz="4" w:space="0"/>
              <w:left w:val="single" w:color="auto" w:sz="4" w:space="0"/>
              <w:bottom w:val="single" w:color="auto" w:sz="4" w:space="0"/>
              <w:right w:val="single" w:color="auto" w:sz="4" w:space="0"/>
            </w:tcBorders>
            <w:noWrap w:val="0"/>
            <w:vAlign w:val="center"/>
          </w:tcPr>
          <w:p w14:paraId="640C3931">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973" w:type="dxa"/>
            <w:gridSpan w:val="2"/>
            <w:tcBorders>
              <w:top w:val="single" w:color="auto" w:sz="4" w:space="0"/>
              <w:left w:val="single" w:color="auto" w:sz="4" w:space="0"/>
              <w:bottom w:val="single" w:color="auto" w:sz="4" w:space="0"/>
              <w:right w:val="single" w:color="auto" w:sz="4" w:space="0"/>
            </w:tcBorders>
            <w:noWrap w:val="0"/>
            <w:vAlign w:val="center"/>
          </w:tcPr>
          <w:p w14:paraId="47EF8175">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706" w:type="dxa"/>
            <w:tcBorders>
              <w:top w:val="single" w:color="auto" w:sz="4" w:space="0"/>
              <w:left w:val="single" w:color="auto" w:sz="4" w:space="0"/>
              <w:bottom w:val="single" w:color="auto" w:sz="4" w:space="0"/>
              <w:right w:val="single" w:color="auto" w:sz="4" w:space="0"/>
            </w:tcBorders>
            <w:noWrap w:val="0"/>
            <w:vAlign w:val="center"/>
          </w:tcPr>
          <w:p w14:paraId="47EF4018">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52B8C1C9">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r>
      <w:tr w14:paraId="0EB48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5" w:type="dxa"/>
            <w:tcBorders>
              <w:top w:val="single" w:color="auto" w:sz="4" w:space="0"/>
              <w:left w:val="single" w:color="auto" w:sz="4" w:space="0"/>
              <w:bottom w:val="single" w:color="auto" w:sz="4" w:space="0"/>
              <w:right w:val="single" w:color="auto" w:sz="4" w:space="0"/>
            </w:tcBorders>
            <w:noWrap w:val="0"/>
            <w:vAlign w:val="center"/>
          </w:tcPr>
          <w:p w14:paraId="7713E176">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3</w:t>
            </w:r>
          </w:p>
        </w:tc>
        <w:tc>
          <w:tcPr>
            <w:tcW w:w="1547" w:type="dxa"/>
            <w:gridSpan w:val="2"/>
            <w:tcBorders>
              <w:top w:val="single" w:color="auto" w:sz="4" w:space="0"/>
              <w:left w:val="single" w:color="auto" w:sz="4" w:space="0"/>
              <w:bottom w:val="single" w:color="auto" w:sz="4" w:space="0"/>
              <w:right w:val="single" w:color="auto" w:sz="4" w:space="0"/>
            </w:tcBorders>
            <w:noWrap w:val="0"/>
            <w:vAlign w:val="center"/>
          </w:tcPr>
          <w:p w14:paraId="26DE638A">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942" w:type="dxa"/>
            <w:gridSpan w:val="2"/>
            <w:tcBorders>
              <w:top w:val="single" w:color="auto" w:sz="4" w:space="0"/>
              <w:left w:val="single" w:color="auto" w:sz="4" w:space="0"/>
              <w:bottom w:val="single" w:color="auto" w:sz="4" w:space="0"/>
              <w:right w:val="single" w:color="auto" w:sz="4" w:space="0"/>
            </w:tcBorders>
            <w:noWrap w:val="0"/>
            <w:vAlign w:val="center"/>
          </w:tcPr>
          <w:p w14:paraId="0C18228A">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973" w:type="dxa"/>
            <w:gridSpan w:val="2"/>
            <w:tcBorders>
              <w:top w:val="single" w:color="auto" w:sz="4" w:space="0"/>
              <w:left w:val="single" w:color="auto" w:sz="4" w:space="0"/>
              <w:bottom w:val="single" w:color="auto" w:sz="4" w:space="0"/>
              <w:right w:val="single" w:color="auto" w:sz="4" w:space="0"/>
            </w:tcBorders>
            <w:noWrap w:val="0"/>
            <w:vAlign w:val="center"/>
          </w:tcPr>
          <w:p w14:paraId="7D2EE69D">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706" w:type="dxa"/>
            <w:tcBorders>
              <w:top w:val="single" w:color="auto" w:sz="4" w:space="0"/>
              <w:left w:val="single" w:color="auto" w:sz="4" w:space="0"/>
              <w:bottom w:val="single" w:color="auto" w:sz="4" w:space="0"/>
              <w:right w:val="single" w:color="auto" w:sz="4" w:space="0"/>
            </w:tcBorders>
            <w:noWrap w:val="0"/>
            <w:vAlign w:val="center"/>
          </w:tcPr>
          <w:p w14:paraId="78EB2E3D">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3A03EAFC">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r>
      <w:tr w14:paraId="180D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5" w:type="dxa"/>
            <w:tcBorders>
              <w:top w:val="single" w:color="auto" w:sz="4" w:space="0"/>
              <w:left w:val="single" w:color="auto" w:sz="4" w:space="0"/>
              <w:bottom w:val="single" w:color="auto" w:sz="4" w:space="0"/>
              <w:right w:val="single" w:color="auto" w:sz="4" w:space="0"/>
            </w:tcBorders>
            <w:noWrap w:val="0"/>
            <w:vAlign w:val="center"/>
          </w:tcPr>
          <w:p w14:paraId="13EAE1DB">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w:t>
            </w:r>
          </w:p>
        </w:tc>
        <w:tc>
          <w:tcPr>
            <w:tcW w:w="1547" w:type="dxa"/>
            <w:gridSpan w:val="2"/>
            <w:tcBorders>
              <w:top w:val="single" w:color="auto" w:sz="4" w:space="0"/>
              <w:left w:val="single" w:color="auto" w:sz="4" w:space="0"/>
              <w:bottom w:val="single" w:color="auto" w:sz="4" w:space="0"/>
              <w:right w:val="single" w:color="auto" w:sz="4" w:space="0"/>
            </w:tcBorders>
            <w:noWrap w:val="0"/>
            <w:vAlign w:val="center"/>
          </w:tcPr>
          <w:p w14:paraId="07776440">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942" w:type="dxa"/>
            <w:gridSpan w:val="2"/>
            <w:tcBorders>
              <w:top w:val="single" w:color="auto" w:sz="4" w:space="0"/>
              <w:left w:val="single" w:color="auto" w:sz="4" w:space="0"/>
              <w:bottom w:val="single" w:color="auto" w:sz="4" w:space="0"/>
              <w:right w:val="single" w:color="auto" w:sz="4" w:space="0"/>
            </w:tcBorders>
            <w:noWrap w:val="0"/>
            <w:vAlign w:val="center"/>
          </w:tcPr>
          <w:p w14:paraId="41F58A4B">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973" w:type="dxa"/>
            <w:gridSpan w:val="2"/>
            <w:tcBorders>
              <w:top w:val="single" w:color="auto" w:sz="4" w:space="0"/>
              <w:left w:val="single" w:color="auto" w:sz="4" w:space="0"/>
              <w:bottom w:val="single" w:color="auto" w:sz="4" w:space="0"/>
              <w:right w:val="single" w:color="auto" w:sz="4" w:space="0"/>
            </w:tcBorders>
            <w:noWrap w:val="0"/>
            <w:vAlign w:val="center"/>
          </w:tcPr>
          <w:p w14:paraId="447411BB">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706" w:type="dxa"/>
            <w:tcBorders>
              <w:top w:val="single" w:color="auto" w:sz="4" w:space="0"/>
              <w:left w:val="single" w:color="auto" w:sz="4" w:space="0"/>
              <w:bottom w:val="single" w:color="auto" w:sz="4" w:space="0"/>
              <w:right w:val="single" w:color="auto" w:sz="4" w:space="0"/>
            </w:tcBorders>
            <w:noWrap w:val="0"/>
            <w:vAlign w:val="center"/>
          </w:tcPr>
          <w:p w14:paraId="55CA3BD6">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5E3EA688">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r>
    </w:tbl>
    <w:p w14:paraId="5CA93D24">
      <w:pPr>
        <w:pStyle w:val="40"/>
        <w:widowControl/>
        <w:wordWrap w:val="0"/>
        <w:spacing w:line="440" w:lineRule="exact"/>
        <w:jc w:val="right"/>
        <w:outlineLvl w:val="9"/>
        <w:rPr>
          <w:rFonts w:hint="eastAsia" w:ascii="宋体" w:hAnsi="宋体" w:eastAsia="宋体" w:cs="宋体"/>
          <w:color w:val="auto"/>
          <w:kern w:val="0"/>
          <w:highlight w:val="none"/>
          <w:lang w:val="en-US"/>
        </w:rPr>
      </w:pPr>
      <w:r>
        <w:rPr>
          <w:rFonts w:hint="eastAsia" w:ascii="宋体" w:hAnsi="宋体" w:eastAsia="宋体" w:cs="宋体"/>
          <w:color w:val="auto"/>
          <w:kern w:val="0"/>
          <w:highlight w:val="none"/>
          <w:lang w:eastAsia="zh-CN"/>
        </w:rPr>
        <w:t>项目经理：（签字）</w:t>
      </w:r>
    </w:p>
    <w:p w14:paraId="22762671">
      <w:pPr>
        <w:rPr>
          <w:rFonts w:hint="eastAsia" w:ascii="宋体" w:hAnsi="宋体" w:eastAsia="宋体" w:cs="宋体"/>
          <w:color w:val="auto"/>
          <w:lang w:val="en-US"/>
        </w:rPr>
      </w:pPr>
      <w:r>
        <w:rPr>
          <w:rFonts w:hint="eastAsia" w:ascii="宋体" w:hAnsi="宋体" w:eastAsia="宋体" w:cs="宋体"/>
          <w:color w:val="auto"/>
          <w:lang w:val="en-US"/>
        </w:rPr>
        <w:t xml:space="preserve"> </w:t>
      </w:r>
    </w:p>
    <w:p w14:paraId="78842D1D">
      <w:pPr>
        <w:pStyle w:val="40"/>
        <w:widowControl/>
        <w:wordWrap w:val="0"/>
        <w:spacing w:line="440" w:lineRule="exact"/>
        <w:jc w:val="center"/>
        <w:outlineLvl w:val="9"/>
        <w:rPr>
          <w:rFonts w:hint="eastAsia" w:ascii="宋体" w:hAnsi="宋体" w:eastAsia="宋体" w:cs="宋体"/>
          <w:color w:val="auto"/>
          <w:kern w:val="0"/>
          <w:highlight w:val="none"/>
          <w:lang w:val="en-US"/>
        </w:rPr>
      </w:pPr>
      <w:r>
        <w:rPr>
          <w:rFonts w:hint="eastAsia" w:ascii="宋体" w:hAnsi="宋体" w:eastAsia="宋体" w:cs="宋体"/>
          <w:color w:val="auto"/>
          <w:kern w:val="0"/>
          <w:highlight w:val="none"/>
          <w:lang w:val="en-US"/>
        </w:rPr>
        <w:t xml:space="preserve">                                                           </w:t>
      </w:r>
      <w:r>
        <w:rPr>
          <w:rFonts w:hint="eastAsia" w:ascii="宋体" w:hAnsi="宋体" w:eastAsia="宋体" w:cs="宋体"/>
          <w:color w:val="auto"/>
          <w:kern w:val="0"/>
          <w:highlight w:val="none"/>
          <w:lang w:eastAsia="zh-CN"/>
        </w:rPr>
        <w:t>年</w:t>
      </w:r>
      <w:r>
        <w:rPr>
          <w:rFonts w:hint="eastAsia" w:ascii="宋体" w:hAnsi="宋体" w:eastAsia="宋体" w:cs="宋体"/>
          <w:color w:val="auto"/>
          <w:kern w:val="0"/>
          <w:highlight w:val="none"/>
          <w:lang w:val="en-US"/>
        </w:rPr>
        <w:t xml:space="preserve">   </w:t>
      </w:r>
      <w:r>
        <w:rPr>
          <w:rFonts w:hint="eastAsia" w:ascii="宋体" w:hAnsi="宋体" w:eastAsia="宋体" w:cs="宋体"/>
          <w:color w:val="auto"/>
          <w:kern w:val="0"/>
          <w:highlight w:val="none"/>
          <w:lang w:eastAsia="zh-CN"/>
        </w:rPr>
        <w:t>月</w:t>
      </w:r>
      <w:r>
        <w:rPr>
          <w:rFonts w:hint="eastAsia" w:ascii="宋体" w:hAnsi="宋体" w:eastAsia="宋体" w:cs="宋体"/>
          <w:color w:val="auto"/>
          <w:kern w:val="0"/>
          <w:highlight w:val="none"/>
          <w:lang w:val="en-US"/>
        </w:rPr>
        <w:t xml:space="preserve">      </w:t>
      </w:r>
      <w:r>
        <w:rPr>
          <w:rFonts w:hint="eastAsia" w:ascii="宋体" w:hAnsi="宋体" w:eastAsia="宋体" w:cs="宋体"/>
          <w:color w:val="auto"/>
          <w:kern w:val="0"/>
          <w:highlight w:val="none"/>
          <w:lang w:eastAsia="zh-CN"/>
        </w:rPr>
        <w:t>日</w:t>
      </w:r>
    </w:p>
    <w:p w14:paraId="25D87F04">
      <w:pPr>
        <w:rPr>
          <w:rFonts w:hint="eastAsia" w:ascii="宋体" w:hAnsi="宋体" w:eastAsia="宋体" w:cs="宋体"/>
          <w:color w:val="auto"/>
          <w:lang w:val="en-US"/>
        </w:rPr>
      </w:pPr>
      <w:r>
        <w:rPr>
          <w:rFonts w:hint="eastAsia" w:ascii="宋体" w:hAnsi="宋体" w:eastAsia="宋体" w:cs="宋体"/>
          <w:color w:val="auto"/>
          <w:lang w:val="en-US" w:eastAsia="zh-CN"/>
        </w:rPr>
        <w:t xml:space="preserve"> </w:t>
      </w:r>
    </w:p>
    <w:p w14:paraId="492C02B1">
      <w:pPr>
        <w:keepNext w:val="0"/>
        <w:keepLines w:val="0"/>
        <w:widowControl w:val="0"/>
        <w:suppressLineNumbers w:val="0"/>
        <w:wordWrap w:val="0"/>
        <w:spacing w:before="0" w:beforeAutospacing="0" w:after="0" w:afterAutospacing="0" w:line="400" w:lineRule="exact"/>
        <w:ind w:left="0" w:right="0"/>
        <w:jc w:val="both"/>
        <w:outlineLvl w:val="9"/>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 xml:space="preserve">    说明：《项目经理简历表》后应附拟派项目经理以下资料：</w:t>
      </w:r>
    </w:p>
    <w:p w14:paraId="712062EB">
      <w:pPr>
        <w:keepNext w:val="0"/>
        <w:keepLines w:val="0"/>
        <w:widowControl w:val="0"/>
        <w:suppressLineNumbers w:val="0"/>
        <w:wordWrap w:val="0"/>
        <w:spacing w:before="0" w:beforeAutospacing="0" w:after="0" w:afterAutospacing="0" w:line="400" w:lineRule="exact"/>
        <w:ind w:left="0" w:right="0"/>
        <w:jc w:val="both"/>
        <w:outlineLvl w:val="9"/>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 xml:space="preserve">    1．身份证彩色扫描件；</w:t>
      </w:r>
    </w:p>
    <w:p w14:paraId="0A378CA2">
      <w:pPr>
        <w:keepNext w:val="0"/>
        <w:keepLines w:val="0"/>
        <w:widowControl w:val="0"/>
        <w:suppressLineNumbers w:val="0"/>
        <w:wordWrap w:val="0"/>
        <w:spacing w:before="0" w:beforeAutospacing="0" w:after="0" w:afterAutospacing="0" w:line="400" w:lineRule="exact"/>
        <w:ind w:left="0" w:right="0"/>
        <w:jc w:val="both"/>
        <w:outlineLvl w:val="9"/>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 xml:space="preserve">    2．建造师电子注册证书（在使用有效期内的有效电子证书）彩色扫描件；</w:t>
      </w:r>
    </w:p>
    <w:p w14:paraId="492D6AC8">
      <w:pPr>
        <w:keepNext w:val="0"/>
        <w:keepLines w:val="0"/>
        <w:widowControl w:val="0"/>
        <w:suppressLineNumbers w:val="0"/>
        <w:wordWrap w:val="0"/>
        <w:spacing w:before="0" w:beforeAutospacing="0" w:after="0" w:afterAutospacing="0" w:line="400" w:lineRule="exact"/>
        <w:ind w:left="0" w:right="0"/>
        <w:jc w:val="both"/>
        <w:outlineLvl w:val="9"/>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 xml:space="preserve">    3．B类安全生产考核合格证书彩色扫描件或广东省建筑施工企业管理人员安全生产考核系统考核合格信息彩色扫描件；</w:t>
      </w:r>
    </w:p>
    <w:p w14:paraId="0CD05AB4">
      <w:pPr>
        <w:keepNext w:val="0"/>
        <w:keepLines w:val="0"/>
        <w:widowControl w:val="0"/>
        <w:suppressLineNumbers w:val="0"/>
        <w:wordWrap w:val="0"/>
        <w:spacing w:before="0" w:beforeAutospacing="0" w:after="0" w:afterAutospacing="0" w:line="400" w:lineRule="exact"/>
        <w:ind w:left="0" w:right="0" w:firstLine="420" w:firstLineChars="200"/>
        <w:jc w:val="both"/>
        <w:outlineLvl w:val="9"/>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4．在本单位缴纳社保的证明</w:t>
      </w:r>
      <w:r>
        <w:rPr>
          <w:rFonts w:hint="eastAsia" w:ascii="宋体" w:hAnsi="宋体" w:cs="宋体"/>
          <w:color w:val="auto"/>
          <w:kern w:val="0"/>
          <w:sz w:val="21"/>
          <w:szCs w:val="21"/>
          <w:highlight w:val="none"/>
          <w:lang w:val="en-US" w:eastAsia="zh-CN" w:bidi="ar"/>
        </w:rPr>
        <w:t>（至少1个月，其中必须有2026年3月）</w:t>
      </w:r>
      <w:r>
        <w:rPr>
          <w:rFonts w:hint="eastAsia" w:ascii="宋体" w:hAnsi="宋体" w:eastAsia="宋体" w:cs="宋体"/>
          <w:color w:val="auto"/>
          <w:kern w:val="0"/>
          <w:sz w:val="21"/>
          <w:szCs w:val="21"/>
          <w:highlight w:val="none"/>
          <w:lang w:val="en-US" w:eastAsia="zh-CN" w:bidi="ar"/>
        </w:rPr>
        <w:t>复印件或打印件。拟派项目经理为退休返聘人员无法提供社保证明的，提供退休证和劳动合同</w:t>
      </w:r>
      <w:r>
        <w:rPr>
          <w:rFonts w:hint="eastAsia" w:ascii="宋体" w:hAnsi="宋体" w:eastAsia="宋体" w:cs="宋体"/>
          <w:b/>
          <w:bCs/>
          <w:color w:val="auto"/>
          <w:kern w:val="0"/>
          <w:sz w:val="21"/>
          <w:szCs w:val="21"/>
          <w:highlight w:val="none"/>
          <w:lang w:val="en-US" w:eastAsia="zh-CN" w:bidi="ar"/>
        </w:rPr>
        <w:t>（返聘协议）</w:t>
      </w:r>
      <w:r>
        <w:rPr>
          <w:rFonts w:hint="eastAsia" w:ascii="宋体" w:hAnsi="宋体" w:eastAsia="宋体" w:cs="宋体"/>
          <w:color w:val="auto"/>
          <w:kern w:val="0"/>
          <w:sz w:val="21"/>
          <w:szCs w:val="21"/>
          <w:highlight w:val="none"/>
          <w:lang w:val="en-US" w:eastAsia="zh-CN" w:bidi="ar"/>
        </w:rPr>
        <w:t>彩色扫描件。</w:t>
      </w:r>
    </w:p>
    <w:p w14:paraId="57890759">
      <w:pPr>
        <w:keepNext w:val="0"/>
        <w:keepLines w:val="0"/>
        <w:widowControl w:val="0"/>
        <w:suppressLineNumbers w:val="0"/>
        <w:wordWrap w:val="0"/>
        <w:spacing w:before="0" w:beforeAutospacing="0" w:after="0" w:afterAutospacing="0" w:line="400" w:lineRule="exact"/>
        <w:ind w:left="0" w:right="0" w:firstLine="420" w:firstLineChars="200"/>
        <w:jc w:val="both"/>
        <w:outlineLvl w:val="9"/>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5．“进粤企业和人员诚信信息登记平台”个人（项目经理等）信息情况截图。（适用于省外建筑企业）</w:t>
      </w:r>
    </w:p>
    <w:p w14:paraId="5AB60903">
      <w:pPr>
        <w:rPr>
          <w:rFonts w:hint="eastAsia" w:ascii="宋体" w:hAnsi="宋体" w:eastAsia="宋体" w:cs="宋体"/>
          <w:color w:val="auto"/>
          <w:lang w:val="en-US" w:eastAsia="zh-CN"/>
        </w:rPr>
      </w:pPr>
    </w:p>
    <w:p w14:paraId="3FCCE684">
      <w:pPr>
        <w:rPr>
          <w:rFonts w:hint="eastAsia" w:ascii="宋体" w:hAnsi="宋体" w:eastAsia="宋体" w:cs="宋体"/>
          <w:color w:val="auto"/>
          <w:lang w:val="en-US" w:eastAsia="zh-CN"/>
        </w:rPr>
      </w:pPr>
    </w:p>
    <w:p w14:paraId="66994DC4">
      <w:pPr>
        <w:rPr>
          <w:rFonts w:hint="eastAsia" w:ascii="宋体" w:hAnsi="宋体" w:eastAsia="宋体" w:cs="宋体"/>
          <w:color w:val="auto"/>
          <w:lang w:val="en-US" w:eastAsia="zh-CN"/>
        </w:rPr>
      </w:pPr>
    </w:p>
    <w:p w14:paraId="4930256D">
      <w:pPr>
        <w:rPr>
          <w:rFonts w:hint="eastAsia" w:ascii="宋体" w:hAnsi="宋体" w:eastAsia="宋体" w:cs="宋体"/>
          <w:color w:val="auto"/>
          <w:lang w:val="en-US" w:eastAsia="zh-CN"/>
        </w:rPr>
      </w:pPr>
    </w:p>
    <w:p w14:paraId="107DB75B">
      <w:pPr>
        <w:rPr>
          <w:rFonts w:hint="eastAsia" w:ascii="宋体" w:hAnsi="宋体" w:eastAsia="宋体" w:cs="宋体"/>
          <w:color w:val="auto"/>
          <w:lang w:val="en-US" w:eastAsia="zh-CN"/>
        </w:rPr>
      </w:pPr>
    </w:p>
    <w:p w14:paraId="2B266F11">
      <w:pPr>
        <w:rPr>
          <w:rFonts w:hint="eastAsia" w:ascii="宋体" w:hAnsi="宋体" w:eastAsia="宋体" w:cs="宋体"/>
          <w:color w:val="auto"/>
          <w:lang w:val="en-US" w:eastAsia="zh-CN"/>
        </w:rPr>
      </w:pPr>
    </w:p>
    <w:p w14:paraId="09C07C6B">
      <w:pPr>
        <w:rPr>
          <w:rFonts w:hint="eastAsia" w:ascii="宋体" w:hAnsi="宋体" w:eastAsia="宋体" w:cs="宋体"/>
          <w:color w:val="auto"/>
          <w:lang w:val="en-US" w:eastAsia="zh-CN"/>
        </w:rPr>
      </w:pPr>
    </w:p>
    <w:p w14:paraId="060AA4F3">
      <w:pPr>
        <w:rPr>
          <w:rFonts w:hint="eastAsia" w:ascii="宋体" w:hAnsi="宋体" w:eastAsia="宋体" w:cs="宋体"/>
          <w:color w:val="auto"/>
          <w:lang w:val="en-US" w:eastAsia="zh-CN"/>
        </w:rPr>
      </w:pPr>
    </w:p>
    <w:p w14:paraId="097D0D37">
      <w:pPr>
        <w:pStyle w:val="3"/>
        <w:bidi w:val="0"/>
        <w:ind w:left="0" w:leftChars="0" w:firstLine="0" w:firstLineChars="0"/>
        <w:rPr>
          <w:rFonts w:hint="eastAsia" w:ascii="宋体" w:hAnsi="宋体" w:eastAsia="宋体" w:cs="宋体"/>
          <w:b/>
          <w:bCs w:val="0"/>
          <w:color w:val="auto"/>
          <w:kern w:val="0"/>
          <w:highlight w:val="none"/>
          <w:lang w:val="en-US"/>
        </w:rPr>
      </w:pPr>
      <w:bookmarkStart w:id="69" w:name="_Toc8043"/>
      <w:bookmarkStart w:id="70" w:name="_Toc7400"/>
      <w:bookmarkStart w:id="71" w:name="_Toc20448"/>
      <w:r>
        <w:rPr>
          <w:rFonts w:hint="eastAsia" w:ascii="宋体" w:hAnsi="宋体" w:eastAsia="宋体" w:cs="宋体"/>
          <w:color w:val="auto"/>
          <w:lang w:val="en-US" w:eastAsia="zh-CN"/>
        </w:rPr>
        <w:t>格式八   项目经理任职声明</w:t>
      </w:r>
      <w:bookmarkEnd w:id="69"/>
      <w:bookmarkEnd w:id="70"/>
      <w:bookmarkEnd w:id="71"/>
    </w:p>
    <w:p w14:paraId="3971E9E9">
      <w:pPr>
        <w:keepNext w:val="0"/>
        <w:keepLines w:val="0"/>
        <w:widowControl w:val="0"/>
        <w:suppressLineNumbers w:val="0"/>
        <w:wordWrap w:val="0"/>
        <w:spacing w:before="260" w:beforeAutospacing="0" w:after="260" w:afterAutospacing="0" w:line="440" w:lineRule="exact"/>
        <w:ind w:left="0" w:right="0"/>
        <w:jc w:val="center"/>
        <w:outlineLvl w:val="9"/>
        <w:rPr>
          <w:rFonts w:hint="eastAsia" w:ascii="宋体" w:hAnsi="宋体" w:eastAsia="宋体" w:cs="宋体"/>
          <w:color w:val="auto"/>
          <w:kern w:val="0"/>
          <w:highlight w:val="none"/>
          <w:lang w:val="en-US"/>
        </w:rPr>
      </w:pPr>
      <w:r>
        <w:rPr>
          <w:rFonts w:hint="eastAsia" w:ascii="宋体" w:hAnsi="宋体" w:eastAsia="宋体" w:cs="宋体"/>
          <w:b/>
          <w:bCs w:val="0"/>
          <w:color w:val="auto"/>
          <w:kern w:val="0"/>
          <w:sz w:val="30"/>
          <w:szCs w:val="30"/>
          <w:highlight w:val="none"/>
          <w:lang w:val="en-US" w:eastAsia="zh-CN" w:bidi="ar"/>
        </w:rPr>
        <w:t>项目经理任职声明</w:t>
      </w:r>
    </w:p>
    <w:p w14:paraId="111AD5B9">
      <w:pPr>
        <w:keepNext w:val="0"/>
        <w:keepLines w:val="0"/>
        <w:widowControl w:val="0"/>
        <w:suppressLineNumbers w:val="0"/>
        <w:wordWrap w:val="0"/>
        <w:spacing w:before="0" w:beforeAutospacing="0" w:after="0" w:afterAutospacing="0" w:line="440" w:lineRule="exact"/>
        <w:ind w:left="0" w:right="0"/>
        <w:jc w:val="both"/>
        <w:outlineLvl w:val="9"/>
        <w:rPr>
          <w:rFonts w:hint="eastAsia" w:ascii="宋体" w:hAnsi="宋体" w:eastAsia="宋体" w:cs="宋体"/>
          <w:color w:val="auto"/>
          <w:kern w:val="0"/>
          <w:highlight w:val="none"/>
          <w:lang w:val="en-US"/>
        </w:rPr>
      </w:pPr>
      <w:r>
        <w:rPr>
          <w:rFonts w:hint="eastAsia" w:ascii="宋体" w:hAnsi="宋体" w:eastAsia="宋体" w:cs="宋体"/>
          <w:color w:val="auto"/>
          <w:kern w:val="0"/>
          <w:sz w:val="24"/>
          <w:szCs w:val="24"/>
          <w:highlight w:val="none"/>
          <w:lang w:val="en-US" w:eastAsia="zh-CN" w:bidi="ar"/>
        </w:rPr>
        <w:t>致：（招标人名称）：</w:t>
      </w:r>
    </w:p>
    <w:p w14:paraId="1B118EEC">
      <w:pPr>
        <w:keepNext w:val="0"/>
        <w:keepLines w:val="0"/>
        <w:widowControl w:val="0"/>
        <w:suppressLineNumbers w:val="0"/>
        <w:wordWrap w:val="0"/>
        <w:spacing w:before="0" w:beforeAutospacing="0" w:after="0" w:afterAutospacing="0" w:line="440" w:lineRule="exact"/>
        <w:ind w:left="0" w:right="0"/>
        <w:jc w:val="both"/>
        <w:outlineLvl w:val="9"/>
        <w:rPr>
          <w:rFonts w:hint="eastAsia" w:ascii="宋体" w:hAnsi="宋体" w:eastAsia="宋体" w:cs="宋体"/>
          <w:color w:val="auto"/>
          <w:kern w:val="0"/>
          <w:highlight w:val="none"/>
          <w:lang w:val="en-US"/>
        </w:rPr>
      </w:pPr>
      <w:r>
        <w:rPr>
          <w:rFonts w:hint="eastAsia" w:ascii="宋体" w:hAnsi="宋体" w:eastAsia="宋体" w:cs="宋体"/>
          <w:color w:val="auto"/>
          <w:kern w:val="0"/>
          <w:sz w:val="24"/>
          <w:szCs w:val="24"/>
          <w:highlight w:val="none"/>
          <w:lang w:val="en-US" w:eastAsia="zh-CN" w:bidi="ar"/>
        </w:rPr>
        <w:t xml:space="preserve">  我方在此声明，我方拟派往</w:t>
      </w:r>
      <w:r>
        <w:rPr>
          <w:rFonts w:hint="eastAsia" w:ascii="宋体" w:hAnsi="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（项目名称）的项目经理</w:t>
      </w:r>
      <w:r>
        <w:rPr>
          <w:rFonts w:hint="eastAsia" w:ascii="宋体" w:hAnsi="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（项目经理姓名）现阶段没有担任任何在施（包括已中标未开工、已开工未竣工、在项目开标时间仍在建筑市场监管平台被“锁定”无法报建的）建设工程项目的项目经理。</w:t>
      </w:r>
    </w:p>
    <w:p w14:paraId="7006ADE8">
      <w:pPr>
        <w:keepNext w:val="0"/>
        <w:keepLines w:val="0"/>
        <w:widowControl w:val="0"/>
        <w:suppressLineNumbers w:val="0"/>
        <w:wordWrap w:val="0"/>
        <w:spacing w:before="0" w:beforeAutospacing="0" w:after="0" w:afterAutospacing="0" w:line="440" w:lineRule="exact"/>
        <w:ind w:left="0" w:right="0" w:firstLine="480"/>
        <w:jc w:val="both"/>
        <w:outlineLvl w:val="9"/>
        <w:rPr>
          <w:rFonts w:hint="eastAsia" w:ascii="宋体" w:hAnsi="宋体" w:eastAsia="宋体" w:cs="宋体"/>
          <w:color w:val="auto"/>
          <w:kern w:val="0"/>
          <w:highlight w:val="none"/>
          <w:lang w:val="en-US"/>
        </w:rPr>
      </w:pPr>
      <w:r>
        <w:rPr>
          <w:rFonts w:hint="eastAsia" w:ascii="宋体" w:hAnsi="宋体" w:eastAsia="宋体" w:cs="宋体"/>
          <w:color w:val="auto"/>
          <w:kern w:val="0"/>
          <w:sz w:val="24"/>
          <w:szCs w:val="24"/>
          <w:highlight w:val="none"/>
          <w:lang w:val="en-US" w:eastAsia="zh-CN" w:bidi="ar"/>
        </w:rPr>
        <w:t>我方保证上述信息的真实和准确，并愿意承担因我方就此弄虚作假所引起的一切法律后果。</w:t>
      </w:r>
    </w:p>
    <w:p w14:paraId="03430CD7">
      <w:pPr>
        <w:keepNext w:val="0"/>
        <w:keepLines w:val="0"/>
        <w:widowControl w:val="0"/>
        <w:suppressLineNumbers w:val="0"/>
        <w:wordWrap w:val="0"/>
        <w:spacing w:before="0" w:beforeAutospacing="0" w:after="0" w:afterAutospacing="0" w:line="440" w:lineRule="exact"/>
        <w:ind w:left="0" w:right="0"/>
        <w:jc w:val="both"/>
        <w:outlineLvl w:val="9"/>
        <w:rPr>
          <w:rFonts w:hint="eastAsia" w:ascii="宋体" w:hAnsi="宋体" w:eastAsia="宋体" w:cs="宋体"/>
          <w:color w:val="auto"/>
          <w:kern w:val="0"/>
          <w:highlight w:val="none"/>
          <w:lang w:val="en-US"/>
        </w:rPr>
      </w:pPr>
      <w:r>
        <w:rPr>
          <w:rFonts w:hint="eastAsia" w:ascii="宋体" w:hAnsi="宋体" w:eastAsia="宋体" w:cs="宋体"/>
          <w:color w:val="auto"/>
          <w:kern w:val="0"/>
          <w:sz w:val="24"/>
          <w:szCs w:val="24"/>
          <w:highlight w:val="none"/>
          <w:lang w:val="en-US" w:eastAsia="zh-CN" w:bidi="ar"/>
        </w:rPr>
        <w:t xml:space="preserve">  特此承诺  </w:t>
      </w:r>
    </w:p>
    <w:p w14:paraId="1ED07DC8">
      <w:pPr>
        <w:keepNext w:val="0"/>
        <w:keepLines w:val="0"/>
        <w:widowControl w:val="0"/>
        <w:suppressLineNumbers w:val="0"/>
        <w:wordWrap w:val="0"/>
        <w:spacing w:before="0" w:beforeAutospacing="0" w:after="0" w:afterAutospacing="0" w:line="440" w:lineRule="exact"/>
        <w:ind w:left="0" w:right="0"/>
        <w:jc w:val="both"/>
        <w:outlineLvl w:val="9"/>
        <w:rPr>
          <w:rFonts w:hint="eastAsia" w:ascii="宋体" w:hAnsi="宋体" w:eastAsia="宋体" w:cs="宋体"/>
          <w:color w:val="auto"/>
          <w:kern w:val="0"/>
          <w:highlight w:val="none"/>
          <w:lang w:val="en-US"/>
        </w:rPr>
      </w:pPr>
    </w:p>
    <w:p w14:paraId="6DD8FCC0">
      <w:pPr>
        <w:keepNext w:val="0"/>
        <w:keepLines w:val="0"/>
        <w:widowControl w:val="0"/>
        <w:suppressLineNumbers w:val="0"/>
        <w:wordWrap w:val="0"/>
        <w:spacing w:before="0" w:beforeAutospacing="0" w:after="0" w:afterAutospacing="0" w:line="440" w:lineRule="exact"/>
        <w:ind w:left="0" w:right="0"/>
        <w:jc w:val="both"/>
        <w:outlineLvl w:val="9"/>
        <w:rPr>
          <w:rFonts w:hint="eastAsia" w:ascii="宋体" w:hAnsi="宋体" w:eastAsia="宋体" w:cs="宋体"/>
          <w:color w:val="auto"/>
          <w:kern w:val="0"/>
          <w:highlight w:val="none"/>
          <w:lang w:val="en-US"/>
        </w:rPr>
      </w:pPr>
    </w:p>
    <w:p w14:paraId="12EEA21F">
      <w:pPr>
        <w:keepNext w:val="0"/>
        <w:keepLines w:val="0"/>
        <w:widowControl w:val="0"/>
        <w:suppressLineNumbers w:val="0"/>
        <w:wordWrap w:val="0"/>
        <w:spacing w:before="0" w:beforeAutospacing="0" w:after="0" w:afterAutospacing="0" w:line="440" w:lineRule="exact"/>
        <w:ind w:left="0" w:right="0"/>
        <w:jc w:val="right"/>
        <w:outlineLvl w:val="9"/>
        <w:rPr>
          <w:rFonts w:hint="eastAsia" w:ascii="宋体" w:hAnsi="宋体" w:eastAsia="宋体" w:cs="宋体"/>
          <w:color w:val="auto"/>
          <w:kern w:val="0"/>
          <w:highlight w:val="none"/>
          <w:lang w:val="en-US"/>
        </w:rPr>
      </w:pPr>
      <w:r>
        <w:rPr>
          <w:rFonts w:hint="eastAsia" w:ascii="宋体" w:hAnsi="宋体" w:eastAsia="宋体" w:cs="宋体"/>
          <w:color w:val="auto"/>
          <w:kern w:val="0"/>
          <w:sz w:val="24"/>
          <w:szCs w:val="24"/>
          <w:highlight w:val="none"/>
          <w:lang w:val="en-US" w:eastAsia="zh-CN" w:bidi="ar"/>
        </w:rPr>
        <w:t>投标人：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（盖单位章）</w:t>
      </w:r>
    </w:p>
    <w:p w14:paraId="092F249E">
      <w:pPr>
        <w:rPr>
          <w:rFonts w:hint="eastAsia" w:ascii="宋体" w:hAnsi="宋体" w:eastAsia="宋体" w:cs="宋体"/>
          <w:color w:val="auto"/>
          <w:lang w:val="en-US"/>
        </w:rPr>
      </w:pPr>
    </w:p>
    <w:p w14:paraId="41C16FD2">
      <w:pPr>
        <w:keepNext w:val="0"/>
        <w:keepLines w:val="0"/>
        <w:widowControl w:val="0"/>
        <w:suppressLineNumbers w:val="0"/>
        <w:wordWrap w:val="0"/>
        <w:spacing w:before="0" w:beforeAutospacing="0" w:after="0" w:afterAutospacing="0" w:line="440" w:lineRule="exact"/>
        <w:ind w:left="0" w:right="0"/>
        <w:jc w:val="right"/>
        <w:outlineLvl w:val="9"/>
        <w:rPr>
          <w:rFonts w:hint="eastAsia" w:ascii="宋体" w:hAnsi="宋体" w:eastAsia="宋体" w:cs="宋体"/>
          <w:color w:val="auto"/>
          <w:kern w:val="0"/>
          <w:highlight w:val="none"/>
          <w:lang w:val="en-US"/>
        </w:rPr>
      </w:pPr>
      <w:r>
        <w:rPr>
          <w:rFonts w:hint="eastAsia" w:ascii="宋体" w:hAnsi="宋体" w:eastAsia="宋体" w:cs="宋体"/>
          <w:color w:val="auto"/>
          <w:kern w:val="0"/>
          <w:sz w:val="24"/>
          <w:szCs w:val="24"/>
          <w:highlight w:val="none"/>
          <w:lang w:val="en-US" w:eastAsia="zh-CN" w:bidi="ar"/>
        </w:rPr>
        <w:t>法定代表人或其委托代理人：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（签字或盖章）</w:t>
      </w:r>
    </w:p>
    <w:p w14:paraId="4FA5C49B">
      <w:pPr>
        <w:rPr>
          <w:rFonts w:hint="eastAsia" w:ascii="宋体" w:hAnsi="宋体" w:eastAsia="宋体" w:cs="宋体"/>
          <w:color w:val="auto"/>
          <w:lang w:val="en-US"/>
        </w:rPr>
      </w:pPr>
    </w:p>
    <w:p w14:paraId="6ED7969E">
      <w:pPr>
        <w:keepNext w:val="0"/>
        <w:keepLines w:val="0"/>
        <w:widowControl w:val="0"/>
        <w:suppressLineNumbers w:val="0"/>
        <w:wordWrap w:val="0"/>
        <w:spacing w:before="0" w:beforeAutospacing="0" w:after="0" w:afterAutospacing="0" w:line="440" w:lineRule="exact"/>
        <w:ind w:left="0" w:right="0"/>
        <w:jc w:val="center"/>
        <w:outlineLvl w:val="9"/>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年  月   日</w:t>
      </w:r>
    </w:p>
    <w:p w14:paraId="4786E6A3">
      <w:pPr>
        <w:rPr>
          <w:rFonts w:hint="eastAsia" w:ascii="宋体" w:hAnsi="宋体" w:eastAsia="宋体" w:cs="宋体"/>
          <w:color w:val="auto"/>
          <w:lang w:val="en-US" w:eastAsia="zh-CN"/>
        </w:rPr>
      </w:pPr>
    </w:p>
    <w:p w14:paraId="4B9AF456">
      <w:pPr>
        <w:rPr>
          <w:rFonts w:hint="eastAsia" w:ascii="宋体" w:hAnsi="宋体" w:eastAsia="宋体" w:cs="宋体"/>
          <w:color w:val="auto"/>
          <w:lang w:val="en-US" w:eastAsia="zh-CN"/>
        </w:rPr>
      </w:pPr>
    </w:p>
    <w:p w14:paraId="583602CD">
      <w:pPr>
        <w:rPr>
          <w:rFonts w:hint="eastAsia" w:ascii="宋体" w:hAnsi="宋体" w:eastAsia="宋体" w:cs="宋体"/>
          <w:color w:val="auto"/>
          <w:lang w:val="en-US" w:eastAsia="zh-CN"/>
        </w:rPr>
      </w:pPr>
    </w:p>
    <w:p w14:paraId="37AB2C2E">
      <w:pPr>
        <w:rPr>
          <w:rFonts w:hint="eastAsia" w:ascii="宋体" w:hAnsi="宋体" w:eastAsia="宋体" w:cs="宋体"/>
          <w:color w:val="auto"/>
          <w:lang w:val="en-US" w:eastAsia="zh-CN"/>
        </w:rPr>
      </w:pPr>
    </w:p>
    <w:p w14:paraId="755FA165">
      <w:pPr>
        <w:rPr>
          <w:rFonts w:hint="eastAsia" w:ascii="宋体" w:hAnsi="宋体" w:eastAsia="宋体" w:cs="宋体"/>
          <w:color w:val="auto"/>
          <w:lang w:val="en-US" w:eastAsia="zh-CN"/>
        </w:rPr>
      </w:pPr>
    </w:p>
    <w:p w14:paraId="0FF9A845">
      <w:pPr>
        <w:rPr>
          <w:rFonts w:hint="eastAsia" w:ascii="宋体" w:hAnsi="宋体" w:eastAsia="宋体" w:cs="宋体"/>
          <w:color w:val="auto"/>
          <w:lang w:val="en-US" w:eastAsia="zh-CN"/>
        </w:rPr>
      </w:pPr>
    </w:p>
    <w:p w14:paraId="69E30FA6">
      <w:pPr>
        <w:rPr>
          <w:rFonts w:hint="eastAsia" w:ascii="宋体" w:hAnsi="宋体" w:eastAsia="宋体" w:cs="宋体"/>
          <w:color w:val="auto"/>
          <w:lang w:val="en-US" w:eastAsia="zh-CN"/>
        </w:rPr>
      </w:pPr>
    </w:p>
    <w:p w14:paraId="4CA1B89F">
      <w:pPr>
        <w:rPr>
          <w:rFonts w:hint="eastAsia" w:ascii="宋体" w:hAnsi="宋体" w:eastAsia="宋体" w:cs="宋体"/>
          <w:color w:val="auto"/>
          <w:lang w:val="en-US" w:eastAsia="zh-CN"/>
        </w:rPr>
      </w:pPr>
    </w:p>
    <w:p w14:paraId="26263A18">
      <w:pPr>
        <w:rPr>
          <w:rFonts w:hint="eastAsia" w:ascii="宋体" w:hAnsi="宋体" w:eastAsia="宋体" w:cs="宋体"/>
          <w:color w:val="auto"/>
          <w:lang w:val="en-US" w:eastAsia="zh-CN"/>
        </w:rPr>
      </w:pPr>
    </w:p>
    <w:p w14:paraId="1DE33082">
      <w:pPr>
        <w:rPr>
          <w:rFonts w:hint="eastAsia" w:ascii="宋体" w:hAnsi="宋体" w:eastAsia="宋体" w:cs="宋体"/>
          <w:color w:val="auto"/>
          <w:lang w:val="en-US" w:eastAsia="zh-CN"/>
        </w:rPr>
      </w:pPr>
    </w:p>
    <w:p w14:paraId="015B9A35">
      <w:pPr>
        <w:rPr>
          <w:rFonts w:hint="eastAsia" w:ascii="宋体" w:hAnsi="宋体" w:eastAsia="宋体" w:cs="宋体"/>
          <w:color w:val="auto"/>
          <w:lang w:val="en-US" w:eastAsia="zh-CN"/>
        </w:rPr>
      </w:pPr>
    </w:p>
    <w:p w14:paraId="092DB482">
      <w:pPr>
        <w:rPr>
          <w:rFonts w:hint="eastAsia" w:ascii="宋体" w:hAnsi="宋体" w:eastAsia="宋体" w:cs="宋体"/>
          <w:color w:val="auto"/>
          <w:lang w:val="en-US" w:eastAsia="zh-CN"/>
        </w:rPr>
      </w:pPr>
    </w:p>
    <w:p w14:paraId="475AFDFD">
      <w:pPr>
        <w:rPr>
          <w:rFonts w:hint="eastAsia" w:ascii="宋体" w:hAnsi="宋体" w:eastAsia="宋体" w:cs="宋体"/>
          <w:color w:val="auto"/>
          <w:lang w:val="en-US" w:eastAsia="zh-CN"/>
        </w:rPr>
      </w:pPr>
    </w:p>
    <w:p w14:paraId="187526C3">
      <w:pPr>
        <w:rPr>
          <w:rFonts w:hint="eastAsia" w:ascii="宋体" w:hAnsi="宋体" w:eastAsia="宋体" w:cs="宋体"/>
          <w:color w:val="auto"/>
          <w:lang w:val="en-US" w:eastAsia="zh-CN"/>
        </w:rPr>
      </w:pPr>
    </w:p>
    <w:p w14:paraId="7FD2E3D1">
      <w:pPr>
        <w:rPr>
          <w:rFonts w:hint="eastAsia" w:ascii="宋体" w:hAnsi="宋体" w:eastAsia="宋体" w:cs="宋体"/>
          <w:color w:val="auto"/>
          <w:lang w:val="en-US" w:eastAsia="zh-CN"/>
        </w:rPr>
      </w:pPr>
    </w:p>
    <w:p w14:paraId="36F5FCD0">
      <w:pPr>
        <w:rPr>
          <w:rFonts w:hint="eastAsia" w:ascii="宋体" w:hAnsi="宋体" w:eastAsia="宋体" w:cs="宋体"/>
          <w:color w:val="auto"/>
          <w:lang w:val="en-US" w:eastAsia="zh-CN"/>
        </w:rPr>
      </w:pPr>
    </w:p>
    <w:p w14:paraId="161B3737">
      <w:pPr>
        <w:rPr>
          <w:rFonts w:hint="eastAsia" w:ascii="宋体" w:hAnsi="宋体" w:eastAsia="宋体" w:cs="宋体"/>
          <w:color w:val="auto"/>
          <w:lang w:val="en-US" w:eastAsia="zh-CN"/>
        </w:rPr>
      </w:pPr>
    </w:p>
    <w:p w14:paraId="1FF1D1E5">
      <w:pPr>
        <w:rPr>
          <w:rFonts w:hint="eastAsia" w:ascii="宋体" w:hAnsi="宋体" w:eastAsia="宋体" w:cs="宋体"/>
          <w:color w:val="auto"/>
          <w:lang w:val="en-US" w:eastAsia="zh-CN"/>
        </w:rPr>
      </w:pPr>
    </w:p>
    <w:p w14:paraId="1CDE724E">
      <w:pPr>
        <w:rPr>
          <w:rFonts w:hint="eastAsia" w:ascii="宋体" w:hAnsi="宋体" w:eastAsia="宋体" w:cs="宋体"/>
          <w:color w:val="auto"/>
          <w:lang w:val="en-US" w:eastAsia="zh-CN"/>
        </w:rPr>
      </w:pPr>
    </w:p>
    <w:p w14:paraId="68259464">
      <w:pPr>
        <w:rPr>
          <w:rFonts w:hint="eastAsia" w:ascii="宋体" w:hAnsi="宋体" w:eastAsia="宋体" w:cs="宋体"/>
          <w:color w:val="auto"/>
          <w:lang w:val="en-US" w:eastAsia="zh-CN"/>
        </w:rPr>
      </w:pPr>
    </w:p>
    <w:p w14:paraId="176A91E8">
      <w:pPr>
        <w:rPr>
          <w:rFonts w:hint="eastAsia" w:ascii="宋体" w:hAnsi="宋体" w:eastAsia="宋体" w:cs="宋体"/>
          <w:color w:val="auto"/>
          <w:lang w:val="en-US" w:eastAsia="zh-CN"/>
        </w:rPr>
      </w:pPr>
    </w:p>
    <w:p w14:paraId="68D9C968">
      <w:pPr>
        <w:rPr>
          <w:rFonts w:hint="eastAsia" w:ascii="宋体" w:hAnsi="宋体" w:eastAsia="宋体" w:cs="宋体"/>
          <w:color w:val="auto"/>
          <w:lang w:val="en-US" w:eastAsia="zh-CN"/>
        </w:rPr>
      </w:pPr>
    </w:p>
    <w:p w14:paraId="3F57CBCA">
      <w:pPr>
        <w:rPr>
          <w:rFonts w:hint="eastAsia" w:ascii="宋体" w:hAnsi="宋体" w:eastAsia="宋体" w:cs="宋体"/>
          <w:color w:val="auto"/>
          <w:lang w:val="en-US" w:eastAsia="zh-CN"/>
        </w:rPr>
      </w:pPr>
    </w:p>
    <w:p w14:paraId="25AADA9E">
      <w:pPr>
        <w:pStyle w:val="3"/>
        <w:bidi w:val="0"/>
        <w:ind w:left="0" w:leftChars="0" w:firstLine="0" w:firstLineChars="0"/>
        <w:rPr>
          <w:rFonts w:hint="eastAsia" w:ascii="宋体" w:hAnsi="宋体" w:eastAsia="宋体" w:cs="宋体"/>
          <w:b/>
          <w:bCs/>
          <w:color w:val="auto"/>
          <w:kern w:val="0"/>
          <w:highlight w:val="none"/>
          <w:lang w:val="en-US"/>
        </w:rPr>
      </w:pPr>
      <w:bookmarkStart w:id="72" w:name="_Toc13137"/>
      <w:bookmarkStart w:id="73" w:name="_Toc21116"/>
      <w:bookmarkStart w:id="74" w:name="_Toc26368"/>
      <w:r>
        <w:rPr>
          <w:rFonts w:hint="eastAsia" w:ascii="宋体" w:hAnsi="宋体" w:eastAsia="宋体" w:cs="宋体"/>
          <w:color w:val="auto"/>
          <w:lang w:val="en-US" w:eastAsia="zh-CN"/>
        </w:rPr>
        <w:t>格式九   项目技术负责人简历表</w:t>
      </w:r>
      <w:bookmarkEnd w:id="72"/>
      <w:bookmarkEnd w:id="73"/>
      <w:bookmarkEnd w:id="74"/>
    </w:p>
    <w:tbl>
      <w:tblPr>
        <w:tblStyle w:val="21"/>
        <w:tblpPr w:leftFromText="180" w:rightFromText="180" w:vertAnchor="text" w:horzAnchor="page" w:tblpX="1528" w:tblpY="13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11552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45A80AE0">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姓   名</w:t>
            </w:r>
          </w:p>
        </w:tc>
        <w:tc>
          <w:tcPr>
            <w:tcW w:w="1232" w:type="dxa"/>
            <w:gridSpan w:val="2"/>
            <w:tcBorders>
              <w:top w:val="single" w:color="auto" w:sz="4" w:space="0"/>
              <w:left w:val="single" w:color="auto" w:sz="4" w:space="0"/>
              <w:bottom w:val="single" w:color="auto" w:sz="4" w:space="0"/>
              <w:right w:val="single" w:color="auto" w:sz="4" w:space="0"/>
            </w:tcBorders>
            <w:noWrap w:val="0"/>
            <w:vAlign w:val="center"/>
          </w:tcPr>
          <w:p w14:paraId="00BE1D23">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294" w:type="dxa"/>
            <w:tcBorders>
              <w:top w:val="single" w:color="auto" w:sz="4" w:space="0"/>
              <w:left w:val="single" w:color="auto" w:sz="4" w:space="0"/>
              <w:bottom w:val="single" w:color="auto" w:sz="4" w:space="0"/>
              <w:right w:val="single" w:color="auto" w:sz="4" w:space="0"/>
            </w:tcBorders>
            <w:noWrap w:val="0"/>
            <w:vAlign w:val="center"/>
          </w:tcPr>
          <w:p w14:paraId="11837E49">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性  别</w:t>
            </w:r>
          </w:p>
        </w:tc>
        <w:tc>
          <w:tcPr>
            <w:tcW w:w="1946" w:type="dxa"/>
            <w:tcBorders>
              <w:top w:val="single" w:color="auto" w:sz="4" w:space="0"/>
              <w:left w:val="single" w:color="auto" w:sz="4" w:space="0"/>
              <w:bottom w:val="single" w:color="auto" w:sz="4" w:space="0"/>
              <w:right w:val="single" w:color="auto" w:sz="4" w:space="0"/>
            </w:tcBorders>
            <w:noWrap w:val="0"/>
            <w:vAlign w:val="center"/>
          </w:tcPr>
          <w:p w14:paraId="48E84FE7">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733" w:type="dxa"/>
            <w:gridSpan w:val="2"/>
            <w:tcBorders>
              <w:top w:val="single" w:color="auto" w:sz="4" w:space="0"/>
              <w:left w:val="single" w:color="auto" w:sz="4" w:space="0"/>
              <w:bottom w:val="single" w:color="auto" w:sz="4" w:space="0"/>
              <w:right w:val="single" w:color="auto" w:sz="4" w:space="0"/>
            </w:tcBorders>
            <w:noWrap w:val="0"/>
            <w:vAlign w:val="center"/>
          </w:tcPr>
          <w:p w14:paraId="4E60B202">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年   龄</w:t>
            </w:r>
          </w:p>
        </w:tc>
        <w:tc>
          <w:tcPr>
            <w:tcW w:w="1327" w:type="dxa"/>
            <w:tcBorders>
              <w:top w:val="single" w:color="auto" w:sz="4" w:space="0"/>
              <w:left w:val="single" w:color="auto" w:sz="4" w:space="0"/>
              <w:bottom w:val="single" w:color="auto" w:sz="4" w:space="0"/>
              <w:right w:val="single" w:color="auto" w:sz="4" w:space="0"/>
            </w:tcBorders>
            <w:noWrap w:val="0"/>
            <w:vAlign w:val="center"/>
          </w:tcPr>
          <w:p w14:paraId="30F88960">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r>
      <w:tr w14:paraId="715FF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4AEF92EB">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职   务</w:t>
            </w:r>
          </w:p>
        </w:tc>
        <w:tc>
          <w:tcPr>
            <w:tcW w:w="1232" w:type="dxa"/>
            <w:gridSpan w:val="2"/>
            <w:tcBorders>
              <w:top w:val="single" w:color="auto" w:sz="4" w:space="0"/>
              <w:left w:val="single" w:color="auto" w:sz="4" w:space="0"/>
              <w:bottom w:val="single" w:color="auto" w:sz="4" w:space="0"/>
              <w:right w:val="single" w:color="auto" w:sz="4" w:space="0"/>
            </w:tcBorders>
            <w:noWrap w:val="0"/>
            <w:vAlign w:val="center"/>
          </w:tcPr>
          <w:p w14:paraId="6856210A">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294" w:type="dxa"/>
            <w:tcBorders>
              <w:top w:val="single" w:color="auto" w:sz="4" w:space="0"/>
              <w:left w:val="single" w:color="auto" w:sz="4" w:space="0"/>
              <w:bottom w:val="single" w:color="auto" w:sz="4" w:space="0"/>
              <w:right w:val="single" w:color="auto" w:sz="4" w:space="0"/>
            </w:tcBorders>
            <w:noWrap w:val="0"/>
            <w:vAlign w:val="center"/>
          </w:tcPr>
          <w:p w14:paraId="4C78E7C7">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职  称</w:t>
            </w:r>
          </w:p>
        </w:tc>
        <w:tc>
          <w:tcPr>
            <w:tcW w:w="1946" w:type="dxa"/>
            <w:tcBorders>
              <w:top w:val="single" w:color="auto" w:sz="4" w:space="0"/>
              <w:left w:val="single" w:color="auto" w:sz="4" w:space="0"/>
              <w:bottom w:val="single" w:color="auto" w:sz="4" w:space="0"/>
              <w:right w:val="single" w:color="auto" w:sz="4" w:space="0"/>
            </w:tcBorders>
            <w:noWrap w:val="0"/>
            <w:vAlign w:val="center"/>
          </w:tcPr>
          <w:p w14:paraId="10A658BD">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733" w:type="dxa"/>
            <w:gridSpan w:val="2"/>
            <w:tcBorders>
              <w:top w:val="single" w:color="auto" w:sz="4" w:space="0"/>
              <w:left w:val="single" w:color="auto" w:sz="4" w:space="0"/>
              <w:bottom w:val="single" w:color="auto" w:sz="4" w:space="0"/>
              <w:right w:val="single" w:color="auto" w:sz="4" w:space="0"/>
            </w:tcBorders>
            <w:noWrap w:val="0"/>
            <w:vAlign w:val="center"/>
          </w:tcPr>
          <w:p w14:paraId="073824E0">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学   历</w:t>
            </w:r>
          </w:p>
        </w:tc>
        <w:tc>
          <w:tcPr>
            <w:tcW w:w="1327" w:type="dxa"/>
            <w:tcBorders>
              <w:top w:val="single" w:color="auto" w:sz="4" w:space="0"/>
              <w:left w:val="single" w:color="auto" w:sz="4" w:space="0"/>
              <w:bottom w:val="single" w:color="auto" w:sz="4" w:space="0"/>
              <w:right w:val="single" w:color="auto" w:sz="4" w:space="0"/>
            </w:tcBorders>
            <w:noWrap w:val="0"/>
            <w:vAlign w:val="center"/>
          </w:tcPr>
          <w:p w14:paraId="2BDE2C4F">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r>
      <w:tr w14:paraId="3AA3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007D3672">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参加工作时间</w:t>
            </w:r>
          </w:p>
        </w:tc>
        <w:tc>
          <w:tcPr>
            <w:tcW w:w="2526" w:type="dxa"/>
            <w:gridSpan w:val="3"/>
            <w:tcBorders>
              <w:top w:val="single" w:color="auto" w:sz="4" w:space="0"/>
              <w:left w:val="single" w:color="auto" w:sz="4" w:space="0"/>
              <w:bottom w:val="single" w:color="auto" w:sz="4" w:space="0"/>
              <w:right w:val="single" w:color="auto" w:sz="4" w:space="0"/>
            </w:tcBorders>
            <w:noWrap w:val="0"/>
            <w:vAlign w:val="center"/>
          </w:tcPr>
          <w:p w14:paraId="7D11E49A">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3679" w:type="dxa"/>
            <w:gridSpan w:val="3"/>
            <w:tcBorders>
              <w:top w:val="single" w:color="auto" w:sz="4" w:space="0"/>
              <w:left w:val="single" w:color="auto" w:sz="4" w:space="0"/>
              <w:bottom w:val="single" w:color="auto" w:sz="4" w:space="0"/>
              <w:right w:val="single" w:color="auto" w:sz="4" w:space="0"/>
            </w:tcBorders>
            <w:noWrap w:val="0"/>
            <w:vAlign w:val="center"/>
          </w:tcPr>
          <w:p w14:paraId="00F84C6B">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从事工程建设项目管理工作年限</w:t>
            </w:r>
          </w:p>
        </w:tc>
        <w:tc>
          <w:tcPr>
            <w:tcW w:w="1327" w:type="dxa"/>
            <w:tcBorders>
              <w:top w:val="single" w:color="auto" w:sz="4" w:space="0"/>
              <w:left w:val="single" w:color="auto" w:sz="4" w:space="0"/>
              <w:bottom w:val="single" w:color="auto" w:sz="4" w:space="0"/>
              <w:right w:val="single" w:color="auto" w:sz="4" w:space="0"/>
            </w:tcBorders>
            <w:noWrap w:val="0"/>
            <w:vAlign w:val="center"/>
          </w:tcPr>
          <w:p w14:paraId="7B63C9FE">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r>
      <w:tr w14:paraId="041D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70" w:type="dxa"/>
            <w:gridSpan w:val="9"/>
            <w:tcBorders>
              <w:top w:val="single" w:color="auto" w:sz="4" w:space="0"/>
              <w:left w:val="single" w:color="auto" w:sz="4" w:space="0"/>
              <w:bottom w:val="single" w:color="auto" w:sz="4" w:space="0"/>
              <w:right w:val="single" w:color="auto" w:sz="4" w:space="0"/>
            </w:tcBorders>
            <w:noWrap w:val="0"/>
            <w:vAlign w:val="center"/>
          </w:tcPr>
          <w:p w14:paraId="6CCB7ADF">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以项目技术负责人身份参与过的主要业绩（已完工项目）</w:t>
            </w:r>
          </w:p>
        </w:tc>
      </w:tr>
      <w:tr w14:paraId="130B4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5" w:type="dxa"/>
            <w:tcBorders>
              <w:top w:val="single" w:color="auto" w:sz="4" w:space="0"/>
              <w:left w:val="single" w:color="auto" w:sz="4" w:space="0"/>
              <w:bottom w:val="single" w:color="auto" w:sz="4" w:space="0"/>
              <w:right w:val="single" w:color="auto" w:sz="4" w:space="0"/>
            </w:tcBorders>
            <w:noWrap w:val="0"/>
            <w:vAlign w:val="center"/>
          </w:tcPr>
          <w:p w14:paraId="55596649">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序号</w:t>
            </w:r>
          </w:p>
        </w:tc>
        <w:tc>
          <w:tcPr>
            <w:tcW w:w="1547" w:type="dxa"/>
            <w:gridSpan w:val="2"/>
            <w:tcBorders>
              <w:top w:val="single" w:color="auto" w:sz="4" w:space="0"/>
              <w:left w:val="single" w:color="auto" w:sz="4" w:space="0"/>
              <w:bottom w:val="single" w:color="auto" w:sz="4" w:space="0"/>
              <w:right w:val="single" w:color="auto" w:sz="4" w:space="0"/>
            </w:tcBorders>
            <w:noWrap w:val="0"/>
            <w:vAlign w:val="center"/>
          </w:tcPr>
          <w:p w14:paraId="0668393B">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项目名称</w:t>
            </w:r>
          </w:p>
        </w:tc>
        <w:tc>
          <w:tcPr>
            <w:tcW w:w="1942" w:type="dxa"/>
            <w:gridSpan w:val="2"/>
            <w:tcBorders>
              <w:top w:val="single" w:color="auto" w:sz="4" w:space="0"/>
              <w:left w:val="single" w:color="auto" w:sz="4" w:space="0"/>
              <w:bottom w:val="single" w:color="auto" w:sz="4" w:space="0"/>
              <w:right w:val="single" w:color="auto" w:sz="4" w:space="0"/>
            </w:tcBorders>
            <w:noWrap w:val="0"/>
            <w:vAlign w:val="center"/>
          </w:tcPr>
          <w:p w14:paraId="5089B276">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建设单位</w:t>
            </w:r>
          </w:p>
        </w:tc>
        <w:tc>
          <w:tcPr>
            <w:tcW w:w="1973" w:type="dxa"/>
            <w:gridSpan w:val="2"/>
            <w:tcBorders>
              <w:top w:val="single" w:color="auto" w:sz="4" w:space="0"/>
              <w:left w:val="single" w:color="auto" w:sz="4" w:space="0"/>
              <w:bottom w:val="single" w:color="auto" w:sz="4" w:space="0"/>
              <w:right w:val="single" w:color="auto" w:sz="4" w:space="0"/>
            </w:tcBorders>
            <w:noWrap w:val="0"/>
            <w:vAlign w:val="center"/>
          </w:tcPr>
          <w:p w14:paraId="08523302">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建设内容和规模</w:t>
            </w:r>
          </w:p>
        </w:tc>
        <w:tc>
          <w:tcPr>
            <w:tcW w:w="1706" w:type="dxa"/>
            <w:tcBorders>
              <w:top w:val="single" w:color="auto" w:sz="4" w:space="0"/>
              <w:left w:val="single" w:color="auto" w:sz="4" w:space="0"/>
              <w:bottom w:val="single" w:color="auto" w:sz="4" w:space="0"/>
              <w:right w:val="single" w:color="auto" w:sz="4" w:space="0"/>
            </w:tcBorders>
            <w:noWrap w:val="0"/>
            <w:vAlign w:val="center"/>
          </w:tcPr>
          <w:p w14:paraId="2C52B569">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开、竣工日期</w:t>
            </w:r>
          </w:p>
        </w:tc>
        <w:tc>
          <w:tcPr>
            <w:tcW w:w="1327" w:type="dxa"/>
            <w:tcBorders>
              <w:top w:val="single" w:color="auto" w:sz="4" w:space="0"/>
              <w:left w:val="single" w:color="auto" w:sz="4" w:space="0"/>
              <w:bottom w:val="single" w:color="auto" w:sz="4" w:space="0"/>
              <w:right w:val="single" w:color="auto" w:sz="4" w:space="0"/>
            </w:tcBorders>
            <w:noWrap w:val="0"/>
            <w:vAlign w:val="center"/>
          </w:tcPr>
          <w:p w14:paraId="49C727C5">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质量等级</w:t>
            </w:r>
          </w:p>
        </w:tc>
      </w:tr>
      <w:tr w14:paraId="72856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5" w:type="dxa"/>
            <w:tcBorders>
              <w:top w:val="single" w:color="auto" w:sz="4" w:space="0"/>
              <w:left w:val="single" w:color="auto" w:sz="4" w:space="0"/>
              <w:bottom w:val="single" w:color="auto" w:sz="4" w:space="0"/>
              <w:right w:val="single" w:color="auto" w:sz="4" w:space="0"/>
            </w:tcBorders>
            <w:noWrap w:val="0"/>
            <w:vAlign w:val="center"/>
          </w:tcPr>
          <w:p w14:paraId="6BA1A78D">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1</w:t>
            </w:r>
          </w:p>
        </w:tc>
        <w:tc>
          <w:tcPr>
            <w:tcW w:w="1547" w:type="dxa"/>
            <w:gridSpan w:val="2"/>
            <w:tcBorders>
              <w:top w:val="single" w:color="auto" w:sz="4" w:space="0"/>
              <w:left w:val="single" w:color="auto" w:sz="4" w:space="0"/>
              <w:bottom w:val="single" w:color="auto" w:sz="4" w:space="0"/>
              <w:right w:val="single" w:color="auto" w:sz="4" w:space="0"/>
            </w:tcBorders>
            <w:noWrap w:val="0"/>
            <w:vAlign w:val="center"/>
          </w:tcPr>
          <w:p w14:paraId="19E0FA97">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942" w:type="dxa"/>
            <w:gridSpan w:val="2"/>
            <w:tcBorders>
              <w:top w:val="single" w:color="auto" w:sz="4" w:space="0"/>
              <w:left w:val="single" w:color="auto" w:sz="4" w:space="0"/>
              <w:bottom w:val="single" w:color="auto" w:sz="4" w:space="0"/>
              <w:right w:val="single" w:color="auto" w:sz="4" w:space="0"/>
            </w:tcBorders>
            <w:noWrap w:val="0"/>
            <w:vAlign w:val="center"/>
          </w:tcPr>
          <w:p w14:paraId="62C7E6D8">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973" w:type="dxa"/>
            <w:gridSpan w:val="2"/>
            <w:tcBorders>
              <w:top w:val="single" w:color="auto" w:sz="4" w:space="0"/>
              <w:left w:val="single" w:color="auto" w:sz="4" w:space="0"/>
              <w:bottom w:val="single" w:color="auto" w:sz="4" w:space="0"/>
              <w:right w:val="single" w:color="auto" w:sz="4" w:space="0"/>
            </w:tcBorders>
            <w:noWrap w:val="0"/>
            <w:vAlign w:val="center"/>
          </w:tcPr>
          <w:p w14:paraId="570691C7">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706" w:type="dxa"/>
            <w:tcBorders>
              <w:top w:val="single" w:color="auto" w:sz="4" w:space="0"/>
              <w:left w:val="single" w:color="auto" w:sz="4" w:space="0"/>
              <w:bottom w:val="single" w:color="auto" w:sz="4" w:space="0"/>
              <w:right w:val="single" w:color="auto" w:sz="4" w:space="0"/>
            </w:tcBorders>
            <w:noWrap w:val="0"/>
            <w:vAlign w:val="center"/>
          </w:tcPr>
          <w:p w14:paraId="7DBCCF4E">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4B2A6748">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r>
      <w:tr w14:paraId="6ABA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5" w:type="dxa"/>
            <w:tcBorders>
              <w:top w:val="single" w:color="auto" w:sz="4" w:space="0"/>
              <w:left w:val="single" w:color="auto" w:sz="4" w:space="0"/>
              <w:bottom w:val="single" w:color="auto" w:sz="4" w:space="0"/>
              <w:right w:val="single" w:color="auto" w:sz="4" w:space="0"/>
            </w:tcBorders>
            <w:noWrap w:val="0"/>
            <w:vAlign w:val="center"/>
          </w:tcPr>
          <w:p w14:paraId="3BEB8FDD">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2</w:t>
            </w:r>
          </w:p>
        </w:tc>
        <w:tc>
          <w:tcPr>
            <w:tcW w:w="1547" w:type="dxa"/>
            <w:gridSpan w:val="2"/>
            <w:tcBorders>
              <w:top w:val="single" w:color="auto" w:sz="4" w:space="0"/>
              <w:left w:val="single" w:color="auto" w:sz="4" w:space="0"/>
              <w:bottom w:val="single" w:color="auto" w:sz="4" w:space="0"/>
              <w:right w:val="single" w:color="auto" w:sz="4" w:space="0"/>
            </w:tcBorders>
            <w:noWrap w:val="0"/>
            <w:vAlign w:val="center"/>
          </w:tcPr>
          <w:p w14:paraId="29B889B6">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942" w:type="dxa"/>
            <w:gridSpan w:val="2"/>
            <w:tcBorders>
              <w:top w:val="single" w:color="auto" w:sz="4" w:space="0"/>
              <w:left w:val="single" w:color="auto" w:sz="4" w:space="0"/>
              <w:bottom w:val="single" w:color="auto" w:sz="4" w:space="0"/>
              <w:right w:val="single" w:color="auto" w:sz="4" w:space="0"/>
            </w:tcBorders>
            <w:noWrap w:val="0"/>
            <w:vAlign w:val="center"/>
          </w:tcPr>
          <w:p w14:paraId="4546FCFC">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973" w:type="dxa"/>
            <w:gridSpan w:val="2"/>
            <w:tcBorders>
              <w:top w:val="single" w:color="auto" w:sz="4" w:space="0"/>
              <w:left w:val="single" w:color="auto" w:sz="4" w:space="0"/>
              <w:bottom w:val="single" w:color="auto" w:sz="4" w:space="0"/>
              <w:right w:val="single" w:color="auto" w:sz="4" w:space="0"/>
            </w:tcBorders>
            <w:noWrap w:val="0"/>
            <w:vAlign w:val="center"/>
          </w:tcPr>
          <w:p w14:paraId="7A6A2358">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706" w:type="dxa"/>
            <w:tcBorders>
              <w:top w:val="single" w:color="auto" w:sz="4" w:space="0"/>
              <w:left w:val="single" w:color="auto" w:sz="4" w:space="0"/>
              <w:bottom w:val="single" w:color="auto" w:sz="4" w:space="0"/>
              <w:right w:val="single" w:color="auto" w:sz="4" w:space="0"/>
            </w:tcBorders>
            <w:noWrap w:val="0"/>
            <w:vAlign w:val="center"/>
          </w:tcPr>
          <w:p w14:paraId="1BDD6989">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2644DCDB">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r>
      <w:tr w14:paraId="1735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5" w:type="dxa"/>
            <w:tcBorders>
              <w:top w:val="single" w:color="auto" w:sz="4" w:space="0"/>
              <w:left w:val="single" w:color="auto" w:sz="4" w:space="0"/>
              <w:bottom w:val="single" w:color="auto" w:sz="4" w:space="0"/>
              <w:right w:val="single" w:color="auto" w:sz="4" w:space="0"/>
            </w:tcBorders>
            <w:noWrap w:val="0"/>
            <w:vAlign w:val="center"/>
          </w:tcPr>
          <w:p w14:paraId="2B375A78">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w:t>
            </w:r>
          </w:p>
        </w:tc>
        <w:tc>
          <w:tcPr>
            <w:tcW w:w="1547" w:type="dxa"/>
            <w:gridSpan w:val="2"/>
            <w:tcBorders>
              <w:top w:val="single" w:color="auto" w:sz="4" w:space="0"/>
              <w:left w:val="single" w:color="auto" w:sz="4" w:space="0"/>
              <w:bottom w:val="single" w:color="auto" w:sz="4" w:space="0"/>
              <w:right w:val="single" w:color="auto" w:sz="4" w:space="0"/>
            </w:tcBorders>
            <w:noWrap w:val="0"/>
            <w:vAlign w:val="center"/>
          </w:tcPr>
          <w:p w14:paraId="332725C9">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942" w:type="dxa"/>
            <w:gridSpan w:val="2"/>
            <w:tcBorders>
              <w:top w:val="single" w:color="auto" w:sz="4" w:space="0"/>
              <w:left w:val="single" w:color="auto" w:sz="4" w:space="0"/>
              <w:bottom w:val="single" w:color="auto" w:sz="4" w:space="0"/>
              <w:right w:val="single" w:color="auto" w:sz="4" w:space="0"/>
            </w:tcBorders>
            <w:noWrap w:val="0"/>
            <w:vAlign w:val="center"/>
          </w:tcPr>
          <w:p w14:paraId="71AB9D0C">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973" w:type="dxa"/>
            <w:gridSpan w:val="2"/>
            <w:tcBorders>
              <w:top w:val="single" w:color="auto" w:sz="4" w:space="0"/>
              <w:left w:val="single" w:color="auto" w:sz="4" w:space="0"/>
              <w:bottom w:val="single" w:color="auto" w:sz="4" w:space="0"/>
              <w:right w:val="single" w:color="auto" w:sz="4" w:space="0"/>
            </w:tcBorders>
            <w:noWrap w:val="0"/>
            <w:vAlign w:val="center"/>
          </w:tcPr>
          <w:p w14:paraId="0F5AF0A0">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706" w:type="dxa"/>
            <w:tcBorders>
              <w:top w:val="single" w:color="auto" w:sz="4" w:space="0"/>
              <w:left w:val="single" w:color="auto" w:sz="4" w:space="0"/>
              <w:bottom w:val="single" w:color="auto" w:sz="4" w:space="0"/>
              <w:right w:val="single" w:color="auto" w:sz="4" w:space="0"/>
            </w:tcBorders>
            <w:noWrap w:val="0"/>
            <w:vAlign w:val="center"/>
          </w:tcPr>
          <w:p w14:paraId="08C2B96B">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10BE65B5">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r>
      <w:tr w14:paraId="5166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5" w:type="dxa"/>
            <w:tcBorders>
              <w:top w:val="single" w:color="auto" w:sz="4" w:space="0"/>
              <w:left w:val="single" w:color="auto" w:sz="4" w:space="0"/>
              <w:bottom w:val="single" w:color="auto" w:sz="4" w:space="0"/>
              <w:right w:val="single" w:color="auto" w:sz="4" w:space="0"/>
            </w:tcBorders>
            <w:noWrap w:val="0"/>
            <w:vAlign w:val="center"/>
          </w:tcPr>
          <w:p w14:paraId="5E7875E5">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547" w:type="dxa"/>
            <w:gridSpan w:val="2"/>
            <w:tcBorders>
              <w:top w:val="single" w:color="auto" w:sz="4" w:space="0"/>
              <w:left w:val="single" w:color="auto" w:sz="4" w:space="0"/>
              <w:bottom w:val="single" w:color="auto" w:sz="4" w:space="0"/>
              <w:right w:val="single" w:color="auto" w:sz="4" w:space="0"/>
            </w:tcBorders>
            <w:noWrap w:val="0"/>
            <w:vAlign w:val="center"/>
          </w:tcPr>
          <w:p w14:paraId="7E7336B2">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942" w:type="dxa"/>
            <w:gridSpan w:val="2"/>
            <w:tcBorders>
              <w:top w:val="single" w:color="auto" w:sz="4" w:space="0"/>
              <w:left w:val="single" w:color="auto" w:sz="4" w:space="0"/>
              <w:bottom w:val="single" w:color="auto" w:sz="4" w:space="0"/>
              <w:right w:val="single" w:color="auto" w:sz="4" w:space="0"/>
            </w:tcBorders>
            <w:noWrap w:val="0"/>
            <w:vAlign w:val="center"/>
          </w:tcPr>
          <w:p w14:paraId="53C1EF70">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973" w:type="dxa"/>
            <w:gridSpan w:val="2"/>
            <w:tcBorders>
              <w:top w:val="single" w:color="auto" w:sz="4" w:space="0"/>
              <w:left w:val="single" w:color="auto" w:sz="4" w:space="0"/>
              <w:bottom w:val="single" w:color="auto" w:sz="4" w:space="0"/>
              <w:right w:val="single" w:color="auto" w:sz="4" w:space="0"/>
            </w:tcBorders>
            <w:noWrap w:val="0"/>
            <w:vAlign w:val="center"/>
          </w:tcPr>
          <w:p w14:paraId="0588A57B">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706" w:type="dxa"/>
            <w:tcBorders>
              <w:top w:val="single" w:color="auto" w:sz="4" w:space="0"/>
              <w:left w:val="single" w:color="auto" w:sz="4" w:space="0"/>
              <w:bottom w:val="single" w:color="auto" w:sz="4" w:space="0"/>
              <w:right w:val="single" w:color="auto" w:sz="4" w:space="0"/>
            </w:tcBorders>
            <w:noWrap w:val="0"/>
            <w:vAlign w:val="center"/>
          </w:tcPr>
          <w:p w14:paraId="749A13FD">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749ED972">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r>
      <w:tr w14:paraId="2F8C1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5" w:type="dxa"/>
            <w:tcBorders>
              <w:top w:val="single" w:color="auto" w:sz="4" w:space="0"/>
              <w:left w:val="single" w:color="auto" w:sz="4" w:space="0"/>
              <w:bottom w:val="single" w:color="auto" w:sz="4" w:space="0"/>
              <w:right w:val="single" w:color="auto" w:sz="4" w:space="0"/>
            </w:tcBorders>
            <w:noWrap w:val="0"/>
            <w:vAlign w:val="center"/>
          </w:tcPr>
          <w:p w14:paraId="2C9CDF61">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547" w:type="dxa"/>
            <w:gridSpan w:val="2"/>
            <w:tcBorders>
              <w:top w:val="single" w:color="auto" w:sz="4" w:space="0"/>
              <w:left w:val="single" w:color="auto" w:sz="4" w:space="0"/>
              <w:bottom w:val="single" w:color="auto" w:sz="4" w:space="0"/>
              <w:right w:val="single" w:color="auto" w:sz="4" w:space="0"/>
            </w:tcBorders>
            <w:noWrap w:val="0"/>
            <w:vAlign w:val="center"/>
          </w:tcPr>
          <w:p w14:paraId="50082864">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942" w:type="dxa"/>
            <w:gridSpan w:val="2"/>
            <w:tcBorders>
              <w:top w:val="single" w:color="auto" w:sz="4" w:space="0"/>
              <w:left w:val="single" w:color="auto" w:sz="4" w:space="0"/>
              <w:bottom w:val="single" w:color="auto" w:sz="4" w:space="0"/>
              <w:right w:val="single" w:color="auto" w:sz="4" w:space="0"/>
            </w:tcBorders>
            <w:noWrap w:val="0"/>
            <w:vAlign w:val="center"/>
          </w:tcPr>
          <w:p w14:paraId="10CB1E53">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973" w:type="dxa"/>
            <w:gridSpan w:val="2"/>
            <w:tcBorders>
              <w:top w:val="single" w:color="auto" w:sz="4" w:space="0"/>
              <w:left w:val="single" w:color="auto" w:sz="4" w:space="0"/>
              <w:bottom w:val="single" w:color="auto" w:sz="4" w:space="0"/>
              <w:right w:val="single" w:color="auto" w:sz="4" w:space="0"/>
            </w:tcBorders>
            <w:noWrap w:val="0"/>
            <w:vAlign w:val="center"/>
          </w:tcPr>
          <w:p w14:paraId="77D0D76E">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706" w:type="dxa"/>
            <w:tcBorders>
              <w:top w:val="single" w:color="auto" w:sz="4" w:space="0"/>
              <w:left w:val="single" w:color="auto" w:sz="4" w:space="0"/>
              <w:bottom w:val="single" w:color="auto" w:sz="4" w:space="0"/>
              <w:right w:val="single" w:color="auto" w:sz="4" w:space="0"/>
            </w:tcBorders>
            <w:noWrap w:val="0"/>
            <w:vAlign w:val="center"/>
          </w:tcPr>
          <w:p w14:paraId="2E0FD47E">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53AA3F1B">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r>
    </w:tbl>
    <w:p w14:paraId="2A5C44FF">
      <w:pPr>
        <w:keepNext w:val="0"/>
        <w:keepLines w:val="0"/>
        <w:widowControl w:val="0"/>
        <w:suppressLineNumbers w:val="0"/>
        <w:wordWrap w:val="0"/>
        <w:spacing w:before="0" w:beforeAutospacing="0" w:after="0" w:afterAutospacing="0" w:line="440" w:lineRule="exact"/>
        <w:ind w:left="0" w:right="0"/>
        <w:jc w:val="center"/>
        <w:outlineLvl w:val="9"/>
        <w:rPr>
          <w:rFonts w:hint="eastAsia" w:ascii="宋体" w:hAnsi="宋体" w:eastAsia="宋体" w:cs="宋体"/>
          <w:b/>
          <w:bCs/>
          <w:color w:val="auto"/>
          <w:kern w:val="0"/>
          <w:highlight w:val="none"/>
          <w:lang w:val="en-US"/>
        </w:rPr>
      </w:pPr>
      <w:r>
        <w:rPr>
          <w:rFonts w:hint="eastAsia" w:ascii="宋体" w:hAnsi="宋体" w:eastAsia="宋体" w:cs="宋体"/>
          <w:b/>
          <w:bCs w:val="0"/>
          <w:color w:val="auto"/>
          <w:kern w:val="0"/>
          <w:sz w:val="30"/>
          <w:szCs w:val="30"/>
          <w:highlight w:val="none"/>
          <w:lang w:val="en-US" w:eastAsia="zh-CN" w:bidi="ar"/>
        </w:rPr>
        <w:t>项目技术负责人简历表</w:t>
      </w:r>
    </w:p>
    <w:p w14:paraId="70803F74">
      <w:pPr>
        <w:keepNext w:val="0"/>
        <w:keepLines w:val="0"/>
        <w:widowControl w:val="0"/>
        <w:suppressLineNumbers w:val="0"/>
        <w:wordWrap w:val="0"/>
        <w:spacing w:before="0" w:beforeAutospacing="0" w:after="0" w:afterAutospacing="0" w:line="440" w:lineRule="exact"/>
        <w:ind w:right="0"/>
        <w:jc w:val="both"/>
        <w:outlineLvl w:val="9"/>
        <w:rPr>
          <w:rFonts w:hint="eastAsia" w:ascii="宋体" w:hAnsi="宋体" w:eastAsia="宋体" w:cs="宋体"/>
          <w:color w:val="auto"/>
          <w:kern w:val="0"/>
          <w:highlight w:val="none"/>
          <w:lang w:val="en-US"/>
        </w:rPr>
      </w:pPr>
    </w:p>
    <w:p w14:paraId="13B06CFB">
      <w:pPr>
        <w:pStyle w:val="40"/>
        <w:widowControl/>
        <w:wordWrap w:val="0"/>
        <w:spacing w:line="440" w:lineRule="exact"/>
        <w:jc w:val="right"/>
        <w:outlineLvl w:val="9"/>
        <w:rPr>
          <w:rFonts w:hint="eastAsia" w:ascii="宋体" w:hAnsi="宋体" w:eastAsia="宋体" w:cs="宋体"/>
          <w:color w:val="auto"/>
          <w:kern w:val="0"/>
          <w:highlight w:val="none"/>
          <w:lang w:val="en-US"/>
        </w:rPr>
      </w:pPr>
      <w:r>
        <w:rPr>
          <w:rFonts w:hint="eastAsia" w:ascii="宋体" w:hAnsi="宋体" w:eastAsia="宋体" w:cs="宋体"/>
          <w:color w:val="auto"/>
          <w:kern w:val="0"/>
          <w:highlight w:val="none"/>
          <w:lang w:val="en-US"/>
        </w:rPr>
        <w:t xml:space="preserve"> </w:t>
      </w:r>
    </w:p>
    <w:p w14:paraId="4BC153CA">
      <w:pPr>
        <w:rPr>
          <w:rFonts w:hint="eastAsia" w:ascii="宋体" w:hAnsi="宋体" w:eastAsia="宋体" w:cs="宋体"/>
          <w:color w:val="auto"/>
          <w:lang w:eastAsia="zh-CN"/>
        </w:rPr>
      </w:pPr>
    </w:p>
    <w:p w14:paraId="1E8E09F1">
      <w:pPr>
        <w:rPr>
          <w:rFonts w:hint="eastAsia" w:ascii="宋体" w:hAnsi="宋体" w:eastAsia="宋体" w:cs="宋体"/>
          <w:color w:val="auto"/>
          <w:lang w:eastAsia="zh-CN"/>
        </w:rPr>
      </w:pPr>
    </w:p>
    <w:p w14:paraId="4AA7D1A2">
      <w:pPr>
        <w:pStyle w:val="40"/>
        <w:widowControl/>
        <w:wordWrap w:val="0"/>
        <w:spacing w:line="440" w:lineRule="exact"/>
        <w:jc w:val="right"/>
        <w:outlineLvl w:val="9"/>
        <w:rPr>
          <w:rFonts w:hint="eastAsia" w:ascii="宋体" w:hAnsi="宋体" w:eastAsia="宋体" w:cs="宋体"/>
          <w:color w:val="auto"/>
          <w:kern w:val="0"/>
          <w:highlight w:val="none"/>
          <w:lang w:val="en-US"/>
        </w:rPr>
      </w:pPr>
      <w:r>
        <w:rPr>
          <w:rFonts w:hint="eastAsia" w:ascii="宋体" w:hAnsi="宋体" w:eastAsia="宋体" w:cs="宋体"/>
          <w:color w:val="auto"/>
          <w:kern w:val="0"/>
          <w:highlight w:val="none"/>
          <w:lang w:eastAsia="zh-CN"/>
        </w:rPr>
        <w:t>项目技术负责人：</w:t>
      </w:r>
      <w:r>
        <w:rPr>
          <w:rFonts w:hint="eastAsia" w:ascii="宋体" w:hAnsi="宋体" w:eastAsia="宋体" w:cs="宋体"/>
          <w:color w:val="auto"/>
          <w:kern w:val="0"/>
          <w:highlight w:val="none"/>
          <w:u w:val="single"/>
          <w:lang w:val="en-US"/>
        </w:rPr>
        <w:t xml:space="preserve">         </w:t>
      </w:r>
      <w:r>
        <w:rPr>
          <w:rFonts w:hint="eastAsia" w:ascii="宋体" w:hAnsi="宋体" w:eastAsia="宋体" w:cs="宋体"/>
          <w:color w:val="auto"/>
          <w:kern w:val="0"/>
          <w:highlight w:val="none"/>
          <w:lang w:eastAsia="zh-CN"/>
        </w:rPr>
        <w:t>（签字）</w:t>
      </w:r>
    </w:p>
    <w:p w14:paraId="77A87A7C">
      <w:pPr>
        <w:rPr>
          <w:rFonts w:hint="eastAsia" w:ascii="宋体" w:hAnsi="宋体" w:eastAsia="宋体" w:cs="宋体"/>
          <w:color w:val="auto"/>
          <w:lang w:val="en-US"/>
        </w:rPr>
      </w:pPr>
      <w:r>
        <w:rPr>
          <w:rFonts w:hint="eastAsia" w:ascii="宋体" w:hAnsi="宋体" w:eastAsia="宋体" w:cs="宋体"/>
          <w:color w:val="auto"/>
          <w:lang w:val="en-US"/>
        </w:rPr>
        <w:t xml:space="preserve"> </w:t>
      </w:r>
    </w:p>
    <w:p w14:paraId="3591334C">
      <w:pPr>
        <w:pStyle w:val="40"/>
        <w:widowControl/>
        <w:wordWrap w:val="0"/>
        <w:spacing w:line="440" w:lineRule="exact"/>
        <w:jc w:val="center"/>
        <w:outlineLvl w:val="9"/>
        <w:rPr>
          <w:rFonts w:hint="eastAsia" w:ascii="宋体" w:hAnsi="宋体" w:eastAsia="宋体" w:cs="宋体"/>
          <w:color w:val="auto"/>
          <w:kern w:val="0"/>
          <w:highlight w:val="none"/>
          <w:lang w:val="en-US"/>
        </w:rPr>
      </w:pPr>
      <w:r>
        <w:rPr>
          <w:rFonts w:hint="eastAsia" w:ascii="宋体" w:hAnsi="宋体" w:eastAsia="宋体" w:cs="宋体"/>
          <w:color w:val="auto"/>
          <w:kern w:val="0"/>
          <w:highlight w:val="none"/>
          <w:lang w:val="en-US"/>
        </w:rPr>
        <w:t xml:space="preserve">                                             </w:t>
      </w:r>
      <w:r>
        <w:rPr>
          <w:rFonts w:hint="eastAsia" w:ascii="宋体" w:hAnsi="宋体" w:eastAsia="宋体" w:cs="宋体"/>
          <w:color w:val="auto"/>
          <w:kern w:val="0"/>
          <w:highlight w:val="none"/>
          <w:lang w:eastAsia="zh-CN"/>
        </w:rPr>
        <w:t>年</w:t>
      </w:r>
      <w:r>
        <w:rPr>
          <w:rFonts w:hint="eastAsia" w:ascii="宋体" w:hAnsi="宋体" w:eastAsia="宋体" w:cs="宋体"/>
          <w:color w:val="auto"/>
          <w:kern w:val="0"/>
          <w:highlight w:val="none"/>
          <w:lang w:val="en-US"/>
        </w:rPr>
        <w:t xml:space="preserve">   </w:t>
      </w:r>
      <w:r>
        <w:rPr>
          <w:rFonts w:hint="eastAsia" w:ascii="宋体" w:hAnsi="宋体" w:eastAsia="宋体" w:cs="宋体"/>
          <w:color w:val="auto"/>
          <w:kern w:val="0"/>
          <w:highlight w:val="none"/>
          <w:lang w:eastAsia="zh-CN"/>
        </w:rPr>
        <w:t>月</w:t>
      </w:r>
      <w:r>
        <w:rPr>
          <w:rFonts w:hint="eastAsia" w:ascii="宋体" w:hAnsi="宋体" w:eastAsia="宋体" w:cs="宋体"/>
          <w:color w:val="auto"/>
          <w:kern w:val="0"/>
          <w:highlight w:val="none"/>
          <w:lang w:val="en-US"/>
        </w:rPr>
        <w:t xml:space="preserve">   </w:t>
      </w:r>
      <w:r>
        <w:rPr>
          <w:rFonts w:hint="eastAsia" w:ascii="宋体" w:hAnsi="宋体" w:eastAsia="宋体" w:cs="宋体"/>
          <w:color w:val="auto"/>
          <w:kern w:val="0"/>
          <w:highlight w:val="none"/>
          <w:lang w:eastAsia="zh-CN"/>
        </w:rPr>
        <w:t>日</w:t>
      </w:r>
    </w:p>
    <w:p w14:paraId="3652B6D9">
      <w:pPr>
        <w:rPr>
          <w:rFonts w:hint="eastAsia" w:ascii="宋体" w:hAnsi="宋体" w:eastAsia="宋体" w:cs="宋体"/>
          <w:color w:val="auto"/>
          <w:lang w:val="en-US"/>
        </w:rPr>
      </w:pPr>
      <w:r>
        <w:rPr>
          <w:rFonts w:hint="eastAsia" w:ascii="宋体" w:hAnsi="宋体" w:eastAsia="宋体" w:cs="宋体"/>
          <w:color w:val="auto"/>
          <w:lang w:val="en-US" w:eastAsia="zh-CN"/>
        </w:rPr>
        <w:t xml:space="preserve"> </w:t>
      </w:r>
    </w:p>
    <w:p w14:paraId="18956059">
      <w:pPr>
        <w:keepNext w:val="0"/>
        <w:keepLines w:val="0"/>
        <w:widowControl w:val="0"/>
        <w:suppressLineNumbers w:val="0"/>
        <w:wordWrap w:val="0"/>
        <w:spacing w:before="0" w:beforeAutospacing="0" w:after="0" w:afterAutospacing="0" w:line="400" w:lineRule="exact"/>
        <w:ind w:left="0" w:right="0"/>
        <w:jc w:val="both"/>
        <w:outlineLvl w:val="9"/>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 xml:space="preserve">    说明：《项目技术负责人简历表》后应附拟派项目技术负责人以下资料：</w:t>
      </w:r>
    </w:p>
    <w:p w14:paraId="08538B93">
      <w:pPr>
        <w:keepNext w:val="0"/>
        <w:keepLines w:val="0"/>
        <w:widowControl w:val="0"/>
        <w:suppressLineNumbers w:val="0"/>
        <w:wordWrap w:val="0"/>
        <w:spacing w:before="0" w:beforeAutospacing="0" w:after="0" w:afterAutospacing="0" w:line="400" w:lineRule="exact"/>
        <w:ind w:left="0" w:right="0"/>
        <w:jc w:val="both"/>
        <w:outlineLvl w:val="9"/>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 xml:space="preserve">    1．身份证彩色扫描件；</w:t>
      </w:r>
    </w:p>
    <w:p w14:paraId="06B77C09">
      <w:pPr>
        <w:keepNext w:val="0"/>
        <w:keepLines w:val="0"/>
        <w:widowControl w:val="0"/>
        <w:suppressLineNumbers w:val="0"/>
        <w:wordWrap w:val="0"/>
        <w:spacing w:before="0" w:beforeAutospacing="0" w:after="0" w:afterAutospacing="0" w:line="400" w:lineRule="exact"/>
        <w:ind w:left="0" w:right="0"/>
        <w:jc w:val="both"/>
        <w:outlineLvl w:val="9"/>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 xml:space="preserve">    2．职称证彩色扫描件；</w:t>
      </w:r>
    </w:p>
    <w:p w14:paraId="41F80FD8">
      <w:pPr>
        <w:keepNext w:val="0"/>
        <w:keepLines w:val="0"/>
        <w:widowControl w:val="0"/>
        <w:suppressLineNumbers w:val="0"/>
        <w:wordWrap w:val="0"/>
        <w:spacing w:before="0" w:beforeAutospacing="0" w:after="0" w:afterAutospacing="0" w:line="400" w:lineRule="exact"/>
        <w:ind w:left="0" w:right="0" w:firstLine="420" w:firstLineChars="200"/>
        <w:jc w:val="both"/>
        <w:outlineLvl w:val="9"/>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3．在本单位缴纳社保的证明</w:t>
      </w:r>
      <w:r>
        <w:rPr>
          <w:rFonts w:hint="eastAsia" w:ascii="宋体" w:hAnsi="宋体" w:cs="宋体"/>
          <w:color w:val="auto"/>
          <w:kern w:val="0"/>
          <w:sz w:val="21"/>
          <w:szCs w:val="21"/>
          <w:highlight w:val="none"/>
          <w:lang w:val="en-US" w:eastAsia="zh-CN" w:bidi="ar"/>
        </w:rPr>
        <w:t>（至少1个月，其中必须有2026年3月）</w:t>
      </w:r>
      <w:r>
        <w:rPr>
          <w:rFonts w:hint="eastAsia" w:ascii="宋体" w:hAnsi="宋体" w:eastAsia="宋体" w:cs="宋体"/>
          <w:color w:val="auto"/>
          <w:kern w:val="0"/>
          <w:sz w:val="21"/>
          <w:szCs w:val="21"/>
          <w:highlight w:val="none"/>
          <w:lang w:val="en-US" w:eastAsia="zh-CN" w:bidi="ar"/>
        </w:rPr>
        <w:t>彩色扫描件。拟派项目技术负责人为退休返聘人员无法提供社保证明的，提供退休证和劳动合同</w:t>
      </w:r>
      <w:r>
        <w:rPr>
          <w:rFonts w:hint="eastAsia" w:ascii="宋体" w:hAnsi="宋体" w:eastAsia="宋体" w:cs="宋体"/>
          <w:b w:val="0"/>
          <w:bCs w:val="0"/>
          <w:color w:val="auto"/>
          <w:kern w:val="0"/>
          <w:sz w:val="21"/>
          <w:szCs w:val="21"/>
          <w:highlight w:val="none"/>
          <w:lang w:val="en-US" w:eastAsia="zh-CN" w:bidi="ar"/>
        </w:rPr>
        <w:t>（返聘协议）</w:t>
      </w:r>
      <w:r>
        <w:rPr>
          <w:rFonts w:hint="eastAsia" w:ascii="宋体" w:hAnsi="宋体" w:eastAsia="宋体" w:cs="宋体"/>
          <w:color w:val="auto"/>
          <w:kern w:val="0"/>
          <w:sz w:val="21"/>
          <w:szCs w:val="21"/>
          <w:highlight w:val="none"/>
          <w:lang w:val="en-US" w:eastAsia="zh-CN" w:bidi="ar"/>
        </w:rPr>
        <w:t>彩色扫描件。</w:t>
      </w:r>
    </w:p>
    <w:p w14:paraId="6F7387BE">
      <w:pPr>
        <w:keepNext w:val="0"/>
        <w:keepLines w:val="0"/>
        <w:widowControl w:val="0"/>
        <w:suppressLineNumbers w:val="0"/>
        <w:wordWrap w:val="0"/>
        <w:spacing w:before="0" w:beforeAutospacing="0" w:after="0" w:afterAutospacing="0" w:line="400" w:lineRule="exact"/>
        <w:ind w:left="0" w:right="0" w:firstLine="420" w:firstLineChars="200"/>
        <w:jc w:val="both"/>
        <w:outlineLvl w:val="9"/>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4．“进粤企业和人员诚信信息登记平台”个人信息情况截图。（适用于省外建筑企业）</w:t>
      </w:r>
    </w:p>
    <w:p w14:paraId="4F911B8B">
      <w:pPr>
        <w:rPr>
          <w:rFonts w:hint="eastAsia" w:ascii="宋体" w:hAnsi="宋体" w:eastAsia="宋体" w:cs="宋体"/>
          <w:color w:val="auto"/>
          <w:lang w:val="en-US" w:eastAsia="zh-CN"/>
        </w:rPr>
      </w:pPr>
    </w:p>
    <w:p w14:paraId="08014EBB">
      <w:pPr>
        <w:rPr>
          <w:rFonts w:hint="eastAsia" w:ascii="宋体" w:hAnsi="宋体" w:eastAsia="宋体" w:cs="宋体"/>
          <w:color w:val="auto"/>
          <w:lang w:val="en-US" w:eastAsia="zh-CN"/>
        </w:rPr>
      </w:pPr>
    </w:p>
    <w:p w14:paraId="44EF7A5C">
      <w:pPr>
        <w:rPr>
          <w:rFonts w:hint="eastAsia" w:ascii="宋体" w:hAnsi="宋体" w:eastAsia="宋体" w:cs="宋体"/>
          <w:color w:val="auto"/>
          <w:lang w:val="en-US" w:eastAsia="zh-CN"/>
        </w:rPr>
      </w:pPr>
    </w:p>
    <w:p w14:paraId="2FC064DF">
      <w:pPr>
        <w:rPr>
          <w:rFonts w:hint="eastAsia" w:ascii="宋体" w:hAnsi="宋体" w:eastAsia="宋体" w:cs="宋体"/>
          <w:color w:val="auto"/>
          <w:lang w:val="en-US" w:eastAsia="zh-CN"/>
        </w:rPr>
      </w:pPr>
    </w:p>
    <w:p w14:paraId="702C5DDB">
      <w:pPr>
        <w:rPr>
          <w:rFonts w:hint="eastAsia" w:ascii="宋体" w:hAnsi="宋体" w:eastAsia="宋体" w:cs="宋体"/>
          <w:color w:val="auto"/>
          <w:lang w:val="en-US" w:eastAsia="zh-CN"/>
        </w:rPr>
      </w:pPr>
    </w:p>
    <w:p w14:paraId="7138B26D">
      <w:pPr>
        <w:rPr>
          <w:rFonts w:hint="eastAsia" w:ascii="宋体" w:hAnsi="宋体" w:eastAsia="宋体" w:cs="宋体"/>
          <w:color w:val="auto"/>
          <w:lang w:val="en-US" w:eastAsia="zh-CN"/>
        </w:rPr>
      </w:pPr>
    </w:p>
    <w:p w14:paraId="39CC0543">
      <w:pPr>
        <w:rPr>
          <w:rFonts w:hint="eastAsia" w:ascii="宋体" w:hAnsi="宋体" w:eastAsia="宋体" w:cs="宋体"/>
          <w:color w:val="auto"/>
          <w:lang w:val="en-US" w:eastAsia="zh-CN"/>
        </w:rPr>
      </w:pPr>
    </w:p>
    <w:p w14:paraId="4EC7C3DC">
      <w:pPr>
        <w:pStyle w:val="3"/>
        <w:bidi w:val="0"/>
        <w:ind w:left="0" w:leftChars="0" w:firstLine="0" w:firstLineChars="0"/>
        <w:rPr>
          <w:rFonts w:hint="eastAsia" w:ascii="宋体" w:hAnsi="宋体" w:eastAsia="宋体" w:cs="宋体"/>
          <w:color w:val="auto"/>
          <w:highlight w:val="none"/>
        </w:rPr>
      </w:pPr>
      <w:bookmarkStart w:id="75" w:name="_Toc200338098"/>
      <w:bookmarkEnd w:id="75"/>
      <w:bookmarkStart w:id="76" w:name="_Toc12949"/>
      <w:bookmarkStart w:id="77" w:name="_Toc17996"/>
      <w:bookmarkStart w:id="78" w:name="_Toc28470"/>
      <w:bookmarkStart w:id="79" w:name="_Toc21395"/>
      <w:bookmarkStart w:id="80" w:name="_Toc8264"/>
      <w:bookmarkStart w:id="81" w:name="_Toc11997"/>
      <w:bookmarkStart w:id="82" w:name="_Toc23363"/>
      <w:r>
        <w:rPr>
          <w:rFonts w:hint="eastAsia" w:ascii="宋体" w:hAnsi="宋体" w:eastAsia="宋体" w:cs="宋体"/>
          <w:color w:val="auto"/>
          <w:lang w:val="en-US" w:eastAsia="zh-CN"/>
        </w:rPr>
        <w:t>格式十   专职安全员简历表</w:t>
      </w:r>
      <w:bookmarkEnd w:id="76"/>
      <w:bookmarkEnd w:id="77"/>
      <w:bookmarkEnd w:id="78"/>
      <w:bookmarkEnd w:id="79"/>
    </w:p>
    <w:tbl>
      <w:tblPr>
        <w:tblStyle w:val="21"/>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6F193F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C345706">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638842BC">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268A9246">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7AC6EED">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63A3D7FF">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2372CC6">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r>
      <w:tr w14:paraId="27D15A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554AFE17">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173B1383">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305018FC">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00C99A8D">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160DEB22">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1AD9CB6">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r>
      <w:tr w14:paraId="602A95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9AE9BDA">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15EFE4CB">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07D2C9DB">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5CD9D8E">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r>
      <w:tr w14:paraId="224001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6C170E38">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以专职安全员身份参与过的主要业绩（已完工项目）</w:t>
            </w:r>
          </w:p>
        </w:tc>
      </w:tr>
      <w:tr w14:paraId="34BB8F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57E2816">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8286A07">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E39695D">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C191116">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6A43F8F">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7521D4E">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质量等级</w:t>
            </w:r>
          </w:p>
        </w:tc>
      </w:tr>
      <w:tr w14:paraId="5F193D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87D1274">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9279CB4">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96F8FD2">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B2C7DE6">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B3460FB">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1322F65">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r>
      <w:tr w14:paraId="5245B1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256C1A8">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BA3B45F">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82E71B2">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2FC4B11">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E7004A4">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BCCA6E5">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r>
      <w:tr w14:paraId="26F046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D49A406">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58DE3EA">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52B955A">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4B0947C">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6611B53">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30D4D57">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r>
      <w:tr w14:paraId="0C8468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8964738">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C8D0950">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A974FB7">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385716B">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B802CA3">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997ECCF">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r>
      <w:tr w14:paraId="31050B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813EBC6">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D78696C">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79703BB">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A8252F6">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6C54605">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A5D254C">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p>
        </w:tc>
      </w:tr>
    </w:tbl>
    <w:p w14:paraId="0EFDF962">
      <w:pPr>
        <w:wordWrap w:val="0"/>
        <w:adjustRightInd w:val="0"/>
        <w:snapToGrid w:val="0"/>
        <w:spacing w:line="440" w:lineRule="exact"/>
        <w:jc w:val="center"/>
        <w:rPr>
          <w:rFonts w:hint="eastAsia" w:ascii="宋体" w:hAnsi="宋体" w:eastAsia="宋体" w:cs="宋体"/>
          <w:b/>
          <w:bCs/>
          <w:snapToGrid w:val="0"/>
          <w:color w:val="auto"/>
          <w:kern w:val="0"/>
          <w:szCs w:val="24"/>
          <w:highlight w:val="none"/>
        </w:rPr>
      </w:pPr>
      <w:r>
        <w:rPr>
          <w:rFonts w:hint="eastAsia" w:ascii="宋体" w:hAnsi="宋体" w:eastAsia="宋体" w:cs="宋体"/>
          <w:b/>
          <w:snapToGrid w:val="0"/>
          <w:color w:val="auto"/>
          <w:kern w:val="0"/>
          <w:sz w:val="30"/>
          <w:highlight w:val="none"/>
        </w:rPr>
        <w:t>专职安全员简历表</w:t>
      </w:r>
    </w:p>
    <w:p w14:paraId="06B17600">
      <w:pPr>
        <w:rPr>
          <w:rFonts w:hint="eastAsia" w:ascii="宋体" w:hAnsi="宋体" w:eastAsia="宋体" w:cs="宋体"/>
          <w:color w:val="auto"/>
        </w:rPr>
      </w:pPr>
    </w:p>
    <w:p w14:paraId="63DF84C4">
      <w:pPr>
        <w:rPr>
          <w:rFonts w:hint="eastAsia" w:ascii="宋体" w:hAnsi="宋体" w:eastAsia="宋体" w:cs="宋体"/>
          <w:color w:val="auto"/>
        </w:rPr>
      </w:pPr>
    </w:p>
    <w:p w14:paraId="650615DC">
      <w:pPr>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专职安全员：</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69A41910">
      <w:pPr>
        <w:rPr>
          <w:rFonts w:hint="eastAsia" w:ascii="宋体" w:hAnsi="宋体" w:eastAsia="宋体" w:cs="宋体"/>
          <w:color w:val="auto"/>
        </w:rPr>
      </w:pPr>
    </w:p>
    <w:p w14:paraId="73C35DD3">
      <w:pPr>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lang w:val="en-US" w:eastAsia="zh-CN"/>
        </w:rPr>
        <w:t xml:space="preserve">                  </w:t>
      </w: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6BD2EC36">
      <w:pPr>
        <w:rPr>
          <w:rFonts w:hint="eastAsia" w:ascii="宋体" w:hAnsi="宋体" w:eastAsia="宋体" w:cs="宋体"/>
          <w:color w:val="auto"/>
        </w:rPr>
      </w:pPr>
    </w:p>
    <w:p w14:paraId="515EB81B">
      <w:pPr>
        <w:rPr>
          <w:rFonts w:hint="eastAsia" w:ascii="宋体" w:hAnsi="宋体" w:eastAsia="宋体" w:cs="宋体"/>
          <w:color w:val="auto"/>
          <w:lang w:val="en-US"/>
        </w:rPr>
      </w:pPr>
    </w:p>
    <w:p w14:paraId="7B711828">
      <w:pPr>
        <w:keepNext w:val="0"/>
        <w:keepLines w:val="0"/>
        <w:widowControl w:val="0"/>
        <w:suppressLineNumbers w:val="0"/>
        <w:wordWrap w:val="0"/>
        <w:spacing w:before="0" w:beforeAutospacing="0" w:after="0" w:afterAutospacing="0" w:line="400" w:lineRule="exact"/>
        <w:ind w:left="0" w:right="0" w:firstLine="420" w:firstLineChars="200"/>
        <w:jc w:val="both"/>
        <w:outlineLvl w:val="9"/>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rPr>
        <w:t>说明：《专职安全员简历表》后应附拟派项目专职安全员以下资料：</w:t>
      </w:r>
    </w:p>
    <w:p w14:paraId="582AFAD6">
      <w:pPr>
        <w:keepNext w:val="0"/>
        <w:keepLines w:val="0"/>
        <w:widowControl w:val="0"/>
        <w:suppressLineNumbers w:val="0"/>
        <w:wordWrap w:val="0"/>
        <w:spacing w:before="0" w:beforeAutospacing="0" w:after="0" w:afterAutospacing="0" w:line="400" w:lineRule="exact"/>
        <w:ind w:left="0" w:right="0" w:firstLine="420" w:firstLineChars="200"/>
        <w:jc w:val="both"/>
        <w:outlineLvl w:val="9"/>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rPr>
        <w:t xml:space="preserve">    1．身份证彩色扫描件；</w:t>
      </w:r>
    </w:p>
    <w:p w14:paraId="70864089">
      <w:pPr>
        <w:keepNext w:val="0"/>
        <w:keepLines w:val="0"/>
        <w:widowControl w:val="0"/>
        <w:suppressLineNumbers w:val="0"/>
        <w:wordWrap w:val="0"/>
        <w:spacing w:before="0" w:beforeAutospacing="0" w:after="0" w:afterAutospacing="0" w:line="400" w:lineRule="exact"/>
        <w:ind w:left="0" w:right="0" w:firstLine="420" w:firstLineChars="200"/>
        <w:jc w:val="both"/>
        <w:outlineLvl w:val="9"/>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rPr>
        <w:t xml:space="preserve">    2．C类安全生产考核合格证书彩色扫描件或“广东省建筑施工企业管理人员安全生产考核信息系统”考核合格信息彩色扫描件；</w:t>
      </w:r>
    </w:p>
    <w:p w14:paraId="1E841860">
      <w:pPr>
        <w:keepNext w:val="0"/>
        <w:keepLines w:val="0"/>
        <w:widowControl w:val="0"/>
        <w:suppressLineNumbers w:val="0"/>
        <w:wordWrap w:val="0"/>
        <w:spacing w:before="0" w:beforeAutospacing="0" w:after="0" w:afterAutospacing="0" w:line="400" w:lineRule="exact"/>
        <w:ind w:left="0" w:right="0" w:firstLine="630" w:firstLineChars="300"/>
        <w:jc w:val="both"/>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rPr>
        <w:t>3．</w:t>
      </w:r>
      <w:r>
        <w:rPr>
          <w:rFonts w:hint="eastAsia" w:ascii="宋体" w:hAnsi="宋体" w:eastAsia="宋体" w:cs="宋体"/>
          <w:color w:val="auto"/>
          <w:kern w:val="0"/>
          <w:sz w:val="21"/>
          <w:szCs w:val="21"/>
          <w:highlight w:val="none"/>
          <w:lang w:val="en-US" w:eastAsia="zh-CN"/>
        </w:rPr>
        <w:t>在本单位缴纳社保的证明</w:t>
      </w:r>
      <w:r>
        <w:rPr>
          <w:rFonts w:hint="eastAsia" w:ascii="宋体" w:hAnsi="宋体" w:cs="宋体"/>
          <w:color w:val="auto"/>
          <w:kern w:val="0"/>
          <w:sz w:val="21"/>
          <w:szCs w:val="21"/>
          <w:highlight w:val="none"/>
          <w:lang w:val="en-US" w:eastAsia="zh-CN"/>
        </w:rPr>
        <w:t>（至少1个月，其中必须有2026年3月）</w:t>
      </w:r>
      <w:r>
        <w:rPr>
          <w:rFonts w:hint="eastAsia" w:ascii="宋体" w:hAnsi="宋体" w:eastAsia="宋体" w:cs="宋体"/>
          <w:color w:val="auto"/>
          <w:kern w:val="0"/>
          <w:sz w:val="21"/>
          <w:szCs w:val="21"/>
          <w:highlight w:val="none"/>
          <w:lang w:val="en-US" w:eastAsia="zh-CN"/>
        </w:rPr>
        <w:t>彩色扫描件。拟派项目技术负责人为退休返聘人员无法提供社保证明的，提供退休证和劳动合同（返聘协议）彩色扫描件。</w:t>
      </w:r>
    </w:p>
    <w:p w14:paraId="196BA109">
      <w:pPr>
        <w:keepNext w:val="0"/>
        <w:keepLines w:val="0"/>
        <w:widowControl w:val="0"/>
        <w:suppressLineNumbers w:val="0"/>
        <w:wordWrap w:val="0"/>
        <w:spacing w:before="0" w:beforeAutospacing="0" w:after="0" w:afterAutospacing="0" w:line="400" w:lineRule="exact"/>
        <w:ind w:left="0" w:right="0" w:firstLine="630" w:firstLineChars="300"/>
        <w:jc w:val="both"/>
        <w:outlineLvl w:val="9"/>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rPr>
        <w:t>4．“进粤企业和人员诚信信息登记平台”个人信息情况截图。（适用于省外建筑企业）</w:t>
      </w:r>
    </w:p>
    <w:p w14:paraId="6AFB6A37">
      <w:pPr>
        <w:rPr>
          <w:rFonts w:hint="eastAsia" w:ascii="宋体" w:hAnsi="宋体" w:eastAsia="宋体" w:cs="宋体"/>
          <w:color w:val="auto"/>
          <w:lang w:val="en-US" w:eastAsia="zh-CN"/>
        </w:rPr>
      </w:pPr>
    </w:p>
    <w:p w14:paraId="637C1E4A">
      <w:pPr>
        <w:rPr>
          <w:rFonts w:hint="eastAsia" w:ascii="宋体" w:hAnsi="宋体" w:eastAsia="宋体" w:cs="宋体"/>
          <w:color w:val="auto"/>
          <w:lang w:val="en-US" w:eastAsia="zh-CN"/>
        </w:rPr>
      </w:pPr>
    </w:p>
    <w:p w14:paraId="15BE0200">
      <w:pPr>
        <w:rPr>
          <w:rFonts w:hint="eastAsia" w:ascii="宋体" w:hAnsi="宋体" w:eastAsia="宋体" w:cs="宋体"/>
          <w:color w:val="auto"/>
          <w:lang w:val="en-US" w:eastAsia="zh-CN"/>
        </w:rPr>
      </w:pPr>
    </w:p>
    <w:p w14:paraId="4D86B271">
      <w:pPr>
        <w:rPr>
          <w:rFonts w:hint="eastAsia" w:ascii="宋体" w:hAnsi="宋体" w:eastAsia="宋体" w:cs="宋体"/>
          <w:color w:val="auto"/>
          <w:lang w:val="en-US" w:eastAsia="zh-CN"/>
        </w:rPr>
      </w:pPr>
    </w:p>
    <w:p w14:paraId="33F23831">
      <w:pPr>
        <w:rPr>
          <w:rFonts w:hint="eastAsia" w:ascii="宋体" w:hAnsi="宋体" w:eastAsia="宋体" w:cs="宋体"/>
          <w:color w:val="auto"/>
          <w:lang w:val="en-US" w:eastAsia="zh-CN"/>
        </w:rPr>
      </w:pPr>
    </w:p>
    <w:p w14:paraId="077DC89A">
      <w:pPr>
        <w:rPr>
          <w:rFonts w:hint="eastAsia" w:ascii="宋体" w:hAnsi="宋体" w:eastAsia="宋体" w:cs="宋体"/>
          <w:color w:val="auto"/>
          <w:lang w:val="en-US" w:eastAsia="zh-CN"/>
        </w:rPr>
      </w:pPr>
    </w:p>
    <w:p w14:paraId="0A450E92">
      <w:pPr>
        <w:rPr>
          <w:rFonts w:hint="eastAsia" w:ascii="宋体" w:hAnsi="宋体" w:eastAsia="宋体" w:cs="宋体"/>
          <w:color w:val="auto"/>
          <w:lang w:val="en-US" w:eastAsia="zh-CN"/>
        </w:rPr>
      </w:pPr>
    </w:p>
    <w:p w14:paraId="7575C7F5">
      <w:pPr>
        <w:pStyle w:val="3"/>
        <w:bidi w:val="0"/>
        <w:ind w:left="0" w:leftChars="0" w:firstLine="0" w:firstLineChars="0"/>
        <w:rPr>
          <w:rFonts w:hint="eastAsia" w:ascii="宋体" w:hAnsi="宋体" w:eastAsia="宋体" w:cs="宋体"/>
          <w:b/>
          <w:bCs/>
          <w:color w:val="auto"/>
          <w:kern w:val="0"/>
          <w:highlight w:val="none"/>
          <w:lang w:val="en-US"/>
        </w:rPr>
      </w:pPr>
      <w:bookmarkStart w:id="83" w:name="_Toc27763"/>
      <w:bookmarkStart w:id="84" w:name="_Toc1879"/>
      <w:r>
        <w:rPr>
          <w:rFonts w:hint="eastAsia" w:ascii="宋体" w:hAnsi="宋体" w:eastAsia="宋体" w:cs="宋体"/>
          <w:color w:val="auto"/>
          <w:lang w:val="en-US" w:eastAsia="zh-CN"/>
        </w:rPr>
        <w:t>格式</w:t>
      </w:r>
      <w:bookmarkEnd w:id="80"/>
      <w:bookmarkStart w:id="85" w:name="_Hlt287950384"/>
      <w:bookmarkEnd w:id="85"/>
      <w:r>
        <w:rPr>
          <w:rFonts w:hint="eastAsia" w:ascii="宋体" w:hAnsi="宋体" w:eastAsia="宋体" w:cs="宋体"/>
          <w:color w:val="auto"/>
          <w:lang w:val="en-US" w:eastAsia="zh-CN"/>
        </w:rPr>
        <w:t>十一   项目管理机构组成表</w:t>
      </w:r>
      <w:bookmarkEnd w:id="81"/>
      <w:bookmarkEnd w:id="83"/>
      <w:bookmarkEnd w:id="84"/>
    </w:p>
    <w:p w14:paraId="13F4C680">
      <w:pPr>
        <w:keepNext w:val="0"/>
        <w:keepLines w:val="0"/>
        <w:widowControl w:val="0"/>
        <w:suppressLineNumbers w:val="0"/>
        <w:wordWrap w:val="0"/>
        <w:spacing w:before="260" w:beforeAutospacing="0" w:after="260" w:afterAutospacing="0" w:line="440" w:lineRule="exact"/>
        <w:ind w:left="0" w:right="0"/>
        <w:jc w:val="center"/>
        <w:outlineLvl w:val="9"/>
        <w:rPr>
          <w:rFonts w:hint="eastAsia" w:ascii="宋体" w:hAnsi="宋体" w:eastAsia="宋体" w:cs="宋体"/>
          <w:b/>
          <w:bCs w:val="0"/>
          <w:color w:val="auto"/>
          <w:kern w:val="0"/>
          <w:highlight w:val="none"/>
          <w:lang w:val="en-US"/>
        </w:rPr>
      </w:pPr>
      <w:r>
        <w:rPr>
          <w:rFonts w:hint="eastAsia" w:ascii="宋体" w:hAnsi="宋体" w:eastAsia="宋体" w:cs="宋体"/>
          <w:b/>
          <w:bCs w:val="0"/>
          <w:color w:val="auto"/>
          <w:kern w:val="0"/>
          <w:sz w:val="30"/>
          <w:szCs w:val="30"/>
          <w:highlight w:val="none"/>
          <w:lang w:val="en-US" w:eastAsia="zh-CN" w:bidi="ar"/>
        </w:rPr>
        <w:t>项目管理机构组成表</w:t>
      </w:r>
    </w:p>
    <w:tbl>
      <w:tblPr>
        <w:tblStyle w:val="2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1800"/>
        <w:gridCol w:w="1455"/>
        <w:gridCol w:w="945"/>
        <w:gridCol w:w="930"/>
        <w:gridCol w:w="1440"/>
        <w:gridCol w:w="1783"/>
      </w:tblGrid>
      <w:tr w14:paraId="77F6B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7D1EF778">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序号</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51E381C">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岗位</w:t>
            </w:r>
          </w:p>
        </w:tc>
        <w:tc>
          <w:tcPr>
            <w:tcW w:w="1455" w:type="dxa"/>
            <w:tcBorders>
              <w:top w:val="single" w:color="auto" w:sz="4" w:space="0"/>
              <w:left w:val="single" w:color="auto" w:sz="4" w:space="0"/>
              <w:bottom w:val="single" w:color="auto" w:sz="4" w:space="0"/>
              <w:right w:val="single" w:color="auto" w:sz="4" w:space="0"/>
            </w:tcBorders>
            <w:noWrap w:val="0"/>
            <w:vAlign w:val="center"/>
          </w:tcPr>
          <w:p w14:paraId="5647DF62">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姓名</w:t>
            </w:r>
          </w:p>
        </w:tc>
        <w:tc>
          <w:tcPr>
            <w:tcW w:w="945" w:type="dxa"/>
            <w:tcBorders>
              <w:top w:val="single" w:color="auto" w:sz="4" w:space="0"/>
              <w:left w:val="single" w:color="auto" w:sz="4" w:space="0"/>
              <w:bottom w:val="single" w:color="auto" w:sz="4" w:space="0"/>
              <w:right w:val="single" w:color="auto" w:sz="4" w:space="0"/>
            </w:tcBorders>
            <w:noWrap w:val="0"/>
            <w:vAlign w:val="center"/>
          </w:tcPr>
          <w:p w14:paraId="202D82F4">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性别</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128A45CD">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年龄</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D0D38AC">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职称</w:t>
            </w:r>
          </w:p>
        </w:tc>
        <w:tc>
          <w:tcPr>
            <w:tcW w:w="1783" w:type="dxa"/>
            <w:tcBorders>
              <w:top w:val="single" w:color="auto" w:sz="4" w:space="0"/>
              <w:left w:val="single" w:color="auto" w:sz="4" w:space="0"/>
              <w:bottom w:val="single" w:color="auto" w:sz="4" w:space="0"/>
              <w:right w:val="single" w:color="auto" w:sz="4" w:space="0"/>
            </w:tcBorders>
            <w:noWrap w:val="0"/>
            <w:vAlign w:val="center"/>
          </w:tcPr>
          <w:p w14:paraId="529F2958">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备注</w:t>
            </w:r>
          </w:p>
        </w:tc>
      </w:tr>
      <w:tr w14:paraId="25D12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44FEAF8D">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1</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24ABC14F">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项目经理</w:t>
            </w:r>
          </w:p>
        </w:tc>
        <w:tc>
          <w:tcPr>
            <w:tcW w:w="1455" w:type="dxa"/>
            <w:tcBorders>
              <w:top w:val="single" w:color="auto" w:sz="4" w:space="0"/>
              <w:left w:val="single" w:color="auto" w:sz="4" w:space="0"/>
              <w:bottom w:val="single" w:color="auto" w:sz="4" w:space="0"/>
              <w:right w:val="single" w:color="auto" w:sz="4" w:space="0"/>
            </w:tcBorders>
            <w:noWrap w:val="0"/>
            <w:vAlign w:val="center"/>
          </w:tcPr>
          <w:p w14:paraId="78E40787">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945" w:type="dxa"/>
            <w:tcBorders>
              <w:top w:val="single" w:color="auto" w:sz="4" w:space="0"/>
              <w:left w:val="single" w:color="auto" w:sz="4" w:space="0"/>
              <w:bottom w:val="single" w:color="auto" w:sz="4" w:space="0"/>
              <w:right w:val="single" w:color="auto" w:sz="4" w:space="0"/>
            </w:tcBorders>
            <w:noWrap w:val="0"/>
            <w:vAlign w:val="center"/>
          </w:tcPr>
          <w:p w14:paraId="2F52D7DA">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5BDE236F">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50B76B2B">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14:paraId="3CB013CC">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r>
      <w:tr w14:paraId="459B2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49825C57">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2</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56B64E7">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项目技术负责人</w:t>
            </w:r>
          </w:p>
        </w:tc>
        <w:tc>
          <w:tcPr>
            <w:tcW w:w="1455" w:type="dxa"/>
            <w:tcBorders>
              <w:top w:val="single" w:color="auto" w:sz="4" w:space="0"/>
              <w:left w:val="single" w:color="auto" w:sz="4" w:space="0"/>
              <w:bottom w:val="single" w:color="auto" w:sz="4" w:space="0"/>
              <w:right w:val="single" w:color="auto" w:sz="4" w:space="0"/>
            </w:tcBorders>
            <w:noWrap w:val="0"/>
            <w:vAlign w:val="center"/>
          </w:tcPr>
          <w:p w14:paraId="67A34E66">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945" w:type="dxa"/>
            <w:tcBorders>
              <w:top w:val="single" w:color="auto" w:sz="4" w:space="0"/>
              <w:left w:val="single" w:color="auto" w:sz="4" w:space="0"/>
              <w:bottom w:val="single" w:color="auto" w:sz="4" w:space="0"/>
              <w:right w:val="single" w:color="auto" w:sz="4" w:space="0"/>
            </w:tcBorders>
            <w:noWrap w:val="0"/>
            <w:vAlign w:val="center"/>
          </w:tcPr>
          <w:p w14:paraId="555A0903">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76C5E833">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84D5FE8">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14:paraId="4770C26A">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r>
      <w:tr w14:paraId="62850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5023A3B2">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3</w:t>
            </w:r>
          </w:p>
        </w:tc>
        <w:tc>
          <w:tcPr>
            <w:tcW w:w="1800" w:type="dxa"/>
            <w:vMerge w:val="restart"/>
            <w:tcBorders>
              <w:top w:val="single" w:color="auto" w:sz="4" w:space="0"/>
              <w:left w:val="single" w:color="auto" w:sz="4" w:space="0"/>
              <w:right w:val="single" w:color="auto" w:sz="4" w:space="0"/>
            </w:tcBorders>
            <w:noWrap w:val="0"/>
            <w:vAlign w:val="center"/>
          </w:tcPr>
          <w:p w14:paraId="194F16C7">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专职安全员</w:t>
            </w:r>
          </w:p>
        </w:tc>
        <w:tc>
          <w:tcPr>
            <w:tcW w:w="1455" w:type="dxa"/>
            <w:tcBorders>
              <w:top w:val="single" w:color="auto" w:sz="4" w:space="0"/>
              <w:left w:val="single" w:color="auto" w:sz="4" w:space="0"/>
              <w:bottom w:val="single" w:color="auto" w:sz="4" w:space="0"/>
              <w:right w:val="single" w:color="auto" w:sz="4" w:space="0"/>
            </w:tcBorders>
            <w:noWrap w:val="0"/>
            <w:vAlign w:val="center"/>
          </w:tcPr>
          <w:p w14:paraId="5C96A3A4">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945" w:type="dxa"/>
            <w:tcBorders>
              <w:top w:val="single" w:color="auto" w:sz="4" w:space="0"/>
              <w:left w:val="single" w:color="auto" w:sz="4" w:space="0"/>
              <w:bottom w:val="single" w:color="auto" w:sz="4" w:space="0"/>
              <w:right w:val="single" w:color="auto" w:sz="4" w:space="0"/>
            </w:tcBorders>
            <w:noWrap w:val="0"/>
            <w:vAlign w:val="center"/>
          </w:tcPr>
          <w:p w14:paraId="699787AA">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6881C473">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5372396F">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14:paraId="7E494CDD">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r>
      <w:tr w14:paraId="38DD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399874E8">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w:t>
            </w:r>
          </w:p>
        </w:tc>
        <w:tc>
          <w:tcPr>
            <w:tcW w:w="1800" w:type="dxa"/>
            <w:vMerge w:val="continue"/>
            <w:tcBorders>
              <w:left w:val="single" w:color="auto" w:sz="4" w:space="0"/>
              <w:right w:val="single" w:color="auto" w:sz="4" w:space="0"/>
            </w:tcBorders>
            <w:noWrap w:val="0"/>
            <w:vAlign w:val="center"/>
          </w:tcPr>
          <w:p w14:paraId="58D4BF00">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eastAsia="zh-CN" w:bidi="ar"/>
              </w:rPr>
            </w:pPr>
          </w:p>
        </w:tc>
        <w:tc>
          <w:tcPr>
            <w:tcW w:w="1455" w:type="dxa"/>
            <w:tcBorders>
              <w:top w:val="single" w:color="auto" w:sz="4" w:space="0"/>
              <w:left w:val="single" w:color="auto" w:sz="4" w:space="0"/>
              <w:bottom w:val="single" w:color="auto" w:sz="4" w:space="0"/>
              <w:right w:val="single" w:color="auto" w:sz="4" w:space="0"/>
            </w:tcBorders>
            <w:noWrap w:val="0"/>
            <w:vAlign w:val="center"/>
          </w:tcPr>
          <w:p w14:paraId="7AF68072">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945" w:type="dxa"/>
            <w:tcBorders>
              <w:top w:val="single" w:color="auto" w:sz="4" w:space="0"/>
              <w:left w:val="single" w:color="auto" w:sz="4" w:space="0"/>
              <w:bottom w:val="single" w:color="auto" w:sz="4" w:space="0"/>
              <w:right w:val="single" w:color="auto" w:sz="4" w:space="0"/>
            </w:tcBorders>
            <w:noWrap w:val="0"/>
            <w:vAlign w:val="center"/>
          </w:tcPr>
          <w:p w14:paraId="42A205F5">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07D4E37E">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67A045E2">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14:paraId="0FA6ED8A">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r>
      <w:tr w14:paraId="44FE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73E4A28F">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w:t>
            </w:r>
          </w:p>
        </w:tc>
        <w:tc>
          <w:tcPr>
            <w:tcW w:w="1800" w:type="dxa"/>
            <w:vMerge w:val="continue"/>
            <w:tcBorders>
              <w:left w:val="single" w:color="auto" w:sz="4" w:space="0"/>
              <w:bottom w:val="single" w:color="auto" w:sz="4" w:space="0"/>
              <w:right w:val="single" w:color="auto" w:sz="4" w:space="0"/>
            </w:tcBorders>
            <w:noWrap w:val="0"/>
            <w:vAlign w:val="center"/>
          </w:tcPr>
          <w:p w14:paraId="49E2994F">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eastAsia="zh-CN" w:bidi="ar"/>
              </w:rPr>
            </w:pPr>
          </w:p>
        </w:tc>
        <w:tc>
          <w:tcPr>
            <w:tcW w:w="1455" w:type="dxa"/>
            <w:tcBorders>
              <w:top w:val="single" w:color="auto" w:sz="4" w:space="0"/>
              <w:left w:val="single" w:color="auto" w:sz="4" w:space="0"/>
              <w:bottom w:val="single" w:color="auto" w:sz="4" w:space="0"/>
              <w:right w:val="single" w:color="auto" w:sz="4" w:space="0"/>
            </w:tcBorders>
            <w:noWrap w:val="0"/>
            <w:vAlign w:val="center"/>
          </w:tcPr>
          <w:p w14:paraId="06EE07B2">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945" w:type="dxa"/>
            <w:tcBorders>
              <w:top w:val="single" w:color="auto" w:sz="4" w:space="0"/>
              <w:left w:val="single" w:color="auto" w:sz="4" w:space="0"/>
              <w:bottom w:val="single" w:color="auto" w:sz="4" w:space="0"/>
              <w:right w:val="single" w:color="auto" w:sz="4" w:space="0"/>
            </w:tcBorders>
            <w:noWrap w:val="0"/>
            <w:vAlign w:val="center"/>
          </w:tcPr>
          <w:p w14:paraId="5092E459">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4845EE33">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5BA913B">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14:paraId="09233224">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r>
      <w:tr w14:paraId="7C354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59210E13">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4</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34FE202A">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施工员</w:t>
            </w:r>
          </w:p>
        </w:tc>
        <w:tc>
          <w:tcPr>
            <w:tcW w:w="1455" w:type="dxa"/>
            <w:tcBorders>
              <w:top w:val="single" w:color="auto" w:sz="4" w:space="0"/>
              <w:left w:val="single" w:color="auto" w:sz="4" w:space="0"/>
              <w:bottom w:val="single" w:color="auto" w:sz="4" w:space="0"/>
              <w:right w:val="single" w:color="auto" w:sz="4" w:space="0"/>
            </w:tcBorders>
            <w:noWrap w:val="0"/>
            <w:vAlign w:val="center"/>
          </w:tcPr>
          <w:p w14:paraId="70C2B46C">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945" w:type="dxa"/>
            <w:tcBorders>
              <w:top w:val="single" w:color="auto" w:sz="4" w:space="0"/>
              <w:left w:val="single" w:color="auto" w:sz="4" w:space="0"/>
              <w:bottom w:val="single" w:color="auto" w:sz="4" w:space="0"/>
              <w:right w:val="single" w:color="auto" w:sz="4" w:space="0"/>
            </w:tcBorders>
            <w:noWrap w:val="0"/>
            <w:vAlign w:val="center"/>
          </w:tcPr>
          <w:p w14:paraId="3B21FD24">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0D08F326">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0DF0FDD6">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14:paraId="49CCEDB3">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r>
      <w:tr w14:paraId="62C4B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3EA9F6ED">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5</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12BD1FE">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质量员</w:t>
            </w:r>
          </w:p>
        </w:tc>
        <w:tc>
          <w:tcPr>
            <w:tcW w:w="1455" w:type="dxa"/>
            <w:tcBorders>
              <w:top w:val="single" w:color="auto" w:sz="4" w:space="0"/>
              <w:left w:val="single" w:color="auto" w:sz="4" w:space="0"/>
              <w:bottom w:val="single" w:color="auto" w:sz="4" w:space="0"/>
              <w:right w:val="single" w:color="auto" w:sz="4" w:space="0"/>
            </w:tcBorders>
            <w:noWrap w:val="0"/>
            <w:vAlign w:val="center"/>
          </w:tcPr>
          <w:p w14:paraId="3E73BB1C">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945" w:type="dxa"/>
            <w:tcBorders>
              <w:top w:val="single" w:color="auto" w:sz="4" w:space="0"/>
              <w:left w:val="single" w:color="auto" w:sz="4" w:space="0"/>
              <w:bottom w:val="single" w:color="auto" w:sz="4" w:space="0"/>
              <w:right w:val="single" w:color="auto" w:sz="4" w:space="0"/>
            </w:tcBorders>
            <w:noWrap w:val="0"/>
            <w:vAlign w:val="center"/>
          </w:tcPr>
          <w:p w14:paraId="78EB9CA5">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66BBE860">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00067653">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14:paraId="4DBBB87D">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r>
      <w:tr w14:paraId="6CAA2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02BEAEE1">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6</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A34785D">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材料员</w:t>
            </w:r>
          </w:p>
        </w:tc>
        <w:tc>
          <w:tcPr>
            <w:tcW w:w="1455" w:type="dxa"/>
            <w:tcBorders>
              <w:top w:val="single" w:color="auto" w:sz="4" w:space="0"/>
              <w:left w:val="single" w:color="auto" w:sz="4" w:space="0"/>
              <w:bottom w:val="single" w:color="auto" w:sz="4" w:space="0"/>
              <w:right w:val="single" w:color="auto" w:sz="4" w:space="0"/>
            </w:tcBorders>
            <w:noWrap w:val="0"/>
            <w:vAlign w:val="center"/>
          </w:tcPr>
          <w:p w14:paraId="5E1E1EFF">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945" w:type="dxa"/>
            <w:tcBorders>
              <w:top w:val="single" w:color="auto" w:sz="4" w:space="0"/>
              <w:left w:val="single" w:color="auto" w:sz="4" w:space="0"/>
              <w:bottom w:val="single" w:color="auto" w:sz="4" w:space="0"/>
              <w:right w:val="single" w:color="auto" w:sz="4" w:space="0"/>
            </w:tcBorders>
            <w:noWrap w:val="0"/>
            <w:vAlign w:val="center"/>
          </w:tcPr>
          <w:p w14:paraId="7D4DBE0F">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09F7EE9F">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3763AAAD">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14:paraId="25ADD3AA">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r>
      <w:tr w14:paraId="5A67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1FF4DBEA">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7</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029A8ADD">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资料员</w:t>
            </w:r>
          </w:p>
        </w:tc>
        <w:tc>
          <w:tcPr>
            <w:tcW w:w="1455" w:type="dxa"/>
            <w:tcBorders>
              <w:top w:val="single" w:color="auto" w:sz="4" w:space="0"/>
              <w:left w:val="single" w:color="auto" w:sz="4" w:space="0"/>
              <w:bottom w:val="single" w:color="auto" w:sz="4" w:space="0"/>
              <w:right w:val="single" w:color="auto" w:sz="4" w:space="0"/>
            </w:tcBorders>
            <w:noWrap w:val="0"/>
            <w:vAlign w:val="center"/>
          </w:tcPr>
          <w:p w14:paraId="599B08E7">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945" w:type="dxa"/>
            <w:tcBorders>
              <w:top w:val="single" w:color="auto" w:sz="4" w:space="0"/>
              <w:left w:val="single" w:color="auto" w:sz="4" w:space="0"/>
              <w:bottom w:val="single" w:color="auto" w:sz="4" w:space="0"/>
              <w:right w:val="single" w:color="auto" w:sz="4" w:space="0"/>
            </w:tcBorders>
            <w:noWrap w:val="0"/>
            <w:vAlign w:val="center"/>
          </w:tcPr>
          <w:p w14:paraId="6038FAC9">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706FD098">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E4B1ED8">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14:paraId="71C759B1">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r>
      <w:tr w14:paraId="347B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3B46A3AF">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2A8D953">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455" w:type="dxa"/>
            <w:tcBorders>
              <w:top w:val="single" w:color="auto" w:sz="4" w:space="0"/>
              <w:left w:val="single" w:color="auto" w:sz="4" w:space="0"/>
              <w:bottom w:val="single" w:color="auto" w:sz="4" w:space="0"/>
              <w:right w:val="single" w:color="auto" w:sz="4" w:space="0"/>
            </w:tcBorders>
            <w:noWrap w:val="0"/>
            <w:vAlign w:val="center"/>
          </w:tcPr>
          <w:p w14:paraId="7E30EB05">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945" w:type="dxa"/>
            <w:tcBorders>
              <w:top w:val="single" w:color="auto" w:sz="4" w:space="0"/>
              <w:left w:val="single" w:color="auto" w:sz="4" w:space="0"/>
              <w:bottom w:val="single" w:color="auto" w:sz="4" w:space="0"/>
              <w:right w:val="single" w:color="auto" w:sz="4" w:space="0"/>
            </w:tcBorders>
            <w:noWrap w:val="0"/>
            <w:vAlign w:val="center"/>
          </w:tcPr>
          <w:p w14:paraId="6DEA2790">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7CCA0451">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14:paraId="50B27F51">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14:paraId="30B3AB96">
            <w:pPr>
              <w:keepNext w:val="0"/>
              <w:keepLines w:val="0"/>
              <w:widowControl w:val="0"/>
              <w:suppressLineNumbers w:val="0"/>
              <w:wordWrap w:val="0"/>
              <w:spacing w:before="0" w:beforeAutospacing="0" w:after="0" w:afterAutospacing="0" w:line="360" w:lineRule="auto"/>
              <w:ind w:left="0" w:right="0"/>
              <w:jc w:val="center"/>
              <w:outlineLvl w:val="9"/>
              <w:rPr>
                <w:rFonts w:hint="eastAsia" w:ascii="宋体" w:hAnsi="宋体" w:eastAsia="宋体" w:cs="宋体"/>
                <w:color w:val="auto"/>
                <w:kern w:val="0"/>
                <w:sz w:val="24"/>
                <w:szCs w:val="24"/>
                <w:highlight w:val="none"/>
                <w:lang w:val="en-US"/>
              </w:rPr>
            </w:pPr>
          </w:p>
        </w:tc>
      </w:tr>
    </w:tbl>
    <w:p w14:paraId="3BD0F9CB">
      <w:pPr>
        <w:pStyle w:val="39"/>
        <w:keepNext w:val="0"/>
        <w:keepLines w:val="0"/>
        <w:widowControl w:val="0"/>
        <w:suppressLineNumbers w:val="0"/>
        <w:wordWrap w:val="0"/>
        <w:spacing w:line="400" w:lineRule="exact"/>
        <w:outlineLvl w:val="9"/>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 xml:space="preserve"> </w:t>
      </w:r>
    </w:p>
    <w:p w14:paraId="3FF8572F">
      <w:pPr>
        <w:pStyle w:val="39"/>
        <w:keepNext w:val="0"/>
        <w:keepLines w:val="0"/>
        <w:widowControl w:val="0"/>
        <w:suppressLineNumbers w:val="0"/>
        <w:wordWrap w:val="0"/>
        <w:spacing w:line="400" w:lineRule="exact"/>
        <w:outlineLvl w:val="9"/>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eastAsia="zh-CN"/>
        </w:rPr>
        <w:t>说明：</w:t>
      </w:r>
    </w:p>
    <w:p w14:paraId="615034CA">
      <w:pPr>
        <w:pStyle w:val="39"/>
        <w:keepNext w:val="0"/>
        <w:keepLines w:val="0"/>
        <w:widowControl w:val="0"/>
        <w:suppressLineNumbers w:val="0"/>
        <w:wordWrap w:val="0"/>
        <w:spacing w:line="400" w:lineRule="exact"/>
        <w:outlineLvl w:val="9"/>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1</w:t>
      </w:r>
      <w:r>
        <w:rPr>
          <w:rFonts w:hint="eastAsia" w:ascii="宋体" w:hAnsi="宋体" w:eastAsia="宋体" w:cs="宋体"/>
          <w:color w:val="auto"/>
          <w:sz w:val="21"/>
          <w:szCs w:val="21"/>
          <w:highlight w:val="none"/>
          <w:lang w:eastAsia="zh-CN"/>
        </w:rPr>
        <w:t>．《项目管理机构组成表》后应附表中拟派人员（项目经理、项目技术负责人、</w:t>
      </w:r>
      <w:r>
        <w:rPr>
          <w:rFonts w:hint="eastAsia" w:ascii="宋体" w:hAnsi="宋体" w:eastAsia="宋体" w:cs="宋体"/>
          <w:color w:val="auto"/>
          <w:sz w:val="21"/>
          <w:szCs w:val="21"/>
          <w:highlight w:val="none"/>
          <w:lang w:val="en-US" w:eastAsia="zh-CN"/>
        </w:rPr>
        <w:t>专职安全员</w:t>
      </w:r>
      <w:r>
        <w:rPr>
          <w:rFonts w:hint="eastAsia" w:ascii="宋体" w:hAnsi="宋体" w:eastAsia="宋体" w:cs="宋体"/>
          <w:color w:val="auto"/>
          <w:sz w:val="21"/>
          <w:szCs w:val="21"/>
          <w:highlight w:val="none"/>
          <w:lang w:eastAsia="zh-CN"/>
        </w:rPr>
        <w:t>除外）以下资料：</w:t>
      </w:r>
    </w:p>
    <w:p w14:paraId="601B3845">
      <w:pPr>
        <w:keepNext w:val="0"/>
        <w:keepLines w:val="0"/>
        <w:widowControl w:val="0"/>
        <w:suppressLineNumbers w:val="0"/>
        <w:wordWrap w:val="0"/>
        <w:spacing w:before="0" w:beforeAutospacing="0" w:after="0" w:afterAutospacing="0" w:line="400" w:lineRule="exact"/>
        <w:ind w:left="0" w:right="0"/>
        <w:jc w:val="both"/>
        <w:outlineLvl w:val="9"/>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 xml:space="preserve">    1．身份证彩色扫描件；</w:t>
      </w:r>
    </w:p>
    <w:p w14:paraId="2DF39182">
      <w:pPr>
        <w:keepNext w:val="0"/>
        <w:keepLines w:val="0"/>
        <w:widowControl w:val="0"/>
        <w:suppressLineNumbers w:val="0"/>
        <w:wordWrap w:val="0"/>
        <w:spacing w:before="0" w:beforeAutospacing="0" w:after="0" w:afterAutospacing="0" w:line="400" w:lineRule="exact"/>
        <w:ind w:left="0" w:right="0"/>
        <w:jc w:val="both"/>
        <w:outlineLvl w:val="9"/>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 xml:space="preserve">    2．职称证或岗位证书彩色扫描件；</w:t>
      </w:r>
    </w:p>
    <w:p w14:paraId="57E9F50C">
      <w:pPr>
        <w:keepNext w:val="0"/>
        <w:keepLines w:val="0"/>
        <w:widowControl w:val="0"/>
        <w:suppressLineNumbers w:val="0"/>
        <w:wordWrap w:val="0"/>
        <w:spacing w:before="0" w:beforeAutospacing="0" w:after="0" w:afterAutospacing="0" w:line="400" w:lineRule="exact"/>
        <w:ind w:left="0" w:right="0" w:firstLine="420" w:firstLineChars="200"/>
        <w:jc w:val="both"/>
        <w:outlineLvl w:val="9"/>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3．在本单位缴纳社保的证明（至少</w:t>
      </w:r>
      <w:r>
        <w:rPr>
          <w:rFonts w:hint="eastAsia" w:ascii="宋体" w:hAnsi="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个月，其中必须有2026年</w:t>
      </w: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月）彩色扫描件。拟派</w:t>
      </w:r>
      <w:r>
        <w:rPr>
          <w:rFonts w:hint="eastAsia" w:hAnsi="宋体" w:cs="宋体"/>
          <w:color w:val="auto"/>
          <w:kern w:val="0"/>
          <w:sz w:val="21"/>
          <w:szCs w:val="21"/>
          <w:highlight w:val="none"/>
          <w:lang w:val="en-US" w:eastAsia="zh-CN" w:bidi="ar"/>
        </w:rPr>
        <w:t>人员</w:t>
      </w:r>
      <w:r>
        <w:rPr>
          <w:rFonts w:hint="eastAsia" w:ascii="宋体" w:hAnsi="宋体" w:eastAsia="宋体" w:cs="宋体"/>
          <w:color w:val="auto"/>
          <w:kern w:val="0"/>
          <w:sz w:val="21"/>
          <w:szCs w:val="21"/>
          <w:highlight w:val="none"/>
          <w:lang w:val="en-US" w:eastAsia="zh-CN" w:bidi="ar"/>
        </w:rPr>
        <w:t>为退休返聘人员无法提供社保证明的，提供退休证和劳动合同</w:t>
      </w:r>
      <w:r>
        <w:rPr>
          <w:rFonts w:hint="eastAsia" w:ascii="宋体" w:hAnsi="宋体" w:eastAsia="宋体" w:cs="宋体"/>
          <w:b w:val="0"/>
          <w:bCs w:val="0"/>
          <w:color w:val="auto"/>
          <w:kern w:val="0"/>
          <w:sz w:val="21"/>
          <w:szCs w:val="21"/>
          <w:highlight w:val="none"/>
          <w:lang w:val="en-US" w:eastAsia="zh-CN" w:bidi="ar"/>
        </w:rPr>
        <w:t>（返聘协议）</w:t>
      </w:r>
      <w:r>
        <w:rPr>
          <w:rFonts w:hint="eastAsia" w:ascii="宋体" w:hAnsi="宋体" w:eastAsia="宋体" w:cs="宋体"/>
          <w:color w:val="auto"/>
          <w:kern w:val="0"/>
          <w:sz w:val="21"/>
          <w:szCs w:val="21"/>
          <w:highlight w:val="none"/>
          <w:lang w:val="en-US" w:eastAsia="zh-CN" w:bidi="ar"/>
        </w:rPr>
        <w:t>彩色扫描件。</w:t>
      </w:r>
    </w:p>
    <w:p w14:paraId="6950114E">
      <w:pPr>
        <w:keepNext w:val="0"/>
        <w:keepLines w:val="0"/>
        <w:widowControl w:val="0"/>
        <w:suppressLineNumbers w:val="0"/>
        <w:wordWrap w:val="0"/>
        <w:spacing w:before="0" w:beforeAutospacing="0" w:after="0" w:afterAutospacing="0" w:line="400" w:lineRule="exact"/>
        <w:ind w:left="0" w:right="0" w:firstLine="420" w:firstLineChars="200"/>
        <w:jc w:val="both"/>
        <w:outlineLvl w:val="9"/>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bidi="ar"/>
        </w:rPr>
        <w:t>（4）“进粤企业和人员诚信信息登记平台”个人信息情况截图。（适用于省外建筑企业）</w:t>
      </w:r>
    </w:p>
    <w:p w14:paraId="11E704A7">
      <w:pPr>
        <w:pStyle w:val="39"/>
        <w:keepNext w:val="0"/>
        <w:keepLines w:val="0"/>
        <w:widowControl w:val="0"/>
        <w:suppressLineNumbers w:val="0"/>
        <w:wordWrap w:val="0"/>
        <w:spacing w:line="400" w:lineRule="exact"/>
        <w:ind w:left="0" w:firstLine="0"/>
        <w:outlineLvl w:val="9"/>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 xml:space="preserve">    2</w:t>
      </w:r>
      <w:r>
        <w:rPr>
          <w:rFonts w:hint="eastAsia" w:ascii="宋体" w:hAnsi="宋体" w:eastAsia="宋体" w:cs="宋体"/>
          <w:color w:val="auto"/>
          <w:sz w:val="21"/>
          <w:szCs w:val="21"/>
          <w:highlight w:val="none"/>
          <w:lang w:eastAsia="zh-CN"/>
        </w:rPr>
        <w:t>．联合体投标的，《项目管理机构组成表》应包括联合体成员单位参与项目管理机构的人员，并提供以上所需资料。</w:t>
      </w:r>
    </w:p>
    <w:p w14:paraId="12CDE3DD">
      <w:pPr>
        <w:rPr>
          <w:rFonts w:hint="eastAsia" w:ascii="宋体" w:hAnsi="宋体" w:eastAsia="宋体" w:cs="宋体"/>
          <w:color w:val="auto"/>
          <w:lang w:val="en-US"/>
        </w:rPr>
      </w:pPr>
      <w:bookmarkStart w:id="86" w:name="_Hlt69116778"/>
      <w:bookmarkEnd w:id="86"/>
      <w:bookmarkStart w:id="87" w:name="_Hlt68774664"/>
      <w:bookmarkEnd w:id="87"/>
      <w:bookmarkStart w:id="88" w:name="_附件二十五：综合评审合理低价法"/>
      <w:bookmarkEnd w:id="88"/>
      <w:bookmarkStart w:id="89" w:name="_附件十：单项工程费汇总表"/>
      <w:bookmarkEnd w:id="89"/>
      <w:bookmarkStart w:id="90" w:name="_附件二十四：技术标提问单"/>
      <w:bookmarkEnd w:id="90"/>
    </w:p>
    <w:p w14:paraId="3779FA15">
      <w:pPr>
        <w:rPr>
          <w:rFonts w:hint="eastAsia" w:ascii="宋体" w:hAnsi="宋体" w:eastAsia="宋体" w:cs="宋体"/>
          <w:color w:val="auto"/>
          <w:lang w:val="en-US"/>
        </w:rPr>
      </w:pPr>
    </w:p>
    <w:p w14:paraId="360F0F61">
      <w:pPr>
        <w:rPr>
          <w:rFonts w:hint="eastAsia" w:ascii="宋体" w:hAnsi="宋体" w:eastAsia="宋体" w:cs="宋体"/>
          <w:color w:val="auto"/>
          <w:lang w:val="en-US"/>
        </w:rPr>
      </w:pPr>
    </w:p>
    <w:p w14:paraId="323C890B">
      <w:pPr>
        <w:rPr>
          <w:rFonts w:hint="eastAsia" w:ascii="宋体" w:hAnsi="宋体" w:eastAsia="宋体" w:cs="宋体"/>
          <w:color w:val="auto"/>
          <w:lang w:val="en-US"/>
        </w:rPr>
      </w:pPr>
    </w:p>
    <w:p w14:paraId="152C8A94">
      <w:pPr>
        <w:rPr>
          <w:rFonts w:hint="eastAsia" w:ascii="宋体" w:hAnsi="宋体" w:eastAsia="宋体" w:cs="宋体"/>
          <w:color w:val="auto"/>
          <w:lang w:val="en-US"/>
        </w:rPr>
      </w:pPr>
    </w:p>
    <w:p w14:paraId="70B14695">
      <w:pPr>
        <w:rPr>
          <w:rFonts w:hint="eastAsia" w:ascii="宋体" w:hAnsi="宋体" w:eastAsia="宋体" w:cs="宋体"/>
          <w:color w:val="auto"/>
          <w:lang w:val="en-US"/>
        </w:rPr>
      </w:pPr>
    </w:p>
    <w:p w14:paraId="4C81923B">
      <w:pPr>
        <w:rPr>
          <w:rFonts w:hint="eastAsia" w:ascii="宋体" w:hAnsi="宋体" w:eastAsia="宋体" w:cs="宋体"/>
          <w:color w:val="auto"/>
          <w:lang w:val="en-US"/>
        </w:rPr>
      </w:pPr>
    </w:p>
    <w:p w14:paraId="330FA066">
      <w:pPr>
        <w:rPr>
          <w:rFonts w:hint="eastAsia" w:ascii="宋体" w:hAnsi="宋体" w:eastAsia="宋体" w:cs="宋体"/>
          <w:color w:val="auto"/>
          <w:lang w:val="en-US"/>
        </w:rPr>
      </w:pPr>
    </w:p>
    <w:p w14:paraId="20036E9F">
      <w:pPr>
        <w:rPr>
          <w:rFonts w:hint="eastAsia" w:ascii="宋体" w:hAnsi="宋体" w:eastAsia="宋体" w:cs="宋体"/>
          <w:color w:val="auto"/>
          <w:lang w:val="en-US"/>
        </w:rPr>
      </w:pPr>
    </w:p>
    <w:p w14:paraId="44285936">
      <w:pPr>
        <w:rPr>
          <w:rFonts w:hint="eastAsia" w:ascii="宋体" w:hAnsi="宋体" w:eastAsia="宋体" w:cs="宋体"/>
          <w:color w:val="auto"/>
          <w:lang w:eastAsia="zh-CN"/>
        </w:rPr>
      </w:pPr>
    </w:p>
    <w:p w14:paraId="162AE6BD">
      <w:pPr>
        <w:pStyle w:val="3"/>
        <w:bidi w:val="0"/>
        <w:ind w:left="0" w:leftChars="0" w:firstLine="0" w:firstLineChars="0"/>
        <w:rPr>
          <w:rFonts w:hint="eastAsia" w:ascii="宋体" w:hAnsi="宋体" w:eastAsia="宋体" w:cs="宋体"/>
          <w:b/>
          <w:bCs/>
          <w:color w:val="auto"/>
          <w:sz w:val="24"/>
          <w:szCs w:val="24"/>
          <w:highlight w:val="none"/>
          <w:lang w:val="en-US"/>
        </w:rPr>
      </w:pPr>
      <w:bookmarkStart w:id="91" w:name="_Toc15664"/>
      <w:bookmarkStart w:id="92" w:name="_Toc16377"/>
      <w:bookmarkStart w:id="93" w:name="_Toc26809"/>
      <w:r>
        <w:rPr>
          <w:rFonts w:hint="eastAsia" w:ascii="宋体" w:hAnsi="宋体" w:eastAsia="宋体" w:cs="宋体"/>
          <w:color w:val="auto"/>
          <w:lang w:val="en-US" w:eastAsia="zh-CN"/>
        </w:rPr>
        <w:t>格式十二   建造师查询页（有效期+建造师签字）</w:t>
      </w:r>
      <w:bookmarkEnd w:id="91"/>
      <w:bookmarkEnd w:id="92"/>
      <w:bookmarkEnd w:id="93"/>
    </w:p>
    <w:p w14:paraId="5FCB7342">
      <w:pPr>
        <w:pStyle w:val="39"/>
        <w:keepNext w:val="0"/>
        <w:keepLines w:val="0"/>
        <w:widowControl w:val="0"/>
        <w:suppressLineNumbers w:val="0"/>
        <w:wordWrap w:val="0"/>
        <w:ind w:left="0" w:firstLine="0"/>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fldChar w:fldCharType="begin"/>
      </w:r>
      <w:r>
        <w:rPr>
          <w:rFonts w:hint="eastAsia" w:ascii="宋体" w:hAnsi="宋体" w:eastAsia="宋体" w:cs="宋体"/>
          <w:color w:val="auto"/>
          <w:highlight w:val="none"/>
          <w:lang w:val="en-US"/>
        </w:rPr>
        <w:instrText xml:space="preserve">INCLUDEPICTURE "C:\\Users\\user\\Downloads\\../AppData/Local/Temp/ksohtml12540/wps34.jpg" \* MERGEFORMATINET </w:instrText>
      </w:r>
      <w:r>
        <w:rPr>
          <w:rFonts w:hint="eastAsia" w:ascii="宋体" w:hAnsi="宋体" w:eastAsia="宋体" w:cs="宋体"/>
          <w:color w:val="auto"/>
          <w:highlight w:val="none"/>
          <w:lang w:val="en-US"/>
        </w:rPr>
        <w:fldChar w:fldCharType="separate"/>
      </w:r>
      <w:r>
        <w:rPr>
          <w:rFonts w:hint="eastAsia" w:ascii="宋体" w:hAnsi="宋体" w:eastAsia="宋体" w:cs="宋体"/>
          <w:color w:val="auto"/>
          <w:highlight w:val="none"/>
          <w:lang w:val="en-US"/>
        </w:rPr>
        <w:drawing>
          <wp:inline distT="0" distB="0" distL="114300" distR="114300">
            <wp:extent cx="5915025" cy="8277225"/>
            <wp:effectExtent l="0" t="0" r="952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915025" cy="8277225"/>
                    </a:xfrm>
                    <a:prstGeom prst="rect">
                      <a:avLst/>
                    </a:prstGeom>
                    <a:noFill/>
                    <a:ln>
                      <a:noFill/>
                    </a:ln>
                  </pic:spPr>
                </pic:pic>
              </a:graphicData>
            </a:graphic>
          </wp:inline>
        </w:drawing>
      </w:r>
      <w:r>
        <w:rPr>
          <w:rFonts w:hint="eastAsia" w:ascii="宋体" w:hAnsi="宋体" w:eastAsia="宋体" w:cs="宋体"/>
          <w:color w:val="auto"/>
          <w:highlight w:val="none"/>
          <w:lang w:val="en-US"/>
        </w:rPr>
        <w:fldChar w:fldCharType="end"/>
      </w:r>
    </w:p>
    <w:p w14:paraId="4CBF4C52">
      <w:pPr>
        <w:rPr>
          <w:rFonts w:hint="eastAsia" w:ascii="宋体" w:hAnsi="宋体" w:eastAsia="宋体" w:cs="宋体"/>
          <w:color w:val="auto"/>
          <w:lang w:val="en-US"/>
        </w:rPr>
      </w:pPr>
    </w:p>
    <w:p w14:paraId="4DD10AA0">
      <w:pPr>
        <w:rPr>
          <w:rFonts w:hint="eastAsia" w:ascii="宋体" w:hAnsi="宋体" w:eastAsia="宋体" w:cs="宋体"/>
          <w:color w:val="auto"/>
          <w:lang w:val="en-US"/>
        </w:rPr>
      </w:pPr>
    </w:p>
    <w:p w14:paraId="25160B61">
      <w:pPr>
        <w:rPr>
          <w:rFonts w:hint="eastAsia" w:ascii="宋体" w:hAnsi="宋体" w:eastAsia="宋体" w:cs="宋体"/>
          <w:color w:val="auto"/>
          <w:lang w:val="en-US"/>
        </w:rPr>
      </w:pPr>
    </w:p>
    <w:p w14:paraId="202BB8E4">
      <w:pPr>
        <w:pStyle w:val="38"/>
        <w:keepNext w:val="0"/>
        <w:keepLines w:val="0"/>
        <w:widowControl w:val="0"/>
        <w:suppressLineNumbers w:val="0"/>
        <w:wordWrap w:val="0"/>
        <w:spacing w:before="0" w:beforeAutospacing="0" w:after="0" w:afterAutospacing="0"/>
        <w:ind w:left="3621" w:leftChars="15" w:right="0" w:hanging="3590" w:hangingChars="1496"/>
        <w:jc w:val="both"/>
        <w:outlineLvl w:val="9"/>
        <w:rPr>
          <w:rFonts w:hint="eastAsia" w:ascii="宋体" w:hAnsi="宋体" w:eastAsia="宋体" w:cs="宋体"/>
          <w:color w:val="auto"/>
          <w:highlight w:val="none"/>
          <w:lang w:val="en-US"/>
        </w:rPr>
      </w:pPr>
      <w:bookmarkStart w:id="94" w:name="_Toc346"/>
      <w:bookmarkEnd w:id="94"/>
      <w:bookmarkStart w:id="95" w:name="_Toc137444778"/>
      <w:bookmarkEnd w:id="95"/>
      <w:bookmarkStart w:id="96" w:name="_Toc13722"/>
      <w:bookmarkEnd w:id="96"/>
      <w:bookmarkStart w:id="97" w:name="_Toc133815902"/>
      <w:bookmarkEnd w:id="97"/>
      <w:bookmarkStart w:id="98" w:name="_Toc132687128"/>
      <w:bookmarkEnd w:id="98"/>
      <w:bookmarkStart w:id="99" w:name="_附件二十一：土建工程、电气工程、给排水工程工程清单项目费汇总表"/>
      <w:bookmarkEnd w:id="99"/>
      <w:bookmarkStart w:id="100" w:name="_Hlt87793582"/>
      <w:bookmarkEnd w:id="100"/>
      <w:bookmarkStart w:id="101" w:name="_Toc133160683"/>
      <w:bookmarkEnd w:id="101"/>
      <w:bookmarkStart w:id="102" w:name="_Hlt87783244"/>
      <w:bookmarkEnd w:id="102"/>
      <w:bookmarkStart w:id="103" w:name="_附件十六：措施项目清单计价表"/>
      <w:bookmarkEnd w:id="103"/>
      <w:bookmarkStart w:id="104" w:name="_Toc142468134"/>
      <w:bookmarkEnd w:id="104"/>
      <w:bookmarkStart w:id="105" w:name="_Toc78794873"/>
      <w:r>
        <w:rPr>
          <w:rFonts w:hint="eastAsia" w:ascii="宋体" w:hAnsi="宋体" w:eastAsia="宋体" w:cs="宋体"/>
          <w:color w:val="auto"/>
          <w:highlight w:val="none"/>
          <w:lang w:val="en-US"/>
        </w:rPr>
        <w:drawing>
          <wp:inline distT="0" distB="0" distL="114300" distR="114300">
            <wp:extent cx="5981065" cy="6862445"/>
            <wp:effectExtent l="0" t="0" r="635"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981065" cy="6862445"/>
                    </a:xfrm>
                    <a:prstGeom prst="rect">
                      <a:avLst/>
                    </a:prstGeom>
                    <a:noFill/>
                    <a:ln>
                      <a:noFill/>
                    </a:ln>
                  </pic:spPr>
                </pic:pic>
              </a:graphicData>
            </a:graphic>
          </wp:inline>
        </w:drawing>
      </w:r>
      <w:bookmarkEnd w:id="105"/>
    </w:p>
    <w:p w14:paraId="13E67456">
      <w:pPr>
        <w:rPr>
          <w:rFonts w:hint="eastAsia" w:ascii="宋体" w:hAnsi="宋体" w:eastAsia="宋体" w:cs="宋体"/>
          <w:color w:val="auto"/>
          <w:lang w:val="en-US"/>
        </w:rPr>
      </w:pPr>
    </w:p>
    <w:p w14:paraId="09B466A2">
      <w:pPr>
        <w:rPr>
          <w:rFonts w:hint="eastAsia" w:ascii="宋体" w:hAnsi="宋体" w:eastAsia="宋体" w:cs="宋体"/>
          <w:color w:val="auto"/>
          <w:lang w:val="en-US"/>
        </w:rPr>
      </w:pPr>
    </w:p>
    <w:p w14:paraId="758B85DF">
      <w:pPr>
        <w:rPr>
          <w:rFonts w:hint="eastAsia" w:ascii="宋体" w:hAnsi="宋体" w:eastAsia="宋体" w:cs="宋体"/>
          <w:color w:val="auto"/>
          <w:lang w:val="en-US"/>
        </w:rPr>
      </w:pPr>
    </w:p>
    <w:p w14:paraId="1376A9F7">
      <w:pPr>
        <w:rPr>
          <w:rFonts w:hint="eastAsia" w:ascii="宋体" w:hAnsi="宋体" w:eastAsia="宋体" w:cs="宋体"/>
          <w:color w:val="auto"/>
          <w:lang w:val="en-US"/>
        </w:rPr>
      </w:pPr>
    </w:p>
    <w:p w14:paraId="03F824E8">
      <w:pPr>
        <w:rPr>
          <w:rFonts w:hint="eastAsia" w:ascii="宋体" w:hAnsi="宋体" w:eastAsia="宋体" w:cs="宋体"/>
          <w:color w:val="auto"/>
          <w:lang w:val="en-US"/>
        </w:rPr>
      </w:pPr>
    </w:p>
    <w:p w14:paraId="1BD8B445">
      <w:pPr>
        <w:rPr>
          <w:rFonts w:hint="eastAsia" w:ascii="宋体" w:hAnsi="宋体" w:eastAsia="宋体" w:cs="宋体"/>
          <w:color w:val="auto"/>
          <w:lang w:val="en-US"/>
        </w:rPr>
      </w:pPr>
    </w:p>
    <w:p w14:paraId="53DAC3BD">
      <w:pPr>
        <w:rPr>
          <w:rFonts w:hint="eastAsia" w:ascii="宋体" w:hAnsi="宋体" w:eastAsia="宋体" w:cs="宋体"/>
          <w:color w:val="auto"/>
          <w:lang w:val="en-US"/>
        </w:rPr>
      </w:pPr>
    </w:p>
    <w:p w14:paraId="054DE327">
      <w:pPr>
        <w:rPr>
          <w:rFonts w:hint="eastAsia" w:ascii="宋体" w:hAnsi="宋体" w:eastAsia="宋体" w:cs="宋体"/>
          <w:color w:val="auto"/>
          <w:lang w:val="en-US"/>
        </w:rPr>
      </w:pPr>
    </w:p>
    <w:p w14:paraId="6AF3E874">
      <w:pPr>
        <w:rPr>
          <w:rFonts w:hint="eastAsia" w:ascii="宋体" w:hAnsi="宋体" w:eastAsia="宋体" w:cs="宋体"/>
          <w:color w:val="auto"/>
          <w:lang w:val="en-US"/>
        </w:rPr>
      </w:pPr>
    </w:p>
    <w:p w14:paraId="5161A4B5">
      <w:pPr>
        <w:rPr>
          <w:rFonts w:hint="eastAsia" w:ascii="宋体" w:hAnsi="宋体" w:eastAsia="宋体" w:cs="宋体"/>
          <w:color w:val="auto"/>
          <w:lang w:val="en-US"/>
        </w:rPr>
      </w:pPr>
    </w:p>
    <w:p w14:paraId="797BC470">
      <w:pPr>
        <w:rPr>
          <w:rFonts w:hint="eastAsia" w:ascii="宋体" w:hAnsi="宋体" w:eastAsia="宋体" w:cs="宋体"/>
          <w:color w:val="auto"/>
          <w:lang w:val="en-US" w:eastAsia="zh-CN"/>
        </w:rPr>
      </w:pPr>
    </w:p>
    <w:p w14:paraId="3414A641">
      <w:pPr>
        <w:pStyle w:val="3"/>
        <w:bidi w:val="0"/>
        <w:ind w:left="0" w:leftChars="0" w:firstLine="0" w:firstLineChars="0"/>
        <w:rPr>
          <w:rFonts w:hint="eastAsia" w:ascii="宋体" w:hAnsi="宋体" w:eastAsia="宋体" w:cs="宋体"/>
          <w:color w:val="auto"/>
          <w:lang w:val="en-US" w:eastAsia="zh-CN"/>
        </w:rPr>
      </w:pPr>
      <w:bookmarkStart w:id="106" w:name="_Toc9651"/>
      <w:bookmarkStart w:id="107" w:name="_Toc14118"/>
      <w:r>
        <w:rPr>
          <w:rFonts w:hint="eastAsia" w:ascii="宋体" w:hAnsi="宋体" w:eastAsia="宋体" w:cs="宋体"/>
          <w:color w:val="auto"/>
          <w:lang w:val="en-US" w:eastAsia="zh-CN"/>
        </w:rPr>
        <w:t>格式十三   危险性较大的分部分项工程清单及超过一定规模的危险性较大的分部分项工程清单</w:t>
      </w:r>
      <w:bookmarkEnd w:id="82"/>
      <w:bookmarkEnd w:id="106"/>
      <w:bookmarkEnd w:id="107"/>
    </w:p>
    <w:p w14:paraId="55B961E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color w:val="auto"/>
          <w:sz w:val="36"/>
          <w:szCs w:val="36"/>
          <w:highlight w:val="none"/>
          <w:lang w:val="en-US"/>
        </w:rPr>
      </w:pPr>
      <w:r>
        <w:rPr>
          <w:rFonts w:hint="eastAsia" w:ascii="宋体" w:hAnsi="宋体" w:eastAsia="宋体" w:cs="宋体"/>
          <w:b/>
          <w:bCs/>
          <w:color w:val="auto"/>
          <w:kern w:val="2"/>
          <w:sz w:val="32"/>
          <w:szCs w:val="32"/>
          <w:highlight w:val="none"/>
          <w:lang w:val="en-US" w:eastAsia="zh-CN" w:bidi="ar"/>
        </w:rPr>
        <w:t>危险性较大的分部分项工程清单及超过一定规模的危险性较大的分部分项工程清单</w:t>
      </w:r>
    </w:p>
    <w:p w14:paraId="669F3AAF">
      <w:pPr>
        <w:keepNext w:val="0"/>
        <w:keepLines w:val="0"/>
        <w:widowControl w:val="0"/>
        <w:suppressLineNumbers w:val="0"/>
        <w:autoSpaceDE w:val="0"/>
        <w:autoSpaceDN w:val="0"/>
        <w:spacing w:before="0" w:beforeAutospacing="0" w:after="0" w:afterAutospacing="0" w:line="360" w:lineRule="auto"/>
        <w:ind w:left="0" w:right="0" w:firstLine="480" w:firstLineChars="20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1、根据中华人民共和国住房和城乡建设部令第37号《危险性较大的分部分项工程安全管理规定》（以下简称“37号文”），投标人在投标时须补充完善危大工程清单并明确相应的安全管理措施。</w:t>
      </w:r>
    </w:p>
    <w:p w14:paraId="0FDE667C">
      <w:pPr>
        <w:keepNext w:val="0"/>
        <w:keepLines w:val="0"/>
        <w:widowControl w:val="0"/>
        <w:suppressLineNumbers w:val="0"/>
        <w:autoSpaceDE w:val="0"/>
        <w:autoSpaceDN w:val="0"/>
        <w:spacing w:before="0" w:beforeAutospacing="0" w:after="0" w:afterAutospacing="0" w:line="360" w:lineRule="auto"/>
        <w:ind w:left="0" w:right="0" w:firstLine="480" w:firstLineChars="20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2、招标人根据设计文件的要求及37号文、粤建规范〔2019〕2号文的规定列出“危险性较大的分部分项工程清单及超过一定规模的危险性较大的分部分项工程清单”中与本招标项目相关的清单项，具体详见第5点“打√”标识。</w:t>
      </w:r>
    </w:p>
    <w:p w14:paraId="0B6DD4A2">
      <w:pPr>
        <w:keepNext w:val="0"/>
        <w:keepLines w:val="0"/>
        <w:widowControl w:val="0"/>
        <w:suppressLineNumbers w:val="0"/>
        <w:autoSpaceDE w:val="0"/>
        <w:autoSpaceDN w:val="0"/>
        <w:spacing w:before="0" w:beforeAutospacing="0" w:after="0" w:afterAutospacing="0" w:line="360" w:lineRule="auto"/>
        <w:ind w:left="0" w:right="0" w:firstLine="480" w:firstLineChars="20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（1）投标单位同意建设单位在清单中标识的该项请在对应项打“√”标识，并与投标文件中提供相应的安全管理措施。</w:t>
      </w:r>
    </w:p>
    <w:p w14:paraId="486B342F">
      <w:pPr>
        <w:keepNext w:val="0"/>
        <w:keepLines w:val="0"/>
        <w:widowControl w:val="0"/>
        <w:suppressLineNumbers w:val="0"/>
        <w:autoSpaceDE w:val="0"/>
        <w:autoSpaceDN w:val="0"/>
        <w:spacing w:before="0" w:beforeAutospacing="0" w:after="0" w:afterAutospacing="0" w:line="360" w:lineRule="auto"/>
        <w:ind w:left="0" w:right="0" w:firstLine="480" w:firstLineChars="20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（2）投标单位对清单中认为需要补充的该项请在对应项打“√”标识，并与投标文件中提供相应的安全管理措施。</w:t>
      </w:r>
    </w:p>
    <w:p w14:paraId="3421899C">
      <w:pPr>
        <w:keepNext w:val="0"/>
        <w:keepLines w:val="0"/>
        <w:widowControl w:val="0"/>
        <w:suppressLineNumbers w:val="0"/>
        <w:autoSpaceDE w:val="0"/>
        <w:autoSpaceDN w:val="0"/>
        <w:spacing w:before="0" w:beforeAutospacing="0" w:after="0" w:afterAutospacing="0" w:line="360" w:lineRule="auto"/>
        <w:ind w:left="0" w:right="0" w:firstLine="480" w:firstLineChars="20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（3）投标单位不同意建设单位在清单中标识的该项请在对应项打“×”标识，并在备注栏填上相关说明。</w:t>
      </w:r>
    </w:p>
    <w:p w14:paraId="086904AA">
      <w:pPr>
        <w:keepNext w:val="0"/>
        <w:keepLines w:val="0"/>
        <w:widowControl w:val="0"/>
        <w:suppressLineNumbers w:val="0"/>
        <w:autoSpaceDE w:val="0"/>
        <w:autoSpaceDN w:val="0"/>
        <w:spacing w:before="0" w:beforeAutospacing="0" w:after="0" w:afterAutospacing="0" w:line="360" w:lineRule="auto"/>
        <w:ind w:left="0" w:right="0" w:firstLine="482" w:firstLineChars="200"/>
        <w:jc w:val="left"/>
        <w:rPr>
          <w:rFonts w:hint="eastAsia" w:ascii="宋体" w:hAnsi="宋体" w:eastAsia="宋体" w:cs="宋体"/>
          <w:b/>
          <w:bCs w:val="0"/>
          <w:color w:val="auto"/>
          <w:highlight w:val="none"/>
          <w:u w:val="single"/>
          <w:lang w:val="en-US"/>
        </w:rPr>
      </w:pPr>
      <w:r>
        <w:rPr>
          <w:rFonts w:hint="eastAsia" w:ascii="宋体" w:hAnsi="宋体" w:eastAsia="宋体" w:cs="宋体"/>
          <w:b/>
          <w:bCs w:val="0"/>
          <w:color w:val="auto"/>
          <w:kern w:val="2"/>
          <w:sz w:val="24"/>
          <w:szCs w:val="24"/>
          <w:highlight w:val="none"/>
          <w:u w:val="single"/>
          <w:lang w:val="en-US" w:eastAsia="zh-CN" w:bidi="ar"/>
        </w:rPr>
        <w:t>3、投标单位应当在投标时根据招标人提供的下述第5点清单，在投标施工组织中回应建设单位提供的危大工程清单，补充相应的安全管理措施。（为减轻标书编制的工作量，投标单位回应的危大工程清单提供相应的安全管理措施的页数应控制在3页内）</w:t>
      </w:r>
    </w:p>
    <w:p w14:paraId="0F9E3510">
      <w:pPr>
        <w:keepNext w:val="0"/>
        <w:keepLines w:val="0"/>
        <w:widowControl w:val="0"/>
        <w:suppressLineNumbers w:val="0"/>
        <w:autoSpaceDE w:val="0"/>
        <w:autoSpaceDN w:val="0"/>
        <w:spacing w:before="0" w:beforeAutospacing="0" w:after="0" w:afterAutospacing="0" w:line="360" w:lineRule="auto"/>
        <w:ind w:left="0" w:right="0" w:firstLine="480" w:firstLineChars="20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4、对于超过一定规模的危大工程，中标单位应当组织召开专家论证会对专项施工方案进行论证。实行施工总承包的，由施工总承包单位组织召开专家论证会。专家论证前专项施工方案应当通过施工总承包单位审核和总监理工程师审查。</w:t>
      </w:r>
    </w:p>
    <w:p w14:paraId="4AC0FB5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5、危险性较大的分部分项工程清单及超过一定规模的危险性较大的分部分项工程清单：</w:t>
      </w: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78"/>
        <w:gridCol w:w="1353"/>
        <w:gridCol w:w="1353"/>
        <w:gridCol w:w="1057"/>
      </w:tblGrid>
      <w:tr w14:paraId="23DD2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center"/>
          </w:tcPr>
          <w:p w14:paraId="6E26D10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highlight w:val="none"/>
                <w:lang w:val="en-US"/>
              </w:rPr>
            </w:pPr>
            <w:r>
              <w:rPr>
                <w:rFonts w:hint="eastAsia" w:ascii="宋体" w:hAnsi="宋体" w:eastAsia="宋体" w:cs="宋体"/>
                <w:b/>
                <w:bCs w:val="0"/>
                <w:color w:val="auto"/>
                <w:kern w:val="2"/>
                <w:sz w:val="24"/>
                <w:szCs w:val="24"/>
                <w:highlight w:val="none"/>
                <w:lang w:val="en-US" w:eastAsia="zh-CN" w:bidi="ar"/>
              </w:rPr>
              <w:t>一、危险性较大的分部分项工程清单</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71C9CF8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rPr>
            </w:pPr>
            <w:r>
              <w:rPr>
                <w:rFonts w:hint="eastAsia" w:ascii="宋体" w:hAnsi="宋体" w:eastAsia="宋体" w:cs="宋体"/>
                <w:color w:val="auto"/>
                <w:kern w:val="2"/>
                <w:sz w:val="24"/>
                <w:szCs w:val="24"/>
                <w:highlight w:val="none"/>
                <w:lang w:val="en-US" w:eastAsia="zh-CN" w:bidi="ar"/>
              </w:rPr>
              <w:t>建设单位</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6055D42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highlight w:val="none"/>
                <w:lang w:val="en-US"/>
              </w:rPr>
            </w:pPr>
            <w:r>
              <w:rPr>
                <w:rFonts w:hint="eastAsia" w:ascii="宋体" w:hAnsi="宋体" w:eastAsia="宋体" w:cs="宋体"/>
                <w:b/>
                <w:bCs w:val="0"/>
                <w:color w:val="auto"/>
                <w:kern w:val="2"/>
                <w:sz w:val="24"/>
                <w:szCs w:val="24"/>
                <w:highlight w:val="none"/>
                <w:lang w:val="en-US" w:eastAsia="zh-CN" w:bidi="ar"/>
              </w:rPr>
              <w:t>投标单位</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64FFEFBF">
            <w:pPr>
              <w:keepNext w:val="0"/>
              <w:keepLines w:val="0"/>
              <w:widowControl w:val="0"/>
              <w:suppressLineNumbers w:val="0"/>
              <w:spacing w:before="0" w:beforeAutospacing="0" w:after="0" w:afterAutospacing="0" w:line="360" w:lineRule="auto"/>
              <w:ind w:left="0" w:right="0" w:firstLine="240" w:firstLineChars="100"/>
              <w:jc w:val="both"/>
              <w:rPr>
                <w:rFonts w:hint="eastAsia" w:ascii="宋体" w:hAnsi="宋体" w:eastAsia="宋体" w:cs="宋体"/>
                <w:color w:val="auto"/>
                <w:highlight w:val="none"/>
              </w:rPr>
            </w:pPr>
            <w:r>
              <w:rPr>
                <w:rFonts w:hint="eastAsia" w:ascii="宋体" w:hAnsi="宋体" w:eastAsia="宋体" w:cs="宋体"/>
                <w:color w:val="auto"/>
                <w:kern w:val="2"/>
                <w:sz w:val="24"/>
                <w:szCs w:val="24"/>
                <w:highlight w:val="none"/>
                <w:lang w:val="en-US" w:eastAsia="zh-CN" w:bidi="ar"/>
              </w:rPr>
              <w:t>备注</w:t>
            </w:r>
          </w:p>
        </w:tc>
      </w:tr>
      <w:tr w14:paraId="0D1CC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06386516">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一、基坑支护</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2EAF4920">
            <w:pPr>
              <w:keepNext w:val="0"/>
              <w:keepLines w:val="0"/>
              <w:widowControl w:val="0"/>
              <w:suppressLineNumbers w:val="0"/>
              <w:spacing w:before="0" w:beforeAutospacing="0" w:after="0" w:afterAutospacing="0" w:line="360" w:lineRule="auto"/>
              <w:ind w:left="0" w:right="0" w:firstLine="240" w:firstLineChars="100"/>
              <w:jc w:val="both"/>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2FE202A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73E3D56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5729E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2D7C0D0E">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（一）开挖深度超过3m（含3m）的基坑（槽）的土方开挖、支护、降水工程。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1614CE2D">
            <w:pPr>
              <w:keepNext w:val="0"/>
              <w:keepLines w:val="0"/>
              <w:widowControl w:val="0"/>
              <w:suppressLineNumbers w:val="0"/>
              <w:spacing w:before="0" w:beforeAutospacing="0" w:after="0" w:afterAutospacing="0" w:line="360" w:lineRule="auto"/>
              <w:ind w:left="0" w:right="0" w:firstLine="240" w:firstLineChars="100"/>
              <w:jc w:val="both"/>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1EF364A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3377AAF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317E2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7CBDF1F2">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（二）开挖深度虽未超过3m，但地质条件、周围环境和地下管线复杂，或影响毗邻建、构筑物安全的基坑（槽）的土方开挖、支护、降水工程。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0B422F58">
            <w:pPr>
              <w:keepNext w:val="0"/>
              <w:keepLines w:val="0"/>
              <w:widowControl w:val="0"/>
              <w:suppressLineNumbers w:val="0"/>
              <w:spacing w:before="0" w:beforeAutospacing="0" w:after="0" w:afterAutospacing="0" w:line="360" w:lineRule="auto"/>
              <w:ind w:left="0" w:right="0" w:firstLine="240" w:firstLineChars="100"/>
              <w:jc w:val="both"/>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1C578E8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11041D6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39FFE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2509D78F">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二、模板工程及支撑体系</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1B43222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w:t>
            </w:r>
            <w:r>
              <w:rPr>
                <w:rFonts w:hint="eastAsia" w:ascii="宋体" w:hAnsi="宋体" w:cs="宋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1F3E980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7C5BC98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52483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71A45365">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（一）各类工具式模板工程：包括滑模、爬模、飞模、隧道模等工程。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0810528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182CE84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72E6F43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34723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64B6A1EB">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二）混凝土模板支撑工程：搭设高度5m及以上，或搭设跨度10m及以上，或施工总荷载（荷载效应基本组合的设计值，以下简称设计值）10kN/m2及以上，或集中线荷载（设计值）15kN/m及以上，或高度大于支撑水平投影宽度且相对独立无联系构件的混凝土模板支撑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53E6600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w:t>
            </w:r>
            <w:r>
              <w:rPr>
                <w:rFonts w:hint="eastAsia" w:ascii="宋体" w:hAnsi="宋体" w:cs="宋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24A79AC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0597AC6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428A8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30A526D1">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（三）承重支撑体系：用于钢结构安装等满堂支撑体系。</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1C1F1C2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w:t>
            </w:r>
            <w:r>
              <w:rPr>
                <w:rFonts w:hint="eastAsia" w:ascii="宋体" w:hAnsi="宋体" w:cs="宋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3C46DE7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18716F8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1789E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1601C77D">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三、起重吊装及起重机械安装拆卸工程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0C262B6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w:t>
            </w:r>
            <w:r>
              <w:rPr>
                <w:rFonts w:hint="eastAsia" w:ascii="宋体" w:hAnsi="宋体" w:cs="宋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4AB1E7C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7F70CE1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187B5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313122B3">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（一）采用非常规起重设备、方法，且单件起吊重量在10kN及以上的起重吊装工程。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67B5B27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w:t>
            </w:r>
            <w:r>
              <w:rPr>
                <w:rFonts w:hint="eastAsia" w:ascii="宋体" w:hAnsi="宋体" w:cs="宋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4BE1622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06297ED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33914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1510D5C1">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（二）采用起重机械进行安装的工程。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68F5392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w:t>
            </w:r>
            <w:r>
              <w:rPr>
                <w:rFonts w:hint="eastAsia" w:ascii="宋体" w:hAnsi="宋体" w:cs="宋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1CDBC80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43BE9E6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53DB0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220BEFAF">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（三）起重机械安装和拆卸工程。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486A7B7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w:t>
            </w:r>
            <w:r>
              <w:rPr>
                <w:rFonts w:hint="eastAsia" w:ascii="宋体" w:hAnsi="宋体" w:cs="宋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3D24FCE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626BDAD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29C90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732BE433">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四、脚手架工程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599CCF2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w:t>
            </w:r>
            <w:r>
              <w:rPr>
                <w:rFonts w:hint="eastAsia" w:ascii="宋体" w:hAnsi="宋体" w:cs="宋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0C444DB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26404F1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69DD4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57434E32">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（一）搭设高度24m及以上的落地式钢管脚手架工程（包括采光井、电梯井脚手架）。</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38E02E1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w:t>
            </w:r>
            <w:r>
              <w:rPr>
                <w:rFonts w:hint="eastAsia" w:ascii="宋体" w:hAnsi="宋体" w:cs="宋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5B1B4AF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5C982E6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6E75B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4C75D14E">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（二）附着式升降脚手架工程。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65102A0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51449A6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3400656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731EA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05832B10">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（三）悬挑式脚手架工程。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39563D6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3D1391C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3B0B4A4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4ED51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68C2F1CE">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（四）高处作业吊篮。</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1BEC493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5EAFDAB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015FB2B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66A38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364FF86E">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（五）卸料平台、操作平台工程。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1AB3BA0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30C2D1B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6D0B9E9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4B3CD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714D98FE">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（六）异型脚手架工程。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285B0B5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2590083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65ADE96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7F359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4B68BF57">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五、拆除工程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3AB525A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12A4A4F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0B62A48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77F71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7792D3D1">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可能影响行人、交通、电力设施、通讯设施或</w:t>
            </w:r>
            <w:r>
              <w:rPr>
                <w:rFonts w:hint="eastAsia" w:ascii="宋体" w:hAnsi="宋体" w:cs="宋体"/>
                <w:color w:val="auto"/>
                <w:kern w:val="2"/>
                <w:sz w:val="24"/>
                <w:szCs w:val="24"/>
                <w:highlight w:val="none"/>
                <w:lang w:val="en-US" w:eastAsia="zh-CN" w:bidi="ar"/>
              </w:rPr>
              <w:t>其他</w:t>
            </w:r>
            <w:r>
              <w:rPr>
                <w:rFonts w:hint="eastAsia" w:ascii="宋体" w:hAnsi="宋体" w:eastAsia="宋体" w:cs="宋体"/>
                <w:color w:val="auto"/>
                <w:kern w:val="2"/>
                <w:sz w:val="24"/>
                <w:szCs w:val="24"/>
                <w:highlight w:val="none"/>
                <w:lang w:val="en-US" w:eastAsia="zh-CN" w:bidi="ar"/>
              </w:rPr>
              <w:t>建、构筑物安全的拆除工程。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158D08D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6822474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370BABD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05D1C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1688444D">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六、暗挖工程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45DCC3D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0415040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5293E28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180A7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7CDFD980">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采用矿山法、盾构法、顶管法施工的隧道、洞室工程。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2C832DE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1A21CC4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5291728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716C1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5600E91F">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七、</w:t>
            </w:r>
            <w:r>
              <w:rPr>
                <w:rFonts w:hint="eastAsia" w:ascii="宋体" w:hAnsi="宋体" w:cs="宋体"/>
                <w:color w:val="auto"/>
                <w:kern w:val="2"/>
                <w:sz w:val="24"/>
                <w:szCs w:val="24"/>
                <w:highlight w:val="none"/>
                <w:lang w:val="en-US" w:eastAsia="zh-CN" w:bidi="ar"/>
              </w:rPr>
              <w:t>其他</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2D5DFE8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4FF25E5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06D56AE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60DE7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1AC915A0">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（一）建筑幕墙安装工程。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62804E4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18C85A3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61C0772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0E404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22F8CD05">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（二）钢结构、网架和索膜结构安装工程。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3F62509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48D951C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6CCE4DA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274CB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6B8BDE76">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（三）人工挖孔桩工程。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598B41F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755CB30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51C548F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0CF47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271DFDB9">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（四）水下作业工程。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3517FFB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0CA99ED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7FB3BAF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3E125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327DBD47">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（五）装配式建筑混凝土预制构件安装工程。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495EB45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7C3775A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7DEFB00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1439C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38ECD2B0">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（六）采用新技术、新工艺、新材料、新设备可能影响工程施工安全，尚无国家、行业及地方技术标准的分部分项工程。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348C0DA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42F7857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0C4032B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35EE2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center"/>
          </w:tcPr>
          <w:p w14:paraId="54512D55">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b/>
                <w:bCs w:val="0"/>
                <w:color w:val="auto"/>
                <w:highlight w:val="none"/>
                <w:lang w:val="en-US"/>
              </w:rPr>
            </w:pPr>
            <w:r>
              <w:rPr>
                <w:rFonts w:hint="eastAsia" w:ascii="宋体" w:hAnsi="宋体" w:eastAsia="宋体" w:cs="宋体"/>
                <w:b/>
                <w:bCs/>
                <w:color w:val="auto"/>
                <w:kern w:val="2"/>
                <w:sz w:val="24"/>
                <w:szCs w:val="24"/>
                <w:highlight w:val="none"/>
                <w:lang w:val="en-US" w:eastAsia="zh-CN" w:bidi="ar"/>
              </w:rPr>
              <w:t>二、超过一定规模的危险性较大的分部分项工程清单</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7FBB849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highlight w:val="none"/>
                <w:lang w:val="en-US"/>
              </w:rPr>
            </w:pPr>
            <w:r>
              <w:rPr>
                <w:rFonts w:hint="eastAsia" w:ascii="宋体" w:hAnsi="宋体" w:eastAsia="宋体" w:cs="宋体"/>
                <w:color w:val="auto"/>
                <w:kern w:val="2"/>
                <w:sz w:val="24"/>
                <w:szCs w:val="24"/>
                <w:highlight w:val="none"/>
                <w:lang w:val="en-US" w:eastAsia="zh-CN" w:bidi="ar"/>
              </w:rPr>
              <w:t>建设单位</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50F54F5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auto"/>
                <w:highlight w:val="none"/>
                <w:lang w:val="en-US"/>
              </w:rPr>
            </w:pPr>
            <w:r>
              <w:rPr>
                <w:rFonts w:hint="eastAsia" w:ascii="宋体" w:hAnsi="宋体" w:eastAsia="宋体" w:cs="宋体"/>
                <w:b/>
                <w:bCs w:val="0"/>
                <w:color w:val="auto"/>
                <w:kern w:val="2"/>
                <w:sz w:val="24"/>
                <w:szCs w:val="24"/>
                <w:highlight w:val="none"/>
                <w:lang w:val="en-US" w:eastAsia="zh-CN" w:bidi="ar"/>
              </w:rPr>
              <w:t>投标单位</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30F0F98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highlight w:val="none"/>
                <w:lang w:val="en-US"/>
              </w:rPr>
            </w:pPr>
            <w:r>
              <w:rPr>
                <w:rFonts w:hint="eastAsia" w:ascii="宋体" w:hAnsi="宋体" w:eastAsia="宋体" w:cs="宋体"/>
                <w:color w:val="auto"/>
                <w:kern w:val="2"/>
                <w:sz w:val="24"/>
                <w:szCs w:val="24"/>
                <w:highlight w:val="none"/>
                <w:lang w:val="en-US" w:eastAsia="zh-CN" w:bidi="ar"/>
              </w:rPr>
              <w:t>备注</w:t>
            </w:r>
          </w:p>
        </w:tc>
      </w:tr>
      <w:tr w14:paraId="23CFD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20F50F91">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一、深基坑工程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47776E6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456A341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12EA592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61825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616F7AB7">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开挖深度超过5m（含5m）的基坑（槽）的土方开挖、支护、降水工程。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7C92A22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157D56D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1EA0FBC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49206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6BE9A3D0">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二、模板工程及支撑体系</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761737A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5FFCF0E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0208A45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751E2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1F178CDB">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（一）各类工具式模板工程：包括滑模、爬模、飞模、隧道模等工程。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1C10EED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7D2CECE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686DFE8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7A584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4E1E759C">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（二）混凝土模板支撑工程：搭设高度8m及以上，或搭设跨度18m及以上，或施工总荷载（设计值）15kN/m2及以上，或集中线荷载（设计值）20kN/m及以上。</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7CF3EA5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749EB1C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20E048D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25586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6EA6E283">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（三）承重支撑体系：用于钢结构安装等满堂支撑体系，承受单点集中荷载7kN及以上。</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6B19E17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40D1927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2B1EC51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43060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711B4DEF">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三、起重吊装及起重机械安装拆卸工程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5826B3C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5547EDA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6306E3B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375A0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6775D6EA">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（一）采用非常规起重设备、方法，且单件起吊重量在100kN及以上的起重吊装工程。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763D420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05DC85C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71DD69F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476E0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5CE72205">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（二）起重量300kN及以上，或搭设总高度200m及以上，或搭设基础标高在200m及以上的起重机械安装和拆卸工程。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7E630B2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6A4CD69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4E0D5A8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6D2D4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4F76B84A">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四、脚手架工程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6D9FE9D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17BE527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2E6B3AF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411BC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5BDF8D13">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（一）搭设高度50m及以上的落地式钢管脚手架工程。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6202ED9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66028FF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257565A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03521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572CDE0E">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（二）提升高度在150m及以上的附着式升降脚手架工程或附着式升降操作平台工程。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3F58FCA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47C7E25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124C9C0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44C50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17B542D7">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（三）分段架体搭设高度20m及以上的悬挑式脚手架工程。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0304C01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6803F5B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5169B40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56EA0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7C0CAC44">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五、拆除工程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7E10C88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3A4E4EB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464E606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023A6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29FBBC5A">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（一）码头、桥梁、高架、烟囱、水塔或拆除中容易引起有毒有害气（液）体或粉尘扩散、易燃易爆事故发生的特殊建、构筑物的拆除工程。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1CD9F4B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0013F89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03B970B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560BD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602E043A">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（二）文物保护建筑、优秀历史建筑或历史文化风貌区影响范围内的拆除工程。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39AAF8C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0DF23DB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207C21B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11BC4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1F50908F">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六、暗挖工程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71BF2C2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5AAD4A6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394A40D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2B41C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597F637C">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采用矿山法、盾构法、顶管法施工的隧道、洞室工程。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6A5D829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0EE715B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3A97B10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6717E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11895D14">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七、</w:t>
            </w:r>
            <w:r>
              <w:rPr>
                <w:rFonts w:hint="eastAsia" w:ascii="宋体" w:hAnsi="宋体" w:cs="宋体"/>
                <w:color w:val="auto"/>
                <w:kern w:val="2"/>
                <w:sz w:val="24"/>
                <w:szCs w:val="24"/>
                <w:highlight w:val="none"/>
                <w:lang w:val="en-US" w:eastAsia="zh-CN" w:bidi="ar"/>
              </w:rPr>
              <w:t>其他</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2E8839A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29E9658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732D7EB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61A4E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56052085">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（一）施工高度50m及以上的建筑幕墙安装工程。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0AC16D9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40EE6D0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03AB5FF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60666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247E6D85">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（二）跨度36m及以上的钢结构安装工程，或跨度60m及以上的网架和索膜结构安装工程。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5461A6C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7CDCCF4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4B9A95B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72881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11D71305">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（三）开挖深度16m及以上的人工挖孔桩工程。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4B77184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1AA6C9C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2F0A56C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16EF2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0CB50D83">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（四）水下作业工程。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30DDA16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3A3C708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2387485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56171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4911BCA6">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（五）重量1000kN及以上的大型结构整体顶升、平移、转体等施工工艺。</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0068599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3AC3E1F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3215092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r w14:paraId="53152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78" w:type="dxa"/>
            <w:tcBorders>
              <w:top w:val="single" w:color="000000" w:sz="4" w:space="0"/>
              <w:left w:val="single" w:color="000000" w:sz="4" w:space="0"/>
              <w:bottom w:val="single" w:color="000000" w:sz="4" w:space="0"/>
              <w:right w:val="single" w:color="000000" w:sz="4" w:space="0"/>
            </w:tcBorders>
            <w:noWrap w:val="0"/>
            <w:vAlign w:val="top"/>
          </w:tcPr>
          <w:p w14:paraId="51C1AD8F">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（六）采用新技术、新工艺、新材料、新设备可能影响工程施工安全，尚无国家、行业及地方技术标准的分部分项工程。</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0C5D093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4ECA996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    )</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14:paraId="4A3E1BB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highlight w:val="none"/>
                <w:lang w:val="en-US"/>
              </w:rPr>
            </w:pPr>
          </w:p>
        </w:tc>
      </w:tr>
    </w:tbl>
    <w:p w14:paraId="7918A2D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highlight w:val="none"/>
        </w:rPr>
      </w:pPr>
      <w:r>
        <w:rPr>
          <w:rFonts w:hint="eastAsia" w:ascii="宋体" w:hAnsi="宋体" w:eastAsia="宋体" w:cs="宋体"/>
          <w:color w:val="auto"/>
          <w:kern w:val="2"/>
          <w:sz w:val="24"/>
          <w:szCs w:val="24"/>
          <w:highlight w:val="none"/>
          <w:lang w:val="en-US" w:eastAsia="zh-CN" w:bidi="ar"/>
        </w:rPr>
        <w:t xml:space="preserve"> </w:t>
      </w:r>
    </w:p>
    <w:p w14:paraId="3A84E6E7">
      <w:pPr>
        <w:pStyle w:val="18"/>
        <w:keepNext w:val="0"/>
        <w:keepLines w:val="0"/>
        <w:widowControl/>
        <w:suppressLineNumbers w:val="0"/>
        <w:spacing w:before="0" w:beforeAutospacing="0" w:after="0" w:afterAutospacing="0" w:line="400" w:lineRule="exact"/>
        <w:ind w:left="0" w:right="0" w:firstLine="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备注：1.根据《危险性较大的分部分项工程安全管理规定》，该《危险性较大的分部分项工程清单及超过一定规模的危险性较大的分部分项工程清单》应由</w:t>
      </w:r>
      <w:r>
        <w:rPr>
          <w:rFonts w:hint="eastAsia" w:ascii="宋体" w:hAnsi="宋体" w:eastAsia="宋体" w:cs="宋体"/>
          <w:b/>
          <w:bCs/>
          <w:color w:val="auto"/>
          <w:kern w:val="0"/>
          <w:sz w:val="24"/>
          <w:szCs w:val="24"/>
          <w:highlight w:val="none"/>
          <w:lang w:val="en-US" w:eastAsia="zh-CN" w:bidi="ar"/>
        </w:rPr>
        <w:t xml:space="preserve">建设单位 </w:t>
      </w:r>
      <w:r>
        <w:rPr>
          <w:rFonts w:hint="eastAsia" w:ascii="宋体" w:hAnsi="宋体" w:eastAsia="宋体" w:cs="宋体"/>
          <w:color w:val="auto"/>
          <w:kern w:val="0"/>
          <w:sz w:val="24"/>
          <w:szCs w:val="24"/>
          <w:highlight w:val="none"/>
          <w:lang w:val="en-US" w:eastAsia="zh-CN" w:bidi="ar"/>
        </w:rPr>
        <w:t>组织勘察、设计等单位</w:t>
      </w:r>
      <w:r>
        <w:rPr>
          <w:rFonts w:hint="eastAsia" w:ascii="宋体" w:hAnsi="宋体" w:eastAsia="宋体" w:cs="宋体"/>
          <w:b/>
          <w:bCs/>
          <w:color w:val="auto"/>
          <w:kern w:val="0"/>
          <w:sz w:val="24"/>
          <w:szCs w:val="24"/>
          <w:highlight w:val="none"/>
          <w:lang w:val="en-US" w:eastAsia="zh-CN" w:bidi="ar"/>
        </w:rPr>
        <w:t>在招标文件</w:t>
      </w:r>
      <w:r>
        <w:rPr>
          <w:rFonts w:hint="eastAsia" w:ascii="宋体" w:hAnsi="宋体" w:eastAsia="宋体" w:cs="宋体"/>
          <w:color w:val="auto"/>
          <w:kern w:val="0"/>
          <w:sz w:val="24"/>
          <w:szCs w:val="24"/>
          <w:highlight w:val="none"/>
          <w:lang w:val="en-US" w:eastAsia="zh-CN" w:bidi="ar"/>
        </w:rPr>
        <w:t>中先行“勾选（对应项打“√”标识）”危险性较大的分部分项工程。</w:t>
      </w:r>
    </w:p>
    <w:p w14:paraId="456E5C9E">
      <w:pPr>
        <w:pStyle w:val="18"/>
        <w:keepNext w:val="0"/>
        <w:keepLines w:val="0"/>
        <w:widowControl/>
        <w:suppressLineNumbers w:val="0"/>
        <w:spacing w:before="0" w:beforeAutospacing="0" w:after="0" w:afterAutospacing="0" w:line="400" w:lineRule="exact"/>
        <w:ind w:left="0" w:right="0" w:firstLine="660" w:firstLineChars="275"/>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2.该《危险性较大的分部分项工程清单及超过一定规模的危险性较大的分部分项工程清单》在办理建设项目施工许可时必须提供，且各地建设行政主管部门可按照《广东省建设工程项目招标中标后监督检查办法》相关规定开展检查。</w:t>
      </w:r>
    </w:p>
    <w:p w14:paraId="306E1AB0">
      <w:pPr>
        <w:pStyle w:val="18"/>
        <w:keepNext w:val="0"/>
        <w:keepLines w:val="0"/>
        <w:widowControl/>
        <w:suppressLineNumbers w:val="0"/>
        <w:spacing w:before="0" w:beforeAutospacing="0" w:after="0" w:afterAutospacing="0" w:line="400" w:lineRule="exact"/>
        <w:ind w:left="0" w:right="0" w:firstLine="660" w:firstLineChars="275"/>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3.如果需要（如需要通过计算编制专项方案，或者需要专家论证），可中标后提供详细版。</w:t>
      </w:r>
    </w:p>
    <w:p w14:paraId="1542750B">
      <w:pPr>
        <w:rPr>
          <w:rFonts w:hint="eastAsia" w:ascii="宋体" w:hAnsi="宋体" w:eastAsia="宋体" w:cs="宋体"/>
          <w:color w:val="auto"/>
          <w:lang w:val="en-US"/>
        </w:rPr>
      </w:pPr>
    </w:p>
    <w:p w14:paraId="10AFDE46">
      <w:pPr>
        <w:rPr>
          <w:rFonts w:hint="eastAsia" w:ascii="宋体" w:hAnsi="宋体" w:eastAsia="宋体" w:cs="宋体"/>
          <w:color w:val="auto"/>
          <w:lang w:val="en-US"/>
        </w:rPr>
      </w:pPr>
    </w:p>
    <w:p w14:paraId="57ECDAE3">
      <w:pPr>
        <w:rPr>
          <w:rFonts w:hint="eastAsia" w:ascii="宋体" w:hAnsi="宋体" w:eastAsia="宋体" w:cs="宋体"/>
          <w:color w:val="auto"/>
          <w:lang w:val="en-US"/>
        </w:rPr>
      </w:pPr>
    </w:p>
    <w:p w14:paraId="67050705">
      <w:pPr>
        <w:rPr>
          <w:rFonts w:hint="eastAsia" w:ascii="宋体" w:hAnsi="宋体" w:eastAsia="宋体" w:cs="宋体"/>
          <w:color w:val="auto"/>
          <w:lang w:val="en-US"/>
        </w:rPr>
      </w:pPr>
    </w:p>
    <w:p w14:paraId="01703BD2">
      <w:pPr>
        <w:rPr>
          <w:rFonts w:hint="eastAsia" w:ascii="宋体" w:hAnsi="宋体" w:eastAsia="宋体" w:cs="宋体"/>
          <w:color w:val="auto"/>
          <w:lang w:val="en-US"/>
        </w:rPr>
      </w:pPr>
    </w:p>
    <w:p w14:paraId="37151A58">
      <w:pPr>
        <w:rPr>
          <w:rFonts w:hint="eastAsia" w:ascii="宋体" w:hAnsi="宋体" w:eastAsia="宋体" w:cs="宋体"/>
          <w:color w:val="auto"/>
          <w:lang w:val="en-US"/>
        </w:rPr>
      </w:pPr>
    </w:p>
    <w:p w14:paraId="3EC068C7">
      <w:pPr>
        <w:rPr>
          <w:rFonts w:hint="eastAsia" w:ascii="宋体" w:hAnsi="宋体" w:eastAsia="宋体" w:cs="宋体"/>
          <w:color w:val="auto"/>
          <w:lang w:val="en-US"/>
        </w:rPr>
      </w:pPr>
    </w:p>
    <w:p w14:paraId="41CD040C">
      <w:pPr>
        <w:rPr>
          <w:rFonts w:hint="eastAsia" w:ascii="宋体" w:hAnsi="宋体" w:eastAsia="宋体" w:cs="宋体"/>
          <w:color w:val="auto"/>
          <w:lang w:val="en-US"/>
        </w:rPr>
      </w:pPr>
    </w:p>
    <w:p w14:paraId="1A7DD1DE">
      <w:pPr>
        <w:rPr>
          <w:rFonts w:hint="eastAsia" w:ascii="宋体" w:hAnsi="宋体" w:eastAsia="宋体" w:cs="宋体"/>
          <w:color w:val="auto"/>
          <w:lang w:val="en-US"/>
        </w:rPr>
      </w:pPr>
    </w:p>
    <w:p w14:paraId="0EC00CD6">
      <w:pPr>
        <w:rPr>
          <w:rFonts w:hint="eastAsia" w:ascii="宋体" w:hAnsi="宋体" w:eastAsia="宋体" w:cs="宋体"/>
          <w:color w:val="auto"/>
          <w:lang w:val="en-US"/>
        </w:rPr>
      </w:pPr>
    </w:p>
    <w:p w14:paraId="74907635">
      <w:pPr>
        <w:rPr>
          <w:rFonts w:hint="eastAsia" w:ascii="宋体" w:hAnsi="宋体" w:eastAsia="宋体" w:cs="宋体"/>
          <w:color w:val="auto"/>
          <w:lang w:val="en-US"/>
        </w:rPr>
      </w:pPr>
    </w:p>
    <w:p w14:paraId="726D37CA">
      <w:pPr>
        <w:rPr>
          <w:rFonts w:hint="eastAsia" w:ascii="宋体" w:hAnsi="宋体" w:eastAsia="宋体" w:cs="宋体"/>
          <w:color w:val="auto"/>
          <w:lang w:val="en-US"/>
        </w:rPr>
      </w:pPr>
    </w:p>
    <w:p w14:paraId="31B35A50">
      <w:pPr>
        <w:rPr>
          <w:rFonts w:hint="eastAsia" w:ascii="宋体" w:hAnsi="宋体" w:eastAsia="宋体" w:cs="宋体"/>
          <w:color w:val="auto"/>
          <w:lang w:val="en-US"/>
        </w:rPr>
      </w:pPr>
    </w:p>
    <w:p w14:paraId="37B47B44">
      <w:pPr>
        <w:rPr>
          <w:rFonts w:hint="eastAsia" w:ascii="宋体" w:hAnsi="宋体" w:eastAsia="宋体" w:cs="宋体"/>
          <w:color w:val="auto"/>
          <w:lang w:val="en-US"/>
        </w:rPr>
      </w:pPr>
    </w:p>
    <w:p w14:paraId="7E2B3115">
      <w:pPr>
        <w:rPr>
          <w:rFonts w:hint="eastAsia" w:ascii="宋体" w:hAnsi="宋体" w:eastAsia="宋体" w:cs="宋体"/>
          <w:color w:val="auto"/>
          <w:lang w:val="en-US"/>
        </w:rPr>
      </w:pPr>
    </w:p>
    <w:p w14:paraId="0C977BD3">
      <w:pPr>
        <w:rPr>
          <w:rFonts w:hint="eastAsia" w:ascii="宋体" w:hAnsi="宋体" w:eastAsia="宋体" w:cs="宋体"/>
          <w:color w:val="auto"/>
          <w:lang w:val="en-US"/>
        </w:rPr>
      </w:pPr>
    </w:p>
    <w:p w14:paraId="583EBCB4">
      <w:pPr>
        <w:rPr>
          <w:rFonts w:hint="eastAsia" w:ascii="宋体" w:hAnsi="宋体" w:eastAsia="宋体" w:cs="宋体"/>
          <w:color w:val="auto"/>
          <w:lang w:val="en-US"/>
        </w:rPr>
      </w:pPr>
    </w:p>
    <w:p w14:paraId="5254C596">
      <w:pPr>
        <w:rPr>
          <w:rFonts w:hint="eastAsia" w:ascii="宋体" w:hAnsi="宋体" w:eastAsia="宋体" w:cs="宋体"/>
          <w:color w:val="auto"/>
          <w:lang w:val="en-US"/>
        </w:rPr>
      </w:pPr>
    </w:p>
    <w:p w14:paraId="7C0E1472">
      <w:pPr>
        <w:rPr>
          <w:rFonts w:hint="eastAsia" w:ascii="宋体" w:hAnsi="宋体" w:eastAsia="宋体" w:cs="宋体"/>
          <w:color w:val="auto"/>
          <w:lang w:val="en-US"/>
        </w:rPr>
      </w:pPr>
    </w:p>
    <w:p w14:paraId="22114AB5">
      <w:pPr>
        <w:rPr>
          <w:rFonts w:hint="eastAsia" w:ascii="宋体" w:hAnsi="宋体" w:eastAsia="宋体" w:cs="宋体"/>
          <w:color w:val="auto"/>
          <w:lang w:val="en-US"/>
        </w:rPr>
      </w:pPr>
    </w:p>
    <w:p w14:paraId="6A14BFED">
      <w:pPr>
        <w:rPr>
          <w:rFonts w:hint="eastAsia" w:ascii="宋体" w:hAnsi="宋体" w:eastAsia="宋体" w:cs="宋体"/>
          <w:color w:val="auto"/>
          <w:lang w:val="en-US"/>
        </w:rPr>
      </w:pPr>
    </w:p>
    <w:p w14:paraId="67BD6669">
      <w:pPr>
        <w:rPr>
          <w:rFonts w:hint="eastAsia" w:ascii="宋体" w:hAnsi="宋体" w:eastAsia="宋体" w:cs="宋体"/>
          <w:color w:val="auto"/>
          <w:lang w:val="en-US"/>
        </w:rPr>
      </w:pPr>
    </w:p>
    <w:p w14:paraId="1E018E74">
      <w:pPr>
        <w:rPr>
          <w:rFonts w:hint="eastAsia" w:ascii="宋体" w:hAnsi="宋体" w:eastAsia="宋体" w:cs="宋体"/>
          <w:color w:val="auto"/>
          <w:lang w:val="en-US"/>
        </w:rPr>
      </w:pPr>
    </w:p>
    <w:p w14:paraId="4C60EA4A">
      <w:pPr>
        <w:rPr>
          <w:rFonts w:hint="eastAsia" w:ascii="宋体" w:hAnsi="宋体" w:eastAsia="宋体" w:cs="宋体"/>
          <w:color w:val="auto"/>
          <w:lang w:val="en-US"/>
        </w:rPr>
      </w:pPr>
    </w:p>
    <w:p w14:paraId="578F713F">
      <w:pPr>
        <w:rPr>
          <w:rFonts w:hint="eastAsia" w:ascii="宋体" w:hAnsi="宋体" w:eastAsia="宋体" w:cs="宋体"/>
          <w:color w:val="auto"/>
          <w:lang w:val="en-US"/>
        </w:rPr>
      </w:pPr>
    </w:p>
    <w:p w14:paraId="2C7378E0">
      <w:pPr>
        <w:rPr>
          <w:rFonts w:hint="eastAsia" w:ascii="宋体" w:hAnsi="宋体" w:eastAsia="宋体" w:cs="宋体"/>
          <w:color w:val="auto"/>
          <w:lang w:val="en-US"/>
        </w:rPr>
      </w:pPr>
    </w:p>
    <w:p w14:paraId="42D8213D">
      <w:pPr>
        <w:rPr>
          <w:rFonts w:hint="eastAsia" w:ascii="宋体" w:hAnsi="宋体" w:eastAsia="宋体" w:cs="宋体"/>
          <w:color w:val="auto"/>
          <w:lang w:val="en-US"/>
        </w:rPr>
      </w:pPr>
    </w:p>
    <w:p w14:paraId="18313747">
      <w:pPr>
        <w:rPr>
          <w:rFonts w:hint="eastAsia" w:ascii="宋体" w:hAnsi="宋体" w:eastAsia="宋体" w:cs="宋体"/>
          <w:color w:val="auto"/>
          <w:lang w:val="en-US"/>
        </w:rPr>
      </w:pPr>
    </w:p>
    <w:p w14:paraId="1F16359F">
      <w:pPr>
        <w:rPr>
          <w:rFonts w:hint="eastAsia" w:ascii="宋体" w:hAnsi="宋体" w:eastAsia="宋体" w:cs="宋体"/>
          <w:color w:val="auto"/>
          <w:lang w:val="en-US"/>
        </w:rPr>
      </w:pPr>
    </w:p>
    <w:p w14:paraId="4CD7141E">
      <w:pPr>
        <w:rPr>
          <w:rFonts w:hint="eastAsia" w:ascii="宋体" w:hAnsi="宋体" w:eastAsia="宋体" w:cs="宋体"/>
          <w:color w:val="auto"/>
          <w:lang w:val="en-US"/>
        </w:rPr>
      </w:pPr>
    </w:p>
    <w:p w14:paraId="360C2369">
      <w:pPr>
        <w:rPr>
          <w:rFonts w:hint="eastAsia" w:ascii="宋体" w:hAnsi="宋体" w:eastAsia="宋体" w:cs="宋体"/>
          <w:color w:val="auto"/>
          <w:lang w:val="en-US"/>
        </w:rPr>
      </w:pPr>
    </w:p>
    <w:p w14:paraId="380A7700">
      <w:pPr>
        <w:rPr>
          <w:rFonts w:hint="eastAsia" w:ascii="宋体" w:hAnsi="宋体" w:eastAsia="宋体" w:cs="宋体"/>
          <w:color w:val="auto"/>
          <w:lang w:val="en-US"/>
        </w:rPr>
      </w:pPr>
    </w:p>
    <w:p w14:paraId="7EBA9348">
      <w:pPr>
        <w:rPr>
          <w:rFonts w:hint="eastAsia" w:ascii="宋体" w:hAnsi="宋体" w:eastAsia="宋体" w:cs="宋体"/>
          <w:color w:val="auto"/>
          <w:lang w:val="en-US"/>
        </w:rPr>
      </w:pPr>
    </w:p>
    <w:p w14:paraId="0F44191D">
      <w:pPr>
        <w:pStyle w:val="3"/>
        <w:bidi w:val="0"/>
        <w:ind w:left="0" w:leftChars="0" w:firstLine="0" w:firstLineChars="0"/>
        <w:rPr>
          <w:rFonts w:hint="eastAsia" w:ascii="宋体" w:hAnsi="宋体" w:eastAsia="宋体" w:cs="宋体"/>
          <w:color w:val="auto"/>
          <w:lang w:val="en-US" w:eastAsia="zh-CN"/>
        </w:rPr>
      </w:pPr>
      <w:bookmarkStart w:id="108" w:name="_Toc19859"/>
      <w:r>
        <w:rPr>
          <w:rFonts w:hint="eastAsia" w:ascii="宋体" w:hAnsi="宋体" w:eastAsia="宋体" w:cs="宋体"/>
          <w:color w:val="auto"/>
          <w:lang w:val="en-US" w:eastAsia="zh-CN"/>
        </w:rPr>
        <w:t>格式十四</w:t>
      </w:r>
      <w:bookmarkStart w:id="109" w:name="_Toc15860"/>
      <w:r>
        <w:rPr>
          <w:rFonts w:hint="eastAsia" w:ascii="宋体" w:hAnsi="宋体" w:eastAsia="宋体" w:cs="宋体"/>
          <w:color w:val="auto"/>
          <w:lang w:val="en-US" w:eastAsia="zh-CN"/>
        </w:rPr>
        <w:t xml:space="preserve">   履约保函</w:t>
      </w:r>
      <w:bookmarkEnd w:id="108"/>
      <w:bookmarkEnd w:id="109"/>
    </w:p>
    <w:p w14:paraId="06E6DE59">
      <w:pPr>
        <w:widowControl/>
        <w:ind w:firstLine="562"/>
        <w:jc w:val="center"/>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履约保函</w:t>
      </w:r>
    </w:p>
    <w:p w14:paraId="4A826DFB">
      <w:pPr>
        <w:autoSpaceDE w:val="0"/>
        <w:autoSpaceDN w:val="0"/>
        <w:adjustRightInd w:val="0"/>
        <w:spacing w:before="120" w:beforeLines="50" w:line="42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致：</w:t>
      </w:r>
      <w:r>
        <w:rPr>
          <w:rFonts w:hint="eastAsia" w:ascii="宋体" w:hAnsi="宋体" w:eastAsia="宋体" w:cs="宋体"/>
          <w:color w:val="auto"/>
          <w:sz w:val="24"/>
          <w:szCs w:val="24"/>
          <w:highlight w:val="none"/>
          <w:u w:val="single"/>
        </w:rPr>
        <w:t xml:space="preserve">   （招标人名称）  </w:t>
      </w:r>
      <w:r>
        <w:rPr>
          <w:rFonts w:hint="eastAsia" w:ascii="宋体" w:hAnsi="宋体" w:eastAsia="宋体" w:cs="宋体"/>
          <w:color w:val="auto"/>
          <w:kern w:val="0"/>
          <w:sz w:val="24"/>
          <w:szCs w:val="24"/>
          <w:highlight w:val="none"/>
        </w:rPr>
        <w:t>(下称受益人) :</w:t>
      </w:r>
    </w:p>
    <w:p w14:paraId="1D19F1B0">
      <w:pPr>
        <w:autoSpaceDE w:val="0"/>
        <w:autoSpaceDN w:val="0"/>
        <w:adjustRightInd w:val="0"/>
        <w:spacing w:before="120" w:beforeLines="50" w:after="120" w:afterLines="50" w:line="42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鉴于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(下称“被保证人”)</w:t>
      </w:r>
      <w:r>
        <w:rPr>
          <w:rFonts w:hint="eastAsia" w:ascii="宋体" w:hAnsi="宋体" w:eastAsia="宋体" w:cs="宋体"/>
          <w:color w:val="auto"/>
          <w:kern w:val="0"/>
          <w:sz w:val="24"/>
          <w:szCs w:val="24"/>
          <w:highlight w:val="none"/>
        </w:rPr>
        <w:t>己/拟与贵方签订编号为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 合同(下称“主合同" )。我行在此接受被保证人的委托,在此向受益人提供不可撤销的履约保证担保：</w:t>
      </w:r>
    </w:p>
    <w:p w14:paraId="1D913BF0">
      <w:pPr>
        <w:autoSpaceDE w:val="0"/>
        <w:autoSpaceDN w:val="0"/>
        <w:adjustRightInd w:val="0"/>
        <w:spacing w:before="120" w:beforeLines="50" w:line="420" w:lineRule="exact"/>
        <w:ind w:left="36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一、本保函最高担保金额为人民币</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（大写），</w:t>
      </w:r>
      <w:r>
        <w:rPr>
          <w:rFonts w:hint="eastAsia" w:ascii="宋体" w:hAnsi="宋体" w:eastAsia="宋体" w:cs="宋体"/>
          <w:color w:val="auto"/>
          <w:kern w:val="0"/>
          <w:sz w:val="24"/>
          <w:szCs w:val="24"/>
          <w:highlight w:val="none"/>
          <w:u w:val="single"/>
        </w:rPr>
        <w:t>￥  元</w:t>
      </w:r>
      <w:r>
        <w:rPr>
          <w:rFonts w:hint="eastAsia" w:ascii="宋体" w:hAnsi="宋体" w:eastAsia="宋体" w:cs="宋体"/>
          <w:color w:val="auto"/>
          <w:kern w:val="0"/>
          <w:sz w:val="24"/>
          <w:szCs w:val="24"/>
          <w:highlight w:val="none"/>
        </w:rPr>
        <w:t>(小写)。</w:t>
      </w:r>
    </w:p>
    <w:p w14:paraId="291A4FEB">
      <w:pPr>
        <w:autoSpaceDE w:val="0"/>
        <w:autoSpaceDN w:val="0"/>
        <w:adjustRightInd w:val="0"/>
        <w:spacing w:before="120" w:beforeLines="50" w:line="420" w:lineRule="exact"/>
        <w:ind w:firstLine="360" w:firstLineChars="15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二、本保函的有效期自</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日至</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14:paraId="6ED211BA">
      <w:pPr>
        <w:autoSpaceDE w:val="0"/>
        <w:autoSpaceDN w:val="0"/>
        <w:adjustRightInd w:val="0"/>
        <w:spacing w:before="120" w:beforeLines="50" w:line="420" w:lineRule="exact"/>
        <w:ind w:firstLine="360" w:firstLineChars="15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在本保证担保的保证期间内,如被保证人违反合同或协议约定的义务,我方将收到受益人经法定代表人或其授权委托代理人签字并加盖公章的书面索赔通知后二十个工作日内,不争辩、不挑剔、不可撤销地向受益人支付索赔款,直至本保证担保的最高担保金额。</w:t>
      </w:r>
    </w:p>
    <w:p w14:paraId="4EFF46D4">
      <w:pPr>
        <w:autoSpaceDE w:val="0"/>
        <w:autoSpaceDN w:val="0"/>
        <w:adjustRightInd w:val="0"/>
        <w:spacing w:before="120" w:beforeLines="50" w:line="420" w:lineRule="exact"/>
        <w:ind w:firstLine="360" w:firstLineChars="15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四、索赔通知应说明索赔理由、索赔款额的计算方法,并必须在本保证担保的保证期内送达我方。</w:t>
      </w:r>
    </w:p>
    <w:p w14:paraId="4CCDF24F">
      <w:pPr>
        <w:autoSpaceDE w:val="0"/>
        <w:autoSpaceDN w:val="0"/>
        <w:adjustRightInd w:val="0"/>
        <w:spacing w:before="120" w:beforeLines="50" w:line="420" w:lineRule="exact"/>
        <w:ind w:firstLine="360" w:firstLineChars="15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五、本保函担保项下的权利不得转让。</w:t>
      </w:r>
    </w:p>
    <w:p w14:paraId="3D5CA0B1">
      <w:pPr>
        <w:autoSpaceDE w:val="0"/>
        <w:autoSpaceDN w:val="0"/>
        <w:adjustRightInd w:val="0"/>
        <w:spacing w:before="120" w:beforeLines="50" w:line="420" w:lineRule="exact"/>
        <w:ind w:firstLine="360" w:firstLineChars="15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六、我方提供本保证担保后,受益人与被保证人对主合同进行修订的,应当由被保证人将修订后的合同原件送我方备案。</w:t>
      </w:r>
    </w:p>
    <w:p w14:paraId="0AE3313E">
      <w:pPr>
        <w:autoSpaceDE w:val="0"/>
        <w:autoSpaceDN w:val="0"/>
        <w:adjustRightInd w:val="0"/>
        <w:spacing w:before="120" w:beforeLines="50" w:line="420" w:lineRule="exact"/>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七、本保证担保的保证期届满,或我方向受益人支付的索赔款已达本保证担保</w:t>
      </w:r>
    </w:p>
    <w:p w14:paraId="7CAF5360">
      <w:pPr>
        <w:autoSpaceDE w:val="0"/>
        <w:autoSpaceDN w:val="0"/>
        <w:adjustRightInd w:val="0"/>
        <w:spacing w:before="120" w:beforeLines="50" w:line="42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的最高担保金额，我方的保证责任免除。</w:t>
      </w:r>
    </w:p>
    <w:p w14:paraId="24F6AA93">
      <w:pPr>
        <w:autoSpaceDE w:val="0"/>
        <w:autoSpaceDN w:val="0"/>
        <w:adjustRightInd w:val="0"/>
        <w:spacing w:before="120" w:beforeLines="50" w:line="420" w:lineRule="exact"/>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八、本保函适用中华人民共和国法律。</w:t>
      </w:r>
    </w:p>
    <w:p w14:paraId="221A1DAD">
      <w:pPr>
        <w:autoSpaceDE w:val="0"/>
        <w:autoSpaceDN w:val="0"/>
        <w:adjustRightInd w:val="0"/>
        <w:spacing w:before="120" w:beforeLines="50" w:line="420" w:lineRule="exact"/>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九、本保函以中文文本为准，涂改无效。</w:t>
      </w:r>
    </w:p>
    <w:p w14:paraId="38EE964F">
      <w:pPr>
        <w:rPr>
          <w:rFonts w:hint="eastAsia" w:ascii="宋体" w:hAnsi="宋体" w:eastAsia="宋体" w:cs="宋体"/>
          <w:color w:val="auto"/>
        </w:rPr>
      </w:pPr>
    </w:p>
    <w:p w14:paraId="7E576EF9">
      <w:pPr>
        <w:autoSpaceDE w:val="0"/>
        <w:autoSpaceDN w:val="0"/>
        <w:adjustRightInd w:val="0"/>
        <w:spacing w:before="120" w:beforeLines="50" w:line="420" w:lineRule="exact"/>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担保人名称（盖章）：</w:t>
      </w:r>
    </w:p>
    <w:p w14:paraId="07E5B6B9">
      <w:pPr>
        <w:autoSpaceDE w:val="0"/>
        <w:autoSpaceDN w:val="0"/>
        <w:adjustRightInd w:val="0"/>
        <w:spacing w:before="120" w:beforeLines="50" w:line="420" w:lineRule="exact"/>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法人代表人或其授权委托代理人：</w:t>
      </w:r>
    </w:p>
    <w:p w14:paraId="66B1A273">
      <w:pPr>
        <w:autoSpaceDE w:val="0"/>
        <w:autoSpaceDN w:val="0"/>
        <w:adjustRightInd w:val="0"/>
        <w:spacing w:before="120" w:beforeLines="50" w:line="420" w:lineRule="exact"/>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单位地址：</w:t>
      </w:r>
    </w:p>
    <w:p w14:paraId="3CC4E032">
      <w:pPr>
        <w:autoSpaceDE w:val="0"/>
        <w:autoSpaceDN w:val="0"/>
        <w:adjustRightInd w:val="0"/>
        <w:spacing w:before="120" w:beforeLines="50" w:line="420" w:lineRule="exact"/>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日期：</w:t>
      </w:r>
    </w:p>
    <w:p w14:paraId="30C44DBD">
      <w:pPr>
        <w:autoSpaceDE w:val="0"/>
        <w:autoSpaceDN w:val="0"/>
        <w:adjustRightInd w:val="0"/>
        <w:spacing w:before="120" w:beforeLines="50" w:line="420" w:lineRule="exact"/>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邮编：                 电话：</w:t>
      </w:r>
      <w:bookmarkStart w:id="110" w:name="_Toc29437"/>
      <w:bookmarkStart w:id="111" w:name="_Toc5078"/>
      <w:bookmarkStart w:id="112" w:name="_Toc31994"/>
    </w:p>
    <w:p w14:paraId="316305D4">
      <w:pPr>
        <w:rPr>
          <w:rFonts w:hint="eastAsia"/>
          <w:color w:val="auto"/>
        </w:rPr>
      </w:pPr>
    </w:p>
    <w:p w14:paraId="444D703C">
      <w:pPr>
        <w:rPr>
          <w:rFonts w:hint="eastAsia"/>
          <w:color w:val="auto"/>
          <w:lang w:val="en-US" w:eastAsia="zh-CN"/>
        </w:rPr>
      </w:pPr>
    </w:p>
    <w:p w14:paraId="7D3C0CAE">
      <w:pPr>
        <w:pStyle w:val="3"/>
        <w:bidi w:val="0"/>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格式十五   助力项目承诺书</w:t>
      </w:r>
      <w:bookmarkEnd w:id="110"/>
      <w:bookmarkEnd w:id="111"/>
      <w:bookmarkEnd w:id="112"/>
    </w:p>
    <w:p w14:paraId="35A8074F">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32"/>
          <w:szCs w:val="32"/>
          <w:highlight w:val="none"/>
          <w:lang w:eastAsia="zh-CN"/>
        </w:rPr>
        <w:t>助力项目承诺书</w:t>
      </w:r>
    </w:p>
    <w:p w14:paraId="0560D436">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致招标人：</w:t>
      </w:r>
      <w:r>
        <w:rPr>
          <w:rFonts w:hint="eastAsia" w:ascii="宋体" w:hAnsi="宋体" w:eastAsia="宋体" w:cs="宋体"/>
          <w:color w:val="auto"/>
          <w:sz w:val="24"/>
          <w:szCs w:val="24"/>
          <w:highlight w:val="none"/>
          <w:u w:val="single"/>
        </w:rPr>
        <w:t xml:space="preserve">                      </w:t>
      </w:r>
    </w:p>
    <w:p w14:paraId="0FF123D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为落实省委、省政府关于实施“百县千镇万村高质量发展工程”（以下简称“百千</w:t>
      </w:r>
      <w:r>
        <w:rPr>
          <w:rFonts w:hint="eastAsia" w:ascii="宋体" w:hAnsi="宋体" w:eastAsia="宋体" w:cs="宋体"/>
          <w:color w:val="auto"/>
          <w:sz w:val="24"/>
          <w:szCs w:val="24"/>
          <w:highlight w:val="none"/>
          <w:u w:val="none"/>
          <w:lang w:val="en-US" w:eastAsia="zh-CN"/>
        </w:rPr>
        <w:t>万工程”）工作部署以及</w:t>
      </w:r>
      <w:r>
        <w:rPr>
          <w:rFonts w:hint="eastAsia" w:ascii="宋体" w:hAnsi="宋体" w:eastAsia="宋体" w:cs="宋体"/>
          <w:b w:val="0"/>
          <w:bCs w:val="0"/>
          <w:i w:val="0"/>
          <w:iCs w:val="0"/>
          <w:color w:val="auto"/>
          <w:kern w:val="2"/>
          <w:sz w:val="24"/>
          <w:szCs w:val="24"/>
          <w:highlight w:val="none"/>
          <w:vertAlign w:val="baseline"/>
          <w:lang w:val="en-US" w:eastAsia="zh-CN" w:bidi="ar-SA"/>
        </w:rPr>
        <w:t>省“百千万工程”指挥部关于建筑业企业“微利＋公益”参与“百千万工程”建设方式和《广东省“百县千镇万村高质量发展工程”指挥部城镇建设专班办公室印发关于推动建筑业央企助力“百千万工程”工作指引的通知》（粤城镇建设</w:t>
      </w:r>
      <w:r>
        <w:rPr>
          <w:rFonts w:hint="eastAsia" w:ascii="宋体" w:hAnsi="宋体" w:eastAsia="宋体" w:cs="宋体"/>
          <w:b w:val="0"/>
          <w:bCs w:val="0"/>
          <w:i w:val="0"/>
          <w:iCs w:val="0"/>
          <w:color w:val="auto"/>
          <w:kern w:val="0"/>
          <w:sz w:val="24"/>
          <w:szCs w:val="24"/>
          <w:highlight w:val="none"/>
          <w:vertAlign w:val="baseline"/>
          <w:lang w:val="en-US" w:eastAsia="zh-CN" w:bidi="ar-SA"/>
        </w:rPr>
        <w:t>〔2024〕11号</w:t>
      </w:r>
      <w:r>
        <w:rPr>
          <w:rFonts w:hint="eastAsia" w:ascii="宋体" w:hAnsi="宋体" w:eastAsia="宋体" w:cs="宋体"/>
          <w:b w:val="0"/>
          <w:bCs w:val="0"/>
          <w:i w:val="0"/>
          <w:iCs w:val="0"/>
          <w:color w:val="auto"/>
          <w:kern w:val="2"/>
          <w:sz w:val="24"/>
          <w:szCs w:val="24"/>
          <w:highlight w:val="none"/>
          <w:vertAlign w:val="baseline"/>
          <w:lang w:val="en-US" w:eastAsia="zh-CN" w:bidi="ar-SA"/>
        </w:rPr>
        <w:t>）等工作要求，我公司将按要求完成中标项目的同时，自愿利用</w:t>
      </w:r>
      <w:r>
        <w:rPr>
          <w:rFonts w:hint="eastAsia" w:ascii="宋体" w:hAnsi="宋体" w:eastAsia="宋体" w:cs="宋体"/>
          <w:color w:val="auto"/>
          <w:sz w:val="24"/>
          <w:szCs w:val="24"/>
          <w:highlight w:val="none"/>
          <w:lang w:val="en-US" w:eastAsia="zh-CN"/>
        </w:rPr>
        <w:t>本企业的合理利润，积极做好</w:t>
      </w:r>
      <w:r>
        <w:rPr>
          <w:rFonts w:hint="eastAsia" w:ascii="宋体" w:hAnsi="宋体" w:eastAsia="宋体" w:cs="宋体"/>
          <w:color w:val="auto"/>
          <w:sz w:val="24"/>
          <w:szCs w:val="24"/>
          <w:highlight w:val="none"/>
          <w:u w:val="none"/>
          <w:lang w:val="en-US" w:eastAsia="zh-CN"/>
        </w:rPr>
        <w:t>助力项目建设，就此</w:t>
      </w:r>
      <w:r>
        <w:rPr>
          <w:rFonts w:hint="eastAsia" w:ascii="宋体" w:hAnsi="宋体" w:eastAsia="宋体" w:cs="宋体"/>
          <w:color w:val="auto"/>
          <w:sz w:val="24"/>
          <w:szCs w:val="24"/>
          <w:highlight w:val="none"/>
        </w:rPr>
        <w:t>我方承诺如下：</w:t>
      </w:r>
    </w:p>
    <w:p w14:paraId="1E711D2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color w:val="auto"/>
          <w:sz w:val="24"/>
          <w:szCs w:val="24"/>
          <w:highlight w:val="none"/>
        </w:rPr>
        <w:t>我方愿以</w:t>
      </w:r>
      <w:r>
        <w:rPr>
          <w:rFonts w:hint="eastAsia" w:ascii="宋体" w:hAnsi="宋体" w:eastAsia="宋体" w:cs="宋体"/>
          <w:b w:val="0"/>
          <w:bCs w:val="0"/>
          <w:i w:val="0"/>
          <w:iCs w:val="0"/>
          <w:color w:val="auto"/>
          <w:kern w:val="2"/>
          <w:sz w:val="24"/>
          <w:szCs w:val="24"/>
          <w:highlight w:val="none"/>
          <w:vertAlign w:val="baseline"/>
          <w:lang w:val="en-US" w:eastAsia="zh-CN" w:bidi="ar-SA"/>
        </w:rPr>
        <w:t>本项</w:t>
      </w:r>
      <w:r>
        <w:rPr>
          <w:rFonts w:hint="eastAsia" w:ascii="宋体" w:hAnsi="宋体" w:eastAsia="宋体" w:cs="宋体"/>
          <w:color w:val="auto"/>
          <w:sz w:val="24"/>
          <w:szCs w:val="24"/>
          <w:highlight w:val="none"/>
          <w:u w:val="none"/>
          <w:lang w:val="en-US" w:eastAsia="zh-CN"/>
        </w:rPr>
        <w:t>目施工最高投标限价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%的资金，用于助力“百千万工程”中的公益性项目建设，具体实施助力项目从各级“百千万工程”指挥部提供的项目建设清单（项目库）中选取。</w:t>
      </w:r>
    </w:p>
    <w:p w14:paraId="6B149D4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2、如我方中标，承诺完成助力项目建设所用的资金是本企业的自有资金，不使用中标项目内的资金作为助力项目建设资金。</w:t>
      </w:r>
    </w:p>
    <w:p w14:paraId="47612FA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3、如我方中标，在中标项目发出中标通知书之日起至签订中标项目承包合同前，我方将按要求与助力项目业主单位按招标文件要求签订助力协议书，确定具体助力项目、投资额度、工期进度和质量标准等内容（含折算助力项目投资金额中的预扣减或扣减额处理办法）。</w:t>
      </w:r>
    </w:p>
    <w:p w14:paraId="7468B66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4、如我方中标，我方将按照协议书要求做好助力项目建设工作，按时保质保量完成“百千万工程”助力任务并移交整个工程，确保助力项目质量达到合格标准，并承诺本工程的保修期按有关规定及双方签署的协议要求执行。同时，按规定做好助力项目结算工作。</w:t>
      </w:r>
    </w:p>
    <w:p w14:paraId="6D76BE34">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5、如我方中标，将严格履行助力协议。招标人或助力项目业主单位发现我方有未按协议书履行投标助力承诺行为的，愿接受有关部门对我方进行诚信扣分及将有关失信行为上传信用广东和信用中国等诚信平台；对于有严重违反投标承诺，影响助力项目建设质量、进度或损害公共利益的，我方将接受依法依规作出的处理。</w:t>
      </w:r>
    </w:p>
    <w:p w14:paraId="4275308A">
      <w:pPr>
        <w:pStyle w:val="9"/>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color w:val="auto"/>
          <w:sz w:val="24"/>
          <w:szCs w:val="24"/>
          <w:highlight w:val="none"/>
        </w:rPr>
        <w:t>我方同意在投标人须知规定的投标有效期内严格遵守本企业投标文件的各项承诺，如有违约，愿承担相应违约责任。</w:t>
      </w:r>
    </w:p>
    <w:p w14:paraId="165B06AF">
      <w:pPr>
        <w:rPr>
          <w:rFonts w:hint="eastAsia" w:ascii="宋体" w:hAnsi="宋体" w:eastAsia="宋体" w:cs="宋体"/>
          <w:color w:val="auto"/>
        </w:rPr>
      </w:pPr>
    </w:p>
    <w:p w14:paraId="3921DFBF">
      <w:pPr>
        <w:rPr>
          <w:rFonts w:hint="eastAsia" w:ascii="宋体" w:hAnsi="宋体" w:eastAsia="宋体" w:cs="宋体"/>
          <w:color w:val="auto"/>
        </w:rPr>
      </w:pPr>
    </w:p>
    <w:p w14:paraId="4EBD92D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(盖电子印章）</w:t>
      </w:r>
    </w:p>
    <w:p w14:paraId="2F695219">
      <w:pPr>
        <w:rPr>
          <w:rFonts w:hint="eastAsia" w:ascii="宋体" w:hAnsi="宋体" w:eastAsia="宋体" w:cs="宋体"/>
          <w:color w:val="auto"/>
        </w:rPr>
      </w:pPr>
    </w:p>
    <w:p w14:paraId="4FE6C24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（电子签名</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盖电子印章）</w:t>
      </w:r>
    </w:p>
    <w:p w14:paraId="0DB17BDD">
      <w:pPr>
        <w:rPr>
          <w:rFonts w:hint="eastAsia" w:ascii="宋体" w:hAnsi="宋体" w:eastAsia="宋体" w:cs="宋体"/>
          <w:color w:val="auto"/>
        </w:rPr>
      </w:pPr>
    </w:p>
    <w:p w14:paraId="0A3ACA7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4"/>
          <w:szCs w:val="24"/>
          <w:highlight w:val="none"/>
        </w:rPr>
        <w:t xml:space="preserve">                            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499F2747">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宋体" w:hAnsi="宋体" w:eastAsia="宋体" w:cs="宋体"/>
          <w:color w:val="auto"/>
          <w:sz w:val="21"/>
          <w:szCs w:val="21"/>
          <w:highlight w:val="none"/>
          <w:lang w:eastAsia="zh-CN"/>
        </w:rPr>
      </w:pPr>
    </w:p>
    <w:p w14:paraId="2F1E9829">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val="0"/>
          <w:i w:val="0"/>
          <w:iCs w:val="0"/>
          <w:color w:val="auto"/>
          <w:kern w:val="2"/>
          <w:sz w:val="24"/>
          <w:szCs w:val="24"/>
          <w:highlight w:val="none"/>
          <w:u w:val="none" w:color="auto"/>
          <w:vertAlign w:val="baseline"/>
          <w:lang w:val="en-US" w:eastAsia="zh-CN" w:bidi="ar-SA"/>
        </w:rPr>
      </w:pPr>
      <w:r>
        <w:rPr>
          <w:rFonts w:hint="eastAsia" w:ascii="宋体" w:hAnsi="宋体" w:eastAsia="宋体" w:cs="宋体"/>
          <w:color w:val="auto"/>
          <w:sz w:val="24"/>
          <w:szCs w:val="24"/>
          <w:highlight w:val="none"/>
          <w:lang w:eastAsia="zh-CN"/>
        </w:rPr>
        <w:t>注：上述承诺书中的</w:t>
      </w:r>
      <w:r>
        <w:rPr>
          <w:rFonts w:hint="eastAsia" w:ascii="宋体" w:hAnsi="宋体" w:eastAsia="宋体" w:cs="宋体"/>
          <w:b w:val="0"/>
          <w:bCs w:val="0"/>
          <w:i w:val="0"/>
          <w:iCs w:val="0"/>
          <w:color w:val="auto"/>
          <w:kern w:val="2"/>
          <w:sz w:val="24"/>
          <w:szCs w:val="24"/>
          <w:highlight w:val="none"/>
          <w:u w:val="none" w:color="auto"/>
          <w:vertAlign w:val="baseline"/>
          <w:lang w:val="en-US" w:eastAsia="zh-CN" w:bidi="ar-SA"/>
        </w:rPr>
        <w:t>企业社会贡献下浮率要使用阿拉伯数字填报，但不得填报负值，否则作无效投标处理。企业社会贡献下浮率没有填报任何数字的按无企业社会贡献处理，但不作无效投标处理。</w:t>
      </w:r>
    </w:p>
    <w:p w14:paraId="751E8FB1">
      <w:pPr>
        <w:rPr>
          <w:rFonts w:hint="eastAsia" w:ascii="宋体" w:hAnsi="宋体" w:eastAsia="宋体" w:cs="宋体"/>
          <w:color w:val="auto"/>
          <w:lang w:val="en-US" w:eastAsia="zh-CN"/>
        </w:rPr>
      </w:pPr>
    </w:p>
    <w:p w14:paraId="5E2C63D2">
      <w:pPr>
        <w:pStyle w:val="3"/>
        <w:bidi w:val="0"/>
        <w:ind w:left="0" w:leftChars="0" w:firstLine="0" w:firstLineChars="0"/>
        <w:rPr>
          <w:rFonts w:hint="eastAsia" w:ascii="宋体" w:hAnsi="宋体" w:eastAsia="宋体" w:cs="宋体"/>
          <w:color w:val="auto"/>
          <w:lang w:val="en-US" w:eastAsia="zh-CN"/>
        </w:rPr>
      </w:pPr>
      <w:bookmarkStart w:id="113" w:name="_Toc19005"/>
      <w:bookmarkStart w:id="114" w:name="_Toc29452"/>
      <w:bookmarkStart w:id="115" w:name="_Toc19815"/>
      <w:r>
        <w:rPr>
          <w:rFonts w:hint="eastAsia" w:ascii="宋体" w:hAnsi="宋体" w:eastAsia="宋体" w:cs="宋体"/>
          <w:color w:val="auto"/>
          <w:lang w:val="en-US" w:eastAsia="zh-CN"/>
        </w:rPr>
        <w:t>格式十六   原件一览表</w:t>
      </w:r>
      <w:bookmarkEnd w:id="113"/>
      <w:bookmarkEnd w:id="114"/>
    </w:p>
    <w:tbl>
      <w:tblPr>
        <w:tblStyle w:val="21"/>
        <w:tblW w:w="0" w:type="auto"/>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1"/>
        <w:gridCol w:w="1506"/>
        <w:gridCol w:w="829"/>
        <w:gridCol w:w="1165"/>
        <w:gridCol w:w="1625"/>
        <w:gridCol w:w="754"/>
        <w:gridCol w:w="958"/>
        <w:gridCol w:w="1570"/>
      </w:tblGrid>
      <w:tr w14:paraId="2CF10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trPr>
        <w:tc>
          <w:tcPr>
            <w:tcW w:w="9108"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B7F33D">
            <w:pPr>
              <w:pStyle w:val="18"/>
              <w:keepNext w:val="0"/>
              <w:keepLines w:val="0"/>
              <w:widowControl/>
              <w:suppressLineNumbers w:val="0"/>
              <w:spacing w:before="100" w:beforeAutospacing="1" w:after="100" w:afterAutospacing="1" w:line="336"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原件一览表</w:t>
            </w:r>
          </w:p>
        </w:tc>
      </w:tr>
      <w:tr w14:paraId="0AE04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3036"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B15A2D">
            <w:pPr>
              <w:keepNext w:val="0"/>
              <w:keepLines w:val="0"/>
              <w:widowControl w:val="0"/>
              <w:suppressLineNumbers w:val="0"/>
              <w:autoSpaceDE w:val="0"/>
              <w:autoSpaceDN/>
              <w:spacing w:before="0" w:beforeAutospacing="0" w:after="0" w:afterAutospacing="0" w:line="400" w:lineRule="exact"/>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工程名称</w:t>
            </w:r>
          </w:p>
        </w:tc>
        <w:tc>
          <w:tcPr>
            <w:tcW w:w="6072"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A24A9C">
            <w:pPr>
              <w:keepNext w:val="0"/>
              <w:keepLines w:val="0"/>
              <w:widowControl w:val="0"/>
              <w:suppressLineNumbers w:val="0"/>
              <w:autoSpaceDE w:val="0"/>
              <w:autoSpaceDN/>
              <w:spacing w:before="0" w:beforeAutospacing="0" w:after="0" w:afterAutospacing="0" w:line="400" w:lineRule="exact"/>
              <w:ind w:left="0" w:right="0"/>
              <w:jc w:val="center"/>
              <w:rPr>
                <w:rFonts w:hint="eastAsia" w:ascii="宋体" w:hAnsi="宋体" w:eastAsia="宋体" w:cs="宋体"/>
                <w:color w:val="auto"/>
                <w:sz w:val="24"/>
                <w:szCs w:val="24"/>
                <w:highlight w:val="none"/>
                <w:lang w:val="en-US"/>
              </w:rPr>
            </w:pPr>
          </w:p>
        </w:tc>
      </w:tr>
      <w:tr w14:paraId="30410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3036"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B322F6">
            <w:pPr>
              <w:keepNext w:val="0"/>
              <w:keepLines w:val="0"/>
              <w:widowControl w:val="0"/>
              <w:suppressLineNumbers w:val="0"/>
              <w:autoSpaceDE w:val="0"/>
              <w:autoSpaceDN/>
              <w:spacing w:before="0" w:beforeAutospacing="0" w:after="0" w:afterAutospacing="0" w:line="400" w:lineRule="exact"/>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投标人名称                (请务必填写单位全称)</w:t>
            </w:r>
          </w:p>
        </w:tc>
        <w:tc>
          <w:tcPr>
            <w:tcW w:w="6072" w:type="dxa"/>
            <w:gridSpan w:val="5"/>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BA01FE">
            <w:pPr>
              <w:keepNext w:val="0"/>
              <w:keepLines w:val="0"/>
              <w:widowControl w:val="0"/>
              <w:suppressLineNumbers w:val="0"/>
              <w:autoSpaceDE w:val="0"/>
              <w:autoSpaceDN/>
              <w:spacing w:before="0" w:beforeAutospacing="0" w:after="0" w:afterAutospacing="0" w:line="400" w:lineRule="exact"/>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w:t>
            </w:r>
          </w:p>
        </w:tc>
      </w:tr>
      <w:tr w14:paraId="7B0CB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3036"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508BC5">
            <w:pPr>
              <w:keepNext w:val="0"/>
              <w:keepLines w:val="0"/>
              <w:widowControl w:val="0"/>
              <w:suppressLineNumbers w:val="0"/>
              <w:autoSpaceDE w:val="0"/>
              <w:autoSpaceDN/>
              <w:spacing w:before="0" w:beforeAutospacing="0" w:after="0" w:afterAutospacing="0" w:line="400" w:lineRule="exact"/>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投标人法定代表人或其</w:t>
            </w:r>
          </w:p>
          <w:p w14:paraId="3A715B84">
            <w:pPr>
              <w:keepNext w:val="0"/>
              <w:keepLines w:val="0"/>
              <w:widowControl w:val="0"/>
              <w:suppressLineNumbers w:val="0"/>
              <w:autoSpaceDE w:val="0"/>
              <w:autoSpaceDN/>
              <w:spacing w:before="0" w:beforeAutospacing="0" w:after="0" w:afterAutospacing="0" w:line="400" w:lineRule="exact"/>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委托代理人签名</w:t>
            </w:r>
          </w:p>
        </w:tc>
        <w:tc>
          <w:tcPr>
            <w:tcW w:w="279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BB4FCF">
            <w:pPr>
              <w:keepNext w:val="0"/>
              <w:keepLines w:val="0"/>
              <w:widowControl w:val="0"/>
              <w:suppressLineNumbers w:val="0"/>
              <w:autoSpaceDE w:val="0"/>
              <w:autoSpaceDN/>
              <w:spacing w:before="0" w:beforeAutospacing="0" w:after="0" w:afterAutospacing="0" w:line="400" w:lineRule="exact"/>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w:t>
            </w:r>
          </w:p>
        </w:tc>
        <w:tc>
          <w:tcPr>
            <w:tcW w:w="7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A52CA5">
            <w:pPr>
              <w:keepNext w:val="0"/>
              <w:keepLines w:val="0"/>
              <w:widowControl w:val="0"/>
              <w:suppressLineNumbers w:val="0"/>
              <w:autoSpaceDE w:val="0"/>
              <w:autoSpaceDN/>
              <w:spacing w:before="0" w:beforeAutospacing="0" w:after="0" w:afterAutospacing="0" w:line="400" w:lineRule="exact"/>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手机号码</w:t>
            </w:r>
          </w:p>
        </w:tc>
        <w:tc>
          <w:tcPr>
            <w:tcW w:w="252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AF5763">
            <w:pPr>
              <w:keepNext w:val="0"/>
              <w:keepLines w:val="0"/>
              <w:widowControl w:val="0"/>
              <w:suppressLineNumbers w:val="0"/>
              <w:autoSpaceDE w:val="0"/>
              <w:autoSpaceDN/>
              <w:spacing w:before="0" w:beforeAutospacing="0" w:after="0" w:afterAutospacing="0" w:line="400" w:lineRule="exact"/>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w:t>
            </w:r>
          </w:p>
        </w:tc>
      </w:tr>
      <w:tr w14:paraId="1AE89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9108"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3D918D">
            <w:pPr>
              <w:keepNext w:val="0"/>
              <w:keepLines w:val="0"/>
              <w:widowControl w:val="0"/>
              <w:suppressLineNumbers w:val="0"/>
              <w:autoSpaceDE w:val="0"/>
              <w:autoSpaceDN/>
              <w:spacing w:before="0" w:beforeAutospacing="0" w:after="0" w:afterAutospacing="0" w:line="400" w:lineRule="exact"/>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递交的证明材料原件如下：</w:t>
            </w:r>
          </w:p>
        </w:tc>
      </w:tr>
      <w:tr w14:paraId="747B4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168541">
            <w:pPr>
              <w:keepNext w:val="0"/>
              <w:keepLines w:val="0"/>
              <w:widowControl w:val="0"/>
              <w:suppressLineNumbers w:val="0"/>
              <w:autoSpaceDE w:val="0"/>
              <w:autoSpaceDN/>
              <w:spacing w:before="0" w:beforeAutospacing="0" w:after="0" w:afterAutospacing="0" w:line="400" w:lineRule="exact"/>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序号</w:t>
            </w:r>
          </w:p>
        </w:tc>
        <w:tc>
          <w:tcPr>
            <w:tcW w:w="5125"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054364">
            <w:pPr>
              <w:keepNext w:val="0"/>
              <w:keepLines w:val="0"/>
              <w:widowControl w:val="0"/>
              <w:suppressLineNumbers w:val="0"/>
              <w:autoSpaceDE w:val="0"/>
              <w:autoSpaceDN/>
              <w:spacing w:before="0" w:beforeAutospacing="0" w:after="0" w:afterAutospacing="0" w:line="400" w:lineRule="exact"/>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证明材料原件名称</w:t>
            </w:r>
          </w:p>
        </w:tc>
        <w:tc>
          <w:tcPr>
            <w:tcW w:w="1712"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20C19B">
            <w:pPr>
              <w:keepNext w:val="0"/>
              <w:keepLines w:val="0"/>
              <w:widowControl w:val="0"/>
              <w:suppressLineNumbers w:val="0"/>
              <w:autoSpaceDE w:val="0"/>
              <w:autoSpaceDN/>
              <w:spacing w:before="0" w:beforeAutospacing="0" w:after="0" w:afterAutospacing="0" w:line="400" w:lineRule="exact"/>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单位</w:t>
            </w:r>
          </w:p>
        </w:tc>
        <w:tc>
          <w:tcPr>
            <w:tcW w:w="15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A7DEEE">
            <w:pPr>
              <w:keepNext w:val="0"/>
              <w:keepLines w:val="0"/>
              <w:widowControl w:val="0"/>
              <w:suppressLineNumbers w:val="0"/>
              <w:autoSpaceDE w:val="0"/>
              <w:autoSpaceDN/>
              <w:spacing w:before="0" w:beforeAutospacing="0" w:after="0" w:afterAutospacing="0" w:line="400" w:lineRule="exact"/>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数量</w:t>
            </w:r>
          </w:p>
        </w:tc>
      </w:tr>
      <w:tr w14:paraId="29939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5A607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w:t>
            </w:r>
          </w:p>
        </w:tc>
        <w:tc>
          <w:tcPr>
            <w:tcW w:w="5125"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96627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712"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98C51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5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DD60D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w:t>
            </w:r>
          </w:p>
        </w:tc>
      </w:tr>
      <w:tr w14:paraId="5A05D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0057C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w:t>
            </w:r>
          </w:p>
        </w:tc>
        <w:tc>
          <w:tcPr>
            <w:tcW w:w="5125"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F72A7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712"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7F0E6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5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50A27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r>
      <w:tr w14:paraId="60532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16241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w:t>
            </w:r>
          </w:p>
        </w:tc>
        <w:tc>
          <w:tcPr>
            <w:tcW w:w="5125"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71080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712"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C7DA1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5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0999B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r>
      <w:tr w14:paraId="13EDF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53FFA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w:t>
            </w:r>
          </w:p>
        </w:tc>
        <w:tc>
          <w:tcPr>
            <w:tcW w:w="5125"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09F03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712"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9ED3B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5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E1D67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w:t>
            </w:r>
          </w:p>
        </w:tc>
      </w:tr>
      <w:tr w14:paraId="46FD6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8" w:hRule="atLeast"/>
        </w:trPr>
        <w:tc>
          <w:tcPr>
            <w:tcW w:w="7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8CFEEC">
            <w:pPr>
              <w:keepNext w:val="0"/>
              <w:keepLines w:val="0"/>
              <w:widowControl w:val="0"/>
              <w:suppressLineNumbers w:val="0"/>
              <w:spacing w:before="0" w:beforeAutospacing="0" w:after="0" w:afterAutospacing="0" w:line="360" w:lineRule="auto"/>
              <w:ind w:left="8" w:right="0" w:hanging="94"/>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注意：</w:t>
            </w:r>
          </w:p>
        </w:tc>
        <w:tc>
          <w:tcPr>
            <w:tcW w:w="8407"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05851A">
            <w:pPr>
              <w:keepNext w:val="0"/>
              <w:keepLines w:val="0"/>
              <w:widowControl w:val="0"/>
              <w:suppressLineNumbers w:val="0"/>
              <w:spacing w:before="0" w:beforeAutospacing="0" w:after="0" w:afterAutospacing="0" w:line="360" w:lineRule="auto"/>
              <w:ind w:left="0" w:right="0" w:firstLine="48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170A0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3" w:hRule="atLeast"/>
        </w:trPr>
        <w:tc>
          <w:tcPr>
            <w:tcW w:w="220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8DB66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p>
          <w:p w14:paraId="31C0E7E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接收原件经办人(招标代理)：</w:t>
            </w:r>
          </w:p>
        </w:tc>
        <w:tc>
          <w:tcPr>
            <w:tcW w:w="1994"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98723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6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29484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接收时间：</w:t>
            </w:r>
          </w:p>
        </w:tc>
        <w:tc>
          <w:tcPr>
            <w:tcW w:w="3282"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0F78D5">
            <w:pPr>
              <w:keepNext w:val="0"/>
              <w:keepLines w:val="0"/>
              <w:widowControl w:val="0"/>
              <w:suppressLineNumbers w:val="0"/>
              <w:spacing w:before="0" w:beforeAutospacing="0" w:after="0" w:afterAutospacing="0" w:line="360" w:lineRule="auto"/>
              <w:ind w:left="0" w:right="0" w:firstLine="720" w:firstLineChars="30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年   月   日   时  分</w:t>
            </w:r>
          </w:p>
        </w:tc>
      </w:tr>
      <w:tr w14:paraId="4B377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0" w:hRule="atLeast"/>
        </w:trPr>
        <w:tc>
          <w:tcPr>
            <w:tcW w:w="220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AE314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退还原件接收人(投标人)：</w:t>
            </w:r>
          </w:p>
        </w:tc>
        <w:tc>
          <w:tcPr>
            <w:tcW w:w="1994"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3B52E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6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CC383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退还时间：</w:t>
            </w:r>
          </w:p>
        </w:tc>
        <w:tc>
          <w:tcPr>
            <w:tcW w:w="3282"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1B917A">
            <w:pPr>
              <w:keepNext w:val="0"/>
              <w:keepLines w:val="0"/>
              <w:widowControl w:val="0"/>
              <w:suppressLineNumbers w:val="0"/>
              <w:spacing w:before="0" w:beforeAutospacing="0" w:after="0" w:afterAutospacing="0" w:line="360" w:lineRule="auto"/>
              <w:ind w:left="0" w:right="0" w:firstLine="720" w:firstLineChars="30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年   月   日   时   分</w:t>
            </w:r>
          </w:p>
        </w:tc>
      </w:tr>
    </w:tbl>
    <w:p w14:paraId="6571816A">
      <w:pPr>
        <w:rPr>
          <w:rFonts w:hint="eastAsia" w:ascii="宋体" w:hAnsi="宋体" w:eastAsia="宋体" w:cs="宋体"/>
          <w:color w:val="auto"/>
          <w:lang w:eastAsia="zh-CN"/>
        </w:rPr>
      </w:pPr>
    </w:p>
    <w:p w14:paraId="4A804E78">
      <w:pPr>
        <w:rPr>
          <w:rFonts w:hint="eastAsia" w:ascii="宋体" w:hAnsi="宋体" w:eastAsia="宋体" w:cs="宋体"/>
          <w:color w:val="auto"/>
          <w:lang w:eastAsia="zh-CN"/>
        </w:rPr>
      </w:pPr>
    </w:p>
    <w:p w14:paraId="566A4F67">
      <w:pPr>
        <w:rPr>
          <w:rFonts w:hint="eastAsia" w:ascii="宋体" w:hAnsi="宋体" w:eastAsia="宋体" w:cs="宋体"/>
          <w:color w:val="auto"/>
          <w:lang w:eastAsia="zh-CN"/>
        </w:rPr>
      </w:pPr>
    </w:p>
    <w:p w14:paraId="01C4625E">
      <w:pPr>
        <w:rPr>
          <w:rFonts w:hint="eastAsia" w:ascii="宋体" w:hAnsi="宋体" w:eastAsia="宋体" w:cs="宋体"/>
          <w:color w:val="auto"/>
          <w:lang w:eastAsia="zh-CN"/>
        </w:rPr>
      </w:pPr>
    </w:p>
    <w:p w14:paraId="47706349">
      <w:pPr>
        <w:rPr>
          <w:rFonts w:hint="eastAsia" w:ascii="宋体" w:hAnsi="宋体" w:eastAsia="宋体" w:cs="宋体"/>
          <w:color w:val="auto"/>
          <w:lang w:eastAsia="zh-CN"/>
        </w:rPr>
      </w:pPr>
    </w:p>
    <w:p w14:paraId="30EC3B69">
      <w:pPr>
        <w:rPr>
          <w:rFonts w:hint="eastAsia" w:ascii="宋体" w:hAnsi="宋体" w:eastAsia="宋体" w:cs="宋体"/>
          <w:color w:val="auto"/>
          <w:lang w:eastAsia="zh-CN"/>
        </w:rPr>
      </w:pPr>
    </w:p>
    <w:p w14:paraId="647D005A">
      <w:pPr>
        <w:pStyle w:val="3"/>
        <w:bidi w:val="0"/>
        <w:ind w:left="0" w:leftChars="0" w:firstLine="0" w:firstLineChars="0"/>
        <w:rPr>
          <w:rFonts w:hint="eastAsia" w:ascii="宋体" w:hAnsi="宋体" w:eastAsia="宋体" w:cs="宋体"/>
          <w:color w:val="auto"/>
          <w:lang w:val="en-US" w:eastAsia="zh-CN"/>
        </w:rPr>
      </w:pPr>
      <w:bookmarkStart w:id="116" w:name="_Toc30092"/>
      <w:bookmarkStart w:id="117" w:name="_Toc2979"/>
      <w:r>
        <w:rPr>
          <w:rFonts w:hint="eastAsia" w:ascii="宋体" w:hAnsi="宋体" w:eastAsia="宋体" w:cs="宋体"/>
          <w:color w:val="auto"/>
          <w:lang w:val="en-US" w:eastAsia="zh-CN"/>
        </w:rPr>
        <w:t>格式十七   定标因素评审资料</w:t>
      </w:r>
      <w:bookmarkEnd w:id="115"/>
      <w:bookmarkEnd w:id="116"/>
      <w:bookmarkEnd w:id="117"/>
    </w:p>
    <w:p w14:paraId="71F509A1">
      <w:pPr>
        <w:spacing w:line="500" w:lineRule="exact"/>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lang w:eastAsia="zh-CN"/>
        </w:rPr>
        <w:t>定标因素评审资料</w:t>
      </w:r>
    </w:p>
    <w:p w14:paraId="4941A5FD">
      <w:pPr>
        <w:rPr>
          <w:rFonts w:hint="eastAsia" w:ascii="宋体" w:hAnsi="宋体" w:eastAsia="宋体" w:cs="宋体"/>
          <w:color w:val="auto"/>
          <w:lang w:eastAsia="zh-CN"/>
        </w:rPr>
      </w:pPr>
    </w:p>
    <w:p w14:paraId="07753F0B">
      <w:pPr>
        <w:spacing w:line="500" w:lineRule="exact"/>
        <w:ind w:firstLine="560" w:firstLineChars="20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投标人根据“</w:t>
      </w:r>
      <w:r>
        <w:rPr>
          <w:rFonts w:hint="eastAsia" w:ascii="宋体" w:hAnsi="宋体" w:eastAsia="宋体" w:cs="宋体"/>
          <w:b w:val="0"/>
          <w:bCs w:val="0"/>
          <w:color w:val="auto"/>
          <w:sz w:val="28"/>
          <w:szCs w:val="28"/>
          <w:highlight w:val="none"/>
        </w:rPr>
        <w:t>第三章 评标</w:t>
      </w:r>
      <w:r>
        <w:rPr>
          <w:rFonts w:hint="eastAsia" w:ascii="宋体" w:hAnsi="宋体" w:eastAsia="宋体" w:cs="宋体"/>
          <w:b w:val="0"/>
          <w:bCs w:val="0"/>
          <w:color w:val="auto"/>
          <w:sz w:val="28"/>
          <w:szCs w:val="28"/>
          <w:highlight w:val="none"/>
          <w:lang w:eastAsia="zh-CN"/>
        </w:rPr>
        <w:t>定标</w:t>
      </w:r>
      <w:r>
        <w:rPr>
          <w:rFonts w:hint="eastAsia" w:ascii="宋体" w:hAnsi="宋体" w:eastAsia="宋体" w:cs="宋体"/>
          <w:b w:val="0"/>
          <w:bCs w:val="0"/>
          <w:color w:val="auto"/>
          <w:sz w:val="28"/>
          <w:szCs w:val="28"/>
          <w:highlight w:val="none"/>
        </w:rPr>
        <w:t>办法</w:t>
      </w:r>
      <w:r>
        <w:rPr>
          <w:rFonts w:hint="eastAsia" w:ascii="宋体" w:hAnsi="宋体" w:eastAsia="宋体" w:cs="宋体"/>
          <w:b w:val="0"/>
          <w:bCs w:val="0"/>
          <w:color w:val="auto"/>
          <w:sz w:val="28"/>
          <w:szCs w:val="28"/>
          <w:highlight w:val="none"/>
          <w:lang w:val="en-US" w:eastAsia="zh-CN"/>
        </w:rPr>
        <w:t>”载明的</w:t>
      </w:r>
      <w:r>
        <w:rPr>
          <w:rFonts w:hint="eastAsia" w:ascii="宋体" w:hAnsi="宋体" w:eastAsia="宋体" w:cs="宋体"/>
          <w:b w:val="0"/>
          <w:bCs w:val="0"/>
          <w:color w:val="auto"/>
          <w:sz w:val="28"/>
          <w:szCs w:val="28"/>
          <w:highlight w:val="none"/>
          <w:lang w:eastAsia="zh-CN"/>
        </w:rPr>
        <w:t>定标因素，</w:t>
      </w:r>
      <w:r>
        <w:rPr>
          <w:rFonts w:hint="eastAsia" w:ascii="宋体" w:hAnsi="宋体" w:eastAsia="宋体" w:cs="宋体"/>
          <w:b w:val="0"/>
          <w:bCs w:val="0"/>
          <w:color w:val="auto"/>
          <w:sz w:val="28"/>
          <w:szCs w:val="28"/>
          <w:highlight w:val="none"/>
          <w:lang w:val="en-US" w:eastAsia="zh-CN"/>
        </w:rPr>
        <w:t>提交</w:t>
      </w:r>
      <w:r>
        <w:rPr>
          <w:rFonts w:hint="eastAsia" w:ascii="宋体" w:hAnsi="宋体" w:eastAsia="宋体" w:cs="宋体"/>
          <w:b w:val="0"/>
          <w:bCs w:val="0"/>
          <w:color w:val="auto"/>
          <w:sz w:val="28"/>
          <w:szCs w:val="28"/>
          <w:highlight w:val="none"/>
          <w:lang w:eastAsia="zh-CN"/>
        </w:rPr>
        <w:t>评审资料。</w:t>
      </w:r>
    </w:p>
    <w:p w14:paraId="3D88F13F">
      <w:pPr>
        <w:rPr>
          <w:rFonts w:hint="eastAsia" w:ascii="宋体" w:hAnsi="宋体" w:eastAsia="宋体" w:cs="宋体"/>
          <w:color w:val="auto"/>
        </w:rPr>
      </w:pPr>
    </w:p>
    <w:p w14:paraId="47D592AC">
      <w:pPr>
        <w:rPr>
          <w:rFonts w:hint="eastAsia" w:ascii="宋体" w:hAnsi="宋体" w:eastAsia="宋体" w:cs="宋体"/>
          <w:color w:val="auto"/>
        </w:rPr>
      </w:pPr>
    </w:p>
    <w:p w14:paraId="25970233">
      <w:pPr>
        <w:rPr>
          <w:rFonts w:hint="eastAsia" w:ascii="宋体" w:hAnsi="宋体" w:eastAsia="宋体" w:cs="宋体"/>
          <w:color w:val="auto"/>
        </w:rPr>
      </w:pPr>
    </w:p>
    <w:p w14:paraId="7BB80EE4">
      <w:pPr>
        <w:rPr>
          <w:rFonts w:hint="eastAsia" w:ascii="宋体" w:hAnsi="宋体" w:eastAsia="宋体" w:cs="宋体"/>
          <w:color w:val="auto"/>
          <w:lang w:val="en-US"/>
        </w:rPr>
      </w:pPr>
    </w:p>
    <w:p w14:paraId="628F1571">
      <w:pPr>
        <w:rPr>
          <w:rFonts w:hint="eastAsia" w:ascii="宋体" w:hAnsi="宋体" w:eastAsia="宋体" w:cs="宋体"/>
          <w:color w:val="auto"/>
          <w:lang w:val="en-US"/>
        </w:rPr>
      </w:pPr>
    </w:p>
    <w:p w14:paraId="5790DB68">
      <w:pPr>
        <w:rPr>
          <w:rFonts w:hint="eastAsia" w:ascii="宋体" w:hAnsi="宋体" w:eastAsia="宋体" w:cs="宋体"/>
          <w:color w:val="auto"/>
          <w:lang w:val="en-US"/>
        </w:rPr>
      </w:pPr>
    </w:p>
    <w:p w14:paraId="55969203">
      <w:pPr>
        <w:rPr>
          <w:rFonts w:hint="eastAsia" w:ascii="宋体" w:hAnsi="宋体" w:eastAsia="宋体" w:cs="宋体"/>
          <w:color w:val="auto"/>
          <w:lang w:val="en-US"/>
        </w:rPr>
      </w:pPr>
    </w:p>
    <w:p w14:paraId="58C0B4B2">
      <w:pPr>
        <w:rPr>
          <w:rFonts w:hint="eastAsia" w:ascii="宋体" w:hAnsi="宋体" w:eastAsia="宋体" w:cs="宋体"/>
          <w:color w:val="auto"/>
          <w:lang w:val="en-US"/>
        </w:rPr>
      </w:pPr>
    </w:p>
    <w:p w14:paraId="6DD1C1C7">
      <w:pPr>
        <w:rPr>
          <w:rFonts w:hint="eastAsia" w:ascii="宋体" w:hAnsi="宋体" w:eastAsia="宋体" w:cs="宋体"/>
          <w:color w:val="auto"/>
          <w:lang w:val="en-US"/>
        </w:rPr>
      </w:pPr>
    </w:p>
    <w:p w14:paraId="0CB8C3BF">
      <w:pPr>
        <w:rPr>
          <w:rFonts w:hint="eastAsia" w:ascii="宋体" w:hAnsi="宋体" w:eastAsia="宋体" w:cs="宋体"/>
          <w:color w:val="auto"/>
          <w:lang w:val="en-US"/>
        </w:rPr>
      </w:pPr>
    </w:p>
    <w:p w14:paraId="3D388880">
      <w:pPr>
        <w:rPr>
          <w:rFonts w:hint="eastAsia" w:ascii="宋体" w:hAnsi="宋体" w:eastAsia="宋体" w:cs="宋体"/>
          <w:color w:val="auto"/>
          <w:lang w:val="en-US"/>
        </w:rPr>
      </w:pPr>
    </w:p>
    <w:p w14:paraId="7D9E55A2">
      <w:pPr>
        <w:rPr>
          <w:rFonts w:hint="eastAsia" w:ascii="宋体" w:hAnsi="宋体" w:eastAsia="宋体" w:cs="宋体"/>
          <w:color w:val="auto"/>
          <w:lang w:val="en-US"/>
        </w:rPr>
      </w:pPr>
    </w:p>
    <w:p w14:paraId="5C40A3B1">
      <w:pPr>
        <w:rPr>
          <w:rFonts w:hint="eastAsia" w:ascii="宋体" w:hAnsi="宋体" w:eastAsia="宋体" w:cs="宋体"/>
          <w:color w:val="auto"/>
          <w:lang w:val="en-US"/>
        </w:rPr>
      </w:pPr>
    </w:p>
    <w:p w14:paraId="6E8B50DE">
      <w:pPr>
        <w:rPr>
          <w:rFonts w:hint="eastAsia" w:ascii="宋体" w:hAnsi="宋体" w:eastAsia="宋体" w:cs="宋体"/>
          <w:color w:val="auto"/>
          <w:lang w:val="en-US"/>
        </w:rPr>
      </w:pPr>
    </w:p>
    <w:p w14:paraId="2B69A305">
      <w:pPr>
        <w:rPr>
          <w:rFonts w:hint="eastAsia" w:ascii="宋体" w:hAnsi="宋体" w:eastAsia="宋体" w:cs="宋体"/>
          <w:color w:val="auto"/>
          <w:lang w:val="en-US"/>
        </w:rPr>
      </w:pPr>
    </w:p>
    <w:p w14:paraId="638AAED5">
      <w:pPr>
        <w:rPr>
          <w:rFonts w:hint="eastAsia" w:ascii="宋体" w:hAnsi="宋体" w:eastAsia="宋体" w:cs="宋体"/>
          <w:color w:val="auto"/>
          <w:lang w:val="en-US"/>
        </w:rPr>
      </w:pPr>
    </w:p>
    <w:p w14:paraId="24061215">
      <w:pPr>
        <w:rPr>
          <w:rFonts w:hint="eastAsia" w:ascii="宋体" w:hAnsi="宋体" w:eastAsia="宋体" w:cs="宋体"/>
          <w:color w:val="auto"/>
          <w:lang w:val="en-US"/>
        </w:rPr>
      </w:pPr>
    </w:p>
    <w:p w14:paraId="1E38EE85">
      <w:pPr>
        <w:rPr>
          <w:rFonts w:hint="eastAsia" w:ascii="宋体" w:hAnsi="宋体" w:eastAsia="宋体" w:cs="宋体"/>
          <w:color w:val="auto"/>
          <w:lang w:val="en-US"/>
        </w:rPr>
      </w:pPr>
    </w:p>
    <w:p w14:paraId="75FCF320">
      <w:pPr>
        <w:rPr>
          <w:rFonts w:hint="eastAsia" w:ascii="宋体" w:hAnsi="宋体" w:eastAsia="宋体" w:cs="宋体"/>
          <w:color w:val="auto"/>
          <w:lang w:val="en-US"/>
        </w:rPr>
      </w:pPr>
    </w:p>
    <w:p w14:paraId="52D0E747">
      <w:pPr>
        <w:rPr>
          <w:rFonts w:hint="eastAsia" w:ascii="宋体" w:hAnsi="宋体" w:eastAsia="宋体" w:cs="宋体"/>
          <w:color w:val="auto"/>
          <w:lang w:val="en-US"/>
        </w:rPr>
      </w:pPr>
    </w:p>
    <w:p w14:paraId="04807EB8">
      <w:pPr>
        <w:rPr>
          <w:rFonts w:hint="eastAsia" w:ascii="宋体" w:hAnsi="宋体" w:eastAsia="宋体" w:cs="宋体"/>
          <w:color w:val="auto"/>
          <w:lang w:val="en-US"/>
        </w:rPr>
      </w:pPr>
    </w:p>
    <w:p w14:paraId="33B95A34">
      <w:pPr>
        <w:rPr>
          <w:rFonts w:hint="eastAsia" w:ascii="宋体" w:hAnsi="宋体" w:eastAsia="宋体" w:cs="宋体"/>
          <w:color w:val="auto"/>
          <w:lang w:val="en-US"/>
        </w:rPr>
      </w:pPr>
    </w:p>
    <w:p w14:paraId="15508FB6">
      <w:pPr>
        <w:rPr>
          <w:rFonts w:hint="eastAsia" w:ascii="宋体" w:hAnsi="宋体" w:eastAsia="宋体" w:cs="宋体"/>
          <w:color w:val="auto"/>
          <w:lang w:val="en-US"/>
        </w:rPr>
      </w:pPr>
    </w:p>
    <w:p w14:paraId="238F5CE4">
      <w:pPr>
        <w:rPr>
          <w:rFonts w:hint="eastAsia" w:ascii="宋体" w:hAnsi="宋体" w:eastAsia="宋体" w:cs="宋体"/>
          <w:color w:val="auto"/>
          <w:lang w:val="en-US"/>
        </w:rPr>
      </w:pPr>
    </w:p>
    <w:p w14:paraId="496F9214">
      <w:pPr>
        <w:rPr>
          <w:rFonts w:hint="eastAsia" w:ascii="宋体" w:hAnsi="宋体" w:eastAsia="宋体" w:cs="宋体"/>
          <w:color w:val="auto"/>
          <w:lang w:val="en-US"/>
        </w:rPr>
      </w:pPr>
    </w:p>
    <w:p w14:paraId="6252F98C">
      <w:pPr>
        <w:rPr>
          <w:rFonts w:hint="eastAsia" w:ascii="宋体" w:hAnsi="宋体" w:eastAsia="宋体" w:cs="宋体"/>
          <w:color w:val="auto"/>
          <w:lang w:val="en-US"/>
        </w:rPr>
      </w:pPr>
    </w:p>
    <w:p w14:paraId="6B93B636">
      <w:pPr>
        <w:rPr>
          <w:rFonts w:hint="eastAsia" w:ascii="宋体" w:hAnsi="宋体" w:eastAsia="宋体" w:cs="宋体"/>
          <w:color w:val="auto"/>
          <w:lang w:val="en-US"/>
        </w:rPr>
      </w:pPr>
    </w:p>
    <w:p w14:paraId="0B414BD5">
      <w:pPr>
        <w:rPr>
          <w:rFonts w:hint="eastAsia" w:ascii="宋体" w:hAnsi="宋体" w:eastAsia="宋体" w:cs="宋体"/>
          <w:color w:val="auto"/>
          <w:lang w:val="en-US"/>
        </w:rPr>
      </w:pPr>
    </w:p>
    <w:p w14:paraId="740214C4">
      <w:pPr>
        <w:rPr>
          <w:rFonts w:hint="eastAsia" w:ascii="宋体" w:hAnsi="宋体" w:eastAsia="宋体" w:cs="宋体"/>
          <w:color w:val="auto"/>
          <w:lang w:val="en-US"/>
        </w:rPr>
      </w:pPr>
    </w:p>
    <w:p w14:paraId="5576BA27">
      <w:pPr>
        <w:rPr>
          <w:rFonts w:hint="eastAsia" w:ascii="宋体" w:hAnsi="宋体" w:eastAsia="宋体" w:cs="宋体"/>
          <w:color w:val="auto"/>
          <w:lang w:val="en-US"/>
        </w:rPr>
      </w:pPr>
    </w:p>
    <w:p w14:paraId="2A54D257">
      <w:pPr>
        <w:rPr>
          <w:rFonts w:hint="eastAsia" w:ascii="宋体" w:hAnsi="宋体" w:eastAsia="宋体" w:cs="宋体"/>
          <w:color w:val="auto"/>
          <w:lang w:val="en-US"/>
        </w:rPr>
      </w:pPr>
    </w:p>
    <w:p w14:paraId="7E76257B">
      <w:pPr>
        <w:rPr>
          <w:rFonts w:hint="eastAsia" w:ascii="宋体" w:hAnsi="宋体" w:eastAsia="宋体" w:cs="宋体"/>
          <w:color w:val="auto"/>
          <w:lang w:val="en-US"/>
        </w:rPr>
      </w:pPr>
    </w:p>
    <w:p w14:paraId="2A0D3A1E">
      <w:pPr>
        <w:rPr>
          <w:rFonts w:hint="eastAsia" w:ascii="宋体" w:hAnsi="宋体" w:eastAsia="宋体" w:cs="宋体"/>
          <w:color w:val="auto"/>
          <w:lang w:val="en-US"/>
        </w:rPr>
      </w:pPr>
    </w:p>
    <w:p w14:paraId="5C7CE541">
      <w:pPr>
        <w:rPr>
          <w:rFonts w:hint="eastAsia" w:ascii="宋体" w:hAnsi="宋体" w:eastAsia="宋体" w:cs="宋体"/>
          <w:color w:val="auto"/>
          <w:lang w:val="en-US"/>
        </w:rPr>
      </w:pPr>
    </w:p>
    <w:p w14:paraId="2EEB9DCA">
      <w:pPr>
        <w:rPr>
          <w:rFonts w:hint="eastAsia" w:ascii="宋体" w:hAnsi="宋体" w:eastAsia="宋体" w:cs="宋体"/>
          <w:color w:val="auto"/>
          <w:lang w:val="en-US"/>
        </w:rPr>
      </w:pPr>
    </w:p>
    <w:p w14:paraId="7571C272">
      <w:pPr>
        <w:rPr>
          <w:rFonts w:hint="eastAsia" w:ascii="宋体" w:hAnsi="宋体" w:eastAsia="宋体" w:cs="宋体"/>
          <w:color w:val="auto"/>
          <w:lang w:val="en-US"/>
        </w:rPr>
      </w:pPr>
    </w:p>
    <w:p w14:paraId="023088EC">
      <w:pPr>
        <w:rPr>
          <w:rFonts w:hint="eastAsia" w:ascii="宋体" w:hAnsi="宋体" w:eastAsia="宋体" w:cs="宋体"/>
          <w:color w:val="auto"/>
          <w:lang w:val="en-US"/>
        </w:rPr>
      </w:pPr>
    </w:p>
    <w:p w14:paraId="09AF741E">
      <w:pPr>
        <w:rPr>
          <w:rFonts w:hint="eastAsia" w:ascii="宋体" w:hAnsi="宋体" w:eastAsia="宋体" w:cs="宋体"/>
          <w:color w:val="auto"/>
          <w:lang w:val="en-US"/>
        </w:rPr>
      </w:pPr>
    </w:p>
    <w:p w14:paraId="4DE07FF1">
      <w:pPr>
        <w:rPr>
          <w:rFonts w:hint="eastAsia" w:ascii="宋体" w:hAnsi="宋体" w:eastAsia="宋体" w:cs="宋体"/>
          <w:color w:val="auto"/>
          <w:lang w:val="en-US"/>
        </w:rPr>
      </w:pPr>
    </w:p>
    <w:p w14:paraId="3C9F0E67">
      <w:pPr>
        <w:rPr>
          <w:rFonts w:hint="eastAsia" w:ascii="宋体" w:hAnsi="宋体" w:eastAsia="宋体" w:cs="宋体"/>
          <w:color w:val="auto"/>
          <w:lang w:val="en-US"/>
        </w:rPr>
      </w:pPr>
    </w:p>
    <w:p w14:paraId="36FBA57C">
      <w:pPr>
        <w:rPr>
          <w:rFonts w:hint="eastAsia" w:ascii="宋体" w:hAnsi="宋体" w:eastAsia="宋体" w:cs="宋体"/>
          <w:color w:val="auto"/>
          <w:lang w:val="en-US"/>
        </w:rPr>
      </w:pPr>
    </w:p>
    <w:p w14:paraId="36288247">
      <w:pPr>
        <w:pStyle w:val="2"/>
        <w:bidi w:val="0"/>
        <w:ind w:left="0" w:leftChars="0" w:firstLine="0" w:firstLineChars="0"/>
        <w:jc w:val="center"/>
        <w:rPr>
          <w:rFonts w:hint="eastAsia" w:ascii="宋体" w:hAnsi="宋体" w:eastAsia="宋体" w:cs="宋体"/>
          <w:color w:val="auto"/>
        </w:rPr>
      </w:pPr>
      <w:bookmarkStart w:id="118" w:name="_Toc31363"/>
      <w:bookmarkStart w:id="119" w:name="_Toc15144"/>
      <w:r>
        <w:rPr>
          <w:rFonts w:hint="eastAsia" w:ascii="宋体" w:hAnsi="宋体" w:eastAsia="宋体" w:cs="宋体"/>
          <w:color w:val="auto"/>
        </w:rPr>
        <w:t>第五章</w:t>
      </w:r>
      <w:r>
        <w:rPr>
          <w:rFonts w:hint="eastAsia" w:ascii="宋体" w:hAnsi="宋体" w:eastAsia="宋体" w:cs="宋体"/>
          <w:color w:val="auto"/>
          <w:lang w:val="en-US" w:eastAsia="zh-CN"/>
        </w:rPr>
        <w:t xml:space="preserve">   </w:t>
      </w:r>
      <w:r>
        <w:rPr>
          <w:rFonts w:hint="eastAsia" w:ascii="宋体" w:hAnsi="宋体" w:eastAsia="宋体" w:cs="宋体"/>
          <w:color w:val="auto"/>
        </w:rPr>
        <w:t>合同文件格式</w:t>
      </w:r>
      <w:bookmarkEnd w:id="118"/>
    </w:p>
    <w:p w14:paraId="5960AEE3">
      <w:pPr>
        <w:spacing w:before="78" w:line="360" w:lineRule="auto"/>
        <w:jc w:val="both"/>
        <w:outlineLvl w:val="0"/>
        <w:rPr>
          <w:rFonts w:hint="eastAsia" w:ascii="宋体" w:hAnsi="宋体" w:eastAsia="宋体" w:cs="宋体"/>
          <w:color w:val="auto"/>
          <w:highlight w:val="none"/>
        </w:rPr>
      </w:pPr>
      <w:r>
        <w:rPr>
          <w:rFonts w:hint="eastAsia" w:ascii="宋体" w:hAnsi="宋体" w:eastAsia="宋体" w:cs="宋体"/>
          <w:b/>
          <w:bCs/>
          <w:color w:val="auto"/>
          <w:spacing w:val="-3"/>
          <w:sz w:val="24"/>
          <w:szCs w:val="24"/>
          <w:highlight w:val="none"/>
          <w:lang w:eastAsia="zh-CN"/>
        </w:rPr>
        <w:t>一、</w:t>
      </w:r>
      <w:r>
        <w:rPr>
          <w:rFonts w:hint="eastAsia" w:ascii="宋体" w:hAnsi="宋体" w:eastAsia="宋体" w:cs="宋体"/>
          <w:b/>
          <w:bCs/>
          <w:color w:val="auto"/>
          <w:spacing w:val="-3"/>
          <w:sz w:val="24"/>
          <w:szCs w:val="24"/>
          <w:highlight w:val="none"/>
        </w:rPr>
        <w:t>拟签订合同的主要条款</w:t>
      </w:r>
    </w:p>
    <w:p w14:paraId="0757F732">
      <w:pPr>
        <w:spacing w:before="151" w:line="360" w:lineRule="auto"/>
        <w:ind w:left="476"/>
        <w:outlineLvl w:val="2"/>
        <w:rPr>
          <w:rFonts w:hint="eastAsia" w:ascii="宋体" w:hAnsi="宋体" w:eastAsia="宋体" w:cs="宋体"/>
          <w:b/>
          <w:bCs/>
          <w:color w:val="auto"/>
          <w:spacing w:val="-11"/>
          <w:sz w:val="24"/>
          <w:szCs w:val="24"/>
          <w:highlight w:val="none"/>
        </w:rPr>
      </w:pPr>
      <w:bookmarkStart w:id="120" w:name="_Toc16212"/>
      <w:bookmarkStart w:id="121" w:name="_Toc9967"/>
      <w:r>
        <w:rPr>
          <w:rFonts w:hint="eastAsia" w:ascii="宋体" w:hAnsi="宋体" w:eastAsia="宋体" w:cs="宋体"/>
          <w:b/>
          <w:bCs/>
          <w:color w:val="auto"/>
          <w:spacing w:val="-11"/>
          <w:sz w:val="24"/>
          <w:szCs w:val="24"/>
          <w:highlight w:val="none"/>
        </w:rPr>
        <w:t>1</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工程承包方式</w:t>
      </w:r>
      <w:bookmarkEnd w:id="120"/>
      <w:bookmarkEnd w:id="121"/>
    </w:p>
    <w:p w14:paraId="448BBBEE">
      <w:pPr>
        <w:spacing w:before="153" w:line="360" w:lineRule="auto"/>
        <w:ind w:left="11" w:right="295" w:firstLine="487"/>
        <w:rPr>
          <w:rFonts w:hint="eastAsia" w:ascii="宋体" w:hAnsi="宋体" w:eastAsia="宋体" w:cs="宋体"/>
          <w:color w:val="auto"/>
          <w:sz w:val="24"/>
          <w:szCs w:val="24"/>
        </w:rPr>
      </w:pPr>
      <w:r>
        <w:rPr>
          <w:rFonts w:hint="eastAsia" w:ascii="宋体" w:hAnsi="宋体" w:eastAsia="宋体" w:cs="宋体"/>
          <w:b/>
          <w:bCs/>
          <w:color w:val="auto"/>
          <w:sz w:val="24"/>
          <w:szCs w:val="24"/>
          <w:highlight w:val="none"/>
        </w:rPr>
        <w:t xml:space="preserve">1.1  </w:t>
      </w:r>
      <w:r>
        <w:rPr>
          <w:rFonts w:hint="eastAsia" w:ascii="宋体" w:hAnsi="宋体" w:eastAsia="宋体" w:cs="宋体"/>
          <w:color w:val="auto"/>
          <w:sz w:val="24"/>
          <w:szCs w:val="24"/>
        </w:rPr>
        <w:t>承包人以中标价按包工包料、包质量、包安全包文明施工、包工期方式总承包施工，不允许转包和违法分包，如果确需分包须与发包人协商，在得到发包人和监理单位同意后报建设行政主管部门备案。</w:t>
      </w:r>
    </w:p>
    <w:p w14:paraId="29D666BF">
      <w:pPr>
        <w:spacing w:before="153" w:line="36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1.1.1  </w:t>
      </w:r>
      <w:r>
        <w:rPr>
          <w:rFonts w:hint="eastAsia" w:ascii="宋体" w:hAnsi="宋体" w:eastAsia="宋体" w:cs="宋体"/>
          <w:color w:val="auto"/>
          <w:spacing w:val="-1"/>
          <w:sz w:val="24"/>
          <w:szCs w:val="24"/>
          <w:highlight w:val="none"/>
        </w:rPr>
        <w:t>包工包料：材料符合招标文件要求并报验使用；办理用工保险。</w:t>
      </w:r>
    </w:p>
    <w:p w14:paraId="429EE177">
      <w:pPr>
        <w:spacing w:before="156" w:line="36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1.1.2  </w:t>
      </w:r>
      <w:r>
        <w:rPr>
          <w:rFonts w:hint="eastAsia" w:ascii="宋体" w:hAnsi="宋体" w:eastAsia="宋体" w:cs="宋体"/>
          <w:color w:val="auto"/>
          <w:spacing w:val="-1"/>
          <w:sz w:val="24"/>
          <w:szCs w:val="24"/>
          <w:highlight w:val="none"/>
        </w:rPr>
        <w:t>包质量：符合招标文件要求。</w:t>
      </w:r>
    </w:p>
    <w:p w14:paraId="7BEC0B7D">
      <w:pPr>
        <w:spacing w:before="153" w:line="36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1.1.3  </w:t>
      </w:r>
      <w:r>
        <w:rPr>
          <w:rFonts w:hint="eastAsia" w:ascii="宋体" w:hAnsi="宋体" w:eastAsia="宋体" w:cs="宋体"/>
          <w:color w:val="auto"/>
          <w:spacing w:val="-1"/>
          <w:sz w:val="24"/>
          <w:szCs w:val="24"/>
          <w:highlight w:val="none"/>
        </w:rPr>
        <w:t>包安全包文明施工：符合招标文件要求。</w:t>
      </w:r>
    </w:p>
    <w:p w14:paraId="6429648F">
      <w:pPr>
        <w:spacing w:before="154" w:line="360" w:lineRule="auto"/>
        <w:ind w:left="580"/>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1.1.4  </w:t>
      </w:r>
      <w:r>
        <w:rPr>
          <w:rFonts w:hint="eastAsia" w:ascii="宋体" w:hAnsi="宋体" w:eastAsia="宋体" w:cs="宋体"/>
          <w:color w:val="auto"/>
          <w:spacing w:val="-1"/>
          <w:sz w:val="24"/>
          <w:szCs w:val="24"/>
          <w:highlight w:val="none"/>
        </w:rPr>
        <w:t>包工期：本招标项目施工必须在招标工期内完成。</w:t>
      </w:r>
    </w:p>
    <w:p w14:paraId="2F050644">
      <w:pPr>
        <w:spacing w:before="151" w:line="360" w:lineRule="auto"/>
        <w:ind w:left="476"/>
        <w:outlineLvl w:val="2"/>
        <w:rPr>
          <w:rFonts w:hint="eastAsia" w:ascii="宋体" w:hAnsi="宋体" w:eastAsia="宋体" w:cs="宋体"/>
          <w:b/>
          <w:bCs/>
          <w:color w:val="auto"/>
          <w:spacing w:val="-11"/>
          <w:sz w:val="24"/>
          <w:szCs w:val="24"/>
          <w:highlight w:val="none"/>
        </w:rPr>
      </w:pPr>
      <w:bookmarkStart w:id="122" w:name="bookmark88"/>
      <w:bookmarkEnd w:id="122"/>
      <w:bookmarkStart w:id="123" w:name="_Toc4294"/>
      <w:bookmarkStart w:id="124" w:name="_Toc32757"/>
      <w:r>
        <w:rPr>
          <w:rFonts w:hint="eastAsia" w:ascii="宋体" w:hAnsi="宋体" w:eastAsia="宋体" w:cs="宋体"/>
          <w:b/>
          <w:bCs/>
          <w:color w:val="auto"/>
          <w:spacing w:val="-11"/>
          <w:sz w:val="24"/>
          <w:szCs w:val="24"/>
          <w:highlight w:val="none"/>
        </w:rPr>
        <w:t>2</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工程结算原则</w:t>
      </w:r>
      <w:bookmarkEnd w:id="123"/>
      <w:bookmarkEnd w:id="124"/>
    </w:p>
    <w:p w14:paraId="1A3E1B87">
      <w:pPr>
        <w:spacing w:before="155" w:line="360" w:lineRule="auto"/>
        <w:ind w:left="12" w:right="231" w:firstLine="476"/>
        <w:rPr>
          <w:rFonts w:hint="eastAsia" w:ascii="宋体" w:hAnsi="宋体" w:eastAsia="宋体" w:cs="宋体"/>
          <w:b w:val="0"/>
          <w:bCs w:val="0"/>
          <w:color w:val="auto"/>
          <w:spacing w:val="2"/>
          <w:sz w:val="24"/>
          <w:szCs w:val="24"/>
          <w:highlight w:val="none"/>
        </w:rPr>
      </w:pPr>
      <w:bookmarkStart w:id="125" w:name="_Toc15115"/>
      <w:r>
        <w:rPr>
          <w:rFonts w:hint="eastAsia" w:ascii="宋体" w:hAnsi="宋体" w:eastAsia="宋体" w:cs="宋体"/>
          <w:b/>
          <w:bCs/>
          <w:color w:val="auto"/>
          <w:spacing w:val="2"/>
          <w:sz w:val="24"/>
          <w:szCs w:val="24"/>
          <w:highlight w:val="none"/>
        </w:rPr>
        <w:t xml:space="preserve">2.1 </w:t>
      </w:r>
      <w:r>
        <w:rPr>
          <w:rFonts w:hint="eastAsia" w:ascii="宋体" w:hAnsi="宋体" w:eastAsia="宋体" w:cs="宋体"/>
          <w:b w:val="0"/>
          <w:bCs w:val="0"/>
          <w:color w:val="auto"/>
          <w:spacing w:val="2"/>
          <w:sz w:val="24"/>
          <w:szCs w:val="24"/>
          <w:highlight w:val="none"/>
        </w:rPr>
        <w:t>承包人的投标总价为中标价，即为签约合同价。</w:t>
      </w:r>
      <w:bookmarkEnd w:id="125"/>
    </w:p>
    <w:p w14:paraId="1D4F18AB">
      <w:pPr>
        <w:spacing w:before="155" w:line="360" w:lineRule="auto"/>
        <w:ind w:left="12" w:right="231"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2.2 </w:t>
      </w:r>
      <w:r>
        <w:rPr>
          <w:rFonts w:hint="eastAsia" w:ascii="宋体" w:hAnsi="宋体" w:eastAsia="宋体" w:cs="宋体"/>
          <w:color w:val="auto"/>
          <w:spacing w:val="2"/>
          <w:sz w:val="24"/>
          <w:szCs w:val="24"/>
          <w:highlight w:val="none"/>
        </w:rPr>
        <w:t>招标工程量清单标明的工程量是投标人投标报价的</w:t>
      </w:r>
      <w:r>
        <w:rPr>
          <w:rFonts w:hint="eastAsia" w:ascii="宋体" w:hAnsi="宋体" w:eastAsia="宋体" w:cs="宋体"/>
          <w:color w:val="auto"/>
          <w:spacing w:val="1"/>
          <w:sz w:val="24"/>
          <w:szCs w:val="24"/>
          <w:highlight w:val="none"/>
        </w:rPr>
        <w:t>共同基础，竣工结算的工程</w:t>
      </w:r>
      <w:r>
        <w:rPr>
          <w:rFonts w:hint="eastAsia" w:ascii="宋体" w:hAnsi="宋体" w:eastAsia="宋体" w:cs="宋体"/>
          <w:color w:val="auto"/>
          <w:spacing w:val="-5"/>
          <w:sz w:val="24"/>
          <w:szCs w:val="24"/>
          <w:highlight w:val="none"/>
        </w:rPr>
        <w:t>量按</w:t>
      </w:r>
      <w:r>
        <w:rPr>
          <w:rFonts w:hint="eastAsia" w:ascii="宋体" w:hAnsi="宋体" w:cs="宋体"/>
          <w:color w:val="auto"/>
          <w:spacing w:val="-5"/>
          <w:sz w:val="24"/>
          <w:szCs w:val="24"/>
          <w:highlight w:val="none"/>
          <w:lang w:eastAsia="zh-CN"/>
        </w:rPr>
        <w:t>《建设工程工程量清单计价标准》（GB/T50500-2024）</w:t>
      </w:r>
      <w:r>
        <w:rPr>
          <w:rFonts w:hint="eastAsia" w:ascii="宋体" w:hAnsi="宋体" w:eastAsia="宋体" w:cs="宋体"/>
          <w:color w:val="auto"/>
          <w:spacing w:val="-5"/>
          <w:sz w:val="24"/>
          <w:szCs w:val="24"/>
          <w:highlight w:val="none"/>
        </w:rPr>
        <w:t>对工程计量的规定进行计量，</w:t>
      </w:r>
      <w:r>
        <w:rPr>
          <w:rFonts w:hint="eastAsia" w:ascii="宋体" w:hAnsi="宋体" w:eastAsia="宋体" w:cs="宋体"/>
          <w:color w:val="auto"/>
          <w:spacing w:val="-2"/>
          <w:sz w:val="24"/>
          <w:szCs w:val="24"/>
          <w:highlight w:val="none"/>
        </w:rPr>
        <w:t>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w:t>
      </w:r>
      <w:r>
        <w:rPr>
          <w:rFonts w:hint="eastAsia" w:ascii="宋体" w:hAnsi="宋体" w:eastAsia="宋体" w:cs="宋体"/>
          <w:color w:val="auto"/>
          <w:spacing w:val="-1"/>
          <w:sz w:val="24"/>
          <w:szCs w:val="24"/>
          <w:highlight w:val="none"/>
        </w:rPr>
        <w:t>的工程量，发包人不予计量。</w:t>
      </w:r>
    </w:p>
    <w:p w14:paraId="6BEEFEE6">
      <w:pPr>
        <w:keepNext w:val="0"/>
        <w:keepLines w:val="0"/>
        <w:pageBreakBefore w:val="0"/>
        <w:widowControl w:val="0"/>
        <w:kinsoku w:val="0"/>
        <w:wordWrap/>
        <w:overflowPunct/>
        <w:topLinePunct w:val="0"/>
        <w:autoSpaceDE w:val="0"/>
        <w:autoSpaceDN w:val="0"/>
        <w:bidi w:val="0"/>
        <w:adjustRightInd w:val="0"/>
        <w:snapToGrid w:val="0"/>
        <w:spacing w:before="38" w:line="360" w:lineRule="auto"/>
        <w:ind w:left="12" w:right="183" w:firstLine="47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2.3  </w:t>
      </w:r>
      <w:r>
        <w:rPr>
          <w:rFonts w:hint="eastAsia" w:ascii="宋体" w:hAnsi="宋体" w:eastAsia="宋体" w:cs="宋体"/>
          <w:color w:val="auto"/>
          <w:sz w:val="24"/>
          <w:szCs w:val="24"/>
          <w:highlight w:val="none"/>
        </w:rPr>
        <w:t>施工合同履行期间，若出现下列情形的，发、承包双方应当按照以下规定调整</w:t>
      </w:r>
      <w:r>
        <w:rPr>
          <w:rFonts w:hint="eastAsia" w:ascii="宋体" w:hAnsi="宋体" w:eastAsia="宋体" w:cs="宋体"/>
          <w:color w:val="auto"/>
          <w:spacing w:val="-3"/>
          <w:sz w:val="24"/>
          <w:szCs w:val="24"/>
          <w:highlight w:val="none"/>
        </w:rPr>
        <w:t>合同价款：</w:t>
      </w:r>
    </w:p>
    <w:p w14:paraId="48658D1A">
      <w:pPr>
        <w:keepNext w:val="0"/>
        <w:keepLines w:val="0"/>
        <w:pageBreakBefore w:val="0"/>
        <w:widowControl w:val="0"/>
        <w:kinsoku w:val="0"/>
        <w:wordWrap/>
        <w:overflowPunct/>
        <w:topLinePunct w:val="0"/>
        <w:autoSpaceDE w:val="0"/>
        <w:autoSpaceDN w:val="0"/>
        <w:bidi w:val="0"/>
        <w:adjustRightInd w:val="0"/>
        <w:snapToGrid w:val="0"/>
        <w:spacing w:before="227" w:line="360" w:lineRule="auto"/>
        <w:ind w:left="48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2.3.1  </w:t>
      </w:r>
      <w:r>
        <w:rPr>
          <w:rFonts w:hint="eastAsia" w:ascii="宋体" w:hAnsi="宋体" w:eastAsia="宋体" w:cs="宋体"/>
          <w:color w:val="auto"/>
          <w:spacing w:val="-1"/>
          <w:sz w:val="24"/>
          <w:szCs w:val="24"/>
          <w:highlight w:val="none"/>
        </w:rPr>
        <w:t>法律法规变化</w:t>
      </w:r>
    </w:p>
    <w:p w14:paraId="13315E7E">
      <w:pPr>
        <w:keepNext w:val="0"/>
        <w:keepLines w:val="0"/>
        <w:pageBreakBefore w:val="0"/>
        <w:widowControl w:val="0"/>
        <w:kinsoku w:val="0"/>
        <w:wordWrap/>
        <w:overflowPunct/>
        <w:topLinePunct w:val="0"/>
        <w:autoSpaceDE w:val="0"/>
        <w:autoSpaceDN w:val="0"/>
        <w:bidi w:val="0"/>
        <w:adjustRightInd w:val="0"/>
        <w:snapToGrid w:val="0"/>
        <w:spacing w:before="156" w:line="360" w:lineRule="auto"/>
        <w:ind w:left="10" w:right="183"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2.3.1.1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基准日之后，因国家法律、法规、规章和政策发生变化引起工程造价增减变</w:t>
      </w:r>
      <w:r>
        <w:rPr>
          <w:rFonts w:hint="eastAsia" w:ascii="宋体" w:hAnsi="宋体" w:eastAsia="宋体" w:cs="宋体"/>
          <w:color w:val="auto"/>
          <w:spacing w:val="-2"/>
          <w:sz w:val="24"/>
          <w:szCs w:val="24"/>
          <w:highlight w:val="none"/>
        </w:rPr>
        <w:t>化时，发、承包双方应按照省级建设主管部门（或省级行业主管部门）或其授权的工程</w:t>
      </w:r>
      <w:r>
        <w:rPr>
          <w:rFonts w:hint="eastAsia" w:ascii="宋体" w:hAnsi="宋体" w:eastAsia="宋体" w:cs="宋体"/>
          <w:color w:val="auto"/>
          <w:spacing w:val="-1"/>
          <w:sz w:val="24"/>
          <w:szCs w:val="24"/>
          <w:highlight w:val="none"/>
        </w:rPr>
        <w:t>造价管理机构据此发布的最新规定调整合同价款。</w:t>
      </w:r>
    </w:p>
    <w:p w14:paraId="48BD80C1">
      <w:pPr>
        <w:keepNext w:val="0"/>
        <w:keepLines w:val="0"/>
        <w:pageBreakBefore w:val="0"/>
        <w:widowControl w:val="0"/>
        <w:kinsoku w:val="0"/>
        <w:wordWrap/>
        <w:overflowPunct/>
        <w:topLinePunct w:val="0"/>
        <w:autoSpaceDE w:val="0"/>
        <w:autoSpaceDN w:val="0"/>
        <w:bidi w:val="0"/>
        <w:adjustRightInd w:val="0"/>
        <w:snapToGrid w:val="0"/>
        <w:spacing w:before="157" w:line="360" w:lineRule="auto"/>
        <w:ind w:left="12" w:right="183" w:firstLine="479"/>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注：本招标文件所称“基准日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11"/>
          <w:sz w:val="24"/>
          <w:szCs w:val="24"/>
          <w:highlight w:val="none"/>
        </w:rPr>
        <w:t>”，均指投标文</w:t>
      </w:r>
      <w:r>
        <w:rPr>
          <w:rFonts w:hint="eastAsia" w:ascii="宋体" w:hAnsi="宋体" w:eastAsia="宋体" w:cs="宋体"/>
          <w:b/>
          <w:bCs/>
          <w:color w:val="auto"/>
          <w:spacing w:val="-12"/>
          <w:sz w:val="24"/>
          <w:szCs w:val="24"/>
          <w:highlight w:val="none"/>
        </w:rPr>
        <w:t>件递交截止时间（见第</w:t>
      </w:r>
      <w:r>
        <w:rPr>
          <w:rFonts w:hint="eastAsia" w:ascii="宋体" w:hAnsi="宋体" w:cs="宋体"/>
          <w:b/>
          <w:bCs/>
          <w:color w:val="auto"/>
          <w:spacing w:val="-12"/>
          <w:sz w:val="24"/>
          <w:szCs w:val="24"/>
          <w:highlight w:val="none"/>
          <w:lang w:eastAsia="zh-CN"/>
        </w:rPr>
        <w:t>二</w:t>
      </w:r>
      <w:r>
        <w:rPr>
          <w:rFonts w:hint="eastAsia" w:ascii="宋体" w:hAnsi="宋体" w:eastAsia="宋体" w:cs="宋体"/>
          <w:b/>
          <w:bCs/>
          <w:color w:val="auto"/>
          <w:spacing w:val="-12"/>
          <w:sz w:val="24"/>
          <w:szCs w:val="24"/>
          <w:highlight w:val="none"/>
        </w:rPr>
        <w:t>章</w:t>
      </w:r>
      <w:r>
        <w:rPr>
          <w:rFonts w:hint="eastAsia" w:ascii="宋体" w:hAnsi="宋体" w:cs="宋体"/>
          <w:b/>
          <w:bCs/>
          <w:color w:val="auto"/>
          <w:spacing w:val="-12"/>
          <w:sz w:val="24"/>
          <w:szCs w:val="24"/>
          <w:highlight w:val="none"/>
          <w:lang w:val="en-US" w:eastAsia="zh-CN"/>
        </w:rPr>
        <w:t xml:space="preserve"> </w:t>
      </w:r>
      <w:r>
        <w:rPr>
          <w:rFonts w:hint="eastAsia" w:ascii="宋体" w:hAnsi="宋体" w:eastAsia="宋体" w:cs="宋体"/>
          <w:b w:val="0"/>
          <w:bCs w:val="0"/>
          <w:color w:val="auto"/>
          <w:sz w:val="24"/>
          <w:szCs w:val="24"/>
          <w:lang w:val="en-US" w:eastAsia="zh-CN"/>
        </w:rPr>
        <w:t>二、</w:t>
      </w:r>
      <w:r>
        <w:rPr>
          <w:rFonts w:hint="eastAsia" w:ascii="宋体" w:hAnsi="宋体" w:eastAsia="宋体" w:cs="宋体"/>
          <w:b/>
          <w:bCs/>
          <w:color w:val="auto"/>
          <w:spacing w:val="-12"/>
          <w:sz w:val="24"/>
          <w:szCs w:val="24"/>
          <w:highlight w:val="none"/>
        </w:rPr>
        <w:t>“重</w:t>
      </w:r>
      <w:r>
        <w:rPr>
          <w:rFonts w:hint="eastAsia" w:ascii="宋体" w:hAnsi="宋体" w:eastAsia="宋体" w:cs="宋体"/>
          <w:b/>
          <w:bCs/>
          <w:color w:val="auto"/>
          <w:spacing w:val="-5"/>
          <w:sz w:val="24"/>
          <w:szCs w:val="24"/>
          <w:highlight w:val="none"/>
        </w:rPr>
        <w:t>要事项时间地点一览表</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5"/>
          <w:sz w:val="24"/>
          <w:szCs w:val="24"/>
          <w:highlight w:val="none"/>
        </w:rPr>
        <w:t>”）前28天。</w:t>
      </w:r>
    </w:p>
    <w:p w14:paraId="5669FBBA">
      <w:pPr>
        <w:keepNext w:val="0"/>
        <w:keepLines w:val="0"/>
        <w:pageBreakBefore w:val="0"/>
        <w:widowControl w:val="0"/>
        <w:kinsoku w:val="0"/>
        <w:wordWrap/>
        <w:overflowPunct/>
        <w:topLinePunct w:val="0"/>
        <w:autoSpaceDE w:val="0"/>
        <w:autoSpaceDN w:val="0"/>
        <w:bidi w:val="0"/>
        <w:adjustRightInd w:val="0"/>
        <w:snapToGrid w:val="0"/>
        <w:spacing w:before="33" w:line="360" w:lineRule="auto"/>
        <w:ind w:left="11"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2.3.1.2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1"/>
          <w:sz w:val="24"/>
          <w:szCs w:val="24"/>
          <w:highlight w:val="none"/>
        </w:rPr>
        <w:t>因承包人原因导致工程延误，本章第</w:t>
      </w:r>
      <w:r>
        <w:rPr>
          <w:rFonts w:hint="eastAsia" w:ascii="宋体" w:hAnsi="宋体" w:eastAsia="宋体" w:cs="宋体"/>
          <w:b/>
          <w:bCs/>
          <w:color w:val="auto"/>
          <w:spacing w:val="1"/>
          <w:sz w:val="24"/>
          <w:szCs w:val="24"/>
          <w:highlight w:val="none"/>
        </w:rPr>
        <w:t>2</w:t>
      </w:r>
      <w:r>
        <w:rPr>
          <w:rFonts w:hint="eastAsia" w:ascii="宋体" w:hAnsi="宋体" w:eastAsia="宋体" w:cs="宋体"/>
          <w:b/>
          <w:bCs/>
          <w:color w:val="auto"/>
          <w:sz w:val="24"/>
          <w:szCs w:val="24"/>
          <w:highlight w:val="none"/>
        </w:rPr>
        <w:t>.3.1.1</w:t>
      </w:r>
      <w:r>
        <w:rPr>
          <w:rFonts w:hint="eastAsia" w:ascii="宋体" w:hAnsi="宋体" w:eastAsia="宋体" w:cs="宋体"/>
          <w:color w:val="auto"/>
          <w:sz w:val="24"/>
          <w:szCs w:val="24"/>
          <w:highlight w:val="none"/>
        </w:rPr>
        <w:t>子目中的法定机构根据国家法</w:t>
      </w:r>
      <w:r>
        <w:rPr>
          <w:rFonts w:hint="eastAsia" w:ascii="宋体" w:hAnsi="宋体" w:eastAsia="宋体" w:cs="宋体"/>
          <w:color w:val="auto"/>
          <w:spacing w:val="-3"/>
          <w:sz w:val="24"/>
          <w:szCs w:val="24"/>
          <w:highlight w:val="none"/>
        </w:rPr>
        <w:t>律法规变化发布新规的时间在合同工程原定竣工时间之后的，合同价款调增的不予调整，</w:t>
      </w:r>
      <w:r>
        <w:rPr>
          <w:rFonts w:hint="eastAsia" w:ascii="宋体" w:hAnsi="宋体" w:eastAsia="宋体" w:cs="宋体"/>
          <w:color w:val="auto"/>
          <w:spacing w:val="-1"/>
          <w:sz w:val="24"/>
          <w:szCs w:val="24"/>
          <w:highlight w:val="none"/>
        </w:rPr>
        <w:t>合同价款调减的予以调整。</w:t>
      </w:r>
    </w:p>
    <w:p w14:paraId="3411FBBD">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48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2.3.2  </w:t>
      </w:r>
      <w:r>
        <w:rPr>
          <w:rFonts w:hint="eastAsia" w:ascii="宋体" w:hAnsi="宋体" w:eastAsia="宋体" w:cs="宋体"/>
          <w:color w:val="auto"/>
          <w:spacing w:val="-1"/>
          <w:sz w:val="24"/>
          <w:szCs w:val="24"/>
          <w:highlight w:val="none"/>
        </w:rPr>
        <w:t>工程量偏差或变化</w:t>
      </w:r>
    </w:p>
    <w:p w14:paraId="008BBDDB">
      <w:pPr>
        <w:keepNext w:val="0"/>
        <w:keepLines w:val="0"/>
        <w:pageBreakBefore w:val="0"/>
        <w:widowControl w:val="0"/>
        <w:kinsoku w:val="0"/>
        <w:wordWrap/>
        <w:overflowPunct/>
        <w:topLinePunct w:val="0"/>
        <w:autoSpaceDE w:val="0"/>
        <w:autoSpaceDN w:val="0"/>
        <w:bidi w:val="0"/>
        <w:adjustRightInd w:val="0"/>
        <w:snapToGrid w:val="0"/>
        <w:spacing w:before="158" w:line="360" w:lineRule="auto"/>
        <w:ind w:left="10" w:right="183"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2.3.2.1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合同履行期间，当应予计算的实际工程量与招标工程量清单出现偏差或因工程变更引起已标价工程量清单项目的工程数量发生变化时，工程量偏差或变化在15%以</w:t>
      </w:r>
      <w:r>
        <w:rPr>
          <w:rFonts w:hint="eastAsia" w:ascii="宋体" w:hAnsi="宋体" w:eastAsia="宋体" w:cs="宋体"/>
          <w:color w:val="auto"/>
          <w:spacing w:val="-4"/>
          <w:sz w:val="24"/>
          <w:szCs w:val="24"/>
          <w:highlight w:val="none"/>
        </w:rPr>
        <w:t>内（含15%）的，其综合单价不予调整；工程量偏差或变化超过15%的，按照以下规定</w:t>
      </w:r>
      <w:r>
        <w:rPr>
          <w:rFonts w:hint="eastAsia" w:ascii="宋体" w:hAnsi="宋体" w:eastAsia="宋体" w:cs="宋体"/>
          <w:color w:val="auto"/>
          <w:spacing w:val="-3"/>
          <w:sz w:val="24"/>
          <w:szCs w:val="24"/>
          <w:highlight w:val="none"/>
        </w:rPr>
        <w:t>调整：</w:t>
      </w:r>
    </w:p>
    <w:p w14:paraId="7D2A974E">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12" w:firstLine="478"/>
        <w:jc w:val="both"/>
        <w:textAlignment w:val="baseline"/>
        <w:rPr>
          <w:rFonts w:hint="eastAsia" w:ascii="宋体" w:hAnsi="宋体" w:eastAsia="宋体" w:cs="宋体"/>
          <w:color w:val="auto"/>
          <w:sz w:val="24"/>
          <w:szCs w:val="24"/>
          <w:highlight w:val="none"/>
        </w:rPr>
      </w:pPr>
      <w:bookmarkStart w:id="126" w:name="bookmark142"/>
      <w:bookmarkEnd w:id="126"/>
      <w:r>
        <w:rPr>
          <w:rFonts w:hint="eastAsia" w:ascii="宋体" w:hAnsi="宋体" w:eastAsia="宋体" w:cs="宋体"/>
          <w:color w:val="auto"/>
          <w:spacing w:val="-3"/>
          <w:sz w:val="24"/>
          <w:szCs w:val="24"/>
          <w:highlight w:val="none"/>
        </w:rPr>
        <w:t>对于合理报价的清单项目，当工程量增加超过15%时，增加部分的工程量的综合单</w:t>
      </w:r>
      <w:r>
        <w:rPr>
          <w:rFonts w:hint="eastAsia" w:ascii="宋体" w:hAnsi="宋体" w:eastAsia="宋体" w:cs="宋体"/>
          <w:color w:val="auto"/>
          <w:spacing w:val="-7"/>
          <w:sz w:val="24"/>
          <w:szCs w:val="24"/>
          <w:highlight w:val="none"/>
        </w:rPr>
        <w:t>价以</w:t>
      </w:r>
      <w:r>
        <w:rPr>
          <w:rFonts w:hint="eastAsia" w:ascii="宋体" w:hAnsi="宋体" w:eastAsia="宋体" w:cs="宋体"/>
          <w:color w:val="auto"/>
          <w:spacing w:val="-3"/>
          <w:sz w:val="24"/>
          <w:szCs w:val="24"/>
          <w:highlight w:val="none"/>
        </w:rPr>
        <w:t>投标报价《分部分项工程和单价措施项目清单与计价表》中综合单价为基价调低3%；当工程量减少超过15%时，减少后剩余部分的工程量的综合单价以投标报价《分部分项工程和单价措施项目清单与计价表》中综合单价为基价调高3%</w:t>
      </w:r>
      <w:r>
        <w:rPr>
          <w:rFonts w:hint="eastAsia" w:ascii="宋体" w:hAnsi="宋体" w:eastAsia="宋体" w:cs="宋体"/>
          <w:color w:val="auto"/>
          <w:spacing w:val="-1"/>
          <w:sz w:val="24"/>
          <w:szCs w:val="24"/>
          <w:highlight w:val="none"/>
        </w:rPr>
        <w:t>。</w:t>
      </w:r>
    </w:p>
    <w:p w14:paraId="6CC66F44">
      <w:pPr>
        <w:spacing w:before="150" w:line="360" w:lineRule="auto"/>
        <w:ind w:left="13" w:right="108" w:firstLine="474"/>
        <w:rPr>
          <w:rFonts w:hint="eastAsia" w:ascii="宋体" w:hAnsi="宋体" w:eastAsia="宋体" w:cs="宋体"/>
          <w:b/>
          <w:bCs/>
          <w:color w:val="auto"/>
          <w:sz w:val="24"/>
          <w:szCs w:val="24"/>
          <w:highlight w:val="none"/>
        </w:rPr>
      </w:pPr>
      <w:bookmarkStart w:id="127" w:name="_Toc24043"/>
      <w:r>
        <w:rPr>
          <w:rFonts w:hint="eastAsia" w:ascii="宋体" w:hAnsi="宋体" w:eastAsia="宋体" w:cs="宋体"/>
          <w:b/>
          <w:bCs/>
          <w:color w:val="auto"/>
          <w:sz w:val="24"/>
          <w:szCs w:val="24"/>
          <w:highlight w:val="none"/>
        </w:rPr>
        <w:t>不正常报价的梳理和确认</w:t>
      </w:r>
      <w:bookmarkEnd w:id="127"/>
    </w:p>
    <w:p w14:paraId="0F0E66BC">
      <w:pPr>
        <w:spacing w:before="154" w:line="360" w:lineRule="auto"/>
        <w:ind w:left="14" w:right="64" w:firstLine="473"/>
        <w:rPr>
          <w:rFonts w:hint="eastAsia" w:ascii="宋体" w:hAnsi="宋体" w:eastAsia="宋体" w:cs="宋体"/>
          <w:color w:val="auto"/>
          <w:sz w:val="24"/>
          <w:szCs w:val="24"/>
          <w:highlight w:val="none"/>
        </w:rPr>
      </w:pPr>
      <w:r>
        <w:rPr>
          <w:rFonts w:hint="eastAsia" w:ascii="宋体" w:hAnsi="宋体" w:cs="宋体"/>
          <w:b w:val="0"/>
          <w:bCs w:val="0"/>
          <w:color w:val="auto"/>
          <w:spacing w:val="1"/>
          <w:sz w:val="24"/>
          <w:szCs w:val="24"/>
          <w:highlight w:val="none"/>
          <w:lang w:eastAsia="zh-CN"/>
        </w:rPr>
        <w:t>（</w:t>
      </w:r>
      <w:r>
        <w:rPr>
          <w:rFonts w:hint="eastAsia" w:ascii="宋体" w:hAnsi="宋体" w:cs="宋体"/>
          <w:b w:val="0"/>
          <w:bCs w:val="0"/>
          <w:color w:val="auto"/>
          <w:spacing w:val="1"/>
          <w:sz w:val="24"/>
          <w:szCs w:val="24"/>
          <w:highlight w:val="none"/>
          <w:lang w:val="en-US" w:eastAsia="zh-CN"/>
        </w:rPr>
        <w:t>1</w:t>
      </w:r>
      <w:r>
        <w:rPr>
          <w:rFonts w:hint="eastAsia" w:ascii="宋体" w:hAnsi="宋体" w:cs="宋体"/>
          <w:b w:val="0"/>
          <w:bCs w:val="0"/>
          <w:color w:val="auto"/>
          <w:spacing w:val="1"/>
          <w:sz w:val="24"/>
          <w:szCs w:val="24"/>
          <w:highlight w:val="none"/>
          <w:lang w:eastAsia="zh-CN"/>
        </w:rPr>
        <w:t>）</w:t>
      </w:r>
      <w:r>
        <w:rPr>
          <w:rFonts w:hint="eastAsia" w:ascii="宋体" w:hAnsi="宋体" w:eastAsia="宋体" w:cs="宋体"/>
          <w:b w:val="0"/>
          <w:bCs w:val="0"/>
          <w:color w:val="auto"/>
          <w:spacing w:val="1"/>
          <w:sz w:val="24"/>
          <w:szCs w:val="24"/>
          <w:highlight w:val="none"/>
        </w:rPr>
        <w:t>合同订立期间，在不改变中标人的投标总价的前提下，招标人应对中标人的</w:t>
      </w:r>
      <w:r>
        <w:rPr>
          <w:rFonts w:hint="eastAsia" w:ascii="宋体" w:hAnsi="宋体" w:eastAsia="宋体" w:cs="宋体"/>
          <w:b w:val="0"/>
          <w:bCs w:val="0"/>
          <w:color w:val="auto"/>
          <w:spacing w:val="-3"/>
          <w:sz w:val="24"/>
          <w:szCs w:val="24"/>
          <w:highlight w:val="none"/>
        </w:rPr>
        <w:t>投标报价进行全面分析和整理，从而发现并提取其中可能存在的算术性错误、错漏项、不平衡报价等不正常报价，并修正其中的算术性错误。招</w:t>
      </w:r>
      <w:r>
        <w:rPr>
          <w:rFonts w:hint="eastAsia" w:ascii="宋体" w:hAnsi="宋体" w:eastAsia="宋体" w:cs="宋体"/>
          <w:color w:val="auto"/>
          <w:spacing w:val="-3"/>
          <w:sz w:val="24"/>
          <w:szCs w:val="24"/>
          <w:highlight w:val="none"/>
        </w:rPr>
        <w:t>标人不具备</w:t>
      </w:r>
      <w:r>
        <w:rPr>
          <w:rFonts w:hint="eastAsia" w:ascii="宋体" w:hAnsi="宋体" w:eastAsia="宋体" w:cs="宋体"/>
          <w:color w:val="auto"/>
          <w:spacing w:val="-4"/>
          <w:sz w:val="24"/>
          <w:szCs w:val="24"/>
          <w:highlight w:val="none"/>
        </w:rPr>
        <w:t>以上能力的，可授</w:t>
      </w:r>
      <w:r>
        <w:rPr>
          <w:rFonts w:hint="eastAsia" w:ascii="宋体" w:hAnsi="宋体" w:eastAsia="宋体" w:cs="宋体"/>
          <w:color w:val="auto"/>
          <w:spacing w:val="-1"/>
          <w:sz w:val="24"/>
          <w:szCs w:val="24"/>
          <w:highlight w:val="none"/>
        </w:rPr>
        <w:t>权编制本项目招标控制价的造价咨询单位实施。</w:t>
      </w:r>
    </w:p>
    <w:p w14:paraId="60493062">
      <w:pPr>
        <w:spacing w:before="121" w:line="360" w:lineRule="auto"/>
        <w:ind w:left="14" w:right="65" w:firstLine="473"/>
        <w:rPr>
          <w:rFonts w:hint="eastAsia" w:ascii="宋体" w:hAnsi="宋体" w:eastAsia="宋体" w:cs="宋体"/>
          <w:color w:val="auto"/>
          <w:sz w:val="24"/>
          <w:szCs w:val="24"/>
          <w:highlight w:val="none"/>
        </w:rPr>
      </w:pPr>
      <w:r>
        <w:rPr>
          <w:rFonts w:hint="eastAsia" w:ascii="宋体" w:hAnsi="宋体" w:cs="宋体"/>
          <w:color w:val="auto"/>
          <w:spacing w:val="2"/>
          <w:sz w:val="24"/>
          <w:szCs w:val="24"/>
          <w:highlight w:val="none"/>
          <w:lang w:eastAsia="zh-CN"/>
        </w:rPr>
        <w:t>（</w:t>
      </w:r>
      <w:r>
        <w:rPr>
          <w:rFonts w:hint="eastAsia" w:ascii="宋体" w:hAnsi="宋体" w:cs="宋体"/>
          <w:color w:val="auto"/>
          <w:spacing w:val="2"/>
          <w:sz w:val="24"/>
          <w:szCs w:val="24"/>
          <w:highlight w:val="none"/>
          <w:lang w:val="en-US" w:eastAsia="zh-CN"/>
        </w:rPr>
        <w:t>2</w:t>
      </w:r>
      <w:r>
        <w:rPr>
          <w:rFonts w:hint="eastAsia" w:ascii="宋体" w:hAnsi="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算术性错误的分析和修正。投标报价汇</w:t>
      </w:r>
      <w:r>
        <w:rPr>
          <w:rFonts w:hint="eastAsia" w:ascii="宋体" w:hAnsi="宋体" w:eastAsia="宋体" w:cs="宋体"/>
          <w:color w:val="auto"/>
          <w:spacing w:val="1"/>
          <w:sz w:val="24"/>
          <w:szCs w:val="24"/>
          <w:highlight w:val="none"/>
        </w:rPr>
        <w:t>总表中，投标总价与各分项费用之和</w:t>
      </w:r>
      <w:r>
        <w:rPr>
          <w:rFonts w:hint="eastAsia" w:ascii="宋体" w:hAnsi="宋体" w:eastAsia="宋体" w:cs="宋体"/>
          <w:color w:val="auto"/>
          <w:spacing w:val="-2"/>
          <w:sz w:val="24"/>
          <w:szCs w:val="24"/>
          <w:highlight w:val="none"/>
        </w:rPr>
        <w:t>不一致的，以投标总价为准修正分项费用；投标报价汇总表的各分项费用与对应分项表中的费用不一致的，以投标报价汇总表中的分项费用为准修正对应分项表中的费用；各</w:t>
      </w:r>
      <w:r>
        <w:rPr>
          <w:rFonts w:hint="eastAsia" w:ascii="宋体" w:hAnsi="宋体" w:eastAsia="宋体" w:cs="宋体"/>
          <w:color w:val="auto"/>
          <w:sz w:val="24"/>
          <w:szCs w:val="24"/>
          <w:highlight w:val="none"/>
        </w:rPr>
        <w:t>分项表中总价金额与依据单价计算出的结果不</w:t>
      </w:r>
      <w:r>
        <w:rPr>
          <w:rFonts w:hint="eastAsia" w:ascii="宋体" w:hAnsi="宋体" w:eastAsia="宋体" w:cs="宋体"/>
          <w:color w:val="auto"/>
          <w:spacing w:val="-1"/>
          <w:sz w:val="24"/>
          <w:szCs w:val="24"/>
          <w:highlight w:val="none"/>
        </w:rPr>
        <w:t>一致的，以总价为准修正单价。</w:t>
      </w:r>
    </w:p>
    <w:p w14:paraId="7BB0AF98">
      <w:pPr>
        <w:spacing w:before="157" w:line="360" w:lineRule="auto"/>
        <w:ind w:left="12" w:right="66" w:firstLine="476"/>
        <w:rPr>
          <w:rFonts w:hint="eastAsia" w:ascii="宋体" w:hAnsi="宋体" w:eastAsia="宋体" w:cs="宋体"/>
          <w:color w:val="auto"/>
          <w:sz w:val="24"/>
          <w:szCs w:val="24"/>
          <w:highlight w:val="none"/>
        </w:rPr>
      </w:pPr>
      <w:r>
        <w:rPr>
          <w:rFonts w:hint="eastAsia" w:ascii="宋体" w:hAnsi="宋体" w:cs="宋体"/>
          <w:color w:val="auto"/>
          <w:spacing w:val="2"/>
          <w:sz w:val="24"/>
          <w:szCs w:val="24"/>
          <w:highlight w:val="none"/>
          <w:lang w:eastAsia="zh-CN"/>
        </w:rPr>
        <w:t>（</w:t>
      </w:r>
      <w:r>
        <w:rPr>
          <w:rFonts w:hint="eastAsia" w:ascii="宋体" w:hAnsi="宋体" w:cs="宋体"/>
          <w:color w:val="auto"/>
          <w:spacing w:val="2"/>
          <w:sz w:val="24"/>
          <w:szCs w:val="24"/>
          <w:highlight w:val="none"/>
          <w:lang w:val="en-US" w:eastAsia="zh-CN"/>
        </w:rPr>
        <w:t>3</w:t>
      </w:r>
      <w:r>
        <w:rPr>
          <w:rFonts w:hint="eastAsia" w:ascii="宋体" w:hAnsi="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错漏项的认定。中标人已标价工程量清</w:t>
      </w:r>
      <w:r>
        <w:rPr>
          <w:rFonts w:hint="eastAsia" w:ascii="宋体" w:hAnsi="宋体" w:eastAsia="宋体" w:cs="宋体"/>
          <w:color w:val="auto"/>
          <w:spacing w:val="1"/>
          <w:sz w:val="24"/>
          <w:szCs w:val="24"/>
          <w:highlight w:val="none"/>
        </w:rPr>
        <w:t>单中，任一清单项目未填报价格或价</w:t>
      </w:r>
      <w:r>
        <w:rPr>
          <w:rFonts w:hint="eastAsia" w:ascii="宋体" w:hAnsi="宋体" w:eastAsia="宋体" w:cs="宋体"/>
          <w:color w:val="auto"/>
          <w:spacing w:val="-1"/>
          <w:sz w:val="24"/>
          <w:szCs w:val="24"/>
          <w:highlight w:val="none"/>
        </w:rPr>
        <w:t>格为零的，视为错漏项。</w:t>
      </w:r>
    </w:p>
    <w:p w14:paraId="1AF8E3BC">
      <w:pPr>
        <w:spacing w:before="121" w:line="360" w:lineRule="auto"/>
        <w:ind w:firstLine="488" w:firstLineChars="200"/>
        <w:rPr>
          <w:rFonts w:hint="eastAsia" w:ascii="宋体" w:hAnsi="宋体" w:eastAsia="宋体" w:cs="宋体"/>
          <w:color w:val="auto"/>
          <w:sz w:val="24"/>
          <w:szCs w:val="24"/>
          <w:highlight w:val="none"/>
        </w:rPr>
      </w:pPr>
      <w:r>
        <w:rPr>
          <w:rFonts w:hint="eastAsia" w:ascii="宋体" w:hAnsi="宋体" w:cs="宋体"/>
          <w:b w:val="0"/>
          <w:bCs w:val="0"/>
          <w:color w:val="auto"/>
          <w:spacing w:val="2"/>
          <w:sz w:val="24"/>
          <w:szCs w:val="24"/>
          <w:highlight w:val="none"/>
          <w:lang w:eastAsia="zh-CN"/>
        </w:rPr>
        <w:t>（</w:t>
      </w:r>
      <w:r>
        <w:rPr>
          <w:rFonts w:hint="eastAsia" w:ascii="宋体" w:hAnsi="宋体" w:cs="宋体"/>
          <w:b w:val="0"/>
          <w:bCs w:val="0"/>
          <w:color w:val="auto"/>
          <w:spacing w:val="2"/>
          <w:sz w:val="24"/>
          <w:szCs w:val="24"/>
          <w:highlight w:val="none"/>
          <w:lang w:val="en-US" w:eastAsia="zh-CN"/>
        </w:rPr>
        <w:t>4</w:t>
      </w:r>
      <w:r>
        <w:rPr>
          <w:rFonts w:hint="eastAsia" w:ascii="宋体" w:hAnsi="宋体" w:cs="宋体"/>
          <w:b w:val="0"/>
          <w:bCs w:val="0"/>
          <w:color w:val="auto"/>
          <w:spacing w:val="2"/>
          <w:sz w:val="24"/>
          <w:szCs w:val="24"/>
          <w:highlight w:val="none"/>
          <w:lang w:eastAsia="zh-CN"/>
        </w:rPr>
        <w:t>）</w:t>
      </w:r>
      <w:r>
        <w:rPr>
          <w:rFonts w:hint="eastAsia" w:ascii="宋体" w:hAnsi="宋体" w:eastAsia="宋体" w:cs="宋体"/>
          <w:color w:val="auto"/>
          <w:spacing w:val="2"/>
          <w:sz w:val="24"/>
          <w:szCs w:val="24"/>
          <w:highlight w:val="none"/>
        </w:rPr>
        <w:t>不平衡报价的认定。经修正算术性错误后的中标人已标价工程量清单中，对于投标报价中综合单价相对招标控制价《分部分项工程和单价措施项目清单与计价表》中对应综合单价的偏差大于±15%的清</w:t>
      </w:r>
      <w:r>
        <w:rPr>
          <w:rFonts w:hint="eastAsia" w:ascii="宋体" w:hAnsi="宋体" w:eastAsia="宋体" w:cs="宋体"/>
          <w:color w:val="auto"/>
          <w:spacing w:val="-3"/>
          <w:sz w:val="24"/>
          <w:szCs w:val="24"/>
          <w:highlight w:val="none"/>
        </w:rPr>
        <w:t>单项目，视为不平衡报价项目。</w:t>
      </w:r>
    </w:p>
    <w:p w14:paraId="48F72EBF">
      <w:pPr>
        <w:spacing w:before="146" w:line="360" w:lineRule="auto"/>
        <w:ind w:left="10" w:right="65" w:firstLine="478"/>
        <w:jc w:val="both"/>
        <w:rPr>
          <w:rFonts w:hint="eastAsia" w:ascii="宋体" w:hAnsi="宋体" w:eastAsia="宋体" w:cs="宋体"/>
          <w:color w:val="auto"/>
          <w:sz w:val="24"/>
          <w:szCs w:val="24"/>
          <w:highlight w:val="none"/>
        </w:rPr>
      </w:pPr>
      <w:r>
        <w:rPr>
          <w:rFonts w:hint="eastAsia" w:ascii="宋体" w:hAnsi="宋体" w:cs="宋体"/>
          <w:b w:val="0"/>
          <w:bCs w:val="0"/>
          <w:color w:val="auto"/>
          <w:spacing w:val="-3"/>
          <w:sz w:val="24"/>
          <w:szCs w:val="24"/>
          <w:highlight w:val="none"/>
          <w:lang w:eastAsia="zh-CN"/>
        </w:rPr>
        <w:t>（</w:t>
      </w:r>
      <w:r>
        <w:rPr>
          <w:rFonts w:hint="eastAsia" w:ascii="宋体" w:hAnsi="宋体" w:cs="宋体"/>
          <w:b w:val="0"/>
          <w:bCs w:val="0"/>
          <w:color w:val="auto"/>
          <w:spacing w:val="-3"/>
          <w:sz w:val="24"/>
          <w:szCs w:val="24"/>
          <w:highlight w:val="none"/>
          <w:lang w:val="en-US" w:eastAsia="zh-CN"/>
        </w:rPr>
        <w:t>5</w:t>
      </w:r>
      <w:r>
        <w:rPr>
          <w:rFonts w:hint="eastAsia" w:ascii="宋体" w:hAnsi="宋体" w:cs="宋体"/>
          <w:b w:val="0"/>
          <w:bCs w:val="0"/>
          <w:color w:val="auto"/>
          <w:spacing w:val="-3"/>
          <w:sz w:val="24"/>
          <w:szCs w:val="24"/>
          <w:highlight w:val="none"/>
          <w:lang w:eastAsia="zh-CN"/>
        </w:rPr>
        <w:t>）</w:t>
      </w:r>
      <w:r>
        <w:rPr>
          <w:rFonts w:hint="eastAsia" w:ascii="宋体" w:hAnsi="宋体" w:eastAsia="宋体" w:cs="宋体"/>
          <w:color w:val="auto"/>
          <w:spacing w:val="-3"/>
          <w:sz w:val="24"/>
          <w:szCs w:val="24"/>
          <w:highlight w:val="none"/>
        </w:rPr>
        <w:t>施工合同签订前，招标人或其授权的造价咨询单位应就发现的以上所有不平衡报价进行修正，形成《不平衡报价修正报告》，并由招标人和中标人共同签章确认，构成施工合同的组成部分。</w:t>
      </w:r>
    </w:p>
    <w:p w14:paraId="489EB373">
      <w:pPr>
        <w:spacing w:before="34" w:line="360" w:lineRule="auto"/>
        <w:ind w:left="12" w:right="65" w:firstLine="475"/>
        <w:rPr>
          <w:rFonts w:hint="eastAsia" w:ascii="宋体" w:hAnsi="宋体" w:eastAsia="宋体" w:cs="宋体"/>
          <w:b w:val="0"/>
          <w:bCs w:val="0"/>
          <w:color w:val="auto"/>
          <w:sz w:val="24"/>
          <w:szCs w:val="24"/>
          <w:highlight w:val="none"/>
        </w:rPr>
      </w:pPr>
      <w:r>
        <w:rPr>
          <w:rFonts w:hint="eastAsia" w:ascii="宋体" w:hAnsi="宋体" w:cs="宋体"/>
          <w:b w:val="0"/>
          <w:bCs w:val="0"/>
          <w:color w:val="auto"/>
          <w:spacing w:val="1"/>
          <w:sz w:val="24"/>
          <w:szCs w:val="24"/>
          <w:highlight w:val="none"/>
          <w:lang w:eastAsia="zh-CN"/>
        </w:rPr>
        <w:t>（</w:t>
      </w:r>
      <w:r>
        <w:rPr>
          <w:rFonts w:hint="eastAsia" w:ascii="宋体" w:hAnsi="宋体" w:cs="宋体"/>
          <w:b w:val="0"/>
          <w:bCs w:val="0"/>
          <w:color w:val="auto"/>
          <w:spacing w:val="1"/>
          <w:sz w:val="24"/>
          <w:szCs w:val="24"/>
          <w:highlight w:val="none"/>
          <w:lang w:val="en-US" w:eastAsia="zh-CN"/>
        </w:rPr>
        <w:t>6</w:t>
      </w:r>
      <w:r>
        <w:rPr>
          <w:rFonts w:hint="eastAsia" w:ascii="宋体" w:hAnsi="宋体" w:cs="宋体"/>
          <w:b w:val="0"/>
          <w:bCs w:val="0"/>
          <w:color w:val="auto"/>
          <w:spacing w:val="1"/>
          <w:sz w:val="24"/>
          <w:szCs w:val="24"/>
          <w:highlight w:val="none"/>
          <w:lang w:eastAsia="zh-CN"/>
        </w:rPr>
        <w:t>）</w:t>
      </w:r>
      <w:r>
        <w:rPr>
          <w:rFonts w:hint="eastAsia" w:ascii="宋体" w:hAnsi="宋体" w:eastAsia="宋体" w:cs="宋体"/>
          <w:b w:val="0"/>
          <w:bCs w:val="0"/>
          <w:color w:val="auto"/>
          <w:spacing w:val="1"/>
          <w:sz w:val="24"/>
          <w:szCs w:val="24"/>
          <w:highlight w:val="none"/>
        </w:rPr>
        <w:t>合同履行过程中，被认定为错漏项的清单项目，结算时按照“拟签订</w:t>
      </w:r>
      <w:r>
        <w:rPr>
          <w:rFonts w:hint="eastAsia" w:ascii="宋体" w:hAnsi="宋体" w:eastAsia="宋体" w:cs="宋体"/>
          <w:b w:val="0"/>
          <w:bCs w:val="0"/>
          <w:color w:val="auto"/>
          <w:spacing w:val="-6"/>
          <w:sz w:val="24"/>
          <w:szCs w:val="24"/>
          <w:highlight w:val="none"/>
        </w:rPr>
        <w:t>合同的主要条款</w:t>
      </w:r>
      <w:r>
        <w:rPr>
          <w:rFonts w:hint="eastAsia" w:ascii="宋体" w:hAnsi="宋体" w:eastAsia="宋体" w:cs="宋体"/>
          <w:b w:val="0"/>
          <w:bCs w:val="0"/>
          <w:color w:val="auto"/>
          <w:spacing w:val="-77"/>
          <w:sz w:val="24"/>
          <w:szCs w:val="24"/>
          <w:highlight w:val="none"/>
        </w:rPr>
        <w:t xml:space="preserve"> </w:t>
      </w:r>
      <w:r>
        <w:rPr>
          <w:rFonts w:hint="eastAsia" w:ascii="宋体" w:hAnsi="宋体" w:eastAsia="宋体" w:cs="宋体"/>
          <w:b w:val="0"/>
          <w:bCs w:val="0"/>
          <w:color w:val="auto"/>
          <w:spacing w:val="-6"/>
          <w:sz w:val="24"/>
          <w:szCs w:val="24"/>
          <w:highlight w:val="none"/>
        </w:rPr>
        <w:t>”规定处理。</w:t>
      </w:r>
    </w:p>
    <w:p w14:paraId="46FD6D81">
      <w:pPr>
        <w:spacing w:before="33" w:line="360" w:lineRule="auto"/>
        <w:ind w:left="12" w:right="38" w:firstLine="476"/>
        <w:jc w:val="both"/>
        <w:rPr>
          <w:rFonts w:hint="eastAsia"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7</w:t>
      </w:r>
      <w:r>
        <w:rPr>
          <w:rFonts w:hint="eastAsia" w:ascii="宋体" w:hAnsi="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合同履行过程中，合同约定的调</w:t>
      </w:r>
      <w:r>
        <w:rPr>
          <w:rFonts w:hint="eastAsia" w:ascii="宋体" w:hAnsi="宋体" w:eastAsia="宋体" w:cs="宋体"/>
          <w:b w:val="0"/>
          <w:bCs w:val="0"/>
          <w:color w:val="auto"/>
          <w:spacing w:val="-1"/>
          <w:sz w:val="24"/>
          <w:szCs w:val="24"/>
          <w:highlight w:val="none"/>
        </w:rPr>
        <w:t>整因素（如工程量偏差、工程变更、项目特</w:t>
      </w:r>
      <w:r>
        <w:rPr>
          <w:rFonts w:hint="eastAsia" w:ascii="宋体" w:hAnsi="宋体" w:eastAsia="宋体" w:cs="宋体"/>
          <w:b w:val="0"/>
          <w:bCs w:val="0"/>
          <w:color w:val="auto"/>
          <w:spacing w:val="-4"/>
          <w:sz w:val="24"/>
          <w:szCs w:val="24"/>
          <w:highlight w:val="none"/>
        </w:rPr>
        <w:t>征不符、招标工程量清单缺项等）出现时，被认定为不平衡报价的清单项目以及</w:t>
      </w:r>
      <w:r>
        <w:rPr>
          <w:rFonts w:hint="eastAsia" w:ascii="宋体" w:hAnsi="宋体" w:eastAsia="宋体" w:cs="宋体"/>
          <w:b w:val="0"/>
          <w:bCs w:val="0"/>
          <w:color w:val="auto"/>
          <w:spacing w:val="-5"/>
          <w:sz w:val="24"/>
          <w:szCs w:val="24"/>
          <w:highlight w:val="none"/>
        </w:rPr>
        <w:t>采用被</w:t>
      </w:r>
      <w:r>
        <w:rPr>
          <w:rFonts w:hint="eastAsia" w:ascii="宋体" w:hAnsi="宋体" w:eastAsia="宋体" w:cs="宋体"/>
          <w:b w:val="0"/>
          <w:bCs w:val="0"/>
          <w:color w:val="auto"/>
          <w:spacing w:val="-3"/>
          <w:sz w:val="24"/>
          <w:szCs w:val="24"/>
          <w:highlight w:val="none"/>
        </w:rPr>
        <w:t>认定为不平衡报价的清单项目的价格作为取价（或参照取</w:t>
      </w:r>
      <w:r>
        <w:rPr>
          <w:rFonts w:hint="eastAsia" w:ascii="宋体" w:hAnsi="宋体" w:eastAsia="宋体" w:cs="宋体"/>
          <w:b w:val="0"/>
          <w:bCs w:val="0"/>
          <w:color w:val="auto"/>
          <w:spacing w:val="-4"/>
          <w:sz w:val="24"/>
          <w:szCs w:val="24"/>
          <w:highlight w:val="none"/>
        </w:rPr>
        <w:t>价）依据的变更、新增项目，</w:t>
      </w:r>
      <w:r>
        <w:rPr>
          <w:rFonts w:hint="eastAsia" w:ascii="宋体" w:hAnsi="宋体" w:eastAsia="宋体" w:cs="宋体"/>
          <w:b w:val="0"/>
          <w:bCs w:val="0"/>
          <w:color w:val="auto"/>
          <w:sz w:val="24"/>
          <w:szCs w:val="24"/>
          <w:highlight w:val="none"/>
        </w:rPr>
        <w:t xml:space="preserve"> </w:t>
      </w:r>
      <w:r>
        <w:rPr>
          <w:rFonts w:hint="eastAsia" w:ascii="宋体" w:hAnsi="宋体" w:eastAsia="宋体" w:cs="宋体"/>
          <w:b w:val="0"/>
          <w:bCs w:val="0"/>
          <w:color w:val="auto"/>
          <w:spacing w:val="-3"/>
          <w:sz w:val="24"/>
          <w:szCs w:val="24"/>
          <w:highlight w:val="none"/>
        </w:rPr>
        <w:t>按照“拟签订合同的主要条款</w:t>
      </w:r>
      <w:r>
        <w:rPr>
          <w:rFonts w:hint="eastAsia" w:ascii="宋体" w:hAnsi="宋体" w:eastAsia="宋体" w:cs="宋体"/>
          <w:b w:val="0"/>
          <w:bCs w:val="0"/>
          <w:color w:val="auto"/>
          <w:spacing w:val="-86"/>
          <w:sz w:val="24"/>
          <w:szCs w:val="24"/>
          <w:highlight w:val="none"/>
        </w:rPr>
        <w:t xml:space="preserve"> </w:t>
      </w:r>
      <w:r>
        <w:rPr>
          <w:rFonts w:hint="eastAsia" w:ascii="宋体" w:hAnsi="宋体" w:eastAsia="宋体" w:cs="宋体"/>
          <w:b w:val="0"/>
          <w:bCs w:val="0"/>
          <w:color w:val="auto"/>
          <w:spacing w:val="-3"/>
          <w:sz w:val="24"/>
          <w:szCs w:val="24"/>
          <w:highlight w:val="none"/>
        </w:rPr>
        <w:t>”有关规定调整</w:t>
      </w:r>
      <w:r>
        <w:rPr>
          <w:rFonts w:hint="eastAsia" w:ascii="宋体" w:hAnsi="宋体" w:eastAsia="宋体" w:cs="宋体"/>
          <w:b w:val="0"/>
          <w:bCs w:val="0"/>
          <w:color w:val="auto"/>
          <w:spacing w:val="-4"/>
          <w:sz w:val="24"/>
          <w:szCs w:val="24"/>
          <w:highlight w:val="none"/>
        </w:rPr>
        <w:t>合同价款。</w:t>
      </w:r>
    </w:p>
    <w:p w14:paraId="73F4EF6F">
      <w:pPr>
        <w:spacing w:before="97" w:line="360" w:lineRule="auto"/>
        <w:ind w:left="13" w:right="179"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对于不平衡报价的清单项目，其综合</w:t>
      </w:r>
      <w:r>
        <w:rPr>
          <w:rFonts w:hint="eastAsia" w:ascii="宋体" w:hAnsi="宋体" w:eastAsia="宋体" w:cs="宋体"/>
          <w:b/>
          <w:bCs/>
          <w:color w:val="auto"/>
          <w:spacing w:val="-3"/>
          <w:sz w:val="24"/>
          <w:szCs w:val="24"/>
          <w:highlight w:val="none"/>
        </w:rPr>
        <w:t>单价按照以下方法调整：</w:t>
      </w:r>
    </w:p>
    <w:p w14:paraId="045BB731">
      <w:pPr>
        <w:spacing w:before="36" w:line="360" w:lineRule="auto"/>
        <w:ind w:firstLine="462"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以招标控制价中《分部分项工程和单价措施项目清单与计价表》子目相对应综合单</w:t>
      </w:r>
      <w:r>
        <w:rPr>
          <w:rFonts w:hint="eastAsia" w:ascii="宋体" w:hAnsi="宋体" w:eastAsia="宋体" w:cs="宋体"/>
          <w:b/>
          <w:bCs/>
          <w:color w:val="auto"/>
          <w:spacing w:val="-3"/>
          <w:sz w:val="24"/>
          <w:szCs w:val="24"/>
          <w:highlight w:val="none"/>
        </w:rPr>
        <w:t>价×（1-中标下浮率）。</w:t>
      </w:r>
    </w:p>
    <w:p w14:paraId="098AF6A7">
      <w:pPr>
        <w:spacing w:before="36" w:line="360" w:lineRule="auto"/>
        <w:ind w:firstLine="462" w:firstLineChars="200"/>
        <w:rPr>
          <w:rFonts w:hint="eastAsia" w:ascii="宋体" w:hAnsi="宋体" w:eastAsia="宋体" w:cs="宋体"/>
          <w:b/>
          <w:bCs/>
          <w:color w:val="auto"/>
          <w:spacing w:val="-5"/>
          <w:sz w:val="24"/>
          <w:szCs w:val="24"/>
          <w:highlight w:val="none"/>
        </w:rPr>
      </w:pPr>
      <w:bookmarkStart w:id="128" w:name="_Toc12035"/>
      <w:bookmarkStart w:id="129" w:name="_Toc18478"/>
      <w:bookmarkStart w:id="130" w:name="_Toc13345"/>
      <w:r>
        <w:rPr>
          <w:rFonts w:hint="eastAsia" w:ascii="宋体" w:hAnsi="宋体" w:eastAsia="宋体" w:cs="宋体"/>
          <w:b/>
          <w:bCs/>
          <w:color w:val="auto"/>
          <w:spacing w:val="-5"/>
          <w:sz w:val="24"/>
          <w:szCs w:val="24"/>
          <w:highlight w:val="none"/>
        </w:rPr>
        <w:t>中标下浮率=[1-（中标价-中标绿色施工安全防护措施费-暂列金额-暂估价）/（</w:t>
      </w:r>
      <w:bookmarkEnd w:id="128"/>
      <w:bookmarkEnd w:id="129"/>
      <w:bookmarkStart w:id="131" w:name="_Toc13602"/>
      <w:bookmarkStart w:id="132" w:name="_Toc15512"/>
      <w:r>
        <w:rPr>
          <w:rFonts w:hint="eastAsia" w:ascii="宋体" w:hAnsi="宋体" w:eastAsia="宋体" w:cs="宋体"/>
          <w:b/>
          <w:bCs/>
          <w:color w:val="auto"/>
          <w:spacing w:val="-5"/>
          <w:sz w:val="24"/>
          <w:szCs w:val="24"/>
          <w:highlight w:val="none"/>
        </w:rPr>
        <w:t>招标控制价-控制价绿色施工安全防护措施费-暂列金额-暂估价）] ×100%</w:t>
      </w:r>
      <w:bookmarkEnd w:id="130"/>
      <w:bookmarkEnd w:id="131"/>
      <w:bookmarkEnd w:id="132"/>
    </w:p>
    <w:p w14:paraId="087DB077">
      <w:pPr>
        <w:spacing w:before="123" w:line="360" w:lineRule="auto"/>
        <w:ind w:left="10" w:right="116" w:firstLine="482"/>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若修正后的该部分《分部分项工程和单价措施项目清单与计价表》总金额大于原投</w:t>
      </w:r>
      <w:r>
        <w:rPr>
          <w:rFonts w:hint="eastAsia" w:ascii="宋体" w:hAnsi="宋体" w:eastAsia="宋体" w:cs="宋体"/>
          <w:color w:val="auto"/>
          <w:spacing w:val="-1"/>
          <w:sz w:val="24"/>
          <w:szCs w:val="24"/>
          <w:highlight w:val="none"/>
        </w:rPr>
        <w:t>标报价中的该部分总金额，则从投标报价需</w:t>
      </w:r>
      <w:r>
        <w:rPr>
          <w:rFonts w:hint="eastAsia" w:ascii="宋体" w:hAnsi="宋体" w:eastAsia="宋体" w:cs="宋体"/>
          <w:color w:val="auto"/>
          <w:spacing w:val="-2"/>
          <w:sz w:val="24"/>
          <w:szCs w:val="24"/>
          <w:highlight w:val="none"/>
        </w:rPr>
        <w:t>调高的综合单价中选择偏离最大的清单开始</w:t>
      </w:r>
      <w:r>
        <w:rPr>
          <w:rFonts w:hint="eastAsia" w:ascii="宋体" w:hAnsi="宋体" w:eastAsia="宋体" w:cs="宋体"/>
          <w:color w:val="auto"/>
          <w:spacing w:val="-1"/>
          <w:sz w:val="24"/>
          <w:szCs w:val="24"/>
          <w:highlight w:val="none"/>
        </w:rPr>
        <w:t>调整，调整幅度逐步减少，直至修正后的该</w:t>
      </w:r>
      <w:r>
        <w:rPr>
          <w:rFonts w:hint="eastAsia" w:ascii="宋体" w:hAnsi="宋体" w:eastAsia="宋体" w:cs="宋体"/>
          <w:color w:val="auto"/>
          <w:spacing w:val="-2"/>
          <w:sz w:val="24"/>
          <w:szCs w:val="24"/>
          <w:highlight w:val="none"/>
        </w:rPr>
        <w:t>部分《分部分项工程和单价措施项目清单与</w:t>
      </w:r>
      <w:r>
        <w:rPr>
          <w:rFonts w:hint="eastAsia" w:ascii="宋体" w:hAnsi="宋体" w:eastAsia="宋体" w:cs="宋体"/>
          <w:color w:val="auto"/>
          <w:spacing w:val="-1"/>
          <w:sz w:val="24"/>
          <w:szCs w:val="24"/>
          <w:highlight w:val="none"/>
        </w:rPr>
        <w:t>计价表》总金额与原投标报价中的该部分总</w:t>
      </w:r>
      <w:r>
        <w:rPr>
          <w:rFonts w:hint="eastAsia" w:ascii="宋体" w:hAnsi="宋体" w:eastAsia="宋体" w:cs="宋体"/>
          <w:color w:val="auto"/>
          <w:spacing w:val="-2"/>
          <w:sz w:val="24"/>
          <w:szCs w:val="24"/>
          <w:highlight w:val="none"/>
        </w:rPr>
        <w:t>金额一致；若修正后的该部分《分部分项工</w:t>
      </w:r>
      <w:r>
        <w:rPr>
          <w:rFonts w:hint="eastAsia" w:ascii="宋体" w:hAnsi="宋体" w:eastAsia="宋体" w:cs="宋体"/>
          <w:color w:val="auto"/>
          <w:spacing w:val="-1"/>
          <w:sz w:val="24"/>
          <w:szCs w:val="24"/>
          <w:highlight w:val="none"/>
        </w:rPr>
        <w:t>程和单价措施项目清单与计价表》总金额小</w:t>
      </w:r>
      <w:r>
        <w:rPr>
          <w:rFonts w:hint="eastAsia" w:ascii="宋体" w:hAnsi="宋体" w:eastAsia="宋体" w:cs="宋体"/>
          <w:color w:val="auto"/>
          <w:spacing w:val="-2"/>
          <w:sz w:val="24"/>
          <w:szCs w:val="24"/>
          <w:highlight w:val="none"/>
        </w:rPr>
        <w:t>于原投标报价中的该部分总金额，则从投标</w:t>
      </w:r>
      <w:r>
        <w:rPr>
          <w:rFonts w:hint="eastAsia" w:ascii="宋体" w:hAnsi="宋体" w:eastAsia="宋体" w:cs="宋体"/>
          <w:color w:val="auto"/>
          <w:spacing w:val="-1"/>
          <w:sz w:val="24"/>
          <w:szCs w:val="24"/>
          <w:highlight w:val="none"/>
        </w:rPr>
        <w:t>报价需调低的综合单价中选择偏离最大的清</w:t>
      </w:r>
      <w:r>
        <w:rPr>
          <w:rFonts w:hint="eastAsia" w:ascii="宋体" w:hAnsi="宋体" w:eastAsia="宋体" w:cs="宋体"/>
          <w:color w:val="auto"/>
          <w:spacing w:val="-2"/>
          <w:sz w:val="24"/>
          <w:szCs w:val="24"/>
          <w:highlight w:val="none"/>
        </w:rPr>
        <w:t>单开始调整，调整幅度逐步减少，直至修正</w:t>
      </w:r>
      <w:r>
        <w:rPr>
          <w:rFonts w:hint="eastAsia" w:ascii="宋体" w:hAnsi="宋体" w:eastAsia="宋体" w:cs="宋体"/>
          <w:color w:val="auto"/>
          <w:spacing w:val="-1"/>
          <w:sz w:val="24"/>
          <w:szCs w:val="24"/>
          <w:highlight w:val="none"/>
        </w:rPr>
        <w:t>后的该部分《分部分项工程和单价措施项目</w:t>
      </w:r>
      <w:r>
        <w:rPr>
          <w:rFonts w:hint="eastAsia" w:ascii="宋体" w:hAnsi="宋体" w:eastAsia="宋体" w:cs="宋体"/>
          <w:color w:val="auto"/>
          <w:spacing w:val="-2"/>
          <w:sz w:val="24"/>
          <w:szCs w:val="24"/>
          <w:highlight w:val="none"/>
        </w:rPr>
        <w:t>清单与计价表》总金额与原投标报价中的该</w:t>
      </w:r>
      <w:r>
        <w:rPr>
          <w:rFonts w:hint="eastAsia" w:ascii="宋体" w:hAnsi="宋体" w:eastAsia="宋体" w:cs="宋体"/>
          <w:color w:val="auto"/>
          <w:spacing w:val="-12"/>
          <w:sz w:val="24"/>
          <w:szCs w:val="24"/>
          <w:highlight w:val="none"/>
        </w:rPr>
        <w:t>部分总金额一致。修正后的总造价应与总中标价保持一致，形成《不平衡报价修正报告》，</w:t>
      </w:r>
      <w:r>
        <w:rPr>
          <w:rFonts w:hint="eastAsia" w:ascii="宋体" w:hAnsi="宋体" w:eastAsia="宋体" w:cs="宋体"/>
          <w:color w:val="auto"/>
          <w:spacing w:val="-1"/>
          <w:sz w:val="24"/>
          <w:szCs w:val="24"/>
          <w:highlight w:val="none"/>
        </w:rPr>
        <w:t>并由招标人和中标人共同签章确认。</w:t>
      </w:r>
    </w:p>
    <w:p w14:paraId="5AD2B7B6">
      <w:pPr>
        <w:keepNext w:val="0"/>
        <w:keepLines w:val="0"/>
        <w:pageBreakBefore w:val="0"/>
        <w:widowControl w:val="0"/>
        <w:kinsoku w:val="0"/>
        <w:wordWrap/>
        <w:overflowPunct/>
        <w:topLinePunct w:val="0"/>
        <w:autoSpaceDE w:val="0"/>
        <w:autoSpaceDN w:val="0"/>
        <w:bidi w:val="0"/>
        <w:adjustRightInd w:val="0"/>
        <w:snapToGrid w:val="0"/>
        <w:spacing w:before="129" w:line="360" w:lineRule="auto"/>
        <w:ind w:left="12" w:right="179"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2.3.2.2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如果工程量出现本章第</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1"/>
          <w:sz w:val="24"/>
          <w:szCs w:val="24"/>
          <w:highlight w:val="none"/>
        </w:rPr>
        <w:t>2.3.2.1</w:t>
      </w:r>
      <w:r>
        <w:rPr>
          <w:rFonts w:hint="eastAsia" w:ascii="宋体" w:hAnsi="宋体" w:eastAsia="宋体" w:cs="宋体"/>
          <w:color w:val="auto"/>
          <w:spacing w:val="1"/>
          <w:sz w:val="24"/>
          <w:szCs w:val="24"/>
          <w:highlight w:val="none"/>
        </w:rPr>
        <w:t>子目的变化，且该变化引起相关措施项目相</w:t>
      </w:r>
      <w:r>
        <w:rPr>
          <w:rFonts w:hint="eastAsia" w:ascii="宋体" w:hAnsi="宋体" w:eastAsia="宋体" w:cs="宋体"/>
          <w:color w:val="auto"/>
          <w:spacing w:val="-2"/>
          <w:sz w:val="24"/>
          <w:szCs w:val="24"/>
          <w:highlight w:val="none"/>
        </w:rPr>
        <w:t>应发生变化时，按系数或单一总价方式计价的，工程量增加的措施项目费调增，工程量</w:t>
      </w:r>
      <w:r>
        <w:rPr>
          <w:rFonts w:hint="eastAsia" w:ascii="宋体" w:hAnsi="宋体" w:eastAsia="宋体" w:cs="宋体"/>
          <w:color w:val="auto"/>
          <w:spacing w:val="-1"/>
          <w:sz w:val="24"/>
          <w:szCs w:val="24"/>
          <w:highlight w:val="none"/>
        </w:rPr>
        <w:t>减少的措施项目费调减。</w:t>
      </w:r>
    </w:p>
    <w:p w14:paraId="4C86959B">
      <w:pPr>
        <w:keepNext w:val="0"/>
        <w:keepLines w:val="0"/>
        <w:pageBreakBefore w:val="0"/>
        <w:widowControl w:val="0"/>
        <w:kinsoku w:val="0"/>
        <w:wordWrap/>
        <w:overflowPunct/>
        <w:topLinePunct w:val="0"/>
        <w:autoSpaceDE w:val="0"/>
        <w:autoSpaceDN w:val="0"/>
        <w:bidi w:val="0"/>
        <w:adjustRightInd w:val="0"/>
        <w:snapToGrid w:val="0"/>
        <w:spacing w:before="154" w:line="360" w:lineRule="auto"/>
        <w:ind w:left="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2.3.3  </w:t>
      </w:r>
      <w:r>
        <w:rPr>
          <w:rFonts w:hint="eastAsia" w:ascii="宋体" w:hAnsi="宋体" w:eastAsia="宋体" w:cs="宋体"/>
          <w:color w:val="auto"/>
          <w:spacing w:val="-1"/>
          <w:sz w:val="24"/>
          <w:szCs w:val="24"/>
          <w:highlight w:val="none"/>
        </w:rPr>
        <w:t>工程变更</w:t>
      </w:r>
    </w:p>
    <w:p w14:paraId="758D90CB">
      <w:pPr>
        <w:keepNext w:val="0"/>
        <w:keepLines w:val="0"/>
        <w:pageBreakBefore w:val="0"/>
        <w:widowControl w:val="0"/>
        <w:kinsoku w:val="0"/>
        <w:wordWrap/>
        <w:overflowPunct/>
        <w:topLinePunct w:val="0"/>
        <w:autoSpaceDE w:val="0"/>
        <w:autoSpaceDN w:val="0"/>
        <w:bidi w:val="0"/>
        <w:adjustRightInd w:val="0"/>
        <w:snapToGrid w:val="0"/>
        <w:spacing w:before="153" w:line="360" w:lineRule="auto"/>
        <w:ind w:left="19" w:right="179" w:firstLine="468"/>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合同履行期间，因工程变更引起已标价工程量清单项目发生变化时，按照以下规定调整：</w:t>
      </w:r>
    </w:p>
    <w:p w14:paraId="42E574F4">
      <w:pPr>
        <w:keepNext w:val="0"/>
        <w:keepLines w:val="0"/>
        <w:pageBreakBefore w:val="0"/>
        <w:widowControl w:val="0"/>
        <w:numPr>
          <w:ilvl w:val="0"/>
          <w:numId w:val="5"/>
        </w:numPr>
        <w:kinsoku w:val="0"/>
        <w:wordWrap/>
        <w:overflowPunct/>
        <w:topLinePunct w:val="0"/>
        <w:autoSpaceDE w:val="0"/>
        <w:autoSpaceDN w:val="0"/>
        <w:bidi w:val="0"/>
        <w:adjustRightInd w:val="0"/>
        <w:snapToGrid w:val="0"/>
        <w:spacing w:before="78" w:line="360" w:lineRule="auto"/>
        <w:ind w:firstLine="242" w:firstLineChars="100"/>
        <w:textAlignment w:val="baseline"/>
        <w:rPr>
          <w:rFonts w:hint="eastAsia" w:ascii="宋体" w:hAnsi="宋体" w:eastAsia="宋体" w:cs="宋体"/>
          <w:b/>
          <w:bCs/>
          <w:color w:val="auto"/>
          <w:spacing w:val="-2"/>
          <w:sz w:val="24"/>
          <w:szCs w:val="24"/>
          <w:highlight w:val="none"/>
        </w:rPr>
      </w:pPr>
      <w:r>
        <w:rPr>
          <w:rFonts w:hint="eastAsia" w:ascii="宋体" w:hAnsi="宋体" w:eastAsia="宋体" w:cs="宋体"/>
          <w:color w:val="auto"/>
          <w:spacing w:val="1"/>
          <w:sz w:val="24"/>
          <w:szCs w:val="24"/>
          <w:highlight w:val="none"/>
        </w:rPr>
        <w:t>已标价工程量清单中有适用于变更工程项目的，采用该项目的单价。</w:t>
      </w:r>
      <w:r>
        <w:rPr>
          <w:rFonts w:hint="eastAsia" w:ascii="宋体" w:hAnsi="宋体" w:eastAsia="宋体" w:cs="宋体"/>
          <w:b/>
          <w:bCs/>
          <w:color w:val="auto"/>
          <w:spacing w:val="1"/>
          <w:sz w:val="24"/>
          <w:szCs w:val="24"/>
          <w:highlight w:val="none"/>
        </w:rPr>
        <w:t>但如果</w:t>
      </w:r>
      <w:bookmarkStart w:id="133" w:name="bookmark143"/>
      <w:bookmarkEnd w:id="133"/>
      <w:r>
        <w:rPr>
          <w:rFonts w:hint="eastAsia" w:ascii="宋体" w:hAnsi="宋体" w:eastAsia="宋体" w:cs="宋体"/>
          <w:b/>
          <w:bCs/>
          <w:color w:val="auto"/>
          <w:spacing w:val="-7"/>
          <w:sz w:val="24"/>
          <w:szCs w:val="24"/>
          <w:highlight w:val="none"/>
        </w:rPr>
        <w:t>被采用的项目属于按照第二章“中标人须知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7"/>
          <w:sz w:val="24"/>
          <w:szCs w:val="24"/>
          <w:highlight w:val="none"/>
        </w:rPr>
        <w:t>”第</w:t>
      </w:r>
      <w:r>
        <w:rPr>
          <w:rFonts w:hint="eastAsia" w:ascii="宋体" w:hAnsi="宋体" w:eastAsia="宋体" w:cs="宋体"/>
          <w:b/>
          <w:bCs/>
          <w:color w:val="auto"/>
          <w:spacing w:val="-8"/>
          <w:sz w:val="24"/>
          <w:szCs w:val="24"/>
          <w:highlight w:val="none"/>
        </w:rPr>
        <w:t>4.2条被认定为不平衡报价的清单项目，</w:t>
      </w:r>
      <w:r>
        <w:rPr>
          <w:rFonts w:hint="eastAsia" w:ascii="宋体" w:hAnsi="宋体" w:eastAsia="宋体" w:cs="宋体"/>
          <w:b/>
          <w:bCs/>
          <w:color w:val="auto"/>
          <w:spacing w:val="-2"/>
          <w:sz w:val="24"/>
          <w:szCs w:val="24"/>
          <w:highlight w:val="none"/>
        </w:rPr>
        <w:t>变更工程项目的单价按照</w:t>
      </w:r>
      <w:r>
        <w:rPr>
          <w:rFonts w:hint="eastAsia" w:ascii="宋体" w:hAnsi="宋体" w:eastAsia="宋体" w:cs="宋体"/>
          <w:b/>
          <w:bCs/>
          <w:color w:val="auto"/>
          <w:spacing w:val="-7"/>
          <w:sz w:val="24"/>
          <w:szCs w:val="24"/>
          <w:highlight w:val="none"/>
        </w:rPr>
        <w:t>本章2.3.2.1的</w:t>
      </w:r>
      <w:r>
        <w:rPr>
          <w:rFonts w:hint="eastAsia" w:ascii="宋体" w:hAnsi="宋体" w:eastAsia="宋体" w:cs="宋体"/>
          <w:b/>
          <w:bCs/>
          <w:color w:val="auto"/>
          <w:spacing w:val="-2"/>
          <w:sz w:val="24"/>
          <w:szCs w:val="24"/>
          <w:highlight w:val="none"/>
        </w:rPr>
        <w:t>方法调整。】</w:t>
      </w:r>
    </w:p>
    <w:p w14:paraId="72C396F0">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78" w:line="360" w:lineRule="auto"/>
        <w:ind w:firstLine="237" w:firstLineChars="1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b/>
          <w:bCs/>
          <w:color w:val="auto"/>
          <w:spacing w:val="-2"/>
          <w:sz w:val="24"/>
          <w:szCs w:val="24"/>
          <w:highlight w:val="none"/>
          <w:lang w:val="en-US" w:eastAsia="zh-CN"/>
        </w:rPr>
        <w:t>2</w:t>
      </w: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已标价工程量清单中没有适用但有类似于变更工程项目的，可在合理范围内</w:t>
      </w:r>
      <w:r>
        <w:rPr>
          <w:rFonts w:hint="eastAsia" w:ascii="宋体" w:hAnsi="宋体" w:eastAsia="宋体" w:cs="宋体"/>
          <w:color w:val="auto"/>
          <w:spacing w:val="-3"/>
          <w:sz w:val="24"/>
          <w:szCs w:val="24"/>
          <w:highlight w:val="none"/>
        </w:rPr>
        <w:t>参照类似项目的单价。</w:t>
      </w:r>
      <w:r>
        <w:rPr>
          <w:rFonts w:hint="eastAsia" w:ascii="宋体" w:hAnsi="宋体" w:eastAsia="宋体" w:cs="宋体"/>
          <w:b/>
          <w:bCs/>
          <w:color w:val="auto"/>
          <w:spacing w:val="-3"/>
          <w:sz w:val="24"/>
          <w:szCs w:val="24"/>
          <w:highlight w:val="none"/>
        </w:rPr>
        <w:t>但如果被参考的类似项目属于按照第二章“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5"/>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pacing w:val="-4"/>
          <w:sz w:val="24"/>
          <w:szCs w:val="24"/>
          <w:highlight w:val="none"/>
        </w:rPr>
        <w:t>条被认定为不平衡报价的清单项目，变更工程项目的单价按照本章2.3.2.1的方法调整。</w:t>
      </w:r>
    </w:p>
    <w:p w14:paraId="3371F311">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38" w:line="360" w:lineRule="auto"/>
        <w:ind w:right="81" w:rightChars="0" w:firstLine="242" w:firstLineChars="1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已标价工程量清单中没有适用也没有类似于变更工程项目的，由承包人根据</w:t>
      </w:r>
      <w:r>
        <w:rPr>
          <w:rFonts w:hint="eastAsia" w:ascii="宋体" w:hAnsi="宋体" w:eastAsia="宋体" w:cs="宋体"/>
          <w:color w:val="auto"/>
          <w:spacing w:val="-2"/>
          <w:sz w:val="24"/>
          <w:szCs w:val="24"/>
          <w:highlight w:val="none"/>
        </w:rPr>
        <w:t>变更工程资料、计量规则、计价办法、施工当月项目所在地工程造价管理机构发布的价格信息和中标下浮率提出变更工程项目的单价，报发包人确认后调整。中标下浮率的计算公式如下：</w:t>
      </w:r>
    </w:p>
    <w:p w14:paraId="60D93F8C">
      <w:pPr>
        <w:keepNext w:val="0"/>
        <w:keepLines w:val="0"/>
        <w:pageBreakBefore w:val="0"/>
        <w:widowControl w:val="0"/>
        <w:kinsoku w:val="0"/>
        <w:wordWrap/>
        <w:overflowPunct/>
        <w:topLinePunct w:val="0"/>
        <w:autoSpaceDE w:val="0"/>
        <w:autoSpaceDN w:val="0"/>
        <w:bidi w:val="0"/>
        <w:adjustRightInd w:val="0"/>
        <w:snapToGrid w:val="0"/>
        <w:spacing w:before="126" w:line="360" w:lineRule="auto"/>
        <w:ind w:left="29" w:right="21" w:firstLine="50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中标下浮率=[1-（中标价-中标绿色施工安全防护措施费-暂列</w:t>
      </w:r>
      <w:r>
        <w:rPr>
          <w:rFonts w:hint="eastAsia" w:ascii="宋体" w:hAnsi="宋体" w:eastAsia="宋体" w:cs="宋体"/>
          <w:b/>
          <w:bCs/>
          <w:color w:val="auto"/>
          <w:spacing w:val="-3"/>
          <w:sz w:val="24"/>
          <w:szCs w:val="24"/>
          <w:highlight w:val="none"/>
        </w:rPr>
        <w:t>金额-暂估价）/（招标控制价-控制价绿色施工安全防护措施费-暂列金额-暂估价）]×100%</w:t>
      </w:r>
    </w:p>
    <w:p w14:paraId="2DF91B2F">
      <w:pPr>
        <w:spacing w:before="145" w:line="360" w:lineRule="auto"/>
        <w:ind w:right="81" w:firstLine="242" w:firstLineChars="1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已标价工程量清单中没有适用也没有类似于变更工程项目，且施工当月项目</w:t>
      </w:r>
      <w:r>
        <w:rPr>
          <w:rFonts w:hint="eastAsia" w:ascii="宋体" w:hAnsi="宋体" w:eastAsia="宋体" w:cs="宋体"/>
          <w:color w:val="auto"/>
          <w:spacing w:val="-1"/>
          <w:sz w:val="24"/>
          <w:szCs w:val="24"/>
          <w:highlight w:val="none"/>
        </w:rPr>
        <w:t>所在地工程造价管理机构发布的价格信息缺</w:t>
      </w:r>
      <w:r>
        <w:rPr>
          <w:rFonts w:hint="eastAsia" w:ascii="宋体" w:hAnsi="宋体" w:eastAsia="宋体" w:cs="宋体"/>
          <w:color w:val="auto"/>
          <w:spacing w:val="-2"/>
          <w:sz w:val="24"/>
          <w:szCs w:val="24"/>
          <w:highlight w:val="none"/>
        </w:rPr>
        <w:t>项的，由承包人根据变更工程资料、计量规</w:t>
      </w:r>
      <w:r>
        <w:rPr>
          <w:rFonts w:hint="eastAsia" w:ascii="宋体" w:hAnsi="宋体" w:eastAsia="宋体" w:cs="宋体"/>
          <w:color w:val="auto"/>
          <w:spacing w:val="-1"/>
          <w:sz w:val="24"/>
          <w:szCs w:val="24"/>
          <w:highlight w:val="none"/>
        </w:rPr>
        <w:t>则、计价办法和通过市场调查等取得有合法</w:t>
      </w:r>
      <w:r>
        <w:rPr>
          <w:rFonts w:hint="eastAsia" w:ascii="宋体" w:hAnsi="宋体" w:eastAsia="宋体" w:cs="宋体"/>
          <w:color w:val="auto"/>
          <w:spacing w:val="-2"/>
          <w:sz w:val="24"/>
          <w:szCs w:val="24"/>
          <w:highlight w:val="none"/>
        </w:rPr>
        <w:t>依据的市场价格提出变更工程项目的单价，</w:t>
      </w:r>
      <w:r>
        <w:rPr>
          <w:rFonts w:hint="eastAsia" w:ascii="宋体" w:hAnsi="宋体" w:eastAsia="宋体" w:cs="宋体"/>
          <w:color w:val="auto"/>
          <w:spacing w:val="-1"/>
          <w:sz w:val="24"/>
          <w:szCs w:val="24"/>
          <w:highlight w:val="none"/>
        </w:rPr>
        <w:t>报发包人确认后调整。</w:t>
      </w:r>
    </w:p>
    <w:p w14:paraId="0CAB6221">
      <w:pPr>
        <w:spacing w:before="156" w:line="360" w:lineRule="auto"/>
        <w:ind w:left="7" w:right="81"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2.3.3.2</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工程变更引起施工方案改变并使措施项目发生变化时，承包人提出调整措施</w:t>
      </w:r>
      <w:r>
        <w:rPr>
          <w:rFonts w:hint="eastAsia" w:ascii="宋体" w:hAnsi="宋体" w:eastAsia="宋体" w:cs="宋体"/>
          <w:color w:val="auto"/>
          <w:spacing w:val="-2"/>
          <w:sz w:val="24"/>
          <w:szCs w:val="24"/>
          <w:highlight w:val="none"/>
        </w:rPr>
        <w:t>项目费的，应事先将拟实施的方案提交发包人确认，并应详细说明与原方案措施项目相比的变化情况。拟实施的方案经发、承包双方确认后执行，并按照本章下列规定调整措施项目费：</w:t>
      </w:r>
    </w:p>
    <w:p w14:paraId="6749D3AD">
      <w:pPr>
        <w:spacing w:before="152" w:line="360" w:lineRule="auto"/>
        <w:ind w:left="49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（1）绿色施工安全防护措施费应按照实际发生变化的措施项目计算。</w:t>
      </w:r>
    </w:p>
    <w:p w14:paraId="78BE01E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（2）采用单价计算的措施项目费，应按照实际发生变化的措施项目，按本章</w:t>
      </w:r>
      <w:r>
        <w:rPr>
          <w:rFonts w:hint="eastAsia" w:ascii="宋体" w:hAnsi="宋体" w:eastAsia="宋体" w:cs="宋体"/>
          <w:color w:val="auto"/>
          <w:sz w:val="24"/>
          <w:szCs w:val="24"/>
          <w:lang w:eastAsia="zh-CN"/>
        </w:rPr>
        <w:t>第</w:t>
      </w:r>
      <w:r>
        <w:rPr>
          <w:rFonts w:hint="eastAsia" w:ascii="宋体" w:hAnsi="宋体" w:eastAsia="宋体" w:cs="宋体"/>
          <w:color w:val="auto"/>
          <w:sz w:val="24"/>
          <w:szCs w:val="24"/>
        </w:rPr>
        <w:t>2.3.3.1子目的规定确定单价。</w:t>
      </w:r>
    </w:p>
    <w:p w14:paraId="24726CD1">
      <w:pPr>
        <w:spacing w:before="154" w:line="360" w:lineRule="auto"/>
        <w:ind w:left="8"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（3）按总价或系数计算的措施项目费，应按照实际发生变化的措施项目费调整并</w:t>
      </w:r>
      <w:r>
        <w:rPr>
          <w:rFonts w:hint="eastAsia" w:ascii="宋体" w:hAnsi="宋体" w:eastAsia="宋体" w:cs="宋体"/>
          <w:color w:val="auto"/>
          <w:spacing w:val="-3"/>
          <w:sz w:val="24"/>
          <w:szCs w:val="24"/>
          <w:highlight w:val="none"/>
        </w:rPr>
        <w:t>考虑中标下浮率因素，即调整金额＝按照实际变化调整后的金额×（1-中标下浮率）。</w:t>
      </w:r>
    </w:p>
    <w:p w14:paraId="0C8F5472">
      <w:pPr>
        <w:spacing w:before="157" w:line="360" w:lineRule="auto"/>
        <w:ind w:left="21" w:right="81" w:firstLine="47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如果承包人未事先将拟实施的方案提交发包人确认，视为工程变更不引起措施项目费的调整或承包人放弃调整措施项目费的权利。</w:t>
      </w:r>
    </w:p>
    <w:p w14:paraId="4375A2F2">
      <w:pPr>
        <w:spacing w:before="35" w:line="360" w:lineRule="auto"/>
        <w:ind w:right="81"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当因非承包人原因，发包人提出的工程变更删减了合同中的某项原定工作或</w:t>
      </w:r>
      <w:r>
        <w:rPr>
          <w:rFonts w:hint="eastAsia" w:ascii="宋体" w:hAnsi="宋体" w:eastAsia="宋体" w:cs="宋体"/>
          <w:color w:val="auto"/>
          <w:spacing w:val="-2"/>
          <w:sz w:val="24"/>
          <w:szCs w:val="24"/>
          <w:highlight w:val="none"/>
        </w:rPr>
        <w:t>工程，致使承包人发生的费用或（和）得到的收益不能被包括在其他已支付或应支付的项目中，也未被包含在任何替代的工作或工程中时，承包人有权提出并应得到合理的费用及利润补偿。</w:t>
      </w:r>
    </w:p>
    <w:p w14:paraId="5C347569">
      <w:pPr>
        <w:spacing w:before="155" w:line="36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2.3.4  </w:t>
      </w:r>
      <w:r>
        <w:rPr>
          <w:rFonts w:hint="eastAsia" w:ascii="宋体" w:hAnsi="宋体" w:eastAsia="宋体" w:cs="宋体"/>
          <w:color w:val="auto"/>
          <w:spacing w:val="-1"/>
          <w:sz w:val="24"/>
          <w:szCs w:val="24"/>
          <w:highlight w:val="none"/>
        </w:rPr>
        <w:t>项目特征不符</w:t>
      </w:r>
    </w:p>
    <w:p w14:paraId="7CE11AE3">
      <w:pPr>
        <w:spacing w:before="78" w:line="360" w:lineRule="auto"/>
        <w:ind w:left="8" w:right="108" w:firstLine="480"/>
        <w:jc w:val="both"/>
        <w:rPr>
          <w:rFonts w:hint="eastAsia" w:ascii="宋体" w:hAnsi="宋体" w:eastAsia="宋体" w:cs="宋体"/>
          <w:color w:val="auto"/>
          <w:sz w:val="24"/>
          <w:szCs w:val="24"/>
          <w:highlight w:val="none"/>
        </w:rPr>
      </w:pPr>
      <w:bookmarkStart w:id="134" w:name="bookmark144"/>
      <w:bookmarkEnd w:id="134"/>
      <w:r>
        <w:rPr>
          <w:rFonts w:hint="eastAsia" w:ascii="宋体" w:hAnsi="宋体" w:eastAsia="宋体" w:cs="宋体"/>
          <w:color w:val="auto"/>
          <w:spacing w:val="-2"/>
          <w:sz w:val="24"/>
          <w:szCs w:val="24"/>
          <w:highlight w:val="none"/>
        </w:rPr>
        <w:t>承包人应按照发包人提供的设计图纸实施合同工程，若在合同履行期间出现设计图纸（含设计变更）与招标工程量清单任一项目的特征描述不符，且该变化引起该项目工</w:t>
      </w:r>
      <w:r>
        <w:rPr>
          <w:rFonts w:hint="eastAsia" w:ascii="宋体" w:hAnsi="宋体" w:eastAsia="宋体" w:cs="宋体"/>
          <w:color w:val="auto"/>
          <w:sz w:val="24"/>
          <w:szCs w:val="24"/>
          <w:highlight w:val="none"/>
        </w:rPr>
        <w:t>程造价增减变化的，应按照实际施工的项目特征，并按本章第</w:t>
      </w:r>
      <w:r>
        <w:rPr>
          <w:rFonts w:hint="eastAsia" w:ascii="宋体" w:hAnsi="宋体" w:eastAsia="宋体" w:cs="宋体"/>
          <w:b/>
          <w:bCs/>
          <w:color w:val="auto"/>
          <w:sz w:val="24"/>
          <w:szCs w:val="24"/>
          <w:highlight w:val="none"/>
        </w:rPr>
        <w:t>2.3.3</w:t>
      </w:r>
      <w:r>
        <w:rPr>
          <w:rFonts w:hint="eastAsia" w:ascii="宋体" w:hAnsi="宋体" w:eastAsia="宋体" w:cs="宋体"/>
          <w:color w:val="auto"/>
          <w:sz w:val="24"/>
          <w:szCs w:val="24"/>
          <w:highlight w:val="none"/>
        </w:rPr>
        <w:t>目相</w:t>
      </w:r>
      <w:r>
        <w:rPr>
          <w:rFonts w:hint="eastAsia" w:ascii="宋体" w:hAnsi="宋体" w:eastAsia="宋体" w:cs="宋体"/>
          <w:color w:val="auto"/>
          <w:spacing w:val="-1"/>
          <w:sz w:val="24"/>
          <w:szCs w:val="24"/>
          <w:highlight w:val="none"/>
        </w:rPr>
        <w:t>关条款的规定重新确定相应工程量清单项目的综合单价，并调整合同价款。</w:t>
      </w:r>
    </w:p>
    <w:p w14:paraId="1C13CED3">
      <w:pPr>
        <w:spacing w:before="38" w:line="360" w:lineRule="auto"/>
        <w:ind w:left="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2.3.5  </w:t>
      </w:r>
      <w:r>
        <w:rPr>
          <w:rFonts w:hint="eastAsia" w:ascii="宋体" w:hAnsi="宋体" w:eastAsia="宋体" w:cs="宋体"/>
          <w:color w:val="auto"/>
          <w:spacing w:val="-1"/>
          <w:sz w:val="24"/>
          <w:szCs w:val="24"/>
          <w:highlight w:val="none"/>
        </w:rPr>
        <w:t>招标工程量清单缺项</w:t>
      </w:r>
    </w:p>
    <w:p w14:paraId="669A639D">
      <w:pPr>
        <w:spacing w:before="152" w:line="360" w:lineRule="auto"/>
        <w:ind w:left="9" w:right="56"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2.3.5.1</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合同履行期间，由于招标</w:t>
      </w:r>
      <w:r>
        <w:rPr>
          <w:rFonts w:hint="eastAsia" w:ascii="宋体" w:hAnsi="宋体" w:eastAsia="宋体" w:cs="宋体"/>
          <w:color w:val="auto"/>
          <w:spacing w:val="-2"/>
          <w:sz w:val="24"/>
          <w:szCs w:val="24"/>
          <w:highlight w:val="none"/>
        </w:rPr>
        <w:t>工程量清单中缺项，新增分部分项工程清单项目，</w:t>
      </w:r>
      <w:r>
        <w:rPr>
          <w:rFonts w:hint="eastAsia" w:ascii="宋体" w:hAnsi="宋体" w:eastAsia="宋体" w:cs="宋体"/>
          <w:color w:val="auto"/>
          <w:spacing w:val="-1"/>
          <w:sz w:val="24"/>
          <w:szCs w:val="24"/>
          <w:highlight w:val="none"/>
        </w:rPr>
        <w:t>应按照本章第</w:t>
      </w:r>
      <w:r>
        <w:rPr>
          <w:rFonts w:hint="eastAsia" w:ascii="宋体" w:hAnsi="宋体" w:eastAsia="宋体" w:cs="宋体"/>
          <w:color w:val="auto"/>
          <w:spacing w:val="-39"/>
          <w:sz w:val="24"/>
          <w:szCs w:val="24"/>
          <w:highlight w:val="none"/>
        </w:rPr>
        <w:t xml:space="preserve"> </w:t>
      </w:r>
      <w:r>
        <w:rPr>
          <w:rFonts w:hint="eastAsia" w:ascii="宋体" w:hAnsi="宋体" w:eastAsia="宋体" w:cs="宋体"/>
          <w:b/>
          <w:bCs/>
          <w:color w:val="auto"/>
          <w:spacing w:val="-1"/>
          <w:sz w:val="24"/>
          <w:szCs w:val="24"/>
          <w:highlight w:val="none"/>
        </w:rPr>
        <w:t>2.3.3.1</w:t>
      </w:r>
      <w:r>
        <w:rPr>
          <w:rFonts w:hint="eastAsia" w:ascii="宋体" w:hAnsi="宋体" w:eastAsia="宋体" w:cs="宋体"/>
          <w:color w:val="auto"/>
          <w:spacing w:val="-1"/>
          <w:sz w:val="24"/>
          <w:szCs w:val="24"/>
          <w:highlight w:val="none"/>
        </w:rPr>
        <w:t>子目的规定确定单价，并调整合同价款。</w:t>
      </w:r>
    </w:p>
    <w:p w14:paraId="32F2908E">
      <w:pPr>
        <w:spacing w:before="157" w:line="360" w:lineRule="auto"/>
        <w:ind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新增分部分项工程清单项目后，引起</w:t>
      </w:r>
      <w:r>
        <w:rPr>
          <w:rFonts w:hint="eastAsia" w:ascii="宋体" w:hAnsi="宋体" w:eastAsia="宋体" w:cs="宋体"/>
          <w:color w:val="auto"/>
          <w:spacing w:val="-2"/>
          <w:sz w:val="24"/>
          <w:szCs w:val="24"/>
          <w:highlight w:val="none"/>
        </w:rPr>
        <w:t>措施项目发生变化的，应按照本章第</w:t>
      </w:r>
      <w:r>
        <w:rPr>
          <w:rFonts w:hint="eastAsia" w:ascii="宋体" w:hAnsi="宋体" w:eastAsia="宋体" w:cs="宋体"/>
          <w:b/>
          <w:bCs/>
          <w:color w:val="auto"/>
          <w:spacing w:val="-2"/>
          <w:sz w:val="24"/>
          <w:szCs w:val="24"/>
          <w:highlight w:val="none"/>
        </w:rPr>
        <w:t>2.</w:t>
      </w:r>
      <w:r>
        <w:rPr>
          <w:rFonts w:hint="eastAsia" w:ascii="宋体" w:hAnsi="宋体" w:eastAsia="宋体" w:cs="宋体"/>
          <w:b/>
          <w:bCs/>
          <w:color w:val="auto"/>
          <w:sz w:val="24"/>
          <w:szCs w:val="24"/>
          <w:highlight w:val="none"/>
        </w:rPr>
        <w:t xml:space="preserve">3.3.2 </w:t>
      </w:r>
      <w:r>
        <w:rPr>
          <w:rFonts w:hint="eastAsia" w:ascii="宋体" w:hAnsi="宋体" w:eastAsia="宋体" w:cs="宋体"/>
          <w:color w:val="auto"/>
          <w:sz w:val="24"/>
          <w:szCs w:val="24"/>
          <w:highlight w:val="none"/>
        </w:rPr>
        <w:t>子目的规定，在承包人提交的实施方案被发包人批准后调整</w:t>
      </w:r>
      <w:r>
        <w:rPr>
          <w:rFonts w:hint="eastAsia" w:ascii="宋体" w:hAnsi="宋体" w:eastAsia="宋体" w:cs="宋体"/>
          <w:color w:val="auto"/>
          <w:spacing w:val="-1"/>
          <w:sz w:val="24"/>
          <w:szCs w:val="24"/>
          <w:highlight w:val="none"/>
        </w:rPr>
        <w:t>合同价款。</w:t>
      </w:r>
    </w:p>
    <w:p w14:paraId="4C129208">
      <w:pPr>
        <w:spacing w:before="156" w:line="360" w:lineRule="auto"/>
        <w:ind w:left="13" w:right="108" w:firstLine="471"/>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4"/>
          <w:sz w:val="24"/>
          <w:szCs w:val="24"/>
          <w:highlight w:val="none"/>
        </w:rPr>
        <w:t>2.3.5.3</w:t>
      </w:r>
      <w:r>
        <w:rPr>
          <w:rFonts w:hint="eastAsia" w:ascii="宋体" w:hAnsi="宋体" w:eastAsia="宋体" w:cs="宋体"/>
          <w:b/>
          <w:bCs/>
          <w:color w:val="auto"/>
          <w:spacing w:val="-4"/>
          <w:sz w:val="24"/>
          <w:szCs w:val="24"/>
          <w:highlight w:val="none"/>
        </w:rPr>
        <w:fldChar w:fldCharType="end"/>
      </w:r>
      <w:r>
        <w:rPr>
          <w:rFonts w:hint="eastAsia" w:ascii="宋体" w:hAnsi="宋体" w:eastAsia="宋体" w:cs="宋体"/>
          <w:b/>
          <w:bCs/>
          <w:color w:val="auto"/>
          <w:spacing w:val="22"/>
          <w:w w:val="101"/>
          <w:sz w:val="24"/>
          <w:szCs w:val="24"/>
          <w:highlight w:val="none"/>
        </w:rPr>
        <w:t xml:space="preserve">  </w:t>
      </w:r>
      <w:r>
        <w:rPr>
          <w:rFonts w:hint="eastAsia" w:ascii="宋体" w:hAnsi="宋体" w:eastAsia="宋体" w:cs="宋体"/>
          <w:color w:val="auto"/>
          <w:spacing w:val="-4"/>
          <w:sz w:val="24"/>
          <w:szCs w:val="24"/>
          <w:highlight w:val="none"/>
        </w:rPr>
        <w:t>由于招标工程量清单中措施项目缺项，承包人应将新增措施项目实施方案提</w:t>
      </w:r>
      <w:r>
        <w:rPr>
          <w:rFonts w:hint="eastAsia" w:ascii="宋体" w:hAnsi="宋体" w:eastAsia="宋体" w:cs="宋体"/>
          <w:color w:val="auto"/>
          <w:spacing w:val="-1"/>
          <w:sz w:val="24"/>
          <w:szCs w:val="24"/>
          <w:highlight w:val="none"/>
        </w:rPr>
        <w:t>交发包人批准后，按照本章第</w:t>
      </w:r>
      <w:r>
        <w:rPr>
          <w:rFonts w:hint="eastAsia" w:ascii="宋体" w:hAnsi="宋体" w:eastAsia="宋体" w:cs="宋体"/>
          <w:color w:val="auto"/>
          <w:spacing w:val="-36"/>
          <w:sz w:val="24"/>
          <w:szCs w:val="24"/>
          <w:highlight w:val="none"/>
        </w:rPr>
        <w:t xml:space="preserve"> </w:t>
      </w:r>
      <w:r>
        <w:rPr>
          <w:rFonts w:hint="eastAsia" w:ascii="宋体" w:hAnsi="宋体" w:eastAsia="宋体" w:cs="宋体"/>
          <w:b/>
          <w:bCs/>
          <w:color w:val="auto"/>
          <w:spacing w:val="-1"/>
          <w:sz w:val="24"/>
          <w:szCs w:val="24"/>
          <w:highlight w:val="none"/>
        </w:rPr>
        <w:t xml:space="preserve">2.3.3.1 </w:t>
      </w:r>
      <w:r>
        <w:rPr>
          <w:rFonts w:hint="eastAsia" w:ascii="宋体" w:hAnsi="宋体" w:eastAsia="宋体" w:cs="宋体"/>
          <w:color w:val="auto"/>
          <w:spacing w:val="-1"/>
          <w:sz w:val="24"/>
          <w:szCs w:val="24"/>
          <w:highlight w:val="none"/>
        </w:rPr>
        <w:t>子目、第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 xml:space="preserve">2.3.3.2 </w:t>
      </w:r>
      <w:r>
        <w:rPr>
          <w:rFonts w:hint="eastAsia" w:ascii="宋体" w:hAnsi="宋体" w:eastAsia="宋体" w:cs="宋体"/>
          <w:color w:val="auto"/>
          <w:spacing w:val="-1"/>
          <w:sz w:val="24"/>
          <w:szCs w:val="24"/>
          <w:highlight w:val="none"/>
        </w:rPr>
        <w:t>子目的规定调整合同价款。</w:t>
      </w:r>
    </w:p>
    <w:p w14:paraId="70D44CB1">
      <w:pPr>
        <w:wordWrap w:val="0"/>
        <w:adjustRightInd w:val="0"/>
        <w:snapToGrid w:val="0"/>
        <w:spacing w:line="360" w:lineRule="auto"/>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2.3.6</w:t>
      </w:r>
      <w:r>
        <w:rPr>
          <w:rFonts w:hint="eastAsia" w:ascii="宋体" w:hAnsi="宋体" w:eastAsia="宋体" w:cs="宋体"/>
          <w:bCs/>
          <w:snapToGrid w:val="0"/>
          <w:color w:val="auto"/>
          <w:kern w:val="0"/>
          <w:sz w:val="24"/>
          <w:szCs w:val="24"/>
          <w:highlight w:val="none"/>
        </w:rPr>
        <w:t xml:space="preserve"> 物价变化</w:t>
      </w:r>
    </w:p>
    <w:p w14:paraId="1796DBE4">
      <w:pPr>
        <w:wordWrap w:val="0"/>
        <w:adjustRightInd w:val="0"/>
        <w:snapToGrid w:val="0"/>
        <w:spacing w:line="360" w:lineRule="auto"/>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2.3.6.1</w:t>
      </w:r>
      <w:r>
        <w:rPr>
          <w:rFonts w:hint="eastAsia" w:ascii="宋体" w:hAnsi="宋体" w:eastAsia="宋体" w:cs="宋体"/>
          <w:bCs/>
          <w:snapToGrid w:val="0"/>
          <w:color w:val="auto"/>
          <w:kern w:val="0"/>
          <w:sz w:val="24"/>
          <w:szCs w:val="24"/>
          <w:highlight w:val="none"/>
        </w:rPr>
        <w:t xml:space="preserve"> 合同履行期间，项目所在地工程造价管理机构发布的动态人工调整系数发生变化时，如果承包人投标报价中人工费（</w:t>
      </w:r>
      <w:r>
        <w:rPr>
          <w:rFonts w:hint="eastAsia" w:ascii="宋体" w:hAnsi="宋体" w:eastAsia="宋体" w:cs="宋体"/>
          <w:snapToGrid w:val="0"/>
          <w:color w:val="auto"/>
          <w:kern w:val="0"/>
          <w:sz w:val="24"/>
          <w:szCs w:val="24"/>
          <w:highlight w:val="none"/>
        </w:rPr>
        <w:t>以下简称“中标人工费”</w:t>
      </w:r>
      <w:r>
        <w:rPr>
          <w:rFonts w:hint="eastAsia" w:ascii="宋体" w:hAnsi="宋体" w:eastAsia="宋体" w:cs="宋体"/>
          <w:bCs/>
          <w:snapToGrid w:val="0"/>
          <w:color w:val="auto"/>
          <w:kern w:val="0"/>
          <w:sz w:val="24"/>
          <w:szCs w:val="24"/>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6FD33AB8">
      <w:pPr>
        <w:wordWrap w:val="0"/>
        <w:adjustRightInd w:val="0"/>
        <w:snapToGrid w:val="0"/>
        <w:spacing w:line="360" w:lineRule="auto"/>
        <w:ind w:firstLine="480" w:firstLineChars="200"/>
        <w:jc w:val="center"/>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结算人工费＝中标人工费×F</w:t>
      </w:r>
      <w:r>
        <w:rPr>
          <w:rFonts w:hint="eastAsia" w:ascii="宋体" w:hAnsi="宋体" w:eastAsia="宋体" w:cs="宋体"/>
          <w:bCs/>
          <w:snapToGrid w:val="0"/>
          <w:color w:val="auto"/>
          <w:kern w:val="0"/>
          <w:sz w:val="24"/>
          <w:szCs w:val="24"/>
          <w:highlight w:val="none"/>
          <w:vertAlign w:val="subscript"/>
        </w:rPr>
        <w:t>1</w:t>
      </w:r>
    </w:p>
    <w:p w14:paraId="749FB67E">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式中，F</w:t>
      </w:r>
      <w:r>
        <w:rPr>
          <w:rFonts w:hint="eastAsia" w:ascii="宋体" w:hAnsi="宋体" w:eastAsia="宋体" w:cs="宋体"/>
          <w:bCs/>
          <w:snapToGrid w:val="0"/>
          <w:color w:val="auto"/>
          <w:kern w:val="0"/>
          <w:sz w:val="24"/>
          <w:szCs w:val="24"/>
          <w:highlight w:val="none"/>
          <w:vertAlign w:val="subscript"/>
        </w:rPr>
        <w:t>1</w:t>
      </w:r>
      <w:r>
        <w:rPr>
          <w:rFonts w:hint="eastAsia" w:ascii="宋体" w:hAnsi="宋体" w:eastAsia="宋体" w:cs="宋体"/>
          <w:bCs/>
          <w:snapToGrid w:val="0"/>
          <w:color w:val="auto"/>
          <w:kern w:val="0"/>
          <w:sz w:val="24"/>
          <w:szCs w:val="24"/>
          <w:highlight w:val="none"/>
        </w:rPr>
        <w:t>为施工当月项目所在地工程造价管理机构发布的动态人工调整系数。</w:t>
      </w:r>
    </w:p>
    <w:p w14:paraId="3ECAE211">
      <w:pPr>
        <w:wordWrap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2.3.6.2</w:t>
      </w:r>
      <w:r>
        <w:rPr>
          <w:rFonts w:hint="eastAsia" w:ascii="宋体" w:hAnsi="宋体" w:eastAsia="宋体" w:cs="宋体"/>
          <w:snapToGrid w:val="0"/>
          <w:color w:val="auto"/>
          <w:kern w:val="0"/>
          <w:sz w:val="24"/>
          <w:szCs w:val="24"/>
          <w:highlight w:val="none"/>
        </w:rPr>
        <w:t xml:space="preserve"> 本招标项目约定，材料、工程设备单价涨跌风险幅度值A为</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5965E51E">
      <w:pPr>
        <w:wordWrap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19675428">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25" o:spt="75" type="#_x0000_t75" style="height:33.95pt;width:200.95pt;" o:ole="t" filled="f" stroked="f" coordsize="21600,21600">
            <v:path/>
            <v:fill on="f" focussize="0,0"/>
            <v:stroke on="f"/>
            <v:imagedata r:id="rId12" o:title=""/>
            <o:lock v:ext="edit" grouping="f" rotation="f" text="f" aspectratio="t"/>
            <w10:wrap type="none"/>
            <w10:anchorlock/>
          </v:shape>
          <o:OLEObject Type="Embed" ProgID="Equation.KSEE3" ShapeID="_x0000_i1025" DrawAspect="Content" ObjectID="_1468075725" r:id="rId11">
            <o:LockedField>false</o:LockedField>
          </o:OLEObject>
        </w:object>
      </w:r>
    </w:p>
    <w:p w14:paraId="7FA0A61F">
      <w:pPr>
        <w:wordWrap w:val="0"/>
        <w:adjustRightInd w:val="0"/>
        <w:spacing w:before="360" w:beforeLines="150" w:after="240" w:afterLines="100"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6" o:spt="75" type="#_x0000_t75" style="height:33.95pt;width:198.95pt;" o:ole="t" filled="f" stroked="f" coordsize="21600,21600">
            <v:path/>
            <v:fill on="f" focussize="0,0"/>
            <v:stroke on="f"/>
            <v:imagedata r:id="rId14" o:title=""/>
            <o:lock v:ext="edit" grouping="f" rotation="f" text="f" aspectratio="t"/>
            <w10:wrap type="none"/>
            <w10:anchorlock/>
          </v:shape>
          <o:OLEObject Type="Embed" ProgID="Equation.KSEE3" ShapeID="_x0000_i1026" DrawAspect="Content" ObjectID="_1468075726" r:id="rId13">
            <o:LockedField>false</o:LockedField>
          </o:OLEObject>
        </w:object>
      </w:r>
    </w:p>
    <w:p w14:paraId="1C2BE8CB">
      <w:pPr>
        <w:wordWrap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．如果中标单价高于基准单价，该材料、工程设备的结算单价调整公式为：</w:t>
      </w:r>
    </w:p>
    <w:p w14:paraId="7E971E5E">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27" o:spt="75" type="#_x0000_t75" style="height:33.95pt;width:198.95pt;" o:ole="t" filled="f" stroked="f" coordsize="21600,21600">
            <v:path/>
            <v:fill on="f" focussize="0,0"/>
            <v:stroke on="f"/>
            <v:imagedata r:id="rId16" o:title=""/>
            <o:lock v:ext="edit" grouping="f" rotation="f" text="f" aspectratio="t"/>
            <w10:wrap type="none"/>
            <w10:anchorlock/>
          </v:shape>
          <o:OLEObject Type="Embed" ProgID="Equation.KSEE3" ShapeID="_x0000_i1027" DrawAspect="Content" ObjectID="_1468075727" r:id="rId15">
            <o:LockedField>false</o:LockedField>
          </o:OLEObject>
        </w:object>
      </w:r>
    </w:p>
    <w:p w14:paraId="74181BBA">
      <w:pPr>
        <w:wordWrap w:val="0"/>
        <w:adjustRightInd w:val="0"/>
        <w:spacing w:before="360" w:beforeLines="150" w:after="240" w:afterLines="100"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8" o:spt="75" type="#_x0000_t75" style="height:33.95pt;width:200.95pt;" o:ole="t" filled="f" stroked="f" coordsize="21600,21600">
            <v:path/>
            <v:fill on="f" focussize="0,0"/>
            <v:stroke on="f"/>
            <v:imagedata r:id="rId18" o:title=""/>
            <o:lock v:ext="edit" grouping="f" rotation="f" text="f" aspectratio="t"/>
            <w10:wrap type="none"/>
            <w10:anchorlock/>
          </v:shape>
          <o:OLEObject Type="Embed" ProgID="Equation.KSEE3" ShapeID="_x0000_i1028" DrawAspect="Content" ObjectID="_1468075728" r:id="rId17">
            <o:LockedField>false</o:LockedField>
          </o:OLEObject>
        </w:object>
      </w:r>
    </w:p>
    <w:p w14:paraId="581DB238">
      <w:pPr>
        <w:wordWrap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．如果中标单价等于基准单价，该材料、工程设备的结算单价调整公式为：</w:t>
      </w:r>
    </w:p>
    <w:p w14:paraId="1E92A74C">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29" o:spt="75" type="#_x0000_t75" style="height:33.95pt;width:200.95pt;" o:ole="t" filled="f" stroked="f" coordsize="21600,21600">
            <v:path/>
            <v:fill on="f" focussize="0,0"/>
            <v:stroke on="f"/>
            <v:imagedata r:id="rId20" o:title=""/>
            <o:lock v:ext="edit" grouping="f" rotation="f" text="f" aspectratio="t"/>
            <w10:wrap type="none"/>
            <w10:anchorlock/>
          </v:shape>
          <o:OLEObject Type="Embed" ProgID="Equation.KSEE3" ShapeID="_x0000_i1029" DrawAspect="Content" ObjectID="_1468075729" r:id="rId19">
            <o:LockedField>false</o:LockedField>
          </o:OLEObject>
        </w:object>
      </w:r>
    </w:p>
    <w:p w14:paraId="7F2CBFBF">
      <w:pPr>
        <w:wordWrap w:val="0"/>
        <w:adjustRightInd w:val="0"/>
        <w:spacing w:before="360" w:beforeLines="150" w:after="240" w:afterLines="100"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0" o:spt="75" type="#_x0000_t75" style="height:33.95pt;width:200.95pt;" o:ole="t" filled="f" o:preferrelative="t" stroked="f" coordsize="21600,21600">
            <v:path/>
            <v:fill on="f" focussize="0,0"/>
            <v:stroke on="f"/>
            <v:imagedata r:id="rId22" o:title=""/>
            <o:lock v:ext="edit" grouping="f" rotation="f" text="f" aspectratio="t"/>
            <w10:wrap type="none"/>
            <w10:anchorlock/>
          </v:shape>
          <o:OLEObject Type="Embed" ProgID="Equation.KSEE3" ShapeID="_x0000_i1030" DrawAspect="Content" ObjectID="_1468075730" r:id="rId21">
            <o:LockedField>false</o:LockedField>
          </o:OLEObject>
        </w:object>
      </w:r>
    </w:p>
    <w:p w14:paraId="71C60D19">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以上公式中，</w:t>
      </w:r>
      <w:r>
        <w:rPr>
          <w:rFonts w:hint="eastAsia" w:ascii="宋体" w:hAnsi="宋体" w:eastAsia="宋体" w:cs="宋体"/>
          <w:bCs/>
          <w:snapToGrid w:val="0"/>
          <w:color w:val="auto"/>
          <w:kern w:val="0"/>
          <w:sz w:val="24"/>
          <w:szCs w:val="24"/>
          <w:highlight w:val="none"/>
        </w:rPr>
        <w:t>F</w:t>
      </w:r>
      <w:r>
        <w:rPr>
          <w:rFonts w:hint="eastAsia" w:ascii="宋体" w:hAnsi="宋体" w:eastAsia="宋体" w:cs="宋体"/>
          <w:bCs/>
          <w:snapToGrid w:val="0"/>
          <w:color w:val="auto"/>
          <w:kern w:val="0"/>
          <w:sz w:val="24"/>
          <w:szCs w:val="24"/>
          <w:highlight w:val="none"/>
          <w:vertAlign w:val="subscript"/>
        </w:rPr>
        <w:t>1</w:t>
      </w:r>
      <w:r>
        <w:rPr>
          <w:rFonts w:hint="eastAsia" w:ascii="宋体" w:hAnsi="宋体" w:eastAsia="宋体" w:cs="宋体"/>
          <w:bCs/>
          <w:snapToGrid w:val="0"/>
          <w:color w:val="auto"/>
          <w:kern w:val="0"/>
          <w:sz w:val="24"/>
          <w:szCs w:val="24"/>
          <w:highlight w:val="none"/>
        </w:rPr>
        <w:t>为中标单价；F</w:t>
      </w:r>
      <w:r>
        <w:rPr>
          <w:rFonts w:hint="eastAsia" w:ascii="宋体" w:hAnsi="宋体" w:eastAsia="宋体" w:cs="宋体"/>
          <w:bCs/>
          <w:snapToGrid w:val="0"/>
          <w:color w:val="auto"/>
          <w:kern w:val="0"/>
          <w:sz w:val="24"/>
          <w:szCs w:val="24"/>
          <w:highlight w:val="none"/>
          <w:vertAlign w:val="subscript"/>
        </w:rPr>
        <w:t>0</w:t>
      </w:r>
      <w:r>
        <w:rPr>
          <w:rFonts w:hint="eastAsia" w:ascii="宋体" w:hAnsi="宋体" w:eastAsia="宋体" w:cs="宋体"/>
          <w:bCs/>
          <w:snapToGrid w:val="0"/>
          <w:color w:val="auto"/>
          <w:kern w:val="0"/>
          <w:sz w:val="24"/>
          <w:szCs w:val="24"/>
          <w:highlight w:val="none"/>
        </w:rPr>
        <w:t>为基准单价； F</w:t>
      </w:r>
      <w:r>
        <w:rPr>
          <w:rFonts w:hint="eastAsia" w:ascii="宋体" w:hAnsi="宋体" w:eastAsia="宋体" w:cs="宋体"/>
          <w:bCs/>
          <w:snapToGrid w:val="0"/>
          <w:color w:val="auto"/>
          <w:kern w:val="0"/>
          <w:sz w:val="24"/>
          <w:szCs w:val="24"/>
          <w:highlight w:val="none"/>
          <w:vertAlign w:val="subscript"/>
        </w:rPr>
        <w:t>2</w:t>
      </w:r>
      <w:r>
        <w:rPr>
          <w:rFonts w:hint="eastAsia" w:ascii="宋体" w:hAnsi="宋体" w:eastAsia="宋体" w:cs="宋体"/>
          <w:bCs/>
          <w:snapToGrid w:val="0"/>
          <w:color w:val="auto"/>
          <w:kern w:val="0"/>
          <w:sz w:val="24"/>
          <w:szCs w:val="24"/>
          <w:highlight w:val="none"/>
        </w:rPr>
        <w:t>为施工当月项目所在地工程造价管理机构发布的材料、工程设备单价；A为合同约定的材料、工程设备单价涨跌风险幅度值。</w:t>
      </w:r>
    </w:p>
    <w:p w14:paraId="22AD4A40">
      <w:pPr>
        <w:wordWrap w:val="0"/>
        <w:adjustRightInd w:val="0"/>
        <w:snapToGrid w:val="0"/>
        <w:spacing w:line="360" w:lineRule="auto"/>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2.3.6.3</w:t>
      </w:r>
      <w:r>
        <w:rPr>
          <w:rFonts w:hint="eastAsia" w:ascii="宋体" w:hAnsi="宋体" w:eastAsia="宋体" w:cs="宋体"/>
          <w:snapToGrid w:val="0"/>
          <w:color w:val="auto"/>
          <w:kern w:val="0"/>
          <w:sz w:val="24"/>
          <w:szCs w:val="24"/>
          <w:highlight w:val="none"/>
        </w:rPr>
        <w:t xml:space="preserve"> 合同履行期间，当《发包人提供材料和工程设备一览表》（详见招标工程量清单）中的材料、工程设备单价发生变化时，由发包人按照实际变化调整，并列入合同价款。</w:t>
      </w:r>
    </w:p>
    <w:p w14:paraId="10AA2813">
      <w:pPr>
        <w:wordWrap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2.3.6.4</w:t>
      </w:r>
      <w:r>
        <w:rPr>
          <w:rFonts w:hint="eastAsia" w:ascii="宋体" w:hAnsi="宋体" w:eastAsia="宋体" w:cs="宋体"/>
          <w:snapToGrid w:val="0"/>
          <w:color w:val="auto"/>
          <w:kern w:val="0"/>
          <w:sz w:val="24"/>
          <w:szCs w:val="24"/>
          <w:highlight w:val="none"/>
        </w:rPr>
        <w:t xml:space="preserve"> 本招标项目约定，施工机具台班单价涨跌风险幅度值B为</w:t>
      </w:r>
      <w:r>
        <w:rPr>
          <w:rFonts w:hint="eastAsia" w:ascii="宋体" w:hAnsi="宋体" w:eastAsia="宋体" w:cs="宋体"/>
          <w:snapToGrid w:val="0"/>
          <w:color w:val="auto"/>
          <w:kern w:val="0"/>
          <w:sz w:val="24"/>
          <w:szCs w:val="24"/>
          <w:highlight w:val="none"/>
          <w:u w:val="single"/>
        </w:rPr>
        <w:t>10%</w:t>
      </w:r>
      <w:r>
        <w:rPr>
          <w:rFonts w:hint="eastAsia" w:ascii="宋体" w:hAnsi="宋体" w:eastAsia="宋体" w:cs="宋体"/>
          <w:snapToGrid w:val="0"/>
          <w:color w:val="auto"/>
          <w:kern w:val="0"/>
          <w:sz w:val="24"/>
          <w:szCs w:val="24"/>
          <w:highlight w:val="none"/>
        </w:rPr>
        <w:t>。合同履行期间，当施工机具台班单价涨跌幅度等于或低于B值时，该施工机具台班单价不予调整；超过B值时，其超过部分可以调整。相关费用按有关规定进行相应调整。</w:t>
      </w:r>
    </w:p>
    <w:p w14:paraId="00FF551F">
      <w:pPr>
        <w:wordWrap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4D96B032">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1" o:spt="75" type="#_x0000_t75" style="height:33.95pt;width:200.95pt;" o:ole="t" filled="f" o:preferrelative="t" stroked="f" coordsize="21600,21600">
            <v:path/>
            <v:fill on="f" focussize="0,0"/>
            <v:stroke on="f"/>
            <v:imagedata r:id="rId24" o:title=""/>
            <o:lock v:ext="edit" grouping="f" rotation="f" text="f" aspectratio="t"/>
            <w10:wrap type="none"/>
            <w10:anchorlock/>
          </v:shape>
          <o:OLEObject Type="Embed" ProgID="Equation.KSEE3" ShapeID="_x0000_i1031" DrawAspect="Content" ObjectID="_1468075731" r:id="rId23">
            <o:LockedField>false</o:LockedField>
          </o:OLEObject>
        </w:object>
      </w:r>
    </w:p>
    <w:p w14:paraId="375826BF">
      <w:pPr>
        <w:wordWrap w:val="0"/>
        <w:adjustRightInd w:val="0"/>
        <w:spacing w:before="360" w:beforeLines="150" w:after="240" w:afterLines="100"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2" o:spt="75" type="#_x0000_t75" style="height:33.95pt;width:198pt;" o:ole="t" filled="f" o:preferrelative="t" stroked="f" coordsize="21600,21600">
            <v:path/>
            <v:fill on="f" focussize="0,0"/>
            <v:stroke on="f"/>
            <v:imagedata r:id="rId26" o:title=""/>
            <o:lock v:ext="edit" grouping="f" rotation="f" text="f" aspectratio="t"/>
            <w10:wrap type="none"/>
            <w10:anchorlock/>
          </v:shape>
          <o:OLEObject Type="Embed" ProgID="Equation.KSEE3" ShapeID="_x0000_i1032" DrawAspect="Content" ObjectID="_1468075732" r:id="rId25">
            <o:LockedField>false</o:LockedField>
          </o:OLEObject>
        </w:object>
      </w:r>
    </w:p>
    <w:p w14:paraId="06E1A7F6">
      <w:pPr>
        <w:wordWrap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．如果中标单价高于基准单价，该施工机具台班的结算单价调整公式为：</w:t>
      </w:r>
    </w:p>
    <w:p w14:paraId="270CAD71">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3" o:spt="75" type="#_x0000_t75" style="height:33.95pt;width:198pt;" o:ole="t" filled="f" o:preferrelative="t" stroked="f" coordsize="21600,21600">
            <v:path/>
            <v:fill on="f" focussize="0,0"/>
            <v:stroke on="f"/>
            <v:imagedata r:id="rId28" o:title=""/>
            <o:lock v:ext="edit" grouping="f" rotation="f" text="f" aspectratio="t"/>
            <w10:wrap type="none"/>
            <w10:anchorlock/>
          </v:shape>
          <o:OLEObject Type="Embed" ProgID="Equation.KSEE3" ShapeID="_x0000_i1033" DrawAspect="Content" ObjectID="_1468075733" r:id="rId27">
            <o:LockedField>false</o:LockedField>
          </o:OLEObject>
        </w:object>
      </w:r>
    </w:p>
    <w:p w14:paraId="0CDCA315">
      <w:pPr>
        <w:wordWrap w:val="0"/>
        <w:adjustRightInd w:val="0"/>
        <w:spacing w:before="360" w:beforeLines="150" w:after="240" w:afterLines="100"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4" o:spt="75" type="#_x0000_t75" style="height:33.95pt;width:200.95pt;" o:ole="t" filled="f" o:preferrelative="t" stroked="f" coordsize="21600,21600">
            <v:path/>
            <v:fill on="f" focussize="0,0"/>
            <v:stroke on="f"/>
            <v:imagedata r:id="rId30" o:title=""/>
            <o:lock v:ext="edit" grouping="f" rotation="f" text="f" aspectratio="t"/>
            <w10:wrap type="none"/>
            <w10:anchorlock/>
          </v:shape>
          <o:OLEObject Type="Embed" ProgID="Equation.KSEE3" ShapeID="_x0000_i1034" DrawAspect="Content" ObjectID="_1468075734" r:id="rId29">
            <o:LockedField>false</o:LockedField>
          </o:OLEObject>
        </w:object>
      </w:r>
    </w:p>
    <w:p w14:paraId="21D616AC">
      <w:pPr>
        <w:wordWrap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．如果中标单价等于基准单价，该施工机具台班的结算单价调整公式为：</w:t>
      </w:r>
    </w:p>
    <w:p w14:paraId="77DAE892">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5" o:spt="75" type="#_x0000_t75" style="height:33.95pt;width:200.95pt;" o:ole="t" filled="f" o:preferrelative="t" stroked="f" coordsize="21600,21600">
            <v:path/>
            <v:fill on="f" focussize="0,0"/>
            <v:stroke on="f"/>
            <v:imagedata r:id="rId32" o:title=""/>
            <o:lock v:ext="edit" grouping="f" rotation="f" text="f" aspectratio="t"/>
            <w10:wrap type="none"/>
            <w10:anchorlock/>
          </v:shape>
          <o:OLEObject Type="Embed" ProgID="Equation.KSEE3" ShapeID="_x0000_i1035" DrawAspect="Content" ObjectID="_1468075735" r:id="rId31">
            <o:LockedField>false</o:LockedField>
          </o:OLEObject>
        </w:object>
      </w:r>
    </w:p>
    <w:p w14:paraId="2AA4D63A">
      <w:pPr>
        <w:wordWrap w:val="0"/>
        <w:adjustRightInd w:val="0"/>
        <w:spacing w:before="360" w:beforeLines="150" w:after="240" w:afterLines="100"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6" o:spt="75" type="#_x0000_t75" style="height:33.95pt;width:200.95pt;" o:ole="t" filled="f" o:preferrelative="t" stroked="f" coordsize="21600,21600">
            <v:path/>
            <v:fill on="f" focussize="0,0"/>
            <v:stroke on="f"/>
            <v:imagedata r:id="rId34" o:title=""/>
            <o:lock v:ext="edit" grouping="f" rotation="f" text="f" aspectratio="t"/>
            <w10:wrap type="none"/>
            <w10:anchorlock/>
          </v:shape>
          <o:OLEObject Type="Embed" ProgID="Equation.KSEE3" ShapeID="_x0000_i1036" DrawAspect="Content" ObjectID="_1468075736" r:id="rId33">
            <o:LockedField>false</o:LockedField>
          </o:OLEObject>
        </w:object>
      </w:r>
    </w:p>
    <w:p w14:paraId="7B8A8779">
      <w:pPr>
        <w:spacing w:before="39" w:line="360" w:lineRule="auto"/>
        <w:ind w:left="484"/>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以上公式中，</w:t>
      </w:r>
      <w:r>
        <w:rPr>
          <w:rFonts w:hint="eastAsia" w:ascii="宋体" w:hAnsi="宋体" w:eastAsia="宋体" w:cs="宋体"/>
          <w:bCs/>
          <w:snapToGrid w:val="0"/>
          <w:color w:val="auto"/>
          <w:kern w:val="0"/>
          <w:sz w:val="24"/>
          <w:szCs w:val="24"/>
          <w:highlight w:val="none"/>
        </w:rPr>
        <w:t>F</w:t>
      </w:r>
      <w:r>
        <w:rPr>
          <w:rFonts w:hint="eastAsia" w:ascii="宋体" w:hAnsi="宋体" w:eastAsia="宋体" w:cs="宋体"/>
          <w:bCs/>
          <w:snapToGrid w:val="0"/>
          <w:color w:val="auto"/>
          <w:kern w:val="0"/>
          <w:sz w:val="24"/>
          <w:szCs w:val="24"/>
          <w:highlight w:val="none"/>
          <w:vertAlign w:val="subscript"/>
        </w:rPr>
        <w:t>1</w:t>
      </w:r>
      <w:r>
        <w:rPr>
          <w:rFonts w:hint="eastAsia" w:ascii="宋体" w:hAnsi="宋体" w:eastAsia="宋体" w:cs="宋体"/>
          <w:bCs/>
          <w:snapToGrid w:val="0"/>
          <w:color w:val="auto"/>
          <w:kern w:val="0"/>
          <w:sz w:val="24"/>
          <w:szCs w:val="24"/>
          <w:highlight w:val="none"/>
        </w:rPr>
        <w:t>为中标单价；F</w:t>
      </w:r>
      <w:r>
        <w:rPr>
          <w:rFonts w:hint="eastAsia" w:ascii="宋体" w:hAnsi="宋体" w:eastAsia="宋体" w:cs="宋体"/>
          <w:bCs/>
          <w:snapToGrid w:val="0"/>
          <w:color w:val="auto"/>
          <w:kern w:val="0"/>
          <w:sz w:val="24"/>
          <w:szCs w:val="24"/>
          <w:highlight w:val="none"/>
          <w:vertAlign w:val="subscript"/>
        </w:rPr>
        <w:t>0</w:t>
      </w:r>
      <w:r>
        <w:rPr>
          <w:rFonts w:hint="eastAsia" w:ascii="宋体" w:hAnsi="宋体" w:eastAsia="宋体" w:cs="宋体"/>
          <w:bCs/>
          <w:snapToGrid w:val="0"/>
          <w:color w:val="auto"/>
          <w:kern w:val="0"/>
          <w:sz w:val="24"/>
          <w:szCs w:val="24"/>
          <w:highlight w:val="none"/>
        </w:rPr>
        <w:t>为基准单价；F</w:t>
      </w:r>
      <w:r>
        <w:rPr>
          <w:rFonts w:hint="eastAsia" w:ascii="宋体" w:hAnsi="宋体" w:eastAsia="宋体" w:cs="宋体"/>
          <w:bCs/>
          <w:snapToGrid w:val="0"/>
          <w:color w:val="auto"/>
          <w:kern w:val="0"/>
          <w:sz w:val="24"/>
          <w:szCs w:val="24"/>
          <w:highlight w:val="none"/>
          <w:vertAlign w:val="subscript"/>
        </w:rPr>
        <w:t>2</w:t>
      </w:r>
      <w:r>
        <w:rPr>
          <w:rFonts w:hint="eastAsia" w:ascii="宋体" w:hAnsi="宋体" w:eastAsia="宋体" w:cs="宋体"/>
          <w:bCs/>
          <w:snapToGrid w:val="0"/>
          <w:color w:val="auto"/>
          <w:kern w:val="0"/>
          <w:sz w:val="24"/>
          <w:szCs w:val="24"/>
          <w:highlight w:val="none"/>
        </w:rPr>
        <w:t>为施工当月项目所在地工程造价管理机构发布的施工机具台班单价；B为合同约定的施工机具台班单价涨跌风险幅度值。</w:t>
      </w:r>
    </w:p>
    <w:p w14:paraId="69865000">
      <w:pPr>
        <w:spacing w:before="39" w:line="360" w:lineRule="auto"/>
        <w:ind w:left="484"/>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2.3.7  </w:t>
      </w:r>
      <w:r>
        <w:rPr>
          <w:rFonts w:hint="eastAsia" w:ascii="宋体" w:hAnsi="宋体" w:eastAsia="宋体" w:cs="宋体"/>
          <w:color w:val="auto"/>
          <w:spacing w:val="-1"/>
          <w:sz w:val="24"/>
          <w:szCs w:val="24"/>
          <w:highlight w:val="none"/>
        </w:rPr>
        <w:t>暂估价和暂列金额</w:t>
      </w:r>
    </w:p>
    <w:p w14:paraId="597B14D5">
      <w:pPr>
        <w:spacing w:before="39" w:line="360" w:lineRule="auto"/>
        <w:ind w:left="484"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当暂估价项目的内容、标准、要求在项目实施过程中得以深化、明确、固定后，按以下原则发包：</w:t>
      </w:r>
    </w:p>
    <w:p w14:paraId="4AF1737B">
      <w:pPr>
        <w:spacing w:before="39" w:line="360" w:lineRule="auto"/>
        <w:ind w:left="484"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（1）暂估价项目按工程、货物（指材料或工程设备，下同）的类别分类汇总的金额，达到必须招标规模标准的，由中标人招标，招标人参与管理 ，确定专业工程承包人（或材料、工程设备供应商）和合同价格。</w:t>
      </w:r>
    </w:p>
    <w:p w14:paraId="29E59413">
      <w:pPr>
        <w:spacing w:before="39" w:line="360" w:lineRule="auto"/>
        <w:ind w:left="484"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（2）暂估价项目按工程、货物的类别分类汇总的金额，未达到必须招标规模标准但适用政府采购规定的，按照政府采购规定确定专业工程承包人（或材料、工程设备供应商）和合同价格。</w:t>
      </w:r>
    </w:p>
    <w:p w14:paraId="1B39B772">
      <w:pPr>
        <w:spacing w:before="39" w:line="360" w:lineRule="auto"/>
        <w:ind w:left="484"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0F405792">
      <w:pPr>
        <w:spacing w:before="39" w:line="360" w:lineRule="auto"/>
        <w:ind w:left="484"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（4）暂估价项目按工程、货物的类别分类汇总的金额，未达到必须招标规模标准也不适用政府采购规定，中标人既不具备相应资格条件又不具备分包权的，由招标人另行发包。</w:t>
      </w:r>
    </w:p>
    <w:p w14:paraId="3AC51B5F">
      <w:pPr>
        <w:spacing w:before="154" w:line="360" w:lineRule="auto"/>
        <w:ind w:left="7" w:right="57" w:firstLine="477"/>
        <w:rPr>
          <w:rFonts w:hint="eastAsia" w:ascii="宋体" w:hAnsi="宋体" w:eastAsia="宋体" w:cs="宋体"/>
          <w:b w:val="0"/>
          <w:bCs w:val="0"/>
          <w:color w:val="auto"/>
          <w:spacing w:val="-2"/>
          <w:sz w:val="24"/>
          <w:szCs w:val="24"/>
          <w:highlight w:val="none"/>
          <w:lang w:eastAsia="zh-CN"/>
        </w:rPr>
      </w:pPr>
      <w:r>
        <w:rPr>
          <w:rFonts w:hint="eastAsia" w:ascii="宋体" w:hAnsi="宋体" w:eastAsia="宋体" w:cs="宋体"/>
          <w:b w:val="0"/>
          <w:bCs w:val="0"/>
          <w:color w:val="auto"/>
          <w:spacing w:val="-2"/>
          <w:sz w:val="24"/>
          <w:szCs w:val="24"/>
          <w:highlight w:val="none"/>
          <w:lang w:eastAsia="zh-CN"/>
        </w:rPr>
        <w:t>（5）暂估价项目由其他承包人承包的，纳入中标人的管理和协调范围，由其他承包人向中标人承担质量、安全、文明施工、工期责任，中标人向招标人承担责任。</w:t>
      </w:r>
    </w:p>
    <w:p w14:paraId="0F068774">
      <w:pPr>
        <w:spacing w:before="154" w:line="360" w:lineRule="auto"/>
        <w:ind w:left="7" w:right="57" w:firstLine="477"/>
        <w:rPr>
          <w:rFonts w:hint="eastAsia" w:ascii="宋体" w:hAnsi="宋体" w:eastAsia="宋体" w:cs="宋体"/>
          <w:b w:val="0"/>
          <w:bCs w:val="0"/>
          <w:color w:val="auto"/>
          <w:spacing w:val="-2"/>
          <w:sz w:val="24"/>
          <w:szCs w:val="24"/>
          <w:highlight w:val="none"/>
          <w:lang w:eastAsia="zh-CN"/>
        </w:rPr>
      </w:pPr>
      <w:r>
        <w:rPr>
          <w:rFonts w:hint="eastAsia" w:ascii="宋体" w:hAnsi="宋体" w:eastAsia="宋体" w:cs="宋体"/>
          <w:b w:val="0"/>
          <w:bCs w:val="0"/>
          <w:color w:val="auto"/>
          <w:spacing w:val="-2"/>
          <w:sz w:val="24"/>
          <w:szCs w:val="24"/>
          <w:highlight w:val="none"/>
          <w:lang w:eastAsia="zh-CN"/>
        </w:rPr>
        <w:t>本招标项目以暂列金额形式列入招标工程量清单中的所需货物和服务的采购（以下统称“暂列金额项目”）若有发生，按照上述的规定确定货物（或服务）供应商和合同价格。暂列金额项目由其他承包人承包的，纳入中标人的管理和协调范围，由其他承包人向中标人承担质量、安全、文明施工、工期责任，中标人向招标人承担责任。</w:t>
      </w:r>
    </w:p>
    <w:p w14:paraId="4F45A505">
      <w:pPr>
        <w:spacing w:before="154" w:line="360" w:lineRule="auto"/>
        <w:ind w:left="7" w:right="57"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2.3.7.1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cs="宋体"/>
          <w:b w:val="0"/>
          <w:bCs w:val="0"/>
          <w:color w:val="auto"/>
          <w:spacing w:val="-2"/>
          <w:sz w:val="24"/>
          <w:szCs w:val="24"/>
          <w:highlight w:val="none"/>
          <w:lang w:eastAsia="zh-CN"/>
        </w:rPr>
        <w:t>暂估价按</w:t>
      </w:r>
      <w:r>
        <w:rPr>
          <w:rFonts w:hint="eastAsia" w:ascii="宋体" w:hAnsi="宋体" w:cs="宋体"/>
          <w:color w:val="auto"/>
          <w:spacing w:val="-9"/>
          <w:sz w:val="24"/>
          <w:szCs w:val="24"/>
          <w:highlight w:val="none"/>
          <w:lang w:eastAsia="zh-CN"/>
        </w:rPr>
        <w:t>上述</w:t>
      </w:r>
      <w:r>
        <w:rPr>
          <w:rFonts w:hint="eastAsia" w:ascii="宋体" w:hAnsi="宋体" w:eastAsia="宋体" w:cs="宋体"/>
          <w:color w:val="auto"/>
          <w:spacing w:val="-3"/>
          <w:sz w:val="24"/>
          <w:szCs w:val="24"/>
          <w:highlight w:val="none"/>
        </w:rPr>
        <w:t>规定确定专业工</w:t>
      </w:r>
      <w:r>
        <w:rPr>
          <w:rFonts w:hint="eastAsia" w:ascii="宋体" w:hAnsi="宋体" w:eastAsia="宋体" w:cs="宋体"/>
          <w:color w:val="auto"/>
          <w:spacing w:val="-1"/>
          <w:sz w:val="24"/>
          <w:szCs w:val="24"/>
          <w:highlight w:val="none"/>
        </w:rPr>
        <w:t>程承包人（或材料供应商、工程设备供应商）后，将专业工</w:t>
      </w:r>
      <w:r>
        <w:rPr>
          <w:rFonts w:hint="eastAsia" w:ascii="宋体" w:hAnsi="宋体" w:eastAsia="宋体" w:cs="宋体"/>
          <w:color w:val="auto"/>
          <w:spacing w:val="-2"/>
          <w:sz w:val="24"/>
          <w:szCs w:val="24"/>
          <w:highlight w:val="none"/>
        </w:rPr>
        <w:t>程合同价款（或材料单价、</w:t>
      </w:r>
      <w:r>
        <w:rPr>
          <w:rFonts w:hint="eastAsia" w:ascii="宋体" w:hAnsi="宋体" w:eastAsia="宋体" w:cs="宋体"/>
          <w:color w:val="auto"/>
          <w:spacing w:val="-1"/>
          <w:sz w:val="24"/>
          <w:szCs w:val="24"/>
          <w:highlight w:val="none"/>
        </w:rPr>
        <w:t>工程设备单价）取代相应暂估价，并调整合同价款。</w:t>
      </w:r>
    </w:p>
    <w:p w14:paraId="4846D3C2">
      <w:pPr>
        <w:spacing w:before="153" w:line="360" w:lineRule="auto"/>
        <w:ind w:left="8" w:right="2"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8"/>
          <w:sz w:val="24"/>
          <w:szCs w:val="24"/>
          <w:highlight w:val="none"/>
        </w:rPr>
        <w:t>2.3.7.2</w:t>
      </w:r>
      <w:r>
        <w:rPr>
          <w:rFonts w:hint="eastAsia" w:ascii="宋体" w:hAnsi="宋体" w:eastAsia="宋体" w:cs="宋体"/>
          <w:b/>
          <w:bCs/>
          <w:color w:val="auto"/>
          <w:spacing w:val="-8"/>
          <w:sz w:val="24"/>
          <w:szCs w:val="24"/>
          <w:highlight w:val="none"/>
        </w:rPr>
        <w:fldChar w:fldCharType="end"/>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暂列金额由发包人掌握和使用。暂列金额项目若有发</w:t>
      </w:r>
      <w:r>
        <w:rPr>
          <w:rFonts w:hint="eastAsia" w:ascii="宋体" w:hAnsi="宋体" w:eastAsia="宋体" w:cs="宋体"/>
          <w:color w:val="auto"/>
          <w:spacing w:val="-9"/>
          <w:sz w:val="24"/>
          <w:szCs w:val="24"/>
          <w:highlight w:val="none"/>
        </w:rPr>
        <w:t>生，按</w:t>
      </w:r>
      <w:r>
        <w:rPr>
          <w:rFonts w:hint="eastAsia" w:ascii="宋体" w:hAnsi="宋体" w:cs="宋体"/>
          <w:color w:val="auto"/>
          <w:spacing w:val="-9"/>
          <w:sz w:val="24"/>
          <w:szCs w:val="24"/>
          <w:highlight w:val="none"/>
          <w:lang w:eastAsia="zh-CN"/>
        </w:rPr>
        <w:t>上述</w:t>
      </w:r>
      <w:r>
        <w:rPr>
          <w:rFonts w:hint="eastAsia" w:ascii="宋体" w:hAnsi="宋体" w:eastAsia="宋体" w:cs="宋体"/>
          <w:color w:val="auto"/>
          <w:spacing w:val="-3"/>
          <w:sz w:val="24"/>
          <w:szCs w:val="24"/>
          <w:highlight w:val="none"/>
        </w:rPr>
        <w:t>规定</w:t>
      </w:r>
      <w:r>
        <w:rPr>
          <w:rFonts w:hint="eastAsia" w:ascii="宋体" w:hAnsi="宋体" w:eastAsia="宋体" w:cs="宋体"/>
          <w:color w:val="auto"/>
          <w:spacing w:val="-5"/>
          <w:sz w:val="24"/>
          <w:szCs w:val="24"/>
          <w:highlight w:val="none"/>
        </w:rPr>
        <w:t>确定材料供应商（或工程设备供</w:t>
      </w:r>
      <w:r>
        <w:rPr>
          <w:rFonts w:hint="eastAsia" w:ascii="宋体" w:hAnsi="宋体" w:eastAsia="宋体" w:cs="宋体"/>
          <w:color w:val="auto"/>
          <w:spacing w:val="-6"/>
          <w:sz w:val="24"/>
          <w:szCs w:val="24"/>
          <w:highlight w:val="none"/>
        </w:rPr>
        <w:t>应商、服务供应商）后，</w:t>
      </w:r>
      <w:r>
        <w:rPr>
          <w:rFonts w:hint="eastAsia" w:ascii="宋体" w:hAnsi="宋体" w:eastAsia="宋体" w:cs="宋体"/>
          <w:color w:val="auto"/>
          <w:spacing w:val="-2"/>
          <w:sz w:val="24"/>
          <w:szCs w:val="24"/>
          <w:highlight w:val="none"/>
        </w:rPr>
        <w:t>材料（或工程设备、服务）的合同价款从暂列金额中支付。暂列金额扣除已发生的暂列金额项目合同价款、已发生的合同约定调整因素出现时的调整价款、已发生的索赔以及</w:t>
      </w:r>
      <w:r>
        <w:rPr>
          <w:rFonts w:hint="eastAsia" w:ascii="宋体" w:hAnsi="宋体" w:eastAsia="宋体" w:cs="宋体"/>
          <w:color w:val="auto"/>
          <w:spacing w:val="-1"/>
          <w:sz w:val="24"/>
          <w:szCs w:val="24"/>
          <w:highlight w:val="none"/>
        </w:rPr>
        <w:t>现场签证确认等的费用后，余额（若有）归发包人所有。</w:t>
      </w:r>
    </w:p>
    <w:p w14:paraId="125E37EF">
      <w:pPr>
        <w:spacing w:line="360" w:lineRule="auto"/>
        <w:ind w:firstLine="482" w:firstLineChars="200"/>
        <w:rPr>
          <w:rFonts w:hint="eastAsia" w:ascii="宋体" w:hAnsi="宋体" w:eastAsia="宋体" w:cs="宋体"/>
          <w:color w:val="auto"/>
          <w:sz w:val="24"/>
          <w:szCs w:val="24"/>
        </w:rPr>
      </w:pPr>
      <w:r>
        <w:rPr>
          <w:rFonts w:hint="eastAsia" w:ascii="宋体" w:hAnsi="宋体" w:eastAsia="宋体" w:cs="宋体"/>
          <w:b/>
          <w:bCs/>
          <w:color w:val="auto"/>
          <w:sz w:val="24"/>
          <w:szCs w:val="24"/>
        </w:rPr>
        <w:t>2.3.8</w:t>
      </w:r>
      <w:r>
        <w:rPr>
          <w:rFonts w:hint="eastAsia" w:ascii="宋体" w:hAnsi="宋体" w:eastAsia="宋体" w:cs="宋体"/>
          <w:color w:val="auto"/>
          <w:sz w:val="24"/>
          <w:szCs w:val="24"/>
        </w:rPr>
        <w:t xml:space="preserve"> 预算包干费按照分部分项的人工费与施工机具费之和及投标费率计取。本招标项目的预算包干内容包括：施工雨水、污水的排除；因地形影响造成的场内料具二次运输</w:t>
      </w:r>
      <w:r>
        <w:rPr>
          <w:rFonts w:hint="eastAsia" w:ascii="宋体" w:hAnsi="宋体" w:eastAsia="宋体" w:cs="宋体"/>
          <w:color w:val="auto"/>
          <w:sz w:val="24"/>
          <w:szCs w:val="24"/>
          <w:lang w:eastAsia="zh-CN"/>
        </w:rPr>
        <w:t>，2</w:t>
      </w:r>
      <w:r>
        <w:rPr>
          <w:rFonts w:hint="eastAsia" w:ascii="宋体" w:hAnsi="宋体" w:eastAsia="宋体" w:cs="宋体"/>
          <w:color w:val="auto"/>
          <w:sz w:val="24"/>
          <w:szCs w:val="24"/>
        </w:rPr>
        <w:t>0米高以下的工程用水加压措施；施工材料堆放场地的整理；机电安装后的补洞(槽料费；工程成品保护费；施工中的临时停水停电；基础埋深 2 米以内挖土方的塌</w:t>
      </w:r>
      <w:r>
        <w:rPr>
          <w:rFonts w:hint="eastAsia" w:ascii="宋体" w:hAnsi="宋体" w:eastAsia="宋体" w:cs="宋体"/>
          <w:color w:val="auto"/>
          <w:sz w:val="24"/>
          <w:szCs w:val="24"/>
          <w:lang w:eastAsia="zh-CN"/>
        </w:rPr>
        <w:t>方；日间</w:t>
      </w:r>
      <w:r>
        <w:rPr>
          <w:rFonts w:hint="eastAsia" w:ascii="宋体" w:hAnsi="宋体" w:eastAsia="宋体" w:cs="宋体"/>
          <w:color w:val="auto"/>
          <w:sz w:val="24"/>
          <w:szCs w:val="24"/>
        </w:rPr>
        <w:t>照明施工增加费(不包括地下室和特殊工程)；完工清场后的垃圾外运；地上(地下)设</w:t>
      </w:r>
      <w:r>
        <w:rPr>
          <w:rFonts w:hint="eastAsia" w:ascii="宋体" w:hAnsi="宋体" w:eastAsia="宋体" w:cs="宋体"/>
          <w:color w:val="auto"/>
          <w:sz w:val="24"/>
          <w:szCs w:val="24"/>
          <w:lang w:eastAsia="zh-CN"/>
        </w:rPr>
        <w:t>施，</w:t>
      </w:r>
      <w:r>
        <w:rPr>
          <w:rFonts w:hint="eastAsia" w:ascii="宋体" w:hAnsi="宋体" w:eastAsia="宋体" w:cs="宋体"/>
          <w:color w:val="auto"/>
          <w:sz w:val="24"/>
          <w:szCs w:val="24"/>
        </w:rPr>
        <w:t>建筑物的临时保护设施费和二次加工基地设施费；雨季施工增加费</w:t>
      </w:r>
      <w:r>
        <w:rPr>
          <w:rFonts w:hint="eastAsia" w:ascii="宋体" w:hAnsi="宋体" w:eastAsia="宋体" w:cs="宋体"/>
          <w:color w:val="auto"/>
          <w:sz w:val="24"/>
          <w:szCs w:val="24"/>
          <w:lang w:eastAsia="zh-CN"/>
        </w:rPr>
        <w:t>；已完成及设备保护等。</w:t>
      </w:r>
    </w:p>
    <w:p w14:paraId="048EC117">
      <w:pPr>
        <w:spacing w:line="360" w:lineRule="auto"/>
        <w:ind w:firstLine="482" w:firstLineChars="200"/>
        <w:rPr>
          <w:rFonts w:hint="eastAsia" w:ascii="宋体" w:hAnsi="宋体" w:eastAsia="宋体" w:cs="宋体"/>
          <w:color w:val="auto"/>
          <w:sz w:val="24"/>
          <w:szCs w:val="24"/>
        </w:rPr>
      </w:pPr>
      <w:r>
        <w:rPr>
          <w:rFonts w:hint="eastAsia" w:ascii="宋体" w:hAnsi="宋体" w:eastAsia="宋体" w:cs="宋体"/>
          <w:b/>
          <w:bCs/>
          <w:color w:val="auto"/>
          <w:sz w:val="24"/>
          <w:szCs w:val="24"/>
        </w:rPr>
        <w:t>2.3.9</w:t>
      </w:r>
      <w:r>
        <w:rPr>
          <w:rFonts w:hint="eastAsia" w:ascii="宋体" w:hAnsi="宋体" w:eastAsia="宋体" w:cs="宋体"/>
          <w:color w:val="auto"/>
          <w:sz w:val="24"/>
          <w:szCs w:val="24"/>
        </w:rPr>
        <w:t xml:space="preserve">  其余事项（如不可抗力、索赔、现场签证等）的调整原则按照</w:t>
      </w:r>
      <w:r>
        <w:rPr>
          <w:rFonts w:hint="eastAsia" w:ascii="宋体" w:hAnsi="宋体" w:cs="宋体"/>
          <w:color w:val="auto"/>
          <w:sz w:val="24"/>
          <w:szCs w:val="24"/>
          <w:lang w:eastAsia="zh-CN"/>
        </w:rPr>
        <w:t>《建设工程工程量清单计价标准》（GB/T50500-2024）</w:t>
      </w:r>
      <w:r>
        <w:rPr>
          <w:rFonts w:hint="eastAsia" w:ascii="宋体" w:hAnsi="宋体" w:eastAsia="宋体" w:cs="宋体"/>
          <w:color w:val="auto"/>
          <w:sz w:val="24"/>
          <w:szCs w:val="24"/>
        </w:rPr>
        <w:t>有关规定执行。</w:t>
      </w:r>
    </w:p>
    <w:p w14:paraId="42247EF3">
      <w:pPr>
        <w:spacing w:line="360" w:lineRule="auto"/>
        <w:ind w:firstLine="482" w:firstLineChars="200"/>
        <w:rPr>
          <w:rFonts w:hint="eastAsia" w:ascii="宋体" w:hAnsi="宋体" w:eastAsia="宋体" w:cs="宋体"/>
          <w:color w:val="auto"/>
          <w:sz w:val="24"/>
          <w:szCs w:val="24"/>
        </w:rPr>
      </w:pPr>
      <w:r>
        <w:rPr>
          <w:rFonts w:hint="eastAsia" w:ascii="宋体" w:hAnsi="宋体" w:eastAsia="宋体" w:cs="宋体"/>
          <w:b/>
          <w:bCs/>
          <w:color w:val="auto"/>
          <w:sz w:val="24"/>
          <w:szCs w:val="24"/>
        </w:rPr>
        <w:t>2.4</w:t>
      </w:r>
      <w:r>
        <w:rPr>
          <w:rFonts w:hint="eastAsia" w:ascii="宋体" w:hAnsi="宋体" w:eastAsia="宋体" w:cs="宋体"/>
          <w:color w:val="auto"/>
          <w:sz w:val="24"/>
          <w:szCs w:val="24"/>
        </w:rPr>
        <w:t xml:space="preserve">  凡将引起合同价款调增的事项，承包人必须于拟实施 14 天前，将详细的报价书（含拟实施项目名称、变更部位、理由、预计造价等）报监理单位审核和发包人批准后方可实施。</w:t>
      </w:r>
    </w:p>
    <w:p w14:paraId="2E45EB35">
      <w:pPr>
        <w:spacing w:before="153" w:line="360" w:lineRule="auto"/>
        <w:ind w:left="9" w:right="102"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承包人不得以不完全了解现场情况为理由，提出额外付</w:t>
      </w:r>
      <w:r>
        <w:rPr>
          <w:rFonts w:hint="eastAsia" w:ascii="宋体" w:hAnsi="宋体" w:eastAsia="宋体" w:cs="宋体"/>
          <w:color w:val="auto"/>
          <w:sz w:val="24"/>
          <w:szCs w:val="24"/>
          <w:highlight w:val="none"/>
        </w:rPr>
        <w:t>款或延长工期等要求。</w:t>
      </w:r>
      <w:r>
        <w:rPr>
          <w:rFonts w:hint="eastAsia" w:ascii="宋体" w:hAnsi="宋体" w:eastAsia="宋体" w:cs="宋体"/>
          <w:color w:val="auto"/>
          <w:spacing w:val="-1"/>
          <w:sz w:val="24"/>
          <w:szCs w:val="24"/>
          <w:highlight w:val="none"/>
        </w:rPr>
        <w:t>对此类要求，发包人不作任何考虑及答复。</w:t>
      </w:r>
    </w:p>
    <w:p w14:paraId="6E1468D0">
      <w:pPr>
        <w:spacing w:before="154" w:line="360" w:lineRule="auto"/>
        <w:ind w:left="10" w:right="63"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2.6 </w:t>
      </w:r>
      <w:r>
        <w:rPr>
          <w:rFonts w:hint="eastAsia" w:ascii="宋体" w:hAnsi="宋体" w:eastAsia="宋体" w:cs="宋体"/>
          <w:color w:val="auto"/>
          <w:spacing w:val="2"/>
          <w:sz w:val="24"/>
          <w:szCs w:val="24"/>
          <w:highlight w:val="none"/>
        </w:rPr>
        <w:t>承包人已标价工程量清单中漏报、错报或少报的清单项目</w:t>
      </w:r>
      <w:r>
        <w:rPr>
          <w:rFonts w:hint="eastAsia" w:ascii="宋体" w:hAnsi="宋体" w:eastAsia="宋体" w:cs="宋体"/>
          <w:color w:val="auto"/>
          <w:spacing w:val="1"/>
          <w:sz w:val="24"/>
          <w:szCs w:val="24"/>
          <w:highlight w:val="none"/>
        </w:rPr>
        <w:t>，其价格均视为已经</w:t>
      </w:r>
      <w:r>
        <w:rPr>
          <w:rFonts w:hint="eastAsia" w:ascii="宋体" w:hAnsi="宋体" w:eastAsia="宋体" w:cs="宋体"/>
          <w:color w:val="auto"/>
          <w:spacing w:val="-1"/>
          <w:sz w:val="24"/>
          <w:szCs w:val="24"/>
          <w:highlight w:val="none"/>
        </w:rPr>
        <w:t>包含在其它清单项目中，竣工结算时不得重新组价和调整。</w:t>
      </w:r>
    </w:p>
    <w:p w14:paraId="056A92AA">
      <w:pPr>
        <w:spacing w:before="155" w:line="360" w:lineRule="auto"/>
        <w:ind w:left="12" w:right="65"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2.7  </w:t>
      </w:r>
      <w:r>
        <w:rPr>
          <w:rFonts w:hint="eastAsia" w:ascii="宋体" w:hAnsi="宋体" w:eastAsia="宋体" w:cs="宋体"/>
          <w:color w:val="auto"/>
          <w:sz w:val="24"/>
          <w:szCs w:val="24"/>
          <w:highlight w:val="none"/>
        </w:rPr>
        <w:t>项目完工后，发、承包双方和受其委托具备相应资质的工程造价咨询单位必须</w:t>
      </w:r>
      <w:r>
        <w:rPr>
          <w:rFonts w:hint="eastAsia" w:ascii="宋体" w:hAnsi="宋体" w:eastAsia="宋体" w:cs="宋体"/>
          <w:color w:val="auto"/>
          <w:spacing w:val="-1"/>
          <w:sz w:val="24"/>
          <w:szCs w:val="24"/>
          <w:highlight w:val="none"/>
        </w:rPr>
        <w:t>按照</w:t>
      </w:r>
      <w:r>
        <w:rPr>
          <w:rFonts w:hint="eastAsia" w:ascii="宋体" w:hAnsi="宋体" w:cs="宋体"/>
          <w:color w:val="auto"/>
          <w:spacing w:val="-1"/>
          <w:sz w:val="24"/>
          <w:szCs w:val="24"/>
          <w:highlight w:val="none"/>
          <w:lang w:eastAsia="zh-CN"/>
        </w:rPr>
        <w:t>《建设工程工程量清单计价标准》（GB/T50500-2024）</w:t>
      </w:r>
      <w:r>
        <w:rPr>
          <w:rFonts w:hint="eastAsia" w:ascii="宋体" w:hAnsi="宋体" w:eastAsia="宋体" w:cs="宋体"/>
          <w:color w:val="auto"/>
          <w:spacing w:val="-1"/>
          <w:sz w:val="24"/>
          <w:szCs w:val="24"/>
          <w:highlight w:val="none"/>
        </w:rPr>
        <w:t>和国家、省、市的有关规定</w:t>
      </w:r>
      <w:r>
        <w:rPr>
          <w:rFonts w:hint="eastAsia" w:ascii="宋体" w:hAnsi="宋体" w:eastAsia="宋体" w:cs="宋体"/>
          <w:color w:val="auto"/>
          <w:spacing w:val="-2"/>
          <w:sz w:val="24"/>
          <w:szCs w:val="24"/>
          <w:highlight w:val="none"/>
        </w:rPr>
        <w:t>办理竣工结算。</w:t>
      </w:r>
    </w:p>
    <w:p w14:paraId="45828236">
      <w:pPr>
        <w:spacing w:before="152" w:line="360" w:lineRule="auto"/>
        <w:ind w:left="8" w:right="38" w:firstLine="55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2.8  </w:t>
      </w:r>
      <w:r>
        <w:rPr>
          <w:rFonts w:hint="eastAsia" w:ascii="宋体" w:hAnsi="宋体" w:eastAsia="宋体" w:cs="宋体"/>
          <w:color w:val="auto"/>
          <w:spacing w:val="-1"/>
          <w:sz w:val="24"/>
          <w:szCs w:val="24"/>
          <w:highlight w:val="none"/>
        </w:rPr>
        <w:t>承包人已标价工程量清单中没有的材料（或工程设备</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承包人在使</w:t>
      </w:r>
      <w:r>
        <w:rPr>
          <w:rFonts w:hint="eastAsia" w:ascii="宋体" w:hAnsi="宋体" w:eastAsia="宋体" w:cs="宋体"/>
          <w:color w:val="auto"/>
          <w:spacing w:val="-2"/>
          <w:sz w:val="24"/>
          <w:szCs w:val="24"/>
          <w:highlight w:val="none"/>
        </w:rPr>
        <w:t>用前必须</w:t>
      </w:r>
      <w:r>
        <w:rPr>
          <w:rFonts w:hint="eastAsia" w:ascii="宋体" w:hAnsi="宋体" w:eastAsia="宋体" w:cs="宋体"/>
          <w:color w:val="auto"/>
          <w:spacing w:val="-1"/>
          <w:sz w:val="24"/>
          <w:szCs w:val="24"/>
          <w:highlight w:val="none"/>
        </w:rPr>
        <w:t>将材料（或工程设备）样板、材料合格证明（或产品合格证书）、材料（或工程设备）检验报告提交给监理单位和发包人审核。发</w:t>
      </w:r>
      <w:r>
        <w:rPr>
          <w:rFonts w:hint="eastAsia" w:ascii="宋体" w:hAnsi="宋体" w:eastAsia="宋体" w:cs="宋体"/>
          <w:color w:val="auto"/>
          <w:spacing w:val="-2"/>
          <w:sz w:val="24"/>
          <w:szCs w:val="24"/>
          <w:highlight w:val="none"/>
        </w:rPr>
        <w:t>包人审定并确定价格后，承包人方可采购和</w:t>
      </w:r>
      <w:r>
        <w:rPr>
          <w:rFonts w:hint="eastAsia" w:ascii="宋体" w:hAnsi="宋体" w:eastAsia="宋体" w:cs="宋体"/>
          <w:color w:val="auto"/>
          <w:spacing w:val="-1"/>
          <w:sz w:val="24"/>
          <w:szCs w:val="24"/>
          <w:highlight w:val="none"/>
        </w:rPr>
        <w:t>使用。如果在交货验收和使用过程中发现货</w:t>
      </w:r>
      <w:r>
        <w:rPr>
          <w:rFonts w:hint="eastAsia" w:ascii="宋体" w:hAnsi="宋体" w:eastAsia="宋体" w:cs="宋体"/>
          <w:color w:val="auto"/>
          <w:spacing w:val="-2"/>
          <w:sz w:val="24"/>
          <w:szCs w:val="24"/>
          <w:highlight w:val="none"/>
        </w:rPr>
        <w:t>不对板，监理单位和发包人有权拒用，并要</w:t>
      </w:r>
      <w:r>
        <w:rPr>
          <w:rFonts w:hint="eastAsia" w:ascii="宋体" w:hAnsi="宋体" w:eastAsia="宋体" w:cs="宋体"/>
          <w:color w:val="auto"/>
          <w:spacing w:val="-1"/>
          <w:sz w:val="24"/>
          <w:szCs w:val="24"/>
          <w:highlight w:val="none"/>
        </w:rPr>
        <w:t>求承包人立即进行更换。更换后的材料（或</w:t>
      </w:r>
      <w:r>
        <w:rPr>
          <w:rFonts w:hint="eastAsia" w:ascii="宋体" w:hAnsi="宋体" w:eastAsia="宋体" w:cs="宋体"/>
          <w:color w:val="auto"/>
          <w:spacing w:val="-2"/>
          <w:sz w:val="24"/>
          <w:szCs w:val="24"/>
          <w:highlight w:val="none"/>
        </w:rPr>
        <w:t>工程设备）应再次进行检查和检验。由此增</w:t>
      </w:r>
      <w:r>
        <w:rPr>
          <w:rFonts w:hint="eastAsia" w:ascii="宋体" w:hAnsi="宋体" w:eastAsia="宋体" w:cs="宋体"/>
          <w:color w:val="auto"/>
          <w:spacing w:val="-1"/>
          <w:sz w:val="24"/>
          <w:szCs w:val="24"/>
          <w:highlight w:val="none"/>
        </w:rPr>
        <w:t>加的费用和（或）工期延误由承包人承担。</w:t>
      </w:r>
    </w:p>
    <w:p w14:paraId="74513C08">
      <w:pPr>
        <w:spacing w:before="152" w:line="360" w:lineRule="auto"/>
        <w:ind w:left="8" w:right="38" w:firstLine="55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2.9 </w:t>
      </w:r>
      <w:r>
        <w:rPr>
          <w:rFonts w:hint="eastAsia" w:ascii="宋体" w:hAnsi="宋体" w:eastAsia="宋体" w:cs="宋体"/>
          <w:color w:val="auto"/>
          <w:spacing w:val="-1"/>
          <w:sz w:val="24"/>
          <w:szCs w:val="24"/>
          <w:highlight w:val="none"/>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7AC0515E">
      <w:pPr>
        <w:spacing w:before="151" w:line="360" w:lineRule="auto"/>
        <w:ind w:left="476"/>
        <w:outlineLvl w:val="2"/>
        <w:rPr>
          <w:rFonts w:hint="eastAsia" w:ascii="宋体" w:hAnsi="宋体" w:eastAsia="宋体" w:cs="宋体"/>
          <w:b/>
          <w:bCs/>
          <w:color w:val="auto"/>
          <w:spacing w:val="-11"/>
          <w:sz w:val="24"/>
          <w:szCs w:val="24"/>
          <w:highlight w:val="none"/>
        </w:rPr>
      </w:pPr>
      <w:bookmarkStart w:id="135" w:name="_Toc1816"/>
      <w:bookmarkStart w:id="136" w:name="_Toc13494"/>
      <w:bookmarkStart w:id="137" w:name="_Toc10496"/>
      <w:r>
        <w:rPr>
          <w:rFonts w:hint="eastAsia" w:ascii="宋体" w:hAnsi="宋体" w:eastAsia="宋体" w:cs="宋体"/>
          <w:b/>
          <w:bCs/>
          <w:color w:val="auto"/>
          <w:spacing w:val="-11"/>
          <w:sz w:val="24"/>
          <w:szCs w:val="24"/>
          <w:highlight w:val="none"/>
        </w:rPr>
        <w:t>3. 工程付款办法</w:t>
      </w:r>
      <w:bookmarkEnd w:id="135"/>
      <w:bookmarkEnd w:id="136"/>
    </w:p>
    <w:p w14:paraId="3487595C">
      <w:pPr>
        <w:spacing w:before="155" w:line="360" w:lineRule="auto"/>
        <w:ind w:left="12" w:right="231" w:firstLine="476"/>
        <w:rPr>
          <w:rFonts w:hint="eastAsia" w:ascii="宋体" w:hAnsi="宋体" w:eastAsia="宋体" w:cs="宋体"/>
          <w:b/>
          <w:bCs/>
          <w:color w:val="auto"/>
          <w:spacing w:val="2"/>
          <w:sz w:val="24"/>
          <w:szCs w:val="24"/>
          <w:highlight w:val="none"/>
        </w:rPr>
      </w:pPr>
      <w:bookmarkStart w:id="138" w:name="_Toc5331"/>
      <w:r>
        <w:rPr>
          <w:rFonts w:hint="eastAsia" w:ascii="宋体" w:hAnsi="宋体" w:eastAsia="宋体" w:cs="宋体"/>
          <w:b/>
          <w:bCs/>
          <w:color w:val="auto"/>
          <w:spacing w:val="2"/>
          <w:sz w:val="24"/>
          <w:szCs w:val="24"/>
          <w:highlight w:val="none"/>
        </w:rPr>
        <w:t>3.1</w:t>
      </w:r>
      <w:r>
        <w:rPr>
          <w:rFonts w:hint="eastAsia" w:ascii="宋体" w:hAnsi="宋体" w:eastAsia="宋体" w:cs="宋体"/>
          <w:b/>
          <w:bCs/>
          <w:color w:val="auto"/>
          <w:spacing w:val="2"/>
          <w:sz w:val="24"/>
          <w:szCs w:val="24"/>
          <w:highlight w:val="none"/>
          <w:lang w:val="en-US" w:eastAsia="zh-CN"/>
        </w:rPr>
        <w:t xml:space="preserve"> </w:t>
      </w:r>
      <w:r>
        <w:rPr>
          <w:rFonts w:hint="eastAsia" w:ascii="宋体" w:hAnsi="宋体" w:eastAsia="宋体" w:cs="宋体"/>
          <w:b w:val="0"/>
          <w:bCs w:val="0"/>
          <w:color w:val="auto"/>
          <w:spacing w:val="2"/>
          <w:sz w:val="24"/>
          <w:szCs w:val="24"/>
          <w:highlight w:val="none"/>
        </w:rPr>
        <w:t>本项目</w:t>
      </w:r>
      <w:r>
        <w:rPr>
          <w:rFonts w:hint="eastAsia" w:ascii="宋体" w:hAnsi="宋体" w:eastAsia="宋体" w:cs="宋体"/>
          <w:b w:val="0"/>
          <w:bCs w:val="0"/>
          <w:color w:val="auto"/>
          <w:spacing w:val="2"/>
          <w:sz w:val="24"/>
          <w:szCs w:val="24"/>
          <w:highlight w:val="none"/>
          <w:u w:val="single"/>
        </w:rPr>
        <w:t>支付</w:t>
      </w:r>
      <w:r>
        <w:rPr>
          <w:rFonts w:hint="eastAsia" w:ascii="宋体" w:hAnsi="宋体" w:eastAsia="宋体" w:cs="宋体"/>
          <w:b w:val="0"/>
          <w:bCs w:val="0"/>
          <w:color w:val="auto"/>
          <w:spacing w:val="2"/>
          <w:sz w:val="24"/>
          <w:szCs w:val="24"/>
          <w:highlight w:val="none"/>
        </w:rPr>
        <w:t>施工预付款。</w:t>
      </w:r>
      <w:bookmarkEnd w:id="138"/>
    </w:p>
    <w:p w14:paraId="5312A588">
      <w:pPr>
        <w:keepNext w:val="0"/>
        <w:keepLines w:val="0"/>
        <w:pageBreakBefore w:val="0"/>
        <w:widowControl/>
        <w:kinsoku/>
        <w:wordWrap/>
        <w:overflowPunct/>
        <w:topLinePunct w:val="0"/>
        <w:autoSpaceDE/>
        <w:autoSpaceDN/>
        <w:bidi w:val="0"/>
        <w:adjustRightInd/>
        <w:snapToGrid w:val="0"/>
        <w:spacing w:line="360" w:lineRule="auto"/>
        <w:ind w:firstLine="482" w:firstLineChars="200"/>
        <w:textAlignment w:val="baseline"/>
        <w:rPr>
          <w:rStyle w:val="28"/>
          <w:rFonts w:hint="eastAsia" w:ascii="宋体" w:hAnsi="宋体" w:eastAsia="宋体" w:cs="宋体"/>
          <w:color w:val="auto"/>
          <w:kern w:val="0"/>
          <w:sz w:val="24"/>
          <w:szCs w:val="24"/>
          <w:highlight w:val="none"/>
        </w:rPr>
      </w:pPr>
      <w:r>
        <w:rPr>
          <w:rStyle w:val="28"/>
          <w:rFonts w:hint="eastAsia" w:ascii="宋体" w:hAnsi="宋体" w:eastAsia="宋体" w:cs="宋体"/>
          <w:b/>
          <w:bCs/>
          <w:color w:val="auto"/>
          <w:kern w:val="1"/>
          <w:sz w:val="24"/>
          <w:szCs w:val="24"/>
          <w:highlight w:val="none"/>
        </w:rPr>
        <w:t xml:space="preserve">3.2 </w:t>
      </w:r>
      <w:r>
        <w:rPr>
          <w:rStyle w:val="28"/>
          <w:rFonts w:hint="eastAsia" w:ascii="宋体" w:hAnsi="宋体" w:eastAsia="宋体" w:cs="宋体"/>
          <w:color w:val="auto"/>
          <w:kern w:val="0"/>
          <w:sz w:val="24"/>
          <w:szCs w:val="24"/>
          <w:highlight w:val="none"/>
        </w:rPr>
        <w:t>施工预付款必须专用于合同工程，并按以下原则支付和抵扣：</w:t>
      </w:r>
    </w:p>
    <w:p w14:paraId="087C47A4">
      <w:pPr>
        <w:keepNext w:val="0"/>
        <w:keepLines w:val="0"/>
        <w:pageBreakBefore w:val="0"/>
        <w:widowControl/>
        <w:kinsoku/>
        <w:wordWrap/>
        <w:overflowPunct/>
        <w:topLinePunct w:val="0"/>
        <w:autoSpaceDE/>
        <w:autoSpaceDN/>
        <w:bidi w:val="0"/>
        <w:adjustRightInd/>
        <w:snapToGrid w:val="0"/>
        <w:spacing w:line="360" w:lineRule="auto"/>
        <w:ind w:firstLine="482" w:firstLineChars="200"/>
        <w:textAlignment w:val="baseline"/>
        <w:rPr>
          <w:rStyle w:val="28"/>
          <w:rFonts w:hint="eastAsia" w:ascii="宋体" w:hAnsi="宋体" w:eastAsia="宋体" w:cs="宋体"/>
          <w:color w:val="auto"/>
          <w:kern w:val="0"/>
          <w:sz w:val="24"/>
          <w:szCs w:val="24"/>
          <w:highlight w:val="none"/>
        </w:rPr>
      </w:pPr>
      <w:r>
        <w:rPr>
          <w:rStyle w:val="28"/>
          <w:rFonts w:hint="eastAsia" w:ascii="宋体" w:hAnsi="宋体" w:eastAsia="宋体" w:cs="宋体"/>
          <w:b/>
          <w:bCs/>
          <w:color w:val="auto"/>
          <w:kern w:val="0"/>
          <w:sz w:val="24"/>
          <w:szCs w:val="24"/>
          <w:highlight w:val="none"/>
        </w:rPr>
        <w:t xml:space="preserve">3.2.1 </w:t>
      </w:r>
      <w:r>
        <w:rPr>
          <w:rStyle w:val="28"/>
          <w:rFonts w:hint="eastAsia" w:ascii="宋体" w:hAnsi="宋体" w:eastAsia="宋体" w:cs="宋体"/>
          <w:color w:val="auto"/>
          <w:kern w:val="0"/>
          <w:sz w:val="24"/>
          <w:szCs w:val="24"/>
          <w:highlight w:val="none"/>
        </w:rPr>
        <w:t>施工预付款支付比例为：按施工合同价的</w:t>
      </w:r>
      <w:r>
        <w:rPr>
          <w:rStyle w:val="28"/>
          <w:rFonts w:hint="eastAsia" w:ascii="宋体" w:hAnsi="宋体" w:eastAsia="宋体" w:cs="宋体"/>
          <w:b/>
          <w:bCs/>
          <w:color w:val="auto"/>
          <w:kern w:val="0"/>
          <w:sz w:val="24"/>
          <w:szCs w:val="24"/>
          <w:highlight w:val="none"/>
          <w:u w:val="single"/>
        </w:rPr>
        <w:t>30%</w:t>
      </w:r>
      <w:r>
        <w:rPr>
          <w:rStyle w:val="28"/>
          <w:rFonts w:hint="eastAsia" w:ascii="宋体" w:hAnsi="宋体" w:eastAsia="宋体" w:cs="宋体"/>
          <w:color w:val="auto"/>
          <w:kern w:val="0"/>
          <w:sz w:val="24"/>
          <w:szCs w:val="24"/>
          <w:highlight w:val="none"/>
        </w:rPr>
        <w:t>支付（暂列金除外</w:t>
      </w:r>
      <w:r>
        <w:rPr>
          <w:rStyle w:val="28"/>
          <w:rFonts w:hint="eastAsia" w:ascii="宋体" w:hAnsi="宋体" w:eastAsia="宋体" w:cs="宋体"/>
          <w:color w:val="auto"/>
          <w:kern w:val="0"/>
          <w:sz w:val="24"/>
          <w:szCs w:val="24"/>
          <w:highlight w:val="none"/>
          <w:lang w:eastAsia="zh-CN"/>
        </w:rPr>
        <w:t>)</w:t>
      </w:r>
      <w:r>
        <w:rPr>
          <w:rStyle w:val="28"/>
          <w:rFonts w:hint="eastAsia" w:ascii="宋体" w:hAnsi="宋体" w:eastAsia="宋体" w:cs="宋体"/>
          <w:color w:val="auto"/>
          <w:kern w:val="0"/>
          <w:sz w:val="24"/>
          <w:szCs w:val="24"/>
          <w:highlight w:val="none"/>
        </w:rPr>
        <w:t>。</w:t>
      </w:r>
    </w:p>
    <w:p w14:paraId="094A61DD">
      <w:pPr>
        <w:keepNext w:val="0"/>
        <w:keepLines w:val="0"/>
        <w:pageBreakBefore w:val="0"/>
        <w:widowControl/>
        <w:kinsoku/>
        <w:wordWrap/>
        <w:overflowPunct/>
        <w:topLinePunct w:val="0"/>
        <w:autoSpaceDE/>
        <w:autoSpaceDN/>
        <w:bidi w:val="0"/>
        <w:adjustRightInd/>
        <w:snapToGrid w:val="0"/>
        <w:spacing w:line="360" w:lineRule="auto"/>
        <w:ind w:firstLine="482" w:firstLineChars="200"/>
        <w:textAlignment w:val="baseline"/>
        <w:rPr>
          <w:rStyle w:val="28"/>
          <w:rFonts w:hint="eastAsia" w:ascii="宋体" w:hAnsi="宋体" w:eastAsia="宋体" w:cs="宋体"/>
          <w:color w:val="auto"/>
          <w:kern w:val="0"/>
          <w:sz w:val="24"/>
          <w:szCs w:val="24"/>
          <w:highlight w:val="none"/>
          <w:lang w:eastAsia="zh-CN"/>
        </w:rPr>
      </w:pPr>
      <w:r>
        <w:rPr>
          <w:rStyle w:val="28"/>
          <w:rFonts w:hint="eastAsia" w:ascii="宋体" w:hAnsi="宋体" w:eastAsia="宋体" w:cs="宋体"/>
          <w:b/>
          <w:bCs/>
          <w:color w:val="auto"/>
          <w:kern w:val="0"/>
          <w:sz w:val="24"/>
          <w:szCs w:val="24"/>
          <w:highlight w:val="none"/>
        </w:rPr>
        <w:t>3.2.2</w:t>
      </w:r>
      <w:r>
        <w:rPr>
          <w:rStyle w:val="28"/>
          <w:rFonts w:hint="eastAsia" w:ascii="宋体" w:hAnsi="宋体" w:eastAsia="宋体" w:cs="宋体"/>
          <w:color w:val="auto"/>
          <w:kern w:val="0"/>
          <w:sz w:val="24"/>
          <w:szCs w:val="24"/>
          <w:highlight w:val="none"/>
        </w:rPr>
        <w:t xml:space="preserve"> </w:t>
      </w:r>
      <w:r>
        <w:rPr>
          <w:rStyle w:val="28"/>
          <w:rFonts w:hint="eastAsia" w:ascii="宋体" w:hAnsi="宋体" w:eastAsia="宋体" w:cs="宋体"/>
          <w:b w:val="0"/>
          <w:bCs w:val="0"/>
          <w:color w:val="auto"/>
          <w:kern w:val="0"/>
          <w:sz w:val="24"/>
          <w:szCs w:val="24"/>
          <w:highlight w:val="none"/>
        </w:rPr>
        <w:t>本招标项目</w:t>
      </w:r>
      <w:r>
        <w:rPr>
          <w:rStyle w:val="28"/>
          <w:rFonts w:hint="eastAsia" w:ascii="宋体" w:hAnsi="宋体" w:eastAsia="宋体" w:cs="宋体"/>
          <w:b/>
          <w:bCs/>
          <w:color w:val="auto"/>
          <w:kern w:val="0"/>
          <w:sz w:val="24"/>
          <w:szCs w:val="24"/>
          <w:highlight w:val="none"/>
          <w:u w:val="single"/>
          <w:lang w:val="en-US" w:eastAsia="zh-CN" w:bidi="ar-SA"/>
        </w:rPr>
        <w:t>要求</w:t>
      </w:r>
      <w:r>
        <w:rPr>
          <w:rStyle w:val="28"/>
          <w:rFonts w:hint="eastAsia" w:ascii="宋体" w:hAnsi="宋体" w:eastAsia="宋体" w:cs="宋体"/>
          <w:b w:val="0"/>
          <w:bCs w:val="0"/>
          <w:color w:val="auto"/>
          <w:kern w:val="0"/>
          <w:sz w:val="24"/>
          <w:szCs w:val="24"/>
          <w:highlight w:val="none"/>
        </w:rPr>
        <w:t>承包人提</w:t>
      </w:r>
      <w:r>
        <w:rPr>
          <w:rStyle w:val="28"/>
          <w:rFonts w:hint="eastAsia" w:ascii="宋体" w:hAnsi="宋体" w:eastAsia="宋体" w:cs="宋体"/>
          <w:color w:val="auto"/>
          <w:kern w:val="0"/>
          <w:sz w:val="24"/>
          <w:szCs w:val="24"/>
          <w:highlight w:val="none"/>
        </w:rPr>
        <w:t>供与预付款等额的预付款保函</w:t>
      </w:r>
      <w:r>
        <w:rPr>
          <w:rStyle w:val="28"/>
          <w:rFonts w:hint="eastAsia" w:ascii="宋体" w:hAnsi="宋体" w:eastAsia="宋体" w:cs="宋体"/>
          <w:color w:val="auto"/>
          <w:kern w:val="0"/>
          <w:sz w:val="24"/>
          <w:szCs w:val="24"/>
          <w:highlight w:val="none"/>
          <w:lang w:eastAsia="zh-CN"/>
        </w:rPr>
        <w:t>，</w:t>
      </w:r>
      <w:r>
        <w:rPr>
          <w:rStyle w:val="28"/>
          <w:rFonts w:hint="eastAsia" w:ascii="宋体" w:hAnsi="宋体" w:eastAsia="宋体" w:cs="宋体"/>
          <w:color w:val="auto"/>
          <w:kern w:val="0"/>
          <w:sz w:val="24"/>
          <w:szCs w:val="24"/>
          <w:highlight w:val="none"/>
        </w:rPr>
        <w:t>且预付款保函期限原则上不少于总工期的一半，且承包单位的预付款保函有效期应保证在扣回预付款前有效，未扣回预付款但保函过期的承包人应重新开具预付款保函。</w:t>
      </w:r>
    </w:p>
    <w:p w14:paraId="1083643C">
      <w:pPr>
        <w:keepNext w:val="0"/>
        <w:keepLines w:val="0"/>
        <w:widowControl/>
        <w:suppressLineNumbers w:val="0"/>
        <w:spacing w:line="360" w:lineRule="auto"/>
        <w:ind w:firstLine="482" w:firstLineChars="200"/>
        <w:jc w:val="left"/>
        <w:rPr>
          <w:rStyle w:val="28"/>
          <w:rFonts w:hint="eastAsia" w:ascii="宋体" w:hAnsi="宋体" w:eastAsia="宋体" w:cs="宋体"/>
          <w:b w:val="0"/>
          <w:bCs w:val="0"/>
          <w:color w:val="auto"/>
          <w:kern w:val="0"/>
          <w:sz w:val="24"/>
          <w:szCs w:val="24"/>
          <w:highlight w:val="none"/>
        </w:rPr>
      </w:pPr>
      <w:r>
        <w:rPr>
          <w:rStyle w:val="28"/>
          <w:rFonts w:hint="eastAsia" w:ascii="宋体" w:hAnsi="宋体" w:eastAsia="宋体" w:cs="宋体"/>
          <w:b/>
          <w:bCs/>
          <w:color w:val="auto"/>
          <w:kern w:val="0"/>
          <w:sz w:val="24"/>
          <w:szCs w:val="24"/>
          <w:highlight w:val="none"/>
        </w:rPr>
        <w:t>3.2.3</w:t>
      </w:r>
      <w:r>
        <w:rPr>
          <w:rStyle w:val="28"/>
          <w:rFonts w:hint="eastAsia" w:ascii="宋体" w:hAnsi="宋体" w:eastAsia="宋体" w:cs="宋体"/>
          <w:color w:val="auto"/>
          <w:kern w:val="0"/>
          <w:sz w:val="24"/>
          <w:szCs w:val="24"/>
          <w:highlight w:val="none"/>
        </w:rPr>
        <w:t xml:space="preserve"> </w:t>
      </w:r>
      <w:r>
        <w:rPr>
          <w:rStyle w:val="28"/>
          <w:rFonts w:hint="eastAsia" w:ascii="宋体" w:hAnsi="宋体" w:eastAsia="宋体" w:cs="宋体"/>
          <w:b w:val="0"/>
          <w:bCs w:val="0"/>
          <w:color w:val="auto"/>
          <w:kern w:val="0"/>
          <w:sz w:val="24"/>
          <w:szCs w:val="24"/>
          <w:highlight w:val="none"/>
        </w:rPr>
        <w:t>承包人应在签订合同后，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116E5821">
      <w:pPr>
        <w:keepNext w:val="0"/>
        <w:keepLines w:val="0"/>
        <w:widowControl/>
        <w:suppressLineNumbers w:val="0"/>
        <w:spacing w:line="360" w:lineRule="auto"/>
        <w:ind w:firstLine="482" w:firstLineChars="200"/>
        <w:jc w:val="left"/>
        <w:rPr>
          <w:rStyle w:val="28"/>
          <w:rFonts w:hint="eastAsia" w:ascii="宋体" w:hAnsi="宋体" w:eastAsia="宋体" w:cs="宋体"/>
          <w:b w:val="0"/>
          <w:bCs w:val="0"/>
          <w:color w:val="auto"/>
          <w:kern w:val="0"/>
          <w:sz w:val="24"/>
          <w:szCs w:val="24"/>
          <w:highlight w:val="none"/>
          <w:lang w:eastAsia="zh-CN"/>
        </w:rPr>
      </w:pPr>
      <w:r>
        <w:rPr>
          <w:rStyle w:val="28"/>
          <w:rFonts w:hint="eastAsia" w:ascii="宋体" w:hAnsi="宋体" w:eastAsia="宋体" w:cs="宋体"/>
          <w:b/>
          <w:bCs/>
          <w:color w:val="auto"/>
          <w:kern w:val="0"/>
          <w:sz w:val="24"/>
          <w:szCs w:val="24"/>
          <w:highlight w:val="none"/>
          <w:lang w:val="en-US" w:eastAsia="zh-CN"/>
        </w:rPr>
        <w:t>3.2.4</w:t>
      </w:r>
      <w:r>
        <w:rPr>
          <w:rStyle w:val="28"/>
          <w:rFonts w:hint="eastAsia" w:ascii="宋体" w:hAnsi="宋体" w:eastAsia="宋体" w:cs="宋体"/>
          <w:b w:val="0"/>
          <w:bCs w:val="0"/>
          <w:color w:val="auto"/>
          <w:kern w:val="0"/>
          <w:sz w:val="24"/>
          <w:szCs w:val="24"/>
          <w:highlight w:val="none"/>
          <w:lang w:val="en-US" w:eastAsia="zh-CN"/>
        </w:rPr>
        <w:t xml:space="preserve"> </w:t>
      </w:r>
      <w:r>
        <w:rPr>
          <w:rStyle w:val="28"/>
          <w:rFonts w:hint="eastAsia" w:ascii="宋体" w:hAnsi="宋体" w:eastAsia="宋体" w:cs="宋体"/>
          <w:b w:val="0"/>
          <w:bCs w:val="0"/>
          <w:color w:val="auto"/>
          <w:kern w:val="0"/>
          <w:sz w:val="24"/>
          <w:szCs w:val="24"/>
          <w:highlight w:val="none"/>
          <w:lang w:eastAsia="zh-CN"/>
        </w:rPr>
        <w:t>发包人没有按时支付预付款的，承包人可催告发包人支付；发包人在付款期满后的 7 天内仍未支付的，承包人可在付款期满后的第 8 天起暂停施工。发包人应向承包人支付应付款的利息（从付款期满后之日起计算，利率按同期银行贷款利率计算），并承担违约责任。</w:t>
      </w:r>
    </w:p>
    <w:p w14:paraId="06B4A269">
      <w:pPr>
        <w:keepNext w:val="0"/>
        <w:keepLines w:val="0"/>
        <w:widowControl/>
        <w:suppressLineNumbers w:val="0"/>
        <w:spacing w:line="360" w:lineRule="auto"/>
        <w:ind w:firstLine="482" w:firstLineChars="200"/>
        <w:jc w:val="left"/>
        <w:rPr>
          <w:rFonts w:hint="eastAsia" w:ascii="宋体" w:hAnsi="宋体" w:eastAsia="宋体" w:cs="宋体"/>
          <w:snapToGrid w:val="0"/>
          <w:color w:val="auto"/>
          <w:kern w:val="0"/>
          <w:sz w:val="24"/>
          <w:szCs w:val="24"/>
          <w:highlight w:val="none"/>
        </w:rPr>
      </w:pPr>
      <w:r>
        <w:rPr>
          <w:rStyle w:val="28"/>
          <w:rFonts w:hint="eastAsia" w:ascii="宋体" w:hAnsi="宋体" w:eastAsia="宋体" w:cs="宋体"/>
          <w:b/>
          <w:bCs/>
          <w:color w:val="auto"/>
          <w:sz w:val="24"/>
          <w:szCs w:val="24"/>
          <w:highlight w:val="none"/>
        </w:rPr>
        <w:t>3.2.</w:t>
      </w:r>
      <w:r>
        <w:rPr>
          <w:rStyle w:val="28"/>
          <w:rFonts w:hint="eastAsia" w:ascii="宋体" w:hAnsi="宋体" w:eastAsia="宋体" w:cs="宋体"/>
          <w:b/>
          <w:bCs/>
          <w:color w:val="auto"/>
          <w:sz w:val="24"/>
          <w:szCs w:val="24"/>
          <w:highlight w:val="none"/>
          <w:lang w:val="en-US" w:eastAsia="zh-CN"/>
        </w:rPr>
        <w:t>5</w:t>
      </w:r>
      <w:r>
        <w:rPr>
          <w:rFonts w:hint="eastAsia" w:ascii="宋体" w:hAnsi="宋体" w:eastAsia="宋体" w:cs="宋体"/>
          <w:snapToGrid w:val="0"/>
          <w:color w:val="auto"/>
          <w:kern w:val="0"/>
          <w:sz w:val="24"/>
          <w:szCs w:val="24"/>
          <w:highlight w:val="none"/>
        </w:rPr>
        <w:t xml:space="preserve"> 预付款应从每支付期应支付给承包人的工程进度款中扣回，直到扣回的金额达到合同约定的预付款金额为止。</w:t>
      </w:r>
    </w:p>
    <w:p w14:paraId="103F4DE5">
      <w:pPr>
        <w:pStyle w:val="43"/>
        <w:keepNext w:val="0"/>
        <w:keepLines w:val="0"/>
        <w:pageBreakBefore w:val="0"/>
        <w:widowControl/>
        <w:kinsoku/>
        <w:wordWrap/>
        <w:overflowPunct/>
        <w:topLinePunct w:val="0"/>
        <w:autoSpaceDE/>
        <w:autoSpaceDN/>
        <w:bidi w:val="0"/>
        <w:adjustRightInd/>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Style w:val="28"/>
          <w:rFonts w:hint="eastAsia" w:ascii="宋体" w:hAnsi="宋体" w:eastAsia="宋体" w:cs="宋体"/>
          <w:b/>
          <w:bCs/>
          <w:color w:val="auto"/>
          <w:kern w:val="1"/>
          <w:sz w:val="24"/>
          <w:szCs w:val="24"/>
          <w:highlight w:val="none"/>
        </w:rPr>
        <w:t xml:space="preserve">3.3 </w:t>
      </w:r>
      <w:r>
        <w:rPr>
          <w:rFonts w:hint="eastAsia" w:ascii="宋体" w:hAnsi="宋体" w:eastAsia="宋体" w:cs="宋体"/>
          <w:snapToGrid w:val="0"/>
          <w:color w:val="auto"/>
          <w:kern w:val="0"/>
          <w:sz w:val="24"/>
          <w:szCs w:val="24"/>
          <w:highlight w:val="none"/>
        </w:rPr>
        <w:t>施工过程中按月支付工程进度款：承包人每月按工程实际完成工程量（含变更及增加工程）申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p>
    <w:p w14:paraId="52E7442D">
      <w:pPr>
        <w:pStyle w:val="43"/>
        <w:keepNext w:val="0"/>
        <w:keepLines w:val="0"/>
        <w:pageBreakBefore w:val="0"/>
        <w:kinsoku/>
        <w:overflowPunct/>
        <w:autoSpaceDE/>
        <w:autoSpaceDN/>
        <w:bidi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Style w:val="28"/>
          <w:rFonts w:hint="eastAsia" w:ascii="宋体" w:hAnsi="宋体" w:eastAsia="宋体" w:cs="宋体"/>
          <w:b/>
          <w:bCs/>
          <w:color w:val="auto"/>
          <w:kern w:val="1"/>
          <w:sz w:val="24"/>
          <w:szCs w:val="24"/>
          <w:highlight w:val="none"/>
          <w:lang w:val="en-US" w:eastAsia="zh-CN"/>
        </w:rPr>
        <w:t xml:space="preserve">3.4 </w:t>
      </w:r>
      <w:r>
        <w:rPr>
          <w:rFonts w:hint="eastAsia" w:ascii="宋体" w:hAnsi="宋体" w:eastAsia="宋体" w:cs="宋体"/>
          <w:snapToGrid w:val="0"/>
          <w:color w:val="auto"/>
          <w:kern w:val="0"/>
          <w:sz w:val="24"/>
          <w:szCs w:val="24"/>
          <w:highlight w:val="none"/>
        </w:rPr>
        <w:t>每月的工程进度款按</w:t>
      </w:r>
      <w:r>
        <w:rPr>
          <w:rFonts w:hint="eastAsia" w:ascii="宋体" w:hAnsi="宋体" w:eastAsia="宋体" w:cs="宋体"/>
          <w:snapToGrid w:val="0"/>
          <w:color w:val="auto"/>
          <w:kern w:val="0"/>
          <w:sz w:val="24"/>
          <w:szCs w:val="24"/>
          <w:highlight w:val="none"/>
          <w:lang w:eastAsia="zh-CN"/>
        </w:rPr>
        <w:t>工程实际完成工程量</w:t>
      </w:r>
      <w:r>
        <w:rPr>
          <w:rFonts w:hint="eastAsia" w:ascii="宋体" w:hAnsi="宋体" w:eastAsia="宋体" w:cs="宋体"/>
          <w:snapToGrid w:val="0"/>
          <w:color w:val="auto"/>
          <w:kern w:val="0"/>
          <w:sz w:val="24"/>
          <w:szCs w:val="24"/>
          <w:highlight w:val="none"/>
        </w:rPr>
        <w:t>的</w:t>
      </w: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eastAsia="宋体" w:cs="宋体"/>
          <w:snapToGrid w:val="0"/>
          <w:color w:val="auto"/>
          <w:kern w:val="0"/>
          <w:sz w:val="24"/>
          <w:szCs w:val="24"/>
          <w:highlight w:val="none"/>
          <w:u w:val="single"/>
          <w:lang w:val="en-US" w:eastAsia="zh-CN"/>
        </w:rPr>
        <w:t>80%</w:t>
      </w: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eastAsia="宋体" w:cs="宋体"/>
          <w:snapToGrid w:val="0"/>
          <w:color w:val="auto"/>
          <w:kern w:val="0"/>
          <w:sz w:val="24"/>
          <w:szCs w:val="24"/>
          <w:highlight w:val="none"/>
        </w:rPr>
        <w:t>支付，工程</w:t>
      </w:r>
      <w:r>
        <w:rPr>
          <w:rFonts w:hint="eastAsia" w:ascii="宋体" w:hAnsi="宋体" w:eastAsia="宋体" w:cs="宋体"/>
          <w:snapToGrid w:val="0"/>
          <w:color w:val="auto"/>
          <w:kern w:val="0"/>
          <w:sz w:val="24"/>
          <w:szCs w:val="24"/>
          <w:highlight w:val="none"/>
          <w:lang w:eastAsia="zh-CN"/>
        </w:rPr>
        <w:t>进度</w:t>
      </w:r>
      <w:r>
        <w:rPr>
          <w:rFonts w:hint="eastAsia" w:ascii="宋体" w:hAnsi="宋体" w:eastAsia="宋体" w:cs="宋体"/>
          <w:snapToGrid w:val="0"/>
          <w:color w:val="auto"/>
          <w:kern w:val="0"/>
          <w:sz w:val="24"/>
          <w:szCs w:val="24"/>
          <w:highlight w:val="none"/>
        </w:rPr>
        <w:t>款中的作业工人工资款项由发包人单独足额拨付到承包人的工资专户</w:t>
      </w:r>
      <w:r>
        <w:rPr>
          <w:rFonts w:hint="eastAsia" w:ascii="宋体" w:hAnsi="宋体" w:eastAsia="宋体" w:cs="宋体"/>
          <w:snapToGrid w:val="0"/>
          <w:color w:val="auto"/>
          <w:kern w:val="0"/>
          <w:sz w:val="24"/>
          <w:szCs w:val="24"/>
          <w:highlight w:val="none"/>
          <w:lang w:eastAsia="zh-CN"/>
        </w:rPr>
        <w:t>。</w:t>
      </w:r>
    </w:p>
    <w:p w14:paraId="47F9458C">
      <w:pPr>
        <w:keepNext w:val="0"/>
        <w:keepLines w:val="0"/>
        <w:pageBreakBefore w:val="0"/>
        <w:kinsoku/>
        <w:overflowPunct/>
        <w:autoSpaceDE/>
        <w:autoSpaceDN/>
        <w:bidi w:val="0"/>
        <w:snapToGrid w:val="0"/>
        <w:spacing w:line="360" w:lineRule="auto"/>
        <w:ind w:firstLine="482" w:firstLineChars="200"/>
        <w:rPr>
          <w:rStyle w:val="28"/>
          <w:rFonts w:hint="eastAsia" w:ascii="宋体" w:hAnsi="宋体" w:eastAsia="宋体" w:cs="宋体"/>
          <w:b w:val="0"/>
          <w:bCs w:val="0"/>
          <w:color w:val="auto"/>
          <w:kern w:val="1"/>
          <w:sz w:val="24"/>
          <w:szCs w:val="24"/>
          <w:highlight w:val="none"/>
        </w:rPr>
      </w:pPr>
      <w:r>
        <w:rPr>
          <w:rStyle w:val="28"/>
          <w:rFonts w:hint="eastAsia" w:ascii="宋体" w:hAnsi="宋体" w:eastAsia="宋体" w:cs="宋体"/>
          <w:b/>
          <w:bCs/>
          <w:color w:val="auto"/>
          <w:kern w:val="1"/>
          <w:sz w:val="24"/>
          <w:szCs w:val="24"/>
          <w:highlight w:val="none"/>
        </w:rPr>
        <w:t>3.</w:t>
      </w:r>
      <w:r>
        <w:rPr>
          <w:rStyle w:val="28"/>
          <w:rFonts w:hint="eastAsia" w:ascii="宋体" w:hAnsi="宋体" w:eastAsia="宋体" w:cs="宋体"/>
          <w:b/>
          <w:bCs/>
          <w:color w:val="auto"/>
          <w:kern w:val="1"/>
          <w:sz w:val="24"/>
          <w:szCs w:val="24"/>
          <w:highlight w:val="none"/>
          <w:lang w:val="en-US" w:eastAsia="zh-CN"/>
        </w:rPr>
        <w:t>5</w:t>
      </w:r>
      <w:r>
        <w:rPr>
          <w:rStyle w:val="28"/>
          <w:rFonts w:hint="eastAsia" w:ascii="宋体" w:hAnsi="宋体" w:eastAsia="宋体" w:cs="宋体"/>
          <w:b w:val="0"/>
          <w:bCs w:val="0"/>
          <w:color w:val="auto"/>
          <w:kern w:val="1"/>
          <w:sz w:val="24"/>
          <w:szCs w:val="24"/>
          <w:highlight w:val="none"/>
          <w:lang w:val="en-US" w:eastAsia="zh-CN"/>
        </w:rPr>
        <w:t xml:space="preserve"> </w:t>
      </w:r>
      <w:r>
        <w:rPr>
          <w:rFonts w:hint="eastAsia" w:ascii="宋体" w:hAnsi="宋体" w:eastAsia="宋体" w:cs="宋体"/>
          <w:b w:val="0"/>
          <w:bCs w:val="0"/>
          <w:snapToGrid w:val="0"/>
          <w:color w:val="auto"/>
          <w:kern w:val="0"/>
          <w:sz w:val="24"/>
          <w:szCs w:val="24"/>
          <w:highlight w:val="none"/>
        </w:rPr>
        <w:t>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541534BE">
      <w:pPr>
        <w:keepNext w:val="0"/>
        <w:keepLines w:val="0"/>
        <w:pageBreakBefore w:val="0"/>
        <w:kinsoku/>
        <w:overflowPunct/>
        <w:autoSpaceDE/>
        <w:autoSpaceDN/>
        <w:bidi w:val="0"/>
        <w:snapToGrid w:val="0"/>
        <w:spacing w:line="360" w:lineRule="auto"/>
        <w:ind w:firstLine="482" w:firstLineChars="200"/>
        <w:rPr>
          <w:rStyle w:val="28"/>
          <w:rFonts w:hint="eastAsia" w:ascii="宋体" w:hAnsi="宋体" w:eastAsia="宋体" w:cs="宋体"/>
          <w:b w:val="0"/>
          <w:bCs w:val="0"/>
          <w:color w:val="auto"/>
          <w:kern w:val="1"/>
          <w:sz w:val="24"/>
          <w:szCs w:val="24"/>
          <w:highlight w:val="none"/>
        </w:rPr>
      </w:pPr>
      <w:r>
        <w:rPr>
          <w:rStyle w:val="28"/>
          <w:rFonts w:hint="eastAsia" w:ascii="宋体" w:hAnsi="宋体" w:eastAsia="宋体" w:cs="宋体"/>
          <w:b/>
          <w:bCs/>
          <w:color w:val="auto"/>
          <w:kern w:val="1"/>
          <w:sz w:val="24"/>
          <w:szCs w:val="24"/>
          <w:highlight w:val="none"/>
        </w:rPr>
        <w:t>3.</w:t>
      </w:r>
      <w:r>
        <w:rPr>
          <w:rStyle w:val="28"/>
          <w:rFonts w:hint="eastAsia" w:ascii="宋体" w:hAnsi="宋体" w:eastAsia="宋体" w:cs="宋体"/>
          <w:b/>
          <w:bCs/>
          <w:color w:val="auto"/>
          <w:kern w:val="1"/>
          <w:sz w:val="24"/>
          <w:szCs w:val="24"/>
          <w:highlight w:val="none"/>
          <w:lang w:val="en-US" w:eastAsia="zh-CN"/>
        </w:rPr>
        <w:t xml:space="preserve">6 </w:t>
      </w:r>
      <w:r>
        <w:rPr>
          <w:rStyle w:val="28"/>
          <w:rFonts w:hint="eastAsia" w:ascii="宋体" w:hAnsi="宋体" w:eastAsia="宋体" w:cs="宋体"/>
          <w:b w:val="0"/>
          <w:bCs w:val="0"/>
          <w:color w:val="auto"/>
          <w:kern w:val="0"/>
          <w:sz w:val="24"/>
          <w:szCs w:val="24"/>
          <w:highlight w:val="none"/>
        </w:rPr>
        <w:t>变更工程造价必须经监理单位核实，并经发包人核定后方可支付。</w:t>
      </w:r>
    </w:p>
    <w:p w14:paraId="028F339B">
      <w:pPr>
        <w:keepNext w:val="0"/>
        <w:keepLines w:val="0"/>
        <w:pageBreakBefore w:val="0"/>
        <w:kinsoku/>
        <w:overflowPunct/>
        <w:autoSpaceDE/>
        <w:autoSpaceDN/>
        <w:bidi w:val="0"/>
        <w:snapToGrid w:val="0"/>
        <w:spacing w:line="360" w:lineRule="auto"/>
        <w:ind w:firstLine="482" w:firstLineChars="200"/>
        <w:rPr>
          <w:rFonts w:hint="eastAsia" w:ascii="宋体" w:hAnsi="宋体" w:eastAsia="宋体" w:cs="宋体"/>
          <w:b w:val="0"/>
          <w:bCs w:val="0"/>
          <w:caps w:val="0"/>
          <w:smallCaps w:val="0"/>
          <w:snapToGrid w:val="0"/>
          <w:color w:val="auto"/>
          <w:spacing w:val="0"/>
          <w:kern w:val="0"/>
          <w:sz w:val="24"/>
          <w:szCs w:val="24"/>
          <w:highlight w:val="none"/>
          <w:lang w:val="en-US" w:eastAsia="zh-CN"/>
        </w:rPr>
      </w:pPr>
      <w:r>
        <w:rPr>
          <w:rStyle w:val="28"/>
          <w:rFonts w:hint="eastAsia" w:ascii="宋体" w:hAnsi="宋体" w:eastAsia="宋体" w:cs="宋体"/>
          <w:b/>
          <w:bCs/>
          <w:color w:val="auto"/>
          <w:kern w:val="1"/>
          <w:sz w:val="24"/>
          <w:szCs w:val="24"/>
          <w:highlight w:val="none"/>
        </w:rPr>
        <w:t>3.</w:t>
      </w:r>
      <w:r>
        <w:rPr>
          <w:rStyle w:val="28"/>
          <w:rFonts w:hint="eastAsia" w:ascii="宋体" w:hAnsi="宋体" w:eastAsia="宋体" w:cs="宋体"/>
          <w:b/>
          <w:bCs/>
          <w:color w:val="auto"/>
          <w:kern w:val="1"/>
          <w:sz w:val="24"/>
          <w:szCs w:val="24"/>
          <w:highlight w:val="none"/>
          <w:lang w:val="en-US" w:eastAsia="zh-CN"/>
        </w:rPr>
        <w:t>7</w:t>
      </w:r>
      <w:r>
        <w:rPr>
          <w:rStyle w:val="28"/>
          <w:rFonts w:hint="eastAsia" w:ascii="宋体" w:hAnsi="宋体" w:eastAsia="宋体" w:cs="宋体"/>
          <w:b w:val="0"/>
          <w:bCs w:val="0"/>
          <w:color w:val="auto"/>
          <w:kern w:val="1"/>
          <w:sz w:val="24"/>
          <w:szCs w:val="24"/>
          <w:highlight w:val="none"/>
        </w:rPr>
        <w:t xml:space="preserve"> </w:t>
      </w:r>
      <w:r>
        <w:rPr>
          <w:rFonts w:hint="eastAsia" w:ascii="宋体" w:hAnsi="宋体" w:eastAsia="宋体" w:cs="宋体"/>
          <w:b w:val="0"/>
          <w:bCs w:val="0"/>
          <w:caps w:val="0"/>
          <w:smallCaps w:val="0"/>
          <w:snapToGrid w:val="0"/>
          <w:color w:val="auto"/>
          <w:spacing w:val="0"/>
          <w:kern w:val="0"/>
          <w:sz w:val="24"/>
          <w:szCs w:val="24"/>
          <w:highlight w:val="none"/>
          <w:lang w:eastAsia="zh-CN"/>
        </w:rPr>
        <w:t>结算审核完成后，于次月支付至审核价格的</w:t>
      </w:r>
      <w:r>
        <w:rPr>
          <w:rFonts w:hint="eastAsia" w:ascii="宋体" w:hAnsi="宋体" w:eastAsia="宋体" w:cs="宋体"/>
          <w:b w:val="0"/>
          <w:bCs w:val="0"/>
          <w:caps w:val="0"/>
          <w:smallCaps w:val="0"/>
          <w:snapToGrid w:val="0"/>
          <w:color w:val="auto"/>
          <w:spacing w:val="0"/>
          <w:kern w:val="0"/>
          <w:sz w:val="24"/>
          <w:szCs w:val="24"/>
          <w:highlight w:val="none"/>
          <w:u w:val="single"/>
          <w:lang w:eastAsia="zh-CN"/>
        </w:rPr>
        <w:t>97%</w:t>
      </w:r>
      <w:r>
        <w:rPr>
          <w:rFonts w:hint="eastAsia" w:ascii="宋体" w:hAnsi="宋体" w:eastAsia="宋体" w:cs="宋体"/>
          <w:b w:val="0"/>
          <w:bCs w:val="0"/>
          <w:caps w:val="0"/>
          <w:smallCaps w:val="0"/>
          <w:snapToGrid w:val="0"/>
          <w:color w:val="auto"/>
          <w:spacing w:val="0"/>
          <w:kern w:val="0"/>
          <w:sz w:val="24"/>
          <w:szCs w:val="24"/>
          <w:highlight w:val="none"/>
          <w:lang w:eastAsia="zh-CN"/>
        </w:rPr>
        <w:t>，剩余</w:t>
      </w:r>
      <w:r>
        <w:rPr>
          <w:rFonts w:hint="eastAsia" w:ascii="宋体" w:hAnsi="宋体" w:eastAsia="宋体" w:cs="宋体"/>
          <w:b w:val="0"/>
          <w:bCs w:val="0"/>
          <w:caps w:val="0"/>
          <w:smallCaps w:val="0"/>
          <w:snapToGrid w:val="0"/>
          <w:color w:val="auto"/>
          <w:spacing w:val="0"/>
          <w:kern w:val="0"/>
          <w:sz w:val="24"/>
          <w:szCs w:val="24"/>
          <w:highlight w:val="none"/>
          <w:u w:val="single"/>
          <w:lang w:eastAsia="zh-CN"/>
        </w:rPr>
        <w:t>3%</w:t>
      </w:r>
      <w:r>
        <w:rPr>
          <w:rFonts w:hint="eastAsia" w:ascii="宋体" w:hAnsi="宋体" w:eastAsia="宋体" w:cs="宋体"/>
          <w:b w:val="0"/>
          <w:bCs w:val="0"/>
          <w:caps w:val="0"/>
          <w:smallCaps w:val="0"/>
          <w:snapToGrid w:val="0"/>
          <w:color w:val="auto"/>
          <w:spacing w:val="0"/>
          <w:kern w:val="0"/>
          <w:sz w:val="24"/>
          <w:szCs w:val="24"/>
          <w:highlight w:val="none"/>
          <w:lang w:eastAsia="zh-CN"/>
        </w:rPr>
        <w:t>转为质量保证金；承包人提交了等额质量保证担保或质量保证保险的，于次月一次性结清合同价格。</w:t>
      </w:r>
    </w:p>
    <w:p w14:paraId="18C81B96">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2" w:firstLineChars="200"/>
        <w:textAlignment w:val="auto"/>
        <w:rPr>
          <w:rFonts w:hint="eastAsia" w:ascii="宋体" w:hAnsi="宋体" w:eastAsia="宋体" w:cs="宋体"/>
          <w:b w:val="0"/>
          <w:bCs w:val="0"/>
          <w:caps w:val="0"/>
          <w:smallCaps w:val="0"/>
          <w:snapToGrid w:val="0"/>
          <w:color w:val="auto"/>
          <w:spacing w:val="0"/>
          <w:kern w:val="0"/>
          <w:sz w:val="24"/>
          <w:szCs w:val="24"/>
          <w:highlight w:val="none"/>
          <w:lang w:val="en-US" w:eastAsia="zh-CN"/>
        </w:rPr>
      </w:pPr>
      <w:r>
        <w:rPr>
          <w:rFonts w:hint="eastAsia" w:ascii="宋体" w:hAnsi="宋体" w:eastAsia="宋体" w:cs="宋体"/>
          <w:b/>
          <w:bCs/>
          <w:caps w:val="0"/>
          <w:smallCaps w:val="0"/>
          <w:snapToGrid w:val="0"/>
          <w:color w:val="auto"/>
          <w:spacing w:val="0"/>
          <w:kern w:val="0"/>
          <w:sz w:val="24"/>
          <w:szCs w:val="24"/>
          <w:highlight w:val="none"/>
          <w:lang w:val="en-US" w:eastAsia="zh-CN"/>
        </w:rPr>
        <w:t>3.8</w:t>
      </w:r>
      <w:r>
        <w:rPr>
          <w:rFonts w:hint="eastAsia" w:ascii="宋体" w:hAnsi="宋体" w:eastAsia="宋体" w:cs="宋体"/>
          <w:b w:val="0"/>
          <w:bCs w:val="0"/>
          <w:caps w:val="0"/>
          <w:smallCaps w:val="0"/>
          <w:snapToGrid w:val="0"/>
          <w:color w:val="auto"/>
          <w:spacing w:val="0"/>
          <w:kern w:val="0"/>
          <w:sz w:val="24"/>
          <w:szCs w:val="24"/>
          <w:highlight w:val="none"/>
          <w:lang w:val="en-US" w:eastAsia="zh-CN"/>
        </w:rPr>
        <w:t xml:space="preserve"> 本工程缺陷责任期为 2 年（自通过竣工验收之日起计）。缺陷责任期到期后，承包人向发包人申请退还质量保证金。发包人收到退还申请后，于 14 天内会同承包人进行核实。经双方核实且均无异议后，发包人在核实之日起 14 天内将应返保证金（或质量保证担保或质量保证保险）退还承包人。</w:t>
      </w:r>
    </w:p>
    <w:p w14:paraId="60E2A172">
      <w:pPr>
        <w:spacing w:before="151" w:line="360" w:lineRule="auto"/>
        <w:ind w:left="476"/>
        <w:outlineLvl w:val="2"/>
        <w:rPr>
          <w:rFonts w:hint="eastAsia" w:ascii="宋体" w:hAnsi="宋体" w:eastAsia="宋体" w:cs="宋体"/>
          <w:b/>
          <w:bCs/>
          <w:color w:val="auto"/>
          <w:spacing w:val="-11"/>
          <w:sz w:val="24"/>
          <w:szCs w:val="24"/>
          <w:highlight w:val="none"/>
        </w:rPr>
      </w:pPr>
      <w:bookmarkStart w:id="139" w:name="_Toc24375"/>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其他专用合同条款</w:t>
      </w:r>
      <w:bookmarkEnd w:id="137"/>
      <w:bookmarkEnd w:id="139"/>
    </w:p>
    <w:p w14:paraId="66254D3B">
      <w:pPr>
        <w:keepNext w:val="0"/>
        <w:keepLines w:val="0"/>
        <w:pageBreakBefore w:val="0"/>
        <w:kinsoku/>
        <w:overflowPunct/>
        <w:topLinePunct w:val="0"/>
        <w:autoSpaceDE/>
        <w:autoSpaceDN/>
        <w:bidi w:val="0"/>
        <w:snapToGrid w:val="0"/>
        <w:spacing w:line="360" w:lineRule="auto"/>
        <w:ind w:firstLine="480" w:firstLineChars="200"/>
        <w:rPr>
          <w:rFonts w:hint="eastAsia" w:ascii="宋体" w:hAnsi="宋体" w:eastAsia="宋体" w:cs="宋体"/>
          <w:b w:val="0"/>
          <w:snapToGrid w:val="0"/>
          <w:color w:val="auto"/>
          <w:kern w:val="0"/>
          <w:sz w:val="24"/>
          <w:szCs w:val="24"/>
          <w:highlight w:val="none"/>
          <w:u w:val="single"/>
          <w:lang w:val="en-US" w:eastAsia="zh-CN" w:bidi="ar-SA"/>
        </w:rPr>
      </w:pPr>
      <w:r>
        <w:rPr>
          <w:rFonts w:hint="eastAsia" w:ascii="宋体" w:hAnsi="宋体" w:eastAsia="宋体" w:cs="宋体"/>
          <w:b w:val="0"/>
          <w:snapToGrid w:val="0"/>
          <w:color w:val="auto"/>
          <w:kern w:val="0"/>
          <w:sz w:val="24"/>
          <w:szCs w:val="24"/>
          <w:highlight w:val="none"/>
          <w:u w:val="single"/>
          <w:lang w:val="en-US" w:eastAsia="zh-CN" w:bidi="ar-SA"/>
        </w:rPr>
        <w:t>由招标人根据本工程实际情况和地方政策与中标人自行协商签定相关专用合同条款。</w:t>
      </w:r>
    </w:p>
    <w:p w14:paraId="6BE0A6DF">
      <w:pPr>
        <w:keepNext w:val="0"/>
        <w:keepLines w:val="0"/>
        <w:pageBreakBefore w:val="0"/>
        <w:widowControl/>
        <w:kinsoku/>
        <w:wordWrap w:val="0"/>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b w:val="0"/>
          <w:bCs w:val="0"/>
          <w:snapToGrid w:val="0"/>
          <w:color w:val="auto"/>
          <w:kern w:val="0"/>
          <w:sz w:val="24"/>
          <w:szCs w:val="24"/>
          <w:highlight w:val="none"/>
          <w:lang w:val="en-US" w:eastAsia="zh-CN"/>
        </w:rPr>
      </w:pPr>
      <w:bookmarkStart w:id="140" w:name="_Toc10299"/>
      <w:r>
        <w:rPr>
          <w:rFonts w:hint="eastAsia" w:ascii="宋体" w:hAnsi="宋体" w:eastAsia="宋体" w:cs="宋体"/>
          <w:b/>
          <w:bCs/>
          <w:snapToGrid w:val="0"/>
          <w:color w:val="auto"/>
          <w:kern w:val="0"/>
          <w:sz w:val="24"/>
          <w:szCs w:val="24"/>
          <w:highlight w:val="none"/>
          <w:lang w:val="en-US" w:eastAsia="zh-CN"/>
        </w:rPr>
        <w:t>4.1</w:t>
      </w:r>
      <w:r>
        <w:rPr>
          <w:rFonts w:hint="eastAsia" w:ascii="宋体" w:hAnsi="宋体" w:eastAsia="宋体" w:cs="宋体"/>
          <w:b w:val="0"/>
          <w:bCs w:val="0"/>
          <w:snapToGrid w:val="0"/>
          <w:color w:val="auto"/>
          <w:kern w:val="0"/>
          <w:sz w:val="24"/>
          <w:szCs w:val="24"/>
          <w:highlight w:val="none"/>
          <w:lang w:val="en-US" w:eastAsia="zh-CN"/>
        </w:rPr>
        <w:t>专业工程分包</w:t>
      </w:r>
      <w:bookmarkEnd w:id="140"/>
    </w:p>
    <w:p w14:paraId="4518D58A">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54F0C415">
      <w:pPr>
        <w:keepNext w:val="0"/>
        <w:keepLines w:val="0"/>
        <w:pageBreakBefore w:val="0"/>
        <w:widowControl/>
        <w:kinsoku/>
        <w:wordWrap w:val="0"/>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b w:val="0"/>
          <w:bCs w:val="0"/>
          <w:snapToGrid w:val="0"/>
          <w:color w:val="auto"/>
          <w:kern w:val="0"/>
          <w:sz w:val="24"/>
          <w:szCs w:val="24"/>
          <w:highlight w:val="none"/>
          <w:lang w:val="en-US" w:eastAsia="en-US"/>
        </w:rPr>
      </w:pPr>
      <w:bookmarkStart w:id="141" w:name="_Toc23958"/>
      <w:bookmarkStart w:id="142" w:name="_Toc24421"/>
      <w:bookmarkStart w:id="143" w:name="_Toc15504"/>
      <w:bookmarkStart w:id="144" w:name="_Toc7163"/>
      <w:bookmarkStart w:id="145" w:name="_Toc4288"/>
      <w:r>
        <w:rPr>
          <w:rFonts w:hint="eastAsia" w:ascii="宋体" w:hAnsi="宋体" w:eastAsia="宋体" w:cs="宋体"/>
          <w:b/>
          <w:bCs/>
          <w:snapToGrid w:val="0"/>
          <w:color w:val="auto"/>
          <w:kern w:val="0"/>
          <w:sz w:val="24"/>
          <w:szCs w:val="24"/>
          <w:highlight w:val="none"/>
          <w:lang w:val="en-US" w:eastAsia="zh-CN"/>
        </w:rPr>
        <w:t>4.2</w:t>
      </w:r>
      <w:r>
        <w:rPr>
          <w:rFonts w:hint="eastAsia" w:ascii="宋体" w:hAnsi="宋体" w:eastAsia="宋体" w:cs="宋体"/>
          <w:b w:val="0"/>
          <w:bCs w:val="0"/>
          <w:snapToGrid w:val="0"/>
          <w:color w:val="auto"/>
          <w:kern w:val="0"/>
          <w:sz w:val="24"/>
          <w:szCs w:val="24"/>
          <w:highlight w:val="none"/>
          <w:lang w:val="en-US" w:eastAsia="zh-CN"/>
        </w:rPr>
        <w:t xml:space="preserve"> </w:t>
      </w:r>
      <w:r>
        <w:rPr>
          <w:rFonts w:hint="eastAsia" w:ascii="宋体" w:hAnsi="宋体" w:eastAsia="宋体" w:cs="宋体"/>
          <w:b w:val="0"/>
          <w:bCs w:val="0"/>
          <w:snapToGrid w:val="0"/>
          <w:color w:val="auto"/>
          <w:kern w:val="0"/>
          <w:sz w:val="24"/>
          <w:szCs w:val="24"/>
          <w:highlight w:val="none"/>
          <w:lang w:val="en-US" w:eastAsia="en-US"/>
        </w:rPr>
        <w:t>工人工资支付专用账户</w:t>
      </w:r>
      <w:bookmarkEnd w:id="141"/>
      <w:bookmarkEnd w:id="142"/>
      <w:bookmarkEnd w:id="143"/>
      <w:bookmarkEnd w:id="144"/>
      <w:bookmarkEnd w:id="145"/>
    </w:p>
    <w:p w14:paraId="329FBC74">
      <w:pPr>
        <w:keepNext w:val="0"/>
        <w:keepLines w:val="0"/>
        <w:pageBreakBefore w:val="0"/>
        <w:kinsoku/>
        <w:wordWrap w:val="0"/>
        <w:overflowPunct/>
        <w:topLinePunct w:val="0"/>
        <w:bidi w:val="0"/>
        <w:adjustRightInd w:val="0"/>
        <w:snapToGrid w:val="0"/>
        <w:spacing w:line="360" w:lineRule="auto"/>
        <w:ind w:firstLine="482" w:firstLineChars="200"/>
        <w:rPr>
          <w:rFonts w:hint="eastAsia" w:ascii="宋体" w:hAnsi="宋体" w:eastAsia="宋体" w:cs="宋体"/>
          <w:b w:val="0"/>
          <w:bCs w:val="0"/>
          <w:snapToGrid w:val="0"/>
          <w:color w:val="auto"/>
          <w:kern w:val="0"/>
          <w:sz w:val="24"/>
          <w:szCs w:val="24"/>
          <w:highlight w:val="none"/>
          <w:lang w:val="en-US" w:eastAsia="en-US" w:bidi="ar-SA"/>
        </w:rPr>
      </w:pPr>
      <w:r>
        <w:rPr>
          <w:rFonts w:hint="eastAsia" w:ascii="宋体" w:hAnsi="宋体" w:eastAsia="宋体" w:cs="宋体"/>
          <w:b/>
          <w:bCs/>
          <w:snapToGrid w:val="0"/>
          <w:color w:val="auto"/>
          <w:kern w:val="0"/>
          <w:sz w:val="24"/>
          <w:szCs w:val="24"/>
          <w:highlight w:val="none"/>
          <w:lang w:val="en-US" w:eastAsia="zh-CN" w:bidi="ar-SA"/>
        </w:rPr>
        <w:t>4.2</w:t>
      </w:r>
      <w:r>
        <w:rPr>
          <w:rFonts w:hint="eastAsia" w:ascii="宋体" w:hAnsi="宋体" w:eastAsia="宋体" w:cs="宋体"/>
          <w:b/>
          <w:bCs/>
          <w:snapToGrid w:val="0"/>
          <w:color w:val="auto"/>
          <w:kern w:val="0"/>
          <w:sz w:val="24"/>
          <w:szCs w:val="24"/>
          <w:highlight w:val="none"/>
          <w:lang w:val="en-US" w:eastAsia="en-US" w:bidi="ar-SA"/>
        </w:rPr>
        <w:t>.1</w:t>
      </w:r>
      <w:r>
        <w:rPr>
          <w:rFonts w:hint="eastAsia" w:ascii="宋体" w:hAnsi="宋体" w:eastAsia="宋体" w:cs="宋体"/>
          <w:b w:val="0"/>
          <w:bCs w:val="0"/>
          <w:snapToGrid w:val="0"/>
          <w:color w:val="auto"/>
          <w:kern w:val="0"/>
          <w:sz w:val="24"/>
          <w:szCs w:val="24"/>
          <w:highlight w:val="none"/>
          <w:lang w:val="en-US" w:eastAsia="en-US" w:bidi="ar-SA"/>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0AC4F2B9">
      <w:pPr>
        <w:keepNext w:val="0"/>
        <w:keepLines w:val="0"/>
        <w:pageBreakBefore w:val="0"/>
        <w:widowControl/>
        <w:suppressLineNumbers w:val="0"/>
        <w:kinsoku/>
        <w:overflowPunct/>
        <w:topLinePunct w:val="0"/>
        <w:bidi w:val="0"/>
        <w:spacing w:line="360" w:lineRule="auto"/>
        <w:ind w:firstLine="482"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bCs/>
          <w:strike w:val="0"/>
          <w:dstrike w:val="0"/>
          <w:snapToGrid w:val="0"/>
          <w:color w:val="auto"/>
          <w:kern w:val="0"/>
          <w:sz w:val="24"/>
          <w:szCs w:val="24"/>
          <w:highlight w:val="none"/>
          <w:lang w:val="en-US" w:eastAsia="zh-CN"/>
        </w:rPr>
        <w:t>4.2</w:t>
      </w:r>
      <w:r>
        <w:rPr>
          <w:rFonts w:hint="eastAsia" w:ascii="宋体" w:hAnsi="宋体" w:eastAsia="宋体" w:cs="宋体"/>
          <w:b/>
          <w:bCs/>
          <w:strike w:val="0"/>
          <w:dstrike w:val="0"/>
          <w:snapToGrid w:val="0"/>
          <w:color w:val="auto"/>
          <w:kern w:val="0"/>
          <w:sz w:val="24"/>
          <w:szCs w:val="24"/>
          <w:highlight w:val="none"/>
        </w:rPr>
        <w:t>.2</w:t>
      </w:r>
      <w:r>
        <w:rPr>
          <w:rFonts w:hint="eastAsia" w:ascii="宋体" w:hAnsi="宋体" w:eastAsia="宋体" w:cs="宋体"/>
          <w:color w:val="auto"/>
          <w:kern w:val="0"/>
          <w:sz w:val="24"/>
          <w:szCs w:val="24"/>
          <w:highlight w:val="none"/>
          <w:lang w:val="en-US" w:eastAsia="zh-CN" w:bidi="ar"/>
        </w:rPr>
        <w:t>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06B08C2F">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按韶关市人力资源和社会、保障局韶关市住房和城乡建设管理局、韶关市交通运输局、韶关市水务局、韶关市金融工作局、国家金融监督管理总局韶关监管分局关于印发《韶关市工程建设领域农民工工资保证金管理实施细则》的通知(韶人社规〔2023〕2号)及《韶关市工程建设领域农民工工资保证金管理实施细则》（韶法审〔2023〕19号）规定执行。承包人在签订工程施工承包合同后一个月内必须办妥该事项，并将办妥回执交发包人。</w:t>
      </w:r>
    </w:p>
    <w:p w14:paraId="1A663F32">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2倍向发包人支付违约金。</w:t>
      </w:r>
    </w:p>
    <w:p w14:paraId="2790A842">
      <w:pPr>
        <w:keepNext w:val="0"/>
        <w:keepLines w:val="0"/>
        <w:pageBreakBefore w:val="0"/>
        <w:widowControl/>
        <w:suppressLineNumbers w:val="0"/>
        <w:kinsoku/>
        <w:overflowPunct/>
        <w:topLinePunct w:val="0"/>
        <w:bidi w:val="0"/>
        <w:spacing w:line="360" w:lineRule="auto"/>
        <w:ind w:firstLine="241" w:firstLineChars="100"/>
        <w:jc w:val="left"/>
        <w:rPr>
          <w:rFonts w:hint="eastAsia" w:ascii="宋体" w:hAnsi="宋体" w:eastAsia="宋体" w:cs="宋体"/>
          <w:color w:val="auto"/>
          <w:sz w:val="24"/>
          <w:szCs w:val="24"/>
          <w:highlight w:val="none"/>
        </w:rPr>
      </w:pPr>
      <w:r>
        <w:rPr>
          <w:rFonts w:hint="eastAsia" w:ascii="宋体" w:hAnsi="宋体" w:eastAsia="宋体" w:cs="宋体"/>
          <w:b/>
          <w:bCs/>
          <w:strike w:val="0"/>
          <w:dstrike w:val="0"/>
          <w:snapToGrid w:val="0"/>
          <w:color w:val="auto"/>
          <w:kern w:val="0"/>
          <w:sz w:val="24"/>
          <w:szCs w:val="24"/>
          <w:highlight w:val="none"/>
          <w:lang w:val="en-US" w:eastAsia="zh-CN"/>
        </w:rPr>
        <w:t>4.2</w:t>
      </w:r>
      <w:r>
        <w:rPr>
          <w:rFonts w:hint="eastAsia" w:ascii="宋体" w:hAnsi="宋体" w:eastAsia="宋体" w:cs="宋体"/>
          <w:b/>
          <w:bCs/>
          <w:strike w:val="0"/>
          <w:dstrike w:val="0"/>
          <w:snapToGrid w:val="0"/>
          <w:color w:val="auto"/>
          <w:kern w:val="0"/>
          <w:sz w:val="24"/>
          <w:szCs w:val="24"/>
          <w:highlight w:val="none"/>
        </w:rPr>
        <w:t>.3</w:t>
      </w:r>
      <w:r>
        <w:rPr>
          <w:rFonts w:hint="eastAsia" w:ascii="宋体" w:hAnsi="宋体" w:eastAsia="宋体" w:cs="宋体"/>
          <w:strike w:val="0"/>
          <w:dstrike w:val="0"/>
          <w:snapToGrid w:val="0"/>
          <w:color w:val="auto"/>
          <w:kern w:val="0"/>
          <w:sz w:val="24"/>
          <w:szCs w:val="24"/>
          <w:highlight w:val="none"/>
        </w:rPr>
        <w:t xml:space="preserve"> </w:t>
      </w:r>
      <w:r>
        <w:rPr>
          <w:rFonts w:hint="eastAsia" w:ascii="宋体" w:hAnsi="宋体" w:eastAsia="宋体" w:cs="宋体"/>
          <w:color w:val="auto"/>
          <w:kern w:val="0"/>
          <w:sz w:val="24"/>
          <w:szCs w:val="24"/>
          <w:highlight w:val="none"/>
          <w:lang w:val="en-US" w:eastAsia="zh-CN" w:bidi="ar"/>
        </w:rPr>
        <w:t>承包人应在工资专户开立后2个工作日内，将开户银行及其账号、开户协议等资料提交给发包人。</w:t>
      </w:r>
    </w:p>
    <w:p w14:paraId="6DEAE506">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（1）用人单位应当在建设项目动工前，在建设项目所在地商业银行设立工人工资支付专用账户。</w:t>
      </w:r>
    </w:p>
    <w:p w14:paraId="38E9A954">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（2）用人单位应当在用工之日起 15 日内为每一位工人办理个人银行账户。</w:t>
      </w:r>
    </w:p>
    <w:p w14:paraId="396A7095">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（3）用人单位应当指定专人负责建设项目施工现场台账管理，真实、准确记录工人名册、劳务合同、劳动合同、工程进度、工时台账、劳务承包款和工人工资支付等信息，并保存两年以上备查。</w:t>
      </w:r>
    </w:p>
    <w:p w14:paraId="4BC386CF">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用人单位应当按照“及时支付，按实结算”的原则，在规定日期前通过银行工人工资支付专用账户将工人工资直接支付到工人的个人银行账户，并按月将工人工资支付明细表报施工总承包单位和建设单位备案。用人单位未建立、保存用工管理台账，或者伪造相关台账的，按照《广东省劳动保障监察条例》第五十条的规定，由人力资源社会保障部门责令改正，并可处以二千元以上二万元以下的人民币罚款。</w:t>
      </w:r>
    </w:p>
    <w:p w14:paraId="723ACB9A">
      <w:pPr>
        <w:keepNext w:val="0"/>
        <w:keepLines w:val="0"/>
        <w:pageBreakBefore w:val="0"/>
        <w:widowControl/>
        <w:suppressLineNumbers w:val="0"/>
        <w:kinsoku/>
        <w:overflowPunct/>
        <w:topLinePunct w:val="0"/>
        <w:bidi w:val="0"/>
        <w:spacing w:line="360" w:lineRule="auto"/>
        <w:ind w:firstLine="482" w:firstLineChars="200"/>
        <w:jc w:val="left"/>
        <w:rPr>
          <w:rStyle w:val="28"/>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lang w:val="en-US" w:eastAsia="zh-CN" w:bidi="ar"/>
        </w:rPr>
        <w:t xml:space="preserve">4.2.4 </w:t>
      </w:r>
      <w:r>
        <w:rPr>
          <w:rFonts w:hint="eastAsia" w:ascii="宋体" w:hAnsi="宋体" w:eastAsia="宋体" w:cs="宋体"/>
          <w:color w:val="auto"/>
          <w:kern w:val="0"/>
          <w:sz w:val="24"/>
          <w:szCs w:val="24"/>
          <w:highlight w:val="none"/>
          <w:lang w:val="en-US" w:eastAsia="zh-CN" w:bidi="ar"/>
        </w:rPr>
        <w:t>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59527E29">
      <w:pPr>
        <w:spacing w:before="151" w:line="360" w:lineRule="auto"/>
        <w:ind w:left="476"/>
        <w:outlineLvl w:val="2"/>
        <w:rPr>
          <w:rFonts w:hint="eastAsia" w:ascii="宋体" w:hAnsi="宋体" w:eastAsia="宋体" w:cs="宋体"/>
          <w:b/>
          <w:bCs/>
          <w:color w:val="auto"/>
          <w:spacing w:val="-11"/>
          <w:sz w:val="24"/>
          <w:szCs w:val="24"/>
          <w:highlight w:val="none"/>
        </w:rPr>
      </w:pPr>
      <w:bookmarkStart w:id="146" w:name="_Toc16211"/>
      <w:r>
        <w:rPr>
          <w:rFonts w:hint="eastAsia" w:ascii="宋体" w:hAnsi="宋体" w:eastAsia="宋体" w:cs="宋体"/>
          <w:b/>
          <w:bCs/>
          <w:color w:val="auto"/>
          <w:spacing w:val="-11"/>
          <w:sz w:val="24"/>
          <w:szCs w:val="24"/>
          <w:highlight w:val="none"/>
          <w:lang w:val="en-US" w:eastAsia="zh-CN"/>
        </w:rPr>
        <w:t>5.</w:t>
      </w:r>
      <w:r>
        <w:rPr>
          <w:rFonts w:hint="eastAsia" w:ascii="宋体" w:hAnsi="宋体" w:eastAsia="宋体" w:cs="宋体"/>
          <w:b/>
          <w:bCs/>
          <w:color w:val="auto"/>
          <w:spacing w:val="-11"/>
          <w:sz w:val="24"/>
          <w:szCs w:val="24"/>
          <w:highlight w:val="none"/>
        </w:rPr>
        <w:t>工期进度</w:t>
      </w:r>
      <w:bookmarkEnd w:id="146"/>
    </w:p>
    <w:p w14:paraId="0DF79A81">
      <w:pPr>
        <w:snapToGrid w:val="0"/>
        <w:spacing w:line="360" w:lineRule="auto"/>
        <w:ind w:firstLine="482" w:firstLineChars="200"/>
        <w:rPr>
          <w:rStyle w:val="28"/>
          <w:rFonts w:hint="eastAsia" w:ascii="宋体" w:hAnsi="宋体" w:eastAsia="宋体" w:cs="宋体"/>
          <w:color w:val="auto"/>
          <w:kern w:val="0"/>
          <w:sz w:val="24"/>
          <w:szCs w:val="24"/>
          <w:highlight w:val="none"/>
        </w:rPr>
      </w:pPr>
      <w:r>
        <w:rPr>
          <w:rStyle w:val="28"/>
          <w:rFonts w:hint="eastAsia" w:ascii="宋体" w:hAnsi="宋体" w:eastAsia="宋体" w:cs="宋体"/>
          <w:b/>
          <w:bCs/>
          <w:color w:val="auto"/>
          <w:kern w:val="0"/>
          <w:sz w:val="24"/>
          <w:szCs w:val="24"/>
          <w:highlight w:val="none"/>
          <w:lang w:val="en-US" w:eastAsia="zh-CN"/>
        </w:rPr>
        <w:t>5</w:t>
      </w:r>
      <w:r>
        <w:rPr>
          <w:rStyle w:val="28"/>
          <w:rFonts w:hint="eastAsia" w:ascii="宋体" w:hAnsi="宋体" w:eastAsia="宋体" w:cs="宋体"/>
          <w:b/>
          <w:bCs/>
          <w:color w:val="auto"/>
          <w:kern w:val="0"/>
          <w:sz w:val="24"/>
          <w:szCs w:val="24"/>
          <w:highlight w:val="none"/>
        </w:rPr>
        <w:t>.1</w:t>
      </w:r>
      <w:r>
        <w:rPr>
          <w:rStyle w:val="28"/>
          <w:rFonts w:hint="eastAsia" w:ascii="宋体" w:hAnsi="宋体" w:eastAsia="宋体" w:cs="宋体"/>
          <w:color w:val="auto"/>
          <w:kern w:val="0"/>
          <w:sz w:val="24"/>
          <w:szCs w:val="24"/>
          <w:highlight w:val="none"/>
          <w:lang w:eastAsia="zh-CN"/>
        </w:rPr>
        <w:t>本工程施工招标工期为</w:t>
      </w:r>
      <w:r>
        <w:rPr>
          <w:rStyle w:val="28"/>
          <w:rFonts w:hint="eastAsia" w:ascii="宋体" w:hAnsi="宋体" w:eastAsia="宋体" w:cs="宋体"/>
          <w:color w:val="auto"/>
          <w:kern w:val="0"/>
          <w:sz w:val="24"/>
          <w:szCs w:val="24"/>
          <w:highlight w:val="none"/>
          <w:lang w:val="en-US" w:eastAsia="zh-CN"/>
        </w:rPr>
        <w:t>60</w:t>
      </w:r>
      <w:r>
        <w:rPr>
          <w:rStyle w:val="28"/>
          <w:rFonts w:hint="eastAsia" w:ascii="宋体" w:hAnsi="宋体" w:eastAsia="宋体" w:cs="宋体"/>
          <w:color w:val="auto"/>
          <w:kern w:val="0"/>
          <w:sz w:val="24"/>
          <w:szCs w:val="24"/>
          <w:highlight w:val="none"/>
          <w:lang w:eastAsia="zh-CN"/>
        </w:rPr>
        <w:t>个日历天。</w:t>
      </w:r>
      <w:r>
        <w:rPr>
          <w:rStyle w:val="28"/>
          <w:rFonts w:hint="eastAsia" w:ascii="宋体" w:hAnsi="宋体" w:eastAsia="宋体" w:cs="宋体"/>
          <w:color w:val="auto"/>
          <w:kern w:val="0"/>
          <w:sz w:val="24"/>
          <w:szCs w:val="24"/>
          <w:highlight w:val="none"/>
        </w:rPr>
        <w:t>承包人必须在招标工期内完成本工程招标范围内的全部内容。</w:t>
      </w:r>
    </w:p>
    <w:p w14:paraId="48C2A206">
      <w:pPr>
        <w:snapToGrid w:val="0"/>
        <w:spacing w:line="360" w:lineRule="auto"/>
        <w:ind w:firstLine="482" w:firstLineChars="200"/>
        <w:rPr>
          <w:rStyle w:val="28"/>
          <w:rFonts w:hint="eastAsia" w:ascii="宋体" w:hAnsi="宋体" w:eastAsia="宋体" w:cs="宋体"/>
          <w:color w:val="auto"/>
          <w:kern w:val="0"/>
          <w:sz w:val="24"/>
          <w:szCs w:val="24"/>
          <w:highlight w:val="none"/>
        </w:rPr>
      </w:pPr>
      <w:r>
        <w:rPr>
          <w:rStyle w:val="28"/>
          <w:rFonts w:hint="eastAsia" w:ascii="宋体" w:hAnsi="宋体" w:eastAsia="宋体" w:cs="宋体"/>
          <w:b/>
          <w:bCs/>
          <w:color w:val="auto"/>
          <w:kern w:val="0"/>
          <w:sz w:val="24"/>
          <w:szCs w:val="24"/>
          <w:highlight w:val="none"/>
          <w:lang w:val="en-US" w:eastAsia="zh-CN"/>
        </w:rPr>
        <w:t>5</w:t>
      </w:r>
      <w:r>
        <w:rPr>
          <w:rStyle w:val="28"/>
          <w:rFonts w:hint="eastAsia" w:ascii="宋体" w:hAnsi="宋体" w:eastAsia="宋体" w:cs="宋体"/>
          <w:b/>
          <w:bCs/>
          <w:color w:val="auto"/>
          <w:kern w:val="0"/>
          <w:sz w:val="24"/>
          <w:szCs w:val="24"/>
          <w:highlight w:val="none"/>
        </w:rPr>
        <w:t>.2</w:t>
      </w:r>
      <w:r>
        <w:rPr>
          <w:rStyle w:val="28"/>
          <w:rFonts w:hint="eastAsia" w:ascii="宋体" w:hAnsi="宋体" w:eastAsia="宋体" w:cs="宋体"/>
          <w:color w:val="auto"/>
          <w:kern w:val="0"/>
          <w:sz w:val="24"/>
          <w:szCs w:val="24"/>
          <w:highlight w:val="none"/>
        </w:rPr>
        <w:t xml:space="preserve"> 施工工期从承包人收到监理单位签发的开工令之日起计，至竣工验收合格之日止。</w:t>
      </w:r>
    </w:p>
    <w:p w14:paraId="66091C97">
      <w:pPr>
        <w:snapToGrid w:val="0"/>
        <w:spacing w:line="360" w:lineRule="auto"/>
        <w:ind w:firstLine="482" w:firstLineChars="200"/>
        <w:rPr>
          <w:rFonts w:hint="eastAsia" w:ascii="宋体" w:hAnsi="宋体" w:eastAsia="宋体" w:cs="宋体"/>
          <w:color w:val="auto"/>
          <w:highlight w:val="none"/>
        </w:rPr>
      </w:pPr>
      <w:r>
        <w:rPr>
          <w:rStyle w:val="28"/>
          <w:rFonts w:hint="eastAsia" w:ascii="宋体" w:hAnsi="宋体" w:eastAsia="宋体" w:cs="宋体"/>
          <w:b/>
          <w:bCs/>
          <w:color w:val="auto"/>
          <w:kern w:val="0"/>
          <w:sz w:val="24"/>
          <w:szCs w:val="24"/>
          <w:highlight w:val="none"/>
          <w:lang w:val="en-US" w:eastAsia="zh-CN"/>
        </w:rPr>
        <w:t>5</w:t>
      </w:r>
      <w:r>
        <w:rPr>
          <w:rStyle w:val="28"/>
          <w:rFonts w:hint="eastAsia" w:ascii="宋体" w:hAnsi="宋体" w:eastAsia="宋体" w:cs="宋体"/>
          <w:b/>
          <w:bCs/>
          <w:color w:val="auto"/>
          <w:kern w:val="0"/>
          <w:sz w:val="24"/>
          <w:szCs w:val="24"/>
          <w:highlight w:val="none"/>
        </w:rPr>
        <w:t>.3</w:t>
      </w:r>
      <w:r>
        <w:rPr>
          <w:rStyle w:val="28"/>
          <w:rFonts w:hint="eastAsia" w:ascii="宋体" w:hAnsi="宋体" w:eastAsia="宋体" w:cs="宋体"/>
          <w:color w:val="auto"/>
          <w:kern w:val="0"/>
          <w:sz w:val="24"/>
          <w:szCs w:val="24"/>
          <w:highlight w:val="none"/>
        </w:rPr>
        <w:t xml:space="preserve"> 由于承包人原因造成工期延误的，承包人须在逾期第壹天起每天按合同价的</w:t>
      </w:r>
      <w:r>
        <w:rPr>
          <w:rStyle w:val="28"/>
          <w:rFonts w:hint="eastAsia" w:ascii="宋体" w:hAnsi="宋体" w:cs="宋体"/>
          <w:color w:val="auto"/>
          <w:kern w:val="0"/>
          <w:sz w:val="24"/>
          <w:szCs w:val="24"/>
          <w:highlight w:val="none"/>
          <w:lang w:val="en-US"/>
        </w:rPr>
        <w:t>1</w:t>
      </w:r>
      <w:r>
        <w:rPr>
          <w:rStyle w:val="28"/>
          <w:rFonts w:hint="eastAsia" w:ascii="宋体" w:hAnsi="宋体" w:eastAsia="宋体" w:cs="宋体"/>
          <w:color w:val="auto"/>
          <w:kern w:val="0"/>
          <w:sz w:val="24"/>
          <w:szCs w:val="24"/>
          <w:highlight w:val="none"/>
          <w:u w:val="single"/>
        </w:rPr>
        <w:t>‰</w:t>
      </w:r>
      <w:r>
        <w:rPr>
          <w:rStyle w:val="28"/>
          <w:rFonts w:hint="eastAsia" w:ascii="宋体" w:hAnsi="宋体" w:eastAsia="宋体" w:cs="宋体"/>
          <w:color w:val="auto"/>
          <w:kern w:val="0"/>
          <w:sz w:val="24"/>
          <w:szCs w:val="24"/>
          <w:highlight w:val="none"/>
        </w:rPr>
        <w:t>向招标人返纳逾期竣工违约金。</w:t>
      </w:r>
    </w:p>
    <w:p w14:paraId="6EE4C774">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147" w:name="_Toc4690"/>
      <w:r>
        <w:rPr>
          <w:rFonts w:hint="eastAsia" w:ascii="宋体" w:hAnsi="宋体" w:eastAsia="宋体" w:cs="宋体"/>
          <w:b/>
          <w:bCs/>
          <w:color w:val="auto"/>
          <w:spacing w:val="-11"/>
          <w:sz w:val="24"/>
          <w:szCs w:val="24"/>
          <w:highlight w:val="none"/>
          <w:lang w:val="en-US" w:eastAsia="zh-CN"/>
        </w:rPr>
        <w:t>6.项目管理机构</w:t>
      </w:r>
      <w:bookmarkEnd w:id="147"/>
    </w:p>
    <w:p w14:paraId="3B42F43D">
      <w:pPr>
        <w:snapToGrid w:val="0"/>
        <w:spacing w:line="360" w:lineRule="auto"/>
        <w:ind w:firstLine="482" w:firstLineChars="200"/>
        <w:rPr>
          <w:rStyle w:val="28"/>
          <w:rFonts w:hint="eastAsia" w:ascii="宋体" w:hAnsi="宋体" w:eastAsia="宋体" w:cs="宋体"/>
          <w:color w:val="auto"/>
          <w:kern w:val="0"/>
          <w:sz w:val="24"/>
          <w:szCs w:val="24"/>
          <w:highlight w:val="none"/>
        </w:rPr>
      </w:pPr>
      <w:r>
        <w:rPr>
          <w:rStyle w:val="28"/>
          <w:rFonts w:hint="eastAsia" w:ascii="宋体" w:hAnsi="宋体" w:eastAsia="宋体" w:cs="宋体"/>
          <w:b/>
          <w:bCs/>
          <w:color w:val="auto"/>
          <w:kern w:val="0"/>
          <w:sz w:val="24"/>
          <w:szCs w:val="24"/>
          <w:highlight w:val="none"/>
          <w:lang w:val="en-US" w:eastAsia="zh-CN"/>
        </w:rPr>
        <w:t>6</w:t>
      </w:r>
      <w:r>
        <w:rPr>
          <w:rStyle w:val="28"/>
          <w:rFonts w:hint="eastAsia" w:ascii="宋体" w:hAnsi="宋体" w:eastAsia="宋体" w:cs="宋体"/>
          <w:b/>
          <w:bCs/>
          <w:color w:val="auto"/>
          <w:kern w:val="0"/>
          <w:sz w:val="24"/>
          <w:szCs w:val="24"/>
          <w:highlight w:val="none"/>
        </w:rPr>
        <w:t>.1</w:t>
      </w:r>
      <w:r>
        <w:rPr>
          <w:rStyle w:val="28"/>
          <w:rFonts w:hint="eastAsia" w:ascii="宋体" w:hAnsi="宋体" w:eastAsia="宋体" w:cs="宋体"/>
          <w:color w:val="auto"/>
          <w:kern w:val="0"/>
          <w:sz w:val="24"/>
          <w:szCs w:val="24"/>
          <w:highlight w:val="none"/>
        </w:rPr>
        <w:t xml:space="preserve"> 承包人派驻的项目管理班子成员必须为其投标文件确定的人员，否则发包人有权终止合同。</w:t>
      </w:r>
    </w:p>
    <w:p w14:paraId="5EDA436C">
      <w:pPr>
        <w:snapToGrid w:val="0"/>
        <w:spacing w:line="360" w:lineRule="auto"/>
        <w:ind w:firstLine="482" w:firstLineChars="200"/>
        <w:rPr>
          <w:rStyle w:val="28"/>
          <w:rFonts w:hint="eastAsia" w:ascii="宋体" w:hAnsi="宋体" w:eastAsia="宋体" w:cs="宋体"/>
          <w:b w:val="0"/>
          <w:bCs w:val="0"/>
          <w:color w:val="auto"/>
          <w:kern w:val="0"/>
          <w:sz w:val="24"/>
          <w:szCs w:val="24"/>
          <w:highlight w:val="none"/>
          <w:lang w:val="en-US" w:eastAsia="zh-CN"/>
        </w:rPr>
      </w:pPr>
      <w:bookmarkStart w:id="148" w:name="_Toc32659"/>
      <w:r>
        <w:rPr>
          <w:rStyle w:val="28"/>
          <w:rFonts w:hint="eastAsia" w:ascii="宋体" w:hAnsi="宋体" w:eastAsia="宋体" w:cs="宋体"/>
          <w:b/>
          <w:bCs/>
          <w:color w:val="auto"/>
          <w:kern w:val="0"/>
          <w:sz w:val="24"/>
          <w:szCs w:val="24"/>
          <w:highlight w:val="none"/>
          <w:lang w:val="en-US" w:eastAsia="zh-CN"/>
        </w:rPr>
        <w:t xml:space="preserve">6.2 </w:t>
      </w:r>
      <w:r>
        <w:rPr>
          <w:rStyle w:val="28"/>
          <w:rFonts w:hint="eastAsia" w:ascii="宋体" w:hAnsi="宋体" w:eastAsia="宋体" w:cs="宋体"/>
          <w:b w:val="0"/>
          <w:bCs w:val="0"/>
          <w:color w:val="auto"/>
          <w:kern w:val="0"/>
          <w:sz w:val="24"/>
          <w:szCs w:val="24"/>
          <w:highlight w:val="none"/>
          <w:lang w:val="en-US" w:eastAsia="zh-CN"/>
        </w:rPr>
        <w:t>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bookmarkEnd w:id="148"/>
    </w:p>
    <w:p w14:paraId="2990D52B">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149" w:name="_Toc18634"/>
      <w:r>
        <w:rPr>
          <w:rFonts w:hint="eastAsia" w:ascii="宋体" w:hAnsi="宋体" w:eastAsia="宋体" w:cs="宋体"/>
          <w:b/>
          <w:bCs/>
          <w:color w:val="auto"/>
          <w:spacing w:val="-11"/>
          <w:sz w:val="24"/>
          <w:szCs w:val="24"/>
          <w:highlight w:val="none"/>
          <w:lang w:val="en-US" w:eastAsia="zh-CN"/>
        </w:rPr>
        <w:t>7.现场管理</w:t>
      </w:r>
      <w:bookmarkEnd w:id="149"/>
    </w:p>
    <w:p w14:paraId="1D79DC07">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Style w:val="28"/>
          <w:rFonts w:hint="eastAsia" w:ascii="宋体" w:hAnsi="宋体" w:eastAsia="宋体" w:cs="宋体"/>
          <w:b w:val="0"/>
          <w:bCs w:val="0"/>
          <w:color w:val="auto"/>
          <w:kern w:val="0"/>
          <w:sz w:val="24"/>
          <w:szCs w:val="24"/>
          <w:highlight w:val="none"/>
          <w:lang w:val="en-US" w:eastAsia="zh-CN"/>
        </w:rPr>
      </w:pPr>
      <w:bookmarkStart w:id="150" w:name="_Toc7562"/>
      <w:r>
        <w:rPr>
          <w:rStyle w:val="28"/>
          <w:rFonts w:hint="eastAsia" w:ascii="宋体" w:hAnsi="宋体" w:eastAsia="宋体" w:cs="宋体"/>
          <w:b/>
          <w:bCs/>
          <w:color w:val="auto"/>
          <w:kern w:val="0"/>
          <w:sz w:val="24"/>
          <w:szCs w:val="24"/>
          <w:highlight w:val="none"/>
          <w:lang w:val="en-US" w:eastAsia="zh-CN"/>
        </w:rPr>
        <w:t xml:space="preserve">7.1 </w:t>
      </w:r>
      <w:r>
        <w:rPr>
          <w:rStyle w:val="28"/>
          <w:rFonts w:hint="eastAsia" w:ascii="宋体" w:hAnsi="宋体" w:eastAsia="宋体" w:cs="宋体"/>
          <w:b w:val="0"/>
          <w:bCs w:val="0"/>
          <w:color w:val="auto"/>
          <w:kern w:val="0"/>
          <w:sz w:val="24"/>
          <w:szCs w:val="24"/>
          <w:highlight w:val="none"/>
          <w:lang w:val="en-US" w:eastAsia="zh-CN"/>
        </w:rPr>
        <w:t>承包人在施工期间应严格遵守国家、广东省、韶关市有关绿色施工、文明施工、噪音扬尘、消防爆破、环境卫生、渣土清运、防火和治安保卫等方面的规定，并建立相应规章制度和保障措施。否则由此造成的经济损失和法律责任，均由承包人承担。</w:t>
      </w:r>
      <w:bookmarkEnd w:id="150"/>
    </w:p>
    <w:p w14:paraId="58A9F95E">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Style w:val="28"/>
          <w:rFonts w:hint="eastAsia" w:ascii="宋体" w:hAnsi="宋体" w:eastAsia="宋体" w:cs="宋体"/>
          <w:color w:val="auto"/>
          <w:kern w:val="0"/>
          <w:sz w:val="24"/>
          <w:szCs w:val="24"/>
          <w:highlight w:val="none"/>
        </w:rPr>
      </w:pPr>
      <w:r>
        <w:rPr>
          <w:rStyle w:val="28"/>
          <w:rFonts w:hint="eastAsia" w:ascii="宋体" w:hAnsi="宋体" w:eastAsia="宋体" w:cs="宋体"/>
          <w:b/>
          <w:bCs/>
          <w:color w:val="auto"/>
          <w:kern w:val="0"/>
          <w:sz w:val="24"/>
          <w:szCs w:val="24"/>
          <w:highlight w:val="none"/>
          <w:lang w:val="en-US" w:eastAsia="zh-CN"/>
        </w:rPr>
        <w:t>7</w:t>
      </w:r>
      <w:r>
        <w:rPr>
          <w:rStyle w:val="28"/>
          <w:rFonts w:hint="eastAsia" w:ascii="宋体" w:hAnsi="宋体" w:eastAsia="宋体" w:cs="宋体"/>
          <w:b/>
          <w:bCs/>
          <w:color w:val="auto"/>
          <w:kern w:val="0"/>
          <w:sz w:val="24"/>
          <w:szCs w:val="24"/>
          <w:highlight w:val="none"/>
        </w:rPr>
        <w:t>.2</w:t>
      </w:r>
      <w:r>
        <w:rPr>
          <w:rStyle w:val="28"/>
          <w:rFonts w:hint="eastAsia" w:ascii="宋体" w:hAnsi="宋体" w:eastAsia="宋体" w:cs="宋体"/>
          <w:color w:val="auto"/>
          <w:kern w:val="0"/>
          <w:sz w:val="24"/>
          <w:szCs w:val="24"/>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49F65F2C">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Style w:val="28"/>
          <w:rFonts w:hint="eastAsia" w:ascii="宋体" w:hAnsi="宋体" w:eastAsia="宋体" w:cs="宋体"/>
          <w:b/>
          <w:bCs/>
          <w:color w:val="auto"/>
          <w:kern w:val="0"/>
          <w:sz w:val="24"/>
          <w:szCs w:val="24"/>
          <w:highlight w:val="none"/>
        </w:rPr>
      </w:pPr>
      <w:r>
        <w:rPr>
          <w:rStyle w:val="28"/>
          <w:rFonts w:hint="eastAsia" w:ascii="宋体" w:hAnsi="宋体" w:eastAsia="宋体" w:cs="宋体"/>
          <w:b/>
          <w:bCs/>
          <w:color w:val="auto"/>
          <w:kern w:val="0"/>
          <w:sz w:val="24"/>
          <w:szCs w:val="24"/>
          <w:highlight w:val="none"/>
          <w:lang w:val="en-US" w:eastAsia="zh-CN"/>
        </w:rPr>
        <w:t>7</w:t>
      </w:r>
      <w:r>
        <w:rPr>
          <w:rStyle w:val="28"/>
          <w:rFonts w:hint="eastAsia" w:ascii="宋体" w:hAnsi="宋体" w:eastAsia="宋体" w:cs="宋体"/>
          <w:b/>
          <w:bCs/>
          <w:color w:val="auto"/>
          <w:kern w:val="0"/>
          <w:sz w:val="24"/>
          <w:szCs w:val="24"/>
          <w:highlight w:val="none"/>
        </w:rPr>
        <w:t>.3</w:t>
      </w:r>
      <w:r>
        <w:rPr>
          <w:rStyle w:val="28"/>
          <w:rFonts w:hint="eastAsia" w:ascii="宋体" w:hAnsi="宋体" w:eastAsia="宋体" w:cs="宋体"/>
          <w:color w:val="auto"/>
          <w:kern w:val="0"/>
          <w:sz w:val="24"/>
          <w:szCs w:val="24"/>
          <w:highlight w:val="none"/>
        </w:rPr>
        <w:t xml:space="preserve"> 为保证施工现场的环境卫生，承包人在本工程施工过程中，所有的车辆必须按发包人规定的行车路线行驶。</w:t>
      </w:r>
    </w:p>
    <w:p w14:paraId="493F356B">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151" w:name="_Toc15027"/>
      <w:r>
        <w:rPr>
          <w:rFonts w:hint="eastAsia" w:ascii="宋体" w:hAnsi="宋体" w:eastAsia="宋体" w:cs="宋体"/>
          <w:b/>
          <w:bCs/>
          <w:color w:val="auto"/>
          <w:spacing w:val="-11"/>
          <w:sz w:val="24"/>
          <w:szCs w:val="24"/>
          <w:highlight w:val="none"/>
          <w:lang w:val="en-US" w:eastAsia="zh-CN"/>
        </w:rPr>
        <w:t>8.监督实施</w:t>
      </w:r>
      <w:bookmarkEnd w:id="151"/>
    </w:p>
    <w:p w14:paraId="2069F7EB">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60"/>
        <w:textAlignment w:val="baseline"/>
        <w:rPr>
          <w:rStyle w:val="28"/>
          <w:rFonts w:hint="eastAsia" w:ascii="宋体" w:hAnsi="宋体" w:eastAsia="宋体" w:cs="宋体"/>
          <w:b/>
          <w:bCs/>
          <w:color w:val="auto"/>
          <w:kern w:val="0"/>
          <w:sz w:val="24"/>
          <w:szCs w:val="24"/>
          <w:highlight w:val="none"/>
        </w:rPr>
      </w:pPr>
      <w:r>
        <w:rPr>
          <w:rStyle w:val="28"/>
          <w:rFonts w:hint="eastAsia" w:ascii="宋体" w:hAnsi="宋体" w:eastAsia="宋体" w:cs="宋体"/>
          <w:color w:val="auto"/>
          <w:kern w:val="0"/>
          <w:sz w:val="24"/>
          <w:szCs w:val="24"/>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2D104086">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152" w:name="_Toc31222"/>
      <w:r>
        <w:rPr>
          <w:rFonts w:hint="eastAsia" w:ascii="宋体" w:hAnsi="宋体" w:eastAsia="宋体" w:cs="宋体"/>
          <w:b/>
          <w:bCs/>
          <w:color w:val="auto"/>
          <w:spacing w:val="-11"/>
          <w:sz w:val="24"/>
          <w:szCs w:val="24"/>
          <w:highlight w:val="none"/>
          <w:lang w:val="en-US" w:eastAsia="zh-CN"/>
        </w:rPr>
        <w:t>9.主材的采购和使用</w:t>
      </w:r>
      <w:bookmarkEnd w:id="152"/>
    </w:p>
    <w:p w14:paraId="22B81A4D">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60"/>
        <w:textAlignment w:val="baseline"/>
        <w:rPr>
          <w:rStyle w:val="28"/>
          <w:rFonts w:hint="eastAsia" w:ascii="宋体" w:hAnsi="宋体" w:eastAsia="宋体" w:cs="宋体"/>
          <w:b/>
          <w:bCs/>
          <w:color w:val="auto"/>
          <w:kern w:val="0"/>
          <w:sz w:val="24"/>
          <w:szCs w:val="24"/>
          <w:highlight w:val="none"/>
        </w:rPr>
      </w:pPr>
      <w:r>
        <w:rPr>
          <w:rStyle w:val="28"/>
          <w:rFonts w:hint="eastAsia" w:ascii="宋体" w:hAnsi="宋体" w:eastAsia="宋体" w:cs="宋体"/>
          <w:color w:val="auto"/>
          <w:kern w:val="0"/>
          <w:sz w:val="24"/>
          <w:szCs w:val="24"/>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7047A4A9">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153" w:name="_Toc15970"/>
      <w:r>
        <w:rPr>
          <w:rFonts w:hint="eastAsia" w:ascii="宋体" w:hAnsi="宋体" w:eastAsia="宋体" w:cs="宋体"/>
          <w:b/>
          <w:bCs/>
          <w:color w:val="auto"/>
          <w:spacing w:val="-11"/>
          <w:sz w:val="24"/>
          <w:szCs w:val="24"/>
          <w:highlight w:val="none"/>
          <w:lang w:val="en-US" w:eastAsia="zh-CN"/>
        </w:rPr>
        <w:t>10.竣工资料移交</w:t>
      </w:r>
      <w:bookmarkEnd w:id="153"/>
    </w:p>
    <w:p w14:paraId="04F7DEDF">
      <w:pPr>
        <w:widowControl w:val="0"/>
        <w:wordWrap w:val="0"/>
        <w:adjustRightInd w:val="0"/>
        <w:snapToGrid w:val="0"/>
        <w:spacing w:line="360" w:lineRule="auto"/>
        <w:ind w:firstLine="560"/>
        <w:textAlignment w:val="auto"/>
        <w:rPr>
          <w:rStyle w:val="28"/>
          <w:rFonts w:hint="eastAsia" w:ascii="宋体" w:hAnsi="宋体" w:eastAsia="宋体" w:cs="宋体"/>
          <w:b/>
          <w:bCs/>
          <w:color w:val="auto"/>
          <w:kern w:val="0"/>
          <w:sz w:val="24"/>
          <w:szCs w:val="24"/>
          <w:highlight w:val="none"/>
        </w:rPr>
      </w:pPr>
      <w:r>
        <w:rPr>
          <w:rFonts w:hint="eastAsia" w:ascii="宋体" w:hAnsi="宋体" w:eastAsia="宋体" w:cs="宋体"/>
          <w:bCs/>
          <w:snapToGrid w:val="0"/>
          <w:color w:val="auto"/>
          <w:kern w:val="0"/>
          <w:sz w:val="24"/>
          <w:szCs w:val="24"/>
          <w:highlight w:val="none"/>
        </w:rPr>
        <w:t>项目竣工验收时，</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人应向监理单位和</w:t>
      </w:r>
      <w:r>
        <w:rPr>
          <w:rFonts w:hint="eastAsia" w:ascii="宋体" w:hAnsi="宋体" w:eastAsia="宋体" w:cs="宋体"/>
          <w:snapToGrid w:val="0"/>
          <w:color w:val="auto"/>
          <w:kern w:val="0"/>
          <w:sz w:val="24"/>
          <w:szCs w:val="24"/>
          <w:highlight w:val="none"/>
        </w:rPr>
        <w:t>发包</w:t>
      </w:r>
      <w:r>
        <w:rPr>
          <w:rFonts w:hint="eastAsia" w:ascii="宋体" w:hAnsi="宋体" w:eastAsia="宋体" w:cs="宋体"/>
          <w:bCs/>
          <w:snapToGrid w:val="0"/>
          <w:color w:val="auto"/>
          <w:kern w:val="0"/>
          <w:sz w:val="24"/>
          <w:szCs w:val="24"/>
          <w:highlight w:val="none"/>
        </w:rPr>
        <w:t>人提供符合国家档案部门备案要求的，编制成册的竣工图及有关的技术档案资料（含声像档案）一式</w:t>
      </w:r>
      <w:r>
        <w:rPr>
          <w:rFonts w:hint="eastAsia" w:ascii="宋体" w:hAnsi="宋体" w:eastAsia="宋体" w:cs="宋体"/>
          <w:bCs/>
          <w:snapToGrid w:val="0"/>
          <w:color w:val="auto"/>
          <w:kern w:val="0"/>
          <w:sz w:val="24"/>
          <w:szCs w:val="24"/>
          <w:highlight w:val="none"/>
          <w:u w:val="single"/>
        </w:rPr>
        <w:t xml:space="preserve"> 八 </w:t>
      </w:r>
      <w:r>
        <w:rPr>
          <w:rFonts w:hint="eastAsia" w:ascii="宋体" w:hAnsi="宋体" w:eastAsia="宋体" w:cs="宋体"/>
          <w:bCs/>
          <w:snapToGrid w:val="0"/>
          <w:color w:val="auto"/>
          <w:kern w:val="0"/>
          <w:sz w:val="24"/>
          <w:szCs w:val="24"/>
          <w:highlight w:val="none"/>
        </w:rPr>
        <w:t>份。</w:t>
      </w:r>
    </w:p>
    <w:p w14:paraId="50AEAA6F">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154" w:name="_Toc26354"/>
      <w:r>
        <w:rPr>
          <w:rFonts w:hint="eastAsia" w:ascii="宋体" w:hAnsi="宋体" w:eastAsia="宋体" w:cs="宋体"/>
          <w:b/>
          <w:bCs/>
          <w:color w:val="auto"/>
          <w:spacing w:val="-11"/>
          <w:sz w:val="24"/>
          <w:szCs w:val="24"/>
          <w:highlight w:val="none"/>
          <w:lang w:val="en-US" w:eastAsia="zh-CN"/>
        </w:rPr>
        <w:t>11.质量保证</w:t>
      </w:r>
      <w:bookmarkEnd w:id="154"/>
    </w:p>
    <w:p w14:paraId="2D6C1920">
      <w:pPr>
        <w:snapToGrid w:val="0"/>
        <w:spacing w:line="360" w:lineRule="auto"/>
        <w:ind w:firstLine="560"/>
        <w:rPr>
          <w:rStyle w:val="28"/>
          <w:rFonts w:hint="eastAsia" w:ascii="宋体" w:hAnsi="宋体" w:eastAsia="宋体" w:cs="宋体"/>
          <w:color w:val="auto"/>
          <w:kern w:val="0"/>
          <w:sz w:val="24"/>
          <w:szCs w:val="24"/>
          <w:highlight w:val="none"/>
        </w:rPr>
      </w:pPr>
      <w:r>
        <w:rPr>
          <w:rStyle w:val="28"/>
          <w:rFonts w:hint="eastAsia" w:ascii="宋体" w:hAnsi="宋体" w:eastAsia="宋体" w:cs="宋体"/>
          <w:b/>
          <w:bCs/>
          <w:color w:val="auto"/>
          <w:kern w:val="0"/>
          <w:sz w:val="24"/>
          <w:szCs w:val="24"/>
          <w:highlight w:val="none"/>
          <w:lang w:val="en-US" w:eastAsia="zh-CN"/>
        </w:rPr>
        <w:t>11</w:t>
      </w:r>
      <w:r>
        <w:rPr>
          <w:rStyle w:val="28"/>
          <w:rFonts w:hint="eastAsia" w:ascii="宋体" w:hAnsi="宋体" w:eastAsia="宋体" w:cs="宋体"/>
          <w:b/>
          <w:bCs/>
          <w:color w:val="auto"/>
          <w:kern w:val="0"/>
          <w:sz w:val="24"/>
          <w:szCs w:val="24"/>
          <w:highlight w:val="none"/>
        </w:rPr>
        <w:t>.1</w:t>
      </w:r>
      <w:r>
        <w:rPr>
          <w:rStyle w:val="28"/>
          <w:rFonts w:hint="eastAsia" w:ascii="宋体" w:hAnsi="宋体" w:eastAsia="宋体" w:cs="宋体"/>
          <w:color w:val="auto"/>
          <w:kern w:val="0"/>
          <w:sz w:val="24"/>
          <w:szCs w:val="24"/>
          <w:highlight w:val="none"/>
        </w:rPr>
        <w:t xml:space="preserve"> 本工程缺陷责任期为</w:t>
      </w:r>
      <w:r>
        <w:rPr>
          <w:rStyle w:val="28"/>
          <w:rFonts w:hint="eastAsia" w:ascii="宋体" w:hAnsi="宋体" w:eastAsia="宋体" w:cs="宋体"/>
          <w:color w:val="auto"/>
          <w:kern w:val="0"/>
          <w:sz w:val="24"/>
          <w:szCs w:val="24"/>
          <w:highlight w:val="none"/>
          <w:u w:val="single"/>
          <w:lang w:val="en-US" w:eastAsia="zh-CN"/>
        </w:rPr>
        <w:t xml:space="preserve"> 2 </w:t>
      </w:r>
      <w:r>
        <w:rPr>
          <w:rStyle w:val="28"/>
          <w:rFonts w:hint="eastAsia" w:ascii="宋体" w:hAnsi="宋体" w:eastAsia="宋体" w:cs="宋体"/>
          <w:color w:val="auto"/>
          <w:kern w:val="0"/>
          <w:sz w:val="24"/>
          <w:szCs w:val="24"/>
          <w:highlight w:val="none"/>
        </w:rPr>
        <w:t>年（自通过竣工验收之日起计），在此期间预留金额为结算价</w:t>
      </w:r>
      <w:r>
        <w:rPr>
          <w:rStyle w:val="28"/>
          <w:rFonts w:hint="eastAsia" w:ascii="宋体" w:hAnsi="宋体" w:eastAsia="宋体" w:cs="宋体"/>
          <w:color w:val="auto"/>
          <w:kern w:val="0"/>
          <w:sz w:val="24"/>
          <w:szCs w:val="24"/>
          <w:highlight w:val="none"/>
          <w:u w:val="single"/>
        </w:rPr>
        <w:t xml:space="preserve">3% </w:t>
      </w:r>
      <w:r>
        <w:rPr>
          <w:rStyle w:val="28"/>
          <w:rFonts w:hint="eastAsia" w:ascii="宋体" w:hAnsi="宋体" w:eastAsia="宋体" w:cs="宋体"/>
          <w:color w:val="auto"/>
          <w:kern w:val="0"/>
          <w:sz w:val="24"/>
          <w:szCs w:val="24"/>
          <w:highlight w:val="none"/>
        </w:rPr>
        <w:t>的质量保证。</w:t>
      </w:r>
    </w:p>
    <w:p w14:paraId="00B22301">
      <w:pPr>
        <w:snapToGrid w:val="0"/>
        <w:spacing w:line="360" w:lineRule="auto"/>
        <w:ind w:firstLine="560"/>
        <w:rPr>
          <w:rStyle w:val="28"/>
          <w:rFonts w:hint="eastAsia" w:ascii="宋体" w:hAnsi="宋体" w:eastAsia="宋体" w:cs="宋体"/>
          <w:color w:val="auto"/>
          <w:kern w:val="0"/>
          <w:sz w:val="24"/>
          <w:szCs w:val="24"/>
          <w:highlight w:val="none"/>
        </w:rPr>
      </w:pPr>
      <w:r>
        <w:rPr>
          <w:rStyle w:val="28"/>
          <w:rFonts w:hint="eastAsia" w:ascii="宋体" w:hAnsi="宋体" w:eastAsia="宋体" w:cs="宋体"/>
          <w:b/>
          <w:bCs/>
          <w:color w:val="auto"/>
          <w:kern w:val="0"/>
          <w:sz w:val="24"/>
          <w:szCs w:val="24"/>
          <w:highlight w:val="none"/>
          <w:lang w:val="en-US" w:eastAsia="zh-CN"/>
        </w:rPr>
        <w:t>11</w:t>
      </w:r>
      <w:r>
        <w:rPr>
          <w:rStyle w:val="28"/>
          <w:rFonts w:hint="eastAsia" w:ascii="宋体" w:hAnsi="宋体" w:eastAsia="宋体" w:cs="宋体"/>
          <w:b/>
          <w:bCs/>
          <w:color w:val="auto"/>
          <w:kern w:val="0"/>
          <w:sz w:val="24"/>
          <w:szCs w:val="24"/>
          <w:highlight w:val="none"/>
        </w:rPr>
        <w:t>.2</w:t>
      </w:r>
      <w:r>
        <w:rPr>
          <w:rStyle w:val="28"/>
          <w:rFonts w:hint="eastAsia" w:ascii="宋体" w:hAnsi="宋体" w:eastAsia="宋体" w:cs="宋体"/>
          <w:color w:val="auto"/>
          <w:kern w:val="0"/>
          <w:sz w:val="24"/>
          <w:szCs w:val="24"/>
          <w:highlight w:val="none"/>
        </w:rPr>
        <w:t xml:space="preserve"> 质量保证的形式包括质量保证金、质量保证担保、质量保证保险三种，由承包人自主选择。</w:t>
      </w:r>
    </w:p>
    <w:p w14:paraId="1819639E">
      <w:pPr>
        <w:snapToGrid w:val="0"/>
        <w:spacing w:line="360" w:lineRule="auto"/>
        <w:ind w:firstLine="480" w:firstLineChars="200"/>
        <w:rPr>
          <w:rStyle w:val="28"/>
          <w:rFonts w:hint="eastAsia" w:ascii="宋体" w:hAnsi="宋体" w:eastAsia="宋体" w:cs="宋体"/>
          <w:color w:val="auto"/>
          <w:kern w:val="0"/>
          <w:sz w:val="24"/>
          <w:szCs w:val="24"/>
          <w:highlight w:val="none"/>
        </w:rPr>
      </w:pPr>
      <w:r>
        <w:rPr>
          <w:rStyle w:val="28"/>
          <w:rFonts w:hint="eastAsia" w:ascii="宋体" w:hAnsi="宋体" w:eastAsia="宋体" w:cs="宋体"/>
          <w:color w:val="auto"/>
          <w:kern w:val="0"/>
          <w:sz w:val="24"/>
          <w:szCs w:val="24"/>
          <w:highlight w:val="none"/>
        </w:rPr>
        <w:t>（1）采用质量保证金形式的，在结清审定总造价时一次性扣留相应金额作为质量保证金。</w:t>
      </w:r>
    </w:p>
    <w:p w14:paraId="46CD3CA4">
      <w:pPr>
        <w:keepNext w:val="0"/>
        <w:keepLines w:val="0"/>
        <w:pageBreakBefore w:val="0"/>
        <w:widowControl w:val="0"/>
        <w:wordWrap/>
        <w:overflowPunct/>
        <w:topLinePunct w:val="0"/>
        <w:bidi w:val="0"/>
        <w:snapToGrid w:val="0"/>
        <w:spacing w:line="360" w:lineRule="auto"/>
        <w:ind w:firstLine="480" w:firstLineChars="200"/>
        <w:textAlignment w:val="baseline"/>
        <w:rPr>
          <w:rStyle w:val="28"/>
          <w:rFonts w:hint="eastAsia" w:ascii="宋体" w:hAnsi="宋体" w:eastAsia="宋体" w:cs="宋体"/>
          <w:color w:val="auto"/>
          <w:kern w:val="0"/>
          <w:sz w:val="24"/>
          <w:szCs w:val="24"/>
          <w:highlight w:val="none"/>
        </w:rPr>
      </w:pPr>
      <w:r>
        <w:rPr>
          <w:rStyle w:val="28"/>
          <w:rFonts w:hint="eastAsia" w:ascii="宋体" w:hAnsi="宋体" w:eastAsia="宋体" w:cs="宋体"/>
          <w:color w:val="auto"/>
          <w:kern w:val="0"/>
          <w:sz w:val="24"/>
          <w:szCs w:val="24"/>
          <w:highlight w:val="none"/>
        </w:rPr>
        <w:t>（2）采用质量保证担保或质量保证保险的，承包人应在竣工验收时向发包人提交有效的</w:t>
      </w:r>
      <w:r>
        <w:rPr>
          <w:rFonts w:hint="eastAsia" w:ascii="宋体" w:hAnsi="宋体" w:eastAsia="宋体" w:cs="宋体"/>
          <w:b w:val="0"/>
          <w:bCs/>
          <w:caps w:val="0"/>
          <w:smallCaps w:val="0"/>
          <w:snapToGrid w:val="0"/>
          <w:color w:val="auto"/>
          <w:spacing w:val="0"/>
          <w:kern w:val="0"/>
          <w:sz w:val="24"/>
          <w:szCs w:val="24"/>
          <w:highlight w:val="none"/>
          <w:lang w:val="en-US" w:eastAsia="zh-CN"/>
        </w:rPr>
        <w:t>商业保函、</w:t>
      </w:r>
      <w:r>
        <w:rPr>
          <w:rStyle w:val="28"/>
          <w:rFonts w:hint="eastAsia" w:ascii="宋体" w:hAnsi="宋体" w:eastAsia="宋体" w:cs="宋体"/>
          <w:color w:val="auto"/>
          <w:kern w:val="0"/>
          <w:sz w:val="24"/>
          <w:szCs w:val="24"/>
          <w:highlight w:val="none"/>
        </w:rPr>
        <w:t>银行保函或保险合同（或保险单）原件，</w:t>
      </w:r>
      <w:r>
        <w:rPr>
          <w:rFonts w:hint="eastAsia" w:ascii="宋体" w:hAnsi="宋体" w:eastAsia="宋体" w:cs="宋体"/>
          <w:b w:val="0"/>
          <w:bCs/>
          <w:caps w:val="0"/>
          <w:smallCaps w:val="0"/>
          <w:snapToGrid w:val="0"/>
          <w:color w:val="auto"/>
          <w:spacing w:val="0"/>
          <w:kern w:val="0"/>
          <w:sz w:val="24"/>
          <w:szCs w:val="24"/>
          <w:highlight w:val="none"/>
          <w:lang w:val="en-US" w:eastAsia="zh-CN"/>
        </w:rPr>
        <w:t>商业保函、</w:t>
      </w:r>
      <w:r>
        <w:rPr>
          <w:rStyle w:val="28"/>
          <w:rFonts w:hint="eastAsia" w:ascii="宋体" w:hAnsi="宋体" w:eastAsia="宋体" w:cs="宋体"/>
          <w:color w:val="auto"/>
          <w:kern w:val="0"/>
          <w:sz w:val="24"/>
          <w:szCs w:val="24"/>
          <w:highlight w:val="none"/>
        </w:rPr>
        <w:t>银行保函或保险合同（或保险单）的有效期不得短于缺陷责任期。</w:t>
      </w:r>
    </w:p>
    <w:p w14:paraId="3227548F">
      <w:pPr>
        <w:keepNext w:val="0"/>
        <w:keepLines w:val="0"/>
        <w:pageBreakBefore w:val="0"/>
        <w:widowControl w:val="0"/>
        <w:wordWrap/>
        <w:overflowPunct/>
        <w:topLinePunct w:val="0"/>
        <w:bidi w:val="0"/>
        <w:snapToGrid w:val="0"/>
        <w:spacing w:line="360" w:lineRule="auto"/>
        <w:ind w:firstLine="560"/>
        <w:textAlignment w:val="baseline"/>
        <w:rPr>
          <w:rStyle w:val="28"/>
          <w:rFonts w:hint="eastAsia" w:ascii="宋体" w:hAnsi="宋体" w:eastAsia="宋体" w:cs="宋体"/>
          <w:color w:val="auto"/>
          <w:kern w:val="0"/>
          <w:sz w:val="24"/>
          <w:szCs w:val="24"/>
          <w:highlight w:val="none"/>
        </w:rPr>
      </w:pPr>
      <w:r>
        <w:rPr>
          <w:rStyle w:val="28"/>
          <w:rFonts w:hint="eastAsia" w:ascii="宋体" w:hAnsi="宋体" w:eastAsia="宋体" w:cs="宋体"/>
          <w:b/>
          <w:bCs/>
          <w:color w:val="auto"/>
          <w:kern w:val="0"/>
          <w:sz w:val="24"/>
          <w:szCs w:val="24"/>
          <w:highlight w:val="none"/>
          <w:lang w:val="en-US" w:eastAsia="zh-CN"/>
        </w:rPr>
        <w:t>11</w:t>
      </w:r>
      <w:r>
        <w:rPr>
          <w:rStyle w:val="28"/>
          <w:rFonts w:hint="eastAsia" w:ascii="宋体" w:hAnsi="宋体" w:eastAsia="宋体" w:cs="宋体"/>
          <w:b/>
          <w:bCs/>
          <w:color w:val="auto"/>
          <w:kern w:val="0"/>
          <w:sz w:val="24"/>
          <w:szCs w:val="24"/>
          <w:highlight w:val="none"/>
        </w:rPr>
        <w:t>.3</w:t>
      </w:r>
      <w:r>
        <w:rPr>
          <w:rStyle w:val="28"/>
          <w:rFonts w:hint="eastAsia" w:ascii="宋体" w:hAnsi="宋体" w:eastAsia="宋体" w:cs="宋体"/>
          <w:color w:val="auto"/>
          <w:kern w:val="0"/>
          <w:sz w:val="24"/>
          <w:szCs w:val="24"/>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29808AF0">
      <w:pPr>
        <w:keepNext w:val="0"/>
        <w:keepLines w:val="0"/>
        <w:pageBreakBefore w:val="0"/>
        <w:widowControl w:val="0"/>
        <w:wordWrap/>
        <w:overflowPunct/>
        <w:topLinePunct w:val="0"/>
        <w:bidi w:val="0"/>
        <w:snapToGrid w:val="0"/>
        <w:spacing w:line="360" w:lineRule="auto"/>
        <w:ind w:firstLine="560"/>
        <w:textAlignment w:val="baseline"/>
        <w:rPr>
          <w:rStyle w:val="28"/>
          <w:rFonts w:hint="eastAsia" w:ascii="宋体" w:hAnsi="宋体" w:eastAsia="宋体" w:cs="宋体"/>
          <w:color w:val="auto"/>
          <w:kern w:val="0"/>
          <w:sz w:val="24"/>
          <w:szCs w:val="24"/>
          <w:highlight w:val="none"/>
        </w:rPr>
      </w:pPr>
      <w:r>
        <w:rPr>
          <w:rStyle w:val="28"/>
          <w:rFonts w:hint="eastAsia" w:ascii="宋体" w:hAnsi="宋体" w:eastAsia="宋体" w:cs="宋体"/>
          <w:color w:val="auto"/>
          <w:kern w:val="0"/>
          <w:sz w:val="24"/>
          <w:szCs w:val="24"/>
          <w:highlight w:val="none"/>
        </w:rPr>
        <w:t>由他人原因造成的缺陷，发包人负责组织维修，承包人不承担费用，且发包人不得从质量保证中扣除费用。</w:t>
      </w:r>
    </w:p>
    <w:p w14:paraId="5965070B">
      <w:pPr>
        <w:keepNext w:val="0"/>
        <w:keepLines w:val="0"/>
        <w:pageBreakBefore w:val="0"/>
        <w:widowControl w:val="0"/>
        <w:wordWrap/>
        <w:overflowPunct/>
        <w:topLinePunct w:val="0"/>
        <w:bidi w:val="0"/>
        <w:snapToGrid w:val="0"/>
        <w:spacing w:line="360" w:lineRule="auto"/>
        <w:ind w:firstLine="560"/>
        <w:textAlignment w:val="baseline"/>
        <w:rPr>
          <w:rStyle w:val="28"/>
          <w:rFonts w:hint="eastAsia" w:ascii="宋体" w:hAnsi="宋体" w:eastAsia="宋体" w:cs="宋体"/>
          <w:b/>
          <w:bCs/>
          <w:color w:val="auto"/>
          <w:kern w:val="0"/>
          <w:sz w:val="24"/>
          <w:szCs w:val="24"/>
          <w:highlight w:val="none"/>
        </w:rPr>
      </w:pPr>
      <w:r>
        <w:rPr>
          <w:rStyle w:val="28"/>
          <w:rFonts w:hint="eastAsia" w:ascii="宋体" w:hAnsi="宋体" w:eastAsia="宋体" w:cs="宋体"/>
          <w:b/>
          <w:bCs/>
          <w:color w:val="auto"/>
          <w:kern w:val="0"/>
          <w:sz w:val="24"/>
          <w:szCs w:val="24"/>
          <w:highlight w:val="none"/>
          <w:lang w:val="en-US" w:eastAsia="zh-CN"/>
        </w:rPr>
        <w:t>11</w:t>
      </w:r>
      <w:r>
        <w:rPr>
          <w:rStyle w:val="28"/>
          <w:rFonts w:hint="eastAsia" w:ascii="宋体" w:hAnsi="宋体" w:eastAsia="宋体" w:cs="宋体"/>
          <w:b/>
          <w:bCs/>
          <w:color w:val="auto"/>
          <w:kern w:val="0"/>
          <w:sz w:val="24"/>
          <w:szCs w:val="24"/>
          <w:highlight w:val="none"/>
        </w:rPr>
        <w:t>.4</w:t>
      </w:r>
      <w:r>
        <w:rPr>
          <w:rStyle w:val="28"/>
          <w:rFonts w:hint="eastAsia" w:ascii="宋体" w:hAnsi="宋体" w:eastAsia="宋体" w:cs="宋体"/>
          <w:color w:val="auto"/>
          <w:kern w:val="0"/>
          <w:sz w:val="24"/>
          <w:szCs w:val="24"/>
          <w:highlight w:val="none"/>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4BB5AE0B">
      <w:pPr>
        <w:keepNext w:val="0"/>
        <w:keepLines w:val="0"/>
        <w:pageBreakBefore w:val="0"/>
        <w:widowControl w:val="0"/>
        <w:wordWrap/>
        <w:overflowPunct/>
        <w:topLinePunct w:val="0"/>
        <w:bidi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155" w:name="_Toc22137"/>
      <w:r>
        <w:rPr>
          <w:rFonts w:hint="eastAsia" w:ascii="宋体" w:hAnsi="宋体" w:eastAsia="宋体" w:cs="宋体"/>
          <w:b/>
          <w:bCs/>
          <w:color w:val="auto"/>
          <w:spacing w:val="-11"/>
          <w:sz w:val="24"/>
          <w:szCs w:val="24"/>
          <w:highlight w:val="none"/>
          <w:lang w:val="en-US" w:eastAsia="zh-CN"/>
        </w:rPr>
        <w:t>12.不良行为处理</w:t>
      </w:r>
      <w:bookmarkEnd w:id="155"/>
    </w:p>
    <w:p w14:paraId="4AD01F6A">
      <w:pPr>
        <w:pStyle w:val="44"/>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28"/>
          <w:rFonts w:hint="eastAsia" w:ascii="宋体" w:hAnsi="宋体" w:eastAsia="宋体" w:cs="宋体"/>
          <w:color w:val="auto"/>
          <w:kern w:val="0"/>
          <w:sz w:val="24"/>
          <w:szCs w:val="24"/>
          <w:highlight w:val="none"/>
        </w:rPr>
      </w:pPr>
      <w:r>
        <w:rPr>
          <w:rStyle w:val="28"/>
          <w:rFonts w:hint="eastAsia" w:ascii="宋体" w:hAnsi="宋体" w:eastAsia="宋体" w:cs="宋体"/>
          <w:color w:val="auto"/>
          <w:kern w:val="0"/>
          <w:sz w:val="24"/>
          <w:szCs w:val="24"/>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4737BE63">
      <w:pPr>
        <w:pStyle w:val="44"/>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28"/>
          <w:rFonts w:hint="eastAsia" w:ascii="宋体" w:hAnsi="宋体" w:eastAsia="宋体" w:cs="宋体"/>
          <w:color w:val="auto"/>
          <w:kern w:val="0"/>
          <w:sz w:val="24"/>
          <w:szCs w:val="24"/>
          <w:highlight w:val="none"/>
        </w:rPr>
      </w:pPr>
      <w:bookmarkStart w:id="156" w:name="_Toc3225"/>
      <w:r>
        <w:rPr>
          <w:rStyle w:val="28"/>
          <w:rFonts w:hint="eastAsia" w:ascii="宋体" w:hAnsi="宋体" w:eastAsia="宋体" w:cs="宋体"/>
          <w:color w:val="auto"/>
          <w:kern w:val="0"/>
          <w:sz w:val="24"/>
          <w:szCs w:val="24"/>
          <w:highlight w:val="none"/>
        </w:rPr>
        <w:t>（1）转包、违法分包或违反投标承诺分包工程的；</w:t>
      </w:r>
      <w:bookmarkEnd w:id="156"/>
    </w:p>
    <w:p w14:paraId="3275ABEB">
      <w:pPr>
        <w:pStyle w:val="44"/>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28"/>
          <w:rFonts w:hint="eastAsia" w:ascii="宋体" w:hAnsi="宋体" w:eastAsia="宋体" w:cs="宋体"/>
          <w:color w:val="auto"/>
          <w:kern w:val="0"/>
          <w:sz w:val="24"/>
          <w:szCs w:val="24"/>
          <w:highlight w:val="none"/>
        </w:rPr>
      </w:pPr>
      <w:r>
        <w:rPr>
          <w:rStyle w:val="28"/>
          <w:rFonts w:hint="eastAsia" w:ascii="宋体" w:hAnsi="宋体" w:eastAsia="宋体" w:cs="宋体"/>
          <w:color w:val="auto"/>
          <w:kern w:val="0"/>
          <w:sz w:val="24"/>
          <w:szCs w:val="24"/>
          <w:highlight w:val="none"/>
        </w:rPr>
        <w:t>（2）非原参加投标中标的项目经理负责组织施工或在实施过程中擅自更换项目经理的、项目的其他主要管理人员与中标文件确定的人员不相符的；</w:t>
      </w:r>
    </w:p>
    <w:p w14:paraId="3D1785EA">
      <w:pPr>
        <w:pStyle w:val="44"/>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28"/>
          <w:rFonts w:hint="eastAsia" w:ascii="宋体" w:hAnsi="宋体" w:eastAsia="宋体" w:cs="宋体"/>
          <w:color w:val="auto"/>
          <w:kern w:val="0"/>
          <w:sz w:val="24"/>
          <w:szCs w:val="24"/>
          <w:highlight w:val="none"/>
        </w:rPr>
      </w:pPr>
      <w:r>
        <w:rPr>
          <w:rStyle w:val="28"/>
          <w:rFonts w:hint="eastAsia" w:ascii="宋体" w:hAnsi="宋体" w:eastAsia="宋体" w:cs="宋体"/>
          <w:color w:val="auto"/>
          <w:kern w:val="0"/>
          <w:sz w:val="24"/>
          <w:szCs w:val="24"/>
          <w:highlight w:val="none"/>
        </w:rPr>
        <w:t>（3）投标文件确定的大型机械设备没有进入施工现场的；</w:t>
      </w:r>
    </w:p>
    <w:p w14:paraId="5D61A032">
      <w:pPr>
        <w:pStyle w:val="44"/>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28"/>
          <w:rFonts w:hint="eastAsia" w:ascii="宋体" w:hAnsi="宋体" w:eastAsia="宋体" w:cs="宋体"/>
          <w:color w:val="auto"/>
          <w:kern w:val="0"/>
          <w:sz w:val="24"/>
          <w:szCs w:val="24"/>
          <w:highlight w:val="none"/>
        </w:rPr>
      </w:pPr>
      <w:r>
        <w:rPr>
          <w:rStyle w:val="28"/>
          <w:rFonts w:hint="eastAsia" w:ascii="宋体" w:hAnsi="宋体" w:eastAsia="宋体" w:cs="宋体"/>
          <w:color w:val="auto"/>
          <w:kern w:val="0"/>
          <w:sz w:val="24"/>
          <w:szCs w:val="24"/>
          <w:highlight w:val="none"/>
        </w:rPr>
        <w:t>（4）与建设单位、监理单位串通，签认虚假工程量或工程造价的；</w:t>
      </w:r>
    </w:p>
    <w:p w14:paraId="2EAD16B6">
      <w:pPr>
        <w:pStyle w:val="44"/>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28"/>
          <w:rFonts w:hint="eastAsia" w:ascii="宋体" w:hAnsi="宋体" w:eastAsia="宋体" w:cs="宋体"/>
          <w:color w:val="auto"/>
          <w:kern w:val="0"/>
          <w:sz w:val="24"/>
          <w:szCs w:val="24"/>
          <w:highlight w:val="none"/>
        </w:rPr>
      </w:pPr>
      <w:r>
        <w:rPr>
          <w:rStyle w:val="28"/>
          <w:rFonts w:hint="eastAsia" w:ascii="宋体" w:hAnsi="宋体" w:eastAsia="宋体" w:cs="宋体"/>
          <w:color w:val="auto"/>
          <w:kern w:val="0"/>
          <w:sz w:val="24"/>
          <w:szCs w:val="24"/>
          <w:highlight w:val="none"/>
        </w:rPr>
        <w:t>（5）项目经理施工现场管理不到位的；</w:t>
      </w:r>
    </w:p>
    <w:p w14:paraId="29479E38">
      <w:pPr>
        <w:pStyle w:val="44"/>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28"/>
          <w:rFonts w:hint="eastAsia" w:ascii="宋体" w:hAnsi="宋体" w:eastAsia="宋体" w:cs="宋体"/>
          <w:color w:val="auto"/>
          <w:kern w:val="0"/>
          <w:sz w:val="24"/>
          <w:szCs w:val="24"/>
          <w:highlight w:val="none"/>
        </w:rPr>
      </w:pPr>
      <w:r>
        <w:rPr>
          <w:rStyle w:val="28"/>
          <w:rFonts w:hint="eastAsia" w:ascii="宋体" w:hAnsi="宋体" w:eastAsia="宋体" w:cs="宋体"/>
          <w:color w:val="auto"/>
          <w:kern w:val="0"/>
          <w:sz w:val="24"/>
          <w:szCs w:val="24"/>
          <w:highlight w:val="none"/>
        </w:rPr>
        <w:t>（6）项目经理在非本人资格证书注册单位从事工程项目施工管理的；</w:t>
      </w:r>
    </w:p>
    <w:p w14:paraId="28F14C98">
      <w:pPr>
        <w:pStyle w:val="44"/>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28"/>
          <w:rFonts w:hint="eastAsia" w:ascii="宋体" w:hAnsi="宋体" w:eastAsia="宋体" w:cs="宋体"/>
          <w:color w:val="auto"/>
          <w:kern w:val="0"/>
          <w:sz w:val="24"/>
          <w:szCs w:val="24"/>
          <w:highlight w:val="none"/>
        </w:rPr>
      </w:pPr>
      <w:r>
        <w:rPr>
          <w:rStyle w:val="28"/>
          <w:rFonts w:hint="eastAsia" w:ascii="宋体" w:hAnsi="宋体" w:eastAsia="宋体" w:cs="宋体"/>
          <w:color w:val="auto"/>
          <w:kern w:val="0"/>
          <w:sz w:val="24"/>
          <w:szCs w:val="24"/>
          <w:highlight w:val="none"/>
        </w:rPr>
        <w:t>（7）项目经理同时承担超过一项工程项目的；</w:t>
      </w:r>
    </w:p>
    <w:p w14:paraId="2CD62E71">
      <w:pPr>
        <w:pStyle w:val="44"/>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28"/>
          <w:rFonts w:hint="eastAsia" w:ascii="宋体" w:hAnsi="宋体" w:eastAsia="宋体" w:cs="宋体"/>
          <w:b/>
          <w:bCs/>
          <w:color w:val="auto"/>
          <w:kern w:val="0"/>
          <w:sz w:val="24"/>
          <w:szCs w:val="24"/>
          <w:highlight w:val="none"/>
        </w:rPr>
      </w:pPr>
      <w:r>
        <w:rPr>
          <w:rStyle w:val="28"/>
          <w:rFonts w:hint="eastAsia" w:ascii="宋体" w:hAnsi="宋体" w:eastAsia="宋体" w:cs="宋体"/>
          <w:color w:val="auto"/>
          <w:kern w:val="0"/>
          <w:sz w:val="24"/>
          <w:szCs w:val="24"/>
          <w:highlight w:val="none"/>
        </w:rPr>
        <w:t>（8）违反有关法律、法规、规章规定的其它行为。</w:t>
      </w:r>
    </w:p>
    <w:p w14:paraId="741A8F65">
      <w:pPr>
        <w:keepNext w:val="0"/>
        <w:keepLines w:val="0"/>
        <w:pageBreakBefore w:val="0"/>
        <w:widowControl w:val="0"/>
        <w:wordWrap/>
        <w:overflowPunct/>
        <w:topLinePunct w:val="0"/>
        <w:bidi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157" w:name="_Toc11310"/>
      <w:r>
        <w:rPr>
          <w:rFonts w:hint="eastAsia" w:ascii="宋体" w:hAnsi="宋体" w:eastAsia="宋体" w:cs="宋体"/>
          <w:b/>
          <w:bCs/>
          <w:color w:val="auto"/>
          <w:spacing w:val="-11"/>
          <w:sz w:val="24"/>
          <w:szCs w:val="24"/>
          <w:highlight w:val="none"/>
          <w:lang w:val="en-US" w:eastAsia="zh-CN"/>
        </w:rPr>
        <w:t>13.信用评价条款内容</w:t>
      </w:r>
      <w:bookmarkEnd w:id="157"/>
    </w:p>
    <w:p w14:paraId="08E3C827">
      <w:pPr>
        <w:pStyle w:val="46"/>
        <w:keepNext w:val="0"/>
        <w:keepLines w:val="0"/>
        <w:pageBreakBefore w:val="0"/>
        <w:widowControl w:val="0"/>
        <w:wordWrap/>
        <w:overflowPunct/>
        <w:topLinePunct w:val="0"/>
        <w:bidi w:val="0"/>
        <w:snapToGrid w:val="0"/>
        <w:spacing w:line="360" w:lineRule="auto"/>
        <w:ind w:firstLine="560"/>
        <w:textAlignment w:val="baseline"/>
        <w:rPr>
          <w:rStyle w:val="28"/>
          <w:rFonts w:hint="eastAsia" w:ascii="宋体" w:hAnsi="宋体" w:eastAsia="宋体" w:cs="宋体"/>
          <w:b/>
          <w:bCs/>
          <w:color w:val="auto"/>
          <w:sz w:val="24"/>
          <w:szCs w:val="24"/>
          <w:highlight w:val="none"/>
        </w:rPr>
      </w:pPr>
      <w:r>
        <w:rPr>
          <w:rStyle w:val="28"/>
          <w:rFonts w:hint="eastAsia" w:ascii="宋体" w:hAnsi="宋体" w:eastAsia="宋体" w:cs="宋体"/>
          <w:color w:val="auto"/>
          <w:kern w:val="0"/>
          <w:sz w:val="24"/>
          <w:szCs w:val="24"/>
          <w:highlight w:val="none"/>
        </w:rPr>
        <w:t>由招标人决定是否对施工单位的履约情况进行信用评价。若进行信用评价，评价条款由招标人自拟，条款内容可参考人员到位情况、服务配合程度、服务成果质量、项目后期服务及信用评价结果的运用等。</w:t>
      </w:r>
    </w:p>
    <w:p w14:paraId="1D8A759F">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158" w:name="_Toc24160"/>
      <w:r>
        <w:rPr>
          <w:rFonts w:hint="eastAsia" w:ascii="宋体" w:hAnsi="宋体" w:eastAsia="宋体" w:cs="宋体"/>
          <w:b/>
          <w:bCs/>
          <w:color w:val="auto"/>
          <w:spacing w:val="-11"/>
          <w:sz w:val="24"/>
          <w:szCs w:val="24"/>
          <w:highlight w:val="none"/>
          <w:lang w:val="en-US" w:eastAsia="zh-CN"/>
        </w:rPr>
        <w:t>14.其他事项</w:t>
      </w:r>
      <w:bookmarkEnd w:id="158"/>
    </w:p>
    <w:p w14:paraId="3115ED4E">
      <w:pPr>
        <w:snapToGrid w:val="0"/>
        <w:spacing w:line="360" w:lineRule="auto"/>
        <w:ind w:firstLine="560"/>
        <w:rPr>
          <w:rStyle w:val="28"/>
          <w:rFonts w:hint="eastAsia" w:ascii="宋体" w:hAnsi="宋体" w:eastAsia="宋体" w:cs="宋体"/>
          <w:b w:val="0"/>
          <w:bCs w:val="0"/>
          <w:color w:val="auto"/>
          <w:kern w:val="0"/>
          <w:sz w:val="24"/>
          <w:szCs w:val="24"/>
          <w:highlight w:val="none"/>
          <w:lang w:val="en-US" w:eastAsia="zh-CN"/>
        </w:rPr>
      </w:pPr>
      <w:bookmarkStart w:id="159" w:name="_Toc6606"/>
      <w:r>
        <w:rPr>
          <w:rStyle w:val="28"/>
          <w:rFonts w:hint="eastAsia" w:ascii="宋体" w:hAnsi="宋体" w:eastAsia="宋体" w:cs="宋体"/>
          <w:b/>
          <w:bCs/>
          <w:color w:val="auto"/>
          <w:kern w:val="0"/>
          <w:sz w:val="24"/>
          <w:szCs w:val="24"/>
          <w:highlight w:val="none"/>
          <w:lang w:val="en-US" w:eastAsia="zh-CN"/>
        </w:rPr>
        <w:t>14.1</w:t>
      </w:r>
      <w:r>
        <w:rPr>
          <w:rStyle w:val="28"/>
          <w:rFonts w:hint="eastAsia" w:ascii="宋体" w:hAnsi="宋体" w:eastAsia="宋体" w:cs="宋体"/>
          <w:b w:val="0"/>
          <w:bCs w:val="0"/>
          <w:color w:val="auto"/>
          <w:kern w:val="0"/>
          <w:sz w:val="24"/>
          <w:szCs w:val="24"/>
          <w:highlight w:val="none"/>
          <w:lang w:val="en-US" w:eastAsia="zh-CN"/>
        </w:rPr>
        <w:t>危险性较大的分部分项工程安全管理约定</w:t>
      </w:r>
      <w:bookmarkEnd w:id="159"/>
    </w:p>
    <w:p w14:paraId="2A1DE2E0">
      <w:pPr>
        <w:pStyle w:val="47"/>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人制订的本项目安全生产管理方面的规章制度、安全检查程序及施工安全管理要求，以及监理人有关安全工作的指令。</w:t>
      </w:r>
    </w:p>
    <w:p w14:paraId="4EB927DA">
      <w:pPr>
        <w:pStyle w:val="47"/>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中标人应根据《危险性较大的分部分项工程安全管理规定》（住房城乡建设部令第37号）、《住房城乡建设部办公厅关于实施&lt;危险性较大的分部分项工程安全管理规定&gt;有关问题的通知》（建办质〔2018〕31号）、《广东省住房和城乡建设厅关于房屋市政工程危险性较大的分部分项工程安全管理的实施细则的通知》(粤建规范〔2019〕2号)和《广东省安全生产委员会办公室广东省住房和城乡建设厅关于&lt;严格落实危险性较大的分部分项工程“六不施工”要求的通知&gt;》（粤安办〔2020〕151号）等有关危险性较大的分部分项工程的法规规定通知，履行建设工程安全生产管理职责。</w:t>
      </w:r>
    </w:p>
    <w:p w14:paraId="5FB4C497">
      <w:pPr>
        <w:pStyle w:val="47"/>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2</w:t>
      </w:r>
      <w:r>
        <w:rPr>
          <w:rFonts w:hint="eastAsia" w:ascii="宋体" w:hAnsi="宋体" w:eastAsia="宋体" w:cs="宋体"/>
          <w:color w:val="auto"/>
          <w:sz w:val="24"/>
          <w:szCs w:val="24"/>
          <w:highlight w:val="none"/>
          <w:shd w:val="clear" w:color="auto" w:fill="FFFFFF"/>
          <w:lang w:val="en-US" w:eastAsia="zh-CN"/>
        </w:rPr>
        <w:t xml:space="preserve"> </w:t>
      </w:r>
      <w:r>
        <w:rPr>
          <w:rFonts w:hint="eastAsia" w:ascii="宋体" w:hAnsi="宋体" w:eastAsia="宋体" w:cs="宋体"/>
          <w:color w:val="auto"/>
          <w:sz w:val="24"/>
          <w:szCs w:val="24"/>
          <w:highlight w:val="none"/>
          <w:shd w:val="clear" w:color="auto" w:fill="FFFFFF"/>
        </w:rPr>
        <w:t>中标人在工程实施过程中，按照国家、省、市的相关规定制定相关的专项安全施工方案（如高支模、基坑支护、沉井等），编制专项施工方案报监理人、招标人审批后方可开展专项工程的施工。</w:t>
      </w:r>
    </w:p>
    <w:p w14:paraId="1A9CC532">
      <w:pPr>
        <w:pStyle w:val="47"/>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 xml:space="preserve">3 </w:t>
      </w:r>
      <w:r>
        <w:rPr>
          <w:rFonts w:hint="eastAsia" w:ascii="宋体" w:hAnsi="宋体" w:eastAsia="宋体" w:cs="宋体"/>
          <w:color w:val="auto"/>
          <w:sz w:val="24"/>
          <w:szCs w:val="24"/>
          <w:highlight w:val="none"/>
          <w:shd w:val="clear" w:color="auto" w:fill="FFFFFF"/>
        </w:rPr>
        <w:t>中标人须按照《韶关市建筑垃圾管理条例》（2021年5月1日起施行），将弃土运至招标人指定的场所，否则招标人有权要求中标人无条件将弃土从违约弃土点运至招标人指定的场所并扣除违约金</w:t>
      </w:r>
      <w:r>
        <w:rPr>
          <w:rFonts w:hint="eastAsia" w:ascii="宋体" w:hAnsi="宋体" w:eastAsia="宋体" w:cs="宋体"/>
          <w:color w:val="auto"/>
          <w:sz w:val="24"/>
          <w:szCs w:val="24"/>
          <w:highlight w:val="none"/>
          <w:u w:val="single"/>
          <w:shd w:val="clear" w:color="auto" w:fill="FFFFFF"/>
        </w:rPr>
        <w:t xml:space="preserve"> </w:t>
      </w:r>
      <w:r>
        <w:rPr>
          <w:rFonts w:hint="eastAsia" w:ascii="宋体" w:hAnsi="宋体" w:eastAsia="宋体" w:cs="宋体"/>
          <w:color w:val="auto"/>
          <w:sz w:val="24"/>
          <w:szCs w:val="24"/>
          <w:highlight w:val="none"/>
          <w:u w:val="single"/>
          <w:shd w:val="clear" w:color="auto" w:fill="FFFFFF"/>
          <w:lang w:val="en-US" w:eastAsia="zh-CN"/>
        </w:rPr>
        <w:t>1</w:t>
      </w:r>
      <w:r>
        <w:rPr>
          <w:rFonts w:hint="eastAsia" w:ascii="宋体" w:hAnsi="宋体" w:eastAsia="宋体" w:cs="宋体"/>
          <w:color w:val="auto"/>
          <w:sz w:val="24"/>
          <w:szCs w:val="24"/>
          <w:highlight w:val="none"/>
          <w:u w:val="single"/>
          <w:shd w:val="clear" w:color="auto" w:fill="FFFFFF"/>
        </w:rPr>
        <w:t xml:space="preserve"> </w:t>
      </w:r>
      <w:r>
        <w:rPr>
          <w:rFonts w:hint="eastAsia" w:ascii="宋体" w:hAnsi="宋体" w:eastAsia="宋体" w:cs="宋体"/>
          <w:color w:val="auto"/>
          <w:sz w:val="24"/>
          <w:szCs w:val="24"/>
          <w:highlight w:val="none"/>
          <w:shd w:val="clear" w:color="auto" w:fill="FFFFFF"/>
        </w:rPr>
        <w:t>万元人民币/次。中标人对建筑垃圾须按《韶关市建筑垃圾管理条例》（2021年5月1日起施行）的相关规定进行排放和运输，投标人在投标报价时综合考虑在报价内。中标人应在施工现场建立洗车槽和临时排水系统等确保外运车辆（土方运输车辆应符合相关规定）不带泥上路，投标人在投标报价时综合考虑在报价内，招标人不另行支付该部分费用）。建设单位、施工单位应当在施工工地出入口显著位置公示建筑垃圾处理方案主要信息，包括建设工程垃圾种类、产生量、外运处置去向等信息及各相关单位名称、联系人及联系电话等。</w:t>
      </w:r>
    </w:p>
    <w:p w14:paraId="3A03F7EC">
      <w:pPr>
        <w:pStyle w:val="47"/>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 xml:space="preserve">.4 </w:t>
      </w:r>
      <w:r>
        <w:rPr>
          <w:rFonts w:hint="eastAsia" w:ascii="宋体" w:hAnsi="宋体" w:eastAsia="宋体" w:cs="宋体"/>
          <w:color w:val="auto"/>
          <w:sz w:val="24"/>
          <w:szCs w:val="24"/>
          <w:highlight w:val="none"/>
          <w:shd w:val="clear" w:color="auto" w:fill="FFFFFF"/>
        </w:rPr>
        <w:t>工程竣工验收后15日内，中标人应按城建档案馆的要求（质量、数量），将编制成册的施工档案资料（含声像档案和电子档案）提供给招标人、城建档案馆、住建管理局、管养单位及监理单位，并承担档案涉及的所有费用（制作标准和相关要求按城建档案馆的有关规定执行）。中标人提交符合城建档案馆要求的竣工资料经招标人确认签收后，即可办理工程结算手续。</w:t>
      </w:r>
    </w:p>
    <w:p w14:paraId="2F8AA3A1">
      <w:pPr>
        <w:pStyle w:val="47"/>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.5</w:t>
      </w:r>
      <w:r>
        <w:rPr>
          <w:rFonts w:hint="eastAsia" w:ascii="宋体" w:hAnsi="宋体" w:eastAsia="宋体" w:cs="宋体"/>
          <w:color w:val="auto"/>
          <w:sz w:val="24"/>
          <w:szCs w:val="24"/>
          <w:highlight w:val="none"/>
          <w:shd w:val="clear" w:color="auto" w:fill="FFFFFF"/>
        </w:rPr>
        <w:t>（一）用人单位应当在建设项目动工前，在建设项目所在地</w:t>
      </w:r>
      <w:r>
        <w:rPr>
          <w:rFonts w:hint="eastAsia" w:ascii="宋体" w:hAnsi="宋体" w:eastAsia="宋体" w:cs="宋体"/>
          <w:color w:val="auto"/>
          <w:sz w:val="24"/>
          <w:szCs w:val="24"/>
          <w:highlight w:val="none"/>
          <w:shd w:val="clear" w:color="auto" w:fill="FFFFFF"/>
          <w:lang w:val="en-US" w:eastAsia="zh-CN"/>
        </w:rPr>
        <w:t>符合招标人要求的</w:t>
      </w:r>
      <w:r>
        <w:rPr>
          <w:rFonts w:hint="eastAsia" w:ascii="宋体" w:hAnsi="宋体" w:eastAsia="宋体" w:cs="宋体"/>
          <w:color w:val="auto"/>
          <w:sz w:val="24"/>
          <w:szCs w:val="24"/>
          <w:highlight w:val="none"/>
          <w:shd w:val="clear" w:color="auto" w:fill="FFFFFF"/>
        </w:rPr>
        <w:t>银行设立工人工资支付专用账户。</w:t>
      </w:r>
    </w:p>
    <w:p w14:paraId="5016D732">
      <w:pPr>
        <w:pStyle w:val="47"/>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（二）用人单位应当在用工之日起15日内为每一位工人办理个人银行账户。</w:t>
      </w:r>
    </w:p>
    <w:p w14:paraId="74FFA9FF">
      <w:pPr>
        <w:pStyle w:val="47"/>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（三）用人单位应当指定专人负责建设项目施工现场台账管理，真实、准确记录工人名册、劳务合同、劳动合同、工程进度、工时台账、劳务承包款和工人工资支付等信息，并保存两年以上备查。</w:t>
      </w:r>
    </w:p>
    <w:p w14:paraId="01DE5A3A">
      <w:pPr>
        <w:pStyle w:val="47"/>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四）用人单位应当按照“及时支付，按实结算”的原则，在规定日期前通过银行工人工资支付专用账户将工人工资直接支付到工人的个人银行账户，并按月将工人工资支付明细表报施工总承包单位和建设单位备案。</w:t>
      </w:r>
    </w:p>
    <w:p w14:paraId="5E4A3B28">
      <w:pPr>
        <w:pStyle w:val="47"/>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用人单位未建立、保存用工管理台账，或者伪造相关台账的，按照《广东省劳动保障监察条例》第五十条的规定，由人力资源社会保障部门责令改正，并可处以二千元以上二万元以下的人民币罚款。</w:t>
      </w:r>
    </w:p>
    <w:p w14:paraId="2D4A3138">
      <w:pPr>
        <w:pStyle w:val="47"/>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val="0"/>
          <w:bCs w:val="0"/>
          <w:snapToGrid w:val="0"/>
          <w:color w:val="auto"/>
          <w:kern w:val="0"/>
          <w:sz w:val="24"/>
          <w:szCs w:val="24"/>
          <w:highlight w:val="none"/>
        </w:rPr>
        <w:t>（五）每次申请工程进度款要提供上期工人工资发放明细表、上期工人工资发放公示等材料，并将应付工程款的30%（且不低于当月应发工人工资的金额）作为工人工资拨入到中标人设立的工人工资支付专用账户。</w:t>
      </w:r>
    </w:p>
    <w:p w14:paraId="218F46E4">
      <w:pPr>
        <w:pStyle w:val="47"/>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 xml:space="preserve">.6 </w:t>
      </w:r>
      <w:r>
        <w:rPr>
          <w:rFonts w:hint="eastAsia" w:ascii="宋体" w:hAnsi="宋体" w:eastAsia="宋体" w:cs="宋体"/>
          <w:color w:val="auto"/>
          <w:sz w:val="24"/>
          <w:szCs w:val="24"/>
          <w:highlight w:val="none"/>
          <w:shd w:val="clear" w:color="auto" w:fill="FFFFFF"/>
        </w:rPr>
        <w:t>中标人应做好周边设施（含军用光缆、燃气、供电、供水、排水、排污、人行道、路灯、治安监控、交通电警等）的成品保护并及时与周边设施的权属单位协调解决，如因中标人原因导致上述设施发生损坏，中标人无条件按招标人规定的期限内修复，涉及成品保护费、索赔等一切费用全部由中标人自行解决。</w:t>
      </w:r>
    </w:p>
    <w:p w14:paraId="779CA89A">
      <w:pPr>
        <w:pStyle w:val="47"/>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.7</w:t>
      </w:r>
      <w:r>
        <w:rPr>
          <w:rFonts w:hint="eastAsia" w:ascii="宋体" w:hAnsi="宋体" w:eastAsia="宋体" w:cs="宋体"/>
          <w:color w:val="auto"/>
          <w:sz w:val="24"/>
          <w:szCs w:val="24"/>
          <w:highlight w:val="none"/>
          <w:shd w:val="clear" w:color="auto" w:fill="FFFFFF"/>
        </w:rPr>
        <w:t>中标人中标后必须按规定及时缴交工人工资保证金、环保噪声排污费等。</w:t>
      </w:r>
    </w:p>
    <w:p w14:paraId="2B656A07">
      <w:pPr>
        <w:pStyle w:val="47"/>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8</w:t>
      </w:r>
      <w:r>
        <w:rPr>
          <w:rFonts w:hint="eastAsia" w:ascii="宋体" w:hAnsi="宋体" w:eastAsia="宋体" w:cs="宋体"/>
          <w:color w:val="auto"/>
          <w:sz w:val="24"/>
          <w:szCs w:val="24"/>
          <w:highlight w:val="none"/>
          <w:shd w:val="clear" w:color="auto" w:fill="FFFFFF"/>
        </w:rPr>
        <w:t>工程质量保修期按《中华人民共和国建筑法》、《建设工程质量管理条例》等相关规定实施。</w:t>
      </w:r>
    </w:p>
    <w:p w14:paraId="1F8C4C70">
      <w:pPr>
        <w:pStyle w:val="47"/>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9</w:t>
      </w:r>
      <w:r>
        <w:rPr>
          <w:rFonts w:hint="eastAsia" w:ascii="宋体" w:hAnsi="宋体" w:eastAsia="宋体" w:cs="宋体"/>
          <w:color w:val="auto"/>
          <w:sz w:val="24"/>
          <w:szCs w:val="24"/>
          <w:highlight w:val="none"/>
          <w:shd w:val="clear" w:color="auto" w:fill="FFFFFF"/>
        </w:rPr>
        <w:t xml:space="preserve"> 如项目实施过程中发生了工程变更及工程签证，中标人需根据招标人发布的《工程变更管理办法》和《工程签证管理办法》完善工程变更签证相关程序。其纳入变更管理属于需要进一步办理审批的，应按照规定程序办理变更审批手续。因施工单位主要责任造成的工程变更调整原则上不予审批，由施工单位自行承担相关责任和费用</w:t>
      </w:r>
    </w:p>
    <w:p w14:paraId="76931FEE">
      <w:pPr>
        <w:pStyle w:val="47"/>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0</w:t>
      </w:r>
      <w:r>
        <w:rPr>
          <w:rFonts w:hint="eastAsia" w:ascii="宋体" w:hAnsi="宋体" w:eastAsia="宋体" w:cs="宋体"/>
          <w:color w:val="auto"/>
          <w:sz w:val="24"/>
          <w:szCs w:val="24"/>
          <w:highlight w:val="none"/>
          <w:shd w:val="clear" w:color="auto" w:fill="FFFFFF"/>
        </w:rPr>
        <w:t xml:space="preserve"> 中标人需按相关规定要求，设置本工程符合相关要求的永久性标牌及规划公示牌，投标人在投标报价时综合考虑在报价内，招标人不另行支付该部分费用。</w:t>
      </w:r>
    </w:p>
    <w:p w14:paraId="2E7C11D8">
      <w:pPr>
        <w:pStyle w:val="47"/>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1</w:t>
      </w:r>
      <w:r>
        <w:rPr>
          <w:rFonts w:hint="eastAsia" w:ascii="宋体" w:hAnsi="宋体" w:eastAsia="宋体" w:cs="宋体"/>
          <w:color w:val="auto"/>
          <w:sz w:val="24"/>
          <w:szCs w:val="24"/>
          <w:highlight w:val="none"/>
          <w:shd w:val="clear" w:color="auto" w:fill="FFFFFF"/>
        </w:rPr>
        <w:t xml:space="preserve"> 中标人应在项目所在地住建管理部门办理诚信登记，招标人将严格按住建管理部门诚信登记管理办法对中标人履约情况进行考核。</w:t>
      </w:r>
    </w:p>
    <w:p w14:paraId="06290D19">
      <w:pPr>
        <w:pStyle w:val="47"/>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2</w:t>
      </w:r>
      <w:r>
        <w:rPr>
          <w:rFonts w:hint="eastAsia" w:ascii="宋体" w:hAnsi="宋体" w:eastAsia="宋体" w:cs="宋体"/>
          <w:color w:val="auto"/>
          <w:sz w:val="24"/>
          <w:szCs w:val="24"/>
          <w:highlight w:val="none"/>
          <w:shd w:val="clear" w:color="auto" w:fill="FFFFFF"/>
        </w:rPr>
        <w:t xml:space="preserve"> 中标人应按住房和城乡建设管理局、人力资源和社会保障局等职能部门对用工实名制的相关规定,落实工人及相关软硬件设施要求。</w:t>
      </w:r>
    </w:p>
    <w:p w14:paraId="07DBD9B4">
      <w:pPr>
        <w:pStyle w:val="47"/>
        <w:snapToGrid w:val="0"/>
        <w:spacing w:line="360" w:lineRule="auto"/>
        <w:ind w:firstLine="482" w:firstLineChars="200"/>
        <w:rPr>
          <w:rFonts w:hint="eastAsia" w:ascii="宋体" w:hAnsi="宋体" w:eastAsia="宋体" w:cs="宋体"/>
          <w:b w:val="0"/>
          <w:bCs w:val="0"/>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3</w:t>
      </w:r>
      <w:r>
        <w:rPr>
          <w:rFonts w:hint="eastAsia" w:ascii="宋体" w:hAnsi="宋体" w:eastAsia="宋体" w:cs="宋体"/>
          <w:color w:val="auto"/>
          <w:sz w:val="24"/>
          <w:szCs w:val="24"/>
          <w:highlight w:val="none"/>
          <w:shd w:val="clear" w:color="auto" w:fill="FFFFFF"/>
        </w:rPr>
        <w:t xml:space="preserve"> 如采用银行保函方式缴纳履约保证金，在保函到期前一个月，中标人须主动办理续期手续或提交新的银行保函；如中标人未及时主动办理续期手续或提交新的银行保函，招标人有权按履约保证金金额的扣留进度款（工人工资除外）作为</w:t>
      </w:r>
      <w:r>
        <w:rPr>
          <w:rFonts w:hint="eastAsia" w:ascii="宋体" w:hAnsi="宋体" w:eastAsia="宋体" w:cs="宋体"/>
          <w:b w:val="0"/>
          <w:bCs w:val="0"/>
          <w:color w:val="auto"/>
          <w:sz w:val="24"/>
          <w:szCs w:val="24"/>
          <w:highlight w:val="none"/>
          <w:shd w:val="clear" w:color="auto" w:fill="FFFFFF"/>
        </w:rPr>
        <w:t>履约保证金，直至中标人提交新的银行保函或达到履约保证金退还条件。</w:t>
      </w:r>
    </w:p>
    <w:p w14:paraId="2697BB51">
      <w:pPr>
        <w:pStyle w:val="47"/>
        <w:snapToGrid w:val="0"/>
        <w:spacing w:line="360" w:lineRule="auto"/>
        <w:ind w:firstLine="482" w:firstLineChars="200"/>
        <w:rPr>
          <w:rFonts w:hint="eastAsia" w:ascii="宋体" w:hAnsi="宋体" w:eastAsia="宋体" w:cs="宋体"/>
          <w:bCs/>
          <w:color w:val="auto"/>
          <w:sz w:val="24"/>
          <w:szCs w:val="24"/>
          <w:highlight w:val="none"/>
          <w:lang w:bidi="ar"/>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 xml:space="preserve"> </w:t>
      </w:r>
      <w:r>
        <w:rPr>
          <w:rFonts w:hint="eastAsia" w:ascii="宋体" w:hAnsi="宋体" w:eastAsia="宋体" w:cs="宋体"/>
          <w:color w:val="auto"/>
          <w:sz w:val="24"/>
          <w:szCs w:val="24"/>
          <w:highlight w:val="none"/>
          <w:lang w:val="zh-CN"/>
        </w:rPr>
        <w:t>依据人力资源社会保障部等十部门印发的《工程建设领域农民工工资专用账户管理暂行办法》（人社部发〔2021〕53号）</w:t>
      </w:r>
      <w:r>
        <w:rPr>
          <w:rFonts w:hint="eastAsia" w:ascii="宋体" w:hAnsi="宋体" w:eastAsia="宋体" w:cs="宋体"/>
          <w:b w:val="0"/>
          <w:bCs w:val="0"/>
          <w:color w:val="auto"/>
          <w:sz w:val="24"/>
          <w:szCs w:val="24"/>
          <w:highlight w:val="none"/>
          <w:shd w:val="clear" w:color="auto" w:fill="FFFFFF"/>
        </w:rPr>
        <w:t>文件规定，中标人中标后，须到银行设立工人工资支付专用账户，用于支付工人工资。发包人支付工程款时，将按工程款（不含工人工资）和工人工资两部分分开支付，工人工资支付至专用账户。中标人应建立劳动用工管理台</w:t>
      </w:r>
      <w:r>
        <w:rPr>
          <w:rFonts w:hint="eastAsia" w:ascii="宋体" w:hAnsi="宋体" w:eastAsia="宋体" w:cs="宋体"/>
          <w:b w:val="0"/>
          <w:bCs w:val="0"/>
          <w:color w:val="auto"/>
          <w:sz w:val="24"/>
          <w:szCs w:val="24"/>
          <w:highlight w:val="none"/>
          <w:lang w:bidi="ar"/>
        </w:rPr>
        <w:t>账，并按</w:t>
      </w:r>
      <w:r>
        <w:rPr>
          <w:rFonts w:hint="eastAsia" w:ascii="宋体" w:hAnsi="宋体" w:eastAsia="宋体" w:cs="宋体"/>
          <w:bCs/>
          <w:color w:val="auto"/>
          <w:sz w:val="24"/>
          <w:szCs w:val="24"/>
          <w:highlight w:val="none"/>
          <w:lang w:bidi="ar"/>
        </w:rPr>
        <w:t>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7DBFC297">
      <w:pPr>
        <w:pStyle w:val="47"/>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bidi="ar"/>
        </w:rPr>
      </w:pPr>
      <w:r>
        <w:rPr>
          <w:rFonts w:hint="eastAsia" w:ascii="宋体" w:hAnsi="宋体" w:eastAsia="宋体" w:cs="宋体"/>
          <w:color w:val="auto"/>
          <w:sz w:val="24"/>
          <w:szCs w:val="24"/>
          <w:highlight w:val="none"/>
          <w:lang w:val="zh-CN"/>
        </w:rPr>
        <w:t>根据韶关市人力资源和社会保障局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韶关市住房和城乡建设管理局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韶关市交通运输局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韶关市水务局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韶关市金融工作局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国家金融监督管理总局韶关监管分局关于印发《韶关市工程建设领域农民工工资保证金管理实施细则》的通知(韶人社</w:t>
      </w:r>
      <w:r>
        <w:rPr>
          <w:rFonts w:hint="eastAsia" w:ascii="宋体" w:hAnsi="宋体" w:eastAsia="宋体" w:cs="宋体"/>
          <w:color w:val="auto"/>
          <w:sz w:val="24"/>
          <w:szCs w:val="24"/>
          <w:highlight w:val="none"/>
          <w:lang w:val="en-US" w:eastAsia="zh-CN"/>
        </w:rPr>
        <w:t>规[</w:t>
      </w:r>
      <w:r>
        <w:rPr>
          <w:rFonts w:hint="eastAsia" w:ascii="宋体" w:hAnsi="宋体" w:eastAsia="宋体" w:cs="宋体"/>
          <w:color w:val="auto"/>
          <w:sz w:val="24"/>
          <w:szCs w:val="24"/>
          <w:highlight w:val="none"/>
          <w:lang w:val="zh-CN"/>
        </w:rPr>
        <w:t>202</w:t>
      </w: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lang w:val="zh-CN"/>
        </w:rPr>
        <w:t>号)</w:t>
      </w:r>
      <w:r>
        <w:rPr>
          <w:rFonts w:hint="eastAsia" w:ascii="宋体" w:hAnsi="宋体" w:eastAsia="宋体" w:cs="宋体"/>
          <w:bCs/>
          <w:color w:val="auto"/>
          <w:sz w:val="24"/>
          <w:szCs w:val="24"/>
          <w:highlight w:val="none"/>
          <w:lang w:bidi="ar"/>
        </w:rPr>
        <w:t>文件规定，中标人中标后，应将工人工资保证金存入银行专用存款账户。逾期未交纳的，招标人将扣留与本项目工人工资保证金等额的工程款（工人工资除外），直至中标人按《韶关市建设领域施工企业工人工资支付保证金管理办法》相关文件要求缴纳工人工资保证金。在中标人未按要求缴纳工人工资保证金期间，招标人扣留的工程款将作为工人工资保证金的预备资金，招标人有权将该部分资金用于处理该项目工人工资拖欠等情况的问题。</w:t>
      </w:r>
    </w:p>
    <w:p w14:paraId="7FE0AE4E">
      <w:pPr>
        <w:pStyle w:val="47"/>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val="0"/>
          <w:bCs w:val="0"/>
          <w:snapToGrid w:val="0"/>
          <w:color w:val="auto"/>
          <w:kern w:val="0"/>
          <w:sz w:val="24"/>
          <w:szCs w:val="24"/>
          <w:highlight w:val="none"/>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w:t>
      </w:r>
      <w:r>
        <w:rPr>
          <w:rFonts w:hint="eastAsia" w:ascii="宋体" w:hAnsi="宋体" w:eastAsia="宋体" w:cs="宋体"/>
          <w:color w:val="auto"/>
          <w:sz w:val="24"/>
          <w:szCs w:val="24"/>
          <w:highlight w:val="none"/>
          <w:lang w:bidi="ar"/>
        </w:rPr>
        <w:t>所垫付的民工工资2倍向发包人支付违约金。</w:t>
      </w:r>
    </w:p>
    <w:p w14:paraId="31E0E50A">
      <w:pPr>
        <w:pStyle w:val="47"/>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5</w:t>
      </w:r>
      <w:r>
        <w:rPr>
          <w:rFonts w:hint="eastAsia" w:ascii="宋体" w:hAnsi="宋体" w:eastAsia="宋体" w:cs="宋体"/>
          <w:color w:val="auto"/>
          <w:sz w:val="24"/>
          <w:szCs w:val="24"/>
          <w:highlight w:val="none"/>
          <w:lang w:bidi="ar"/>
        </w:rPr>
        <w:t>中标人应当确保施工扬尘污染防治措施费用和用工实名管理费用专款专用，在财务管理中单独列出施工扬尘污染防治措施费用和用工实名管理费用使用清单报招标人备案核查。</w:t>
      </w:r>
    </w:p>
    <w:p w14:paraId="0690062A">
      <w:pPr>
        <w:pStyle w:val="47"/>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6</w:t>
      </w:r>
      <w:r>
        <w:rPr>
          <w:rFonts w:hint="eastAsia" w:ascii="宋体" w:hAnsi="宋体" w:eastAsia="宋体" w:cs="宋体"/>
          <w:color w:val="auto"/>
          <w:sz w:val="24"/>
          <w:szCs w:val="24"/>
          <w:highlight w:val="none"/>
          <w:lang w:bidi="ar"/>
        </w:rPr>
        <w:t>中标人需按相关规定要求，设置本工程符合相关要求的永久性标牌及规划公示牌，投标人在投标报价时综合考虑在报价内，招标人不另行支付该部分费用。</w:t>
      </w:r>
    </w:p>
    <w:p w14:paraId="213B30B1">
      <w:pPr>
        <w:pStyle w:val="47"/>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17</w:t>
      </w:r>
      <w:r>
        <w:rPr>
          <w:rFonts w:hint="eastAsia" w:ascii="宋体" w:hAnsi="宋体" w:eastAsia="宋体" w:cs="宋体"/>
          <w:color w:val="auto"/>
          <w:sz w:val="24"/>
          <w:szCs w:val="24"/>
          <w:highlight w:val="none"/>
          <w:lang w:bidi="ar"/>
        </w:rPr>
        <w:t xml:space="preserve"> 中标人须为招标人、监理、全过程造价咨询单位提供现场办公管理的便利。按工程需要配置办公室、会议室、监理休息室及办公家具、生活设施，配备满足工程监理工作需要的办公设备（电脑、打印机、复印机、传真机、办公用品等）。中标人不得以任何理由提出任何费用及补偿要求。</w:t>
      </w:r>
    </w:p>
    <w:p w14:paraId="47EF9142">
      <w:pPr>
        <w:pStyle w:val="47"/>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18 </w:t>
      </w:r>
      <w:r>
        <w:rPr>
          <w:rFonts w:hint="eastAsia" w:ascii="宋体" w:hAnsi="宋体" w:eastAsia="宋体" w:cs="宋体"/>
          <w:color w:val="auto"/>
          <w:sz w:val="24"/>
          <w:szCs w:val="24"/>
          <w:highlight w:val="none"/>
          <w:lang w:bidi="ar"/>
        </w:rPr>
        <w:t>中标人需在签订合同后5个工作日内向招标人免费提交投标文件副本</w:t>
      </w:r>
      <w:r>
        <w:rPr>
          <w:rFonts w:hint="eastAsia" w:ascii="宋体" w:hAnsi="宋体" w:eastAsia="宋体" w:cs="宋体"/>
          <w:color w:val="auto"/>
          <w:sz w:val="24"/>
          <w:szCs w:val="24"/>
          <w:highlight w:val="none"/>
          <w:lang w:eastAsia="zh-CN" w:bidi="ar"/>
        </w:rPr>
        <w:t>五</w:t>
      </w:r>
      <w:r>
        <w:rPr>
          <w:rFonts w:hint="eastAsia" w:ascii="宋体" w:hAnsi="宋体" w:eastAsia="宋体" w:cs="宋体"/>
          <w:color w:val="auto"/>
          <w:sz w:val="24"/>
          <w:szCs w:val="24"/>
          <w:highlight w:val="none"/>
          <w:lang w:bidi="ar"/>
        </w:rPr>
        <w:t>份。</w:t>
      </w:r>
    </w:p>
    <w:p w14:paraId="7F122DCE">
      <w:pPr>
        <w:pStyle w:val="47"/>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19</w:t>
      </w:r>
      <w:r>
        <w:rPr>
          <w:rFonts w:hint="eastAsia" w:ascii="宋体" w:hAnsi="宋体" w:eastAsia="宋体" w:cs="宋体"/>
          <w:color w:val="auto"/>
          <w:sz w:val="24"/>
          <w:szCs w:val="24"/>
          <w:highlight w:val="none"/>
          <w:lang w:bidi="ar"/>
        </w:rPr>
        <w:t xml:space="preserve"> 中标人中标后招标人将对项目经理、法人代表或其授权委托人进行廉政谈话。</w:t>
      </w:r>
    </w:p>
    <w:p w14:paraId="3A5AA915">
      <w:pPr>
        <w:pStyle w:val="47"/>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20 </w:t>
      </w:r>
      <w:r>
        <w:rPr>
          <w:rFonts w:hint="eastAsia" w:ascii="宋体" w:hAnsi="宋体" w:eastAsia="宋体" w:cs="宋体"/>
          <w:color w:val="auto"/>
          <w:sz w:val="24"/>
          <w:szCs w:val="24"/>
          <w:highlight w:val="none"/>
          <w:lang w:bidi="ar"/>
        </w:rPr>
        <w:t>中标人应已详细了解本项目的前期工作，同时也应已勘察施工现场、周围环境、地形、地貌、水文、交通等情况。中标人投标报价应已充分考虑在施工中由于招标人原因造成停工或工期延误等因素所产生的相关费用，招标人不予另计费；中标人不得以不完全了解项目的前期工作及现场情况为理由，提出因外界因素造成停工或工期延误的额外付款要求；对此类要求，招标人不作任何考虑及答复。</w:t>
      </w:r>
    </w:p>
    <w:p w14:paraId="637AE7C6">
      <w:pPr>
        <w:pStyle w:val="47"/>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14.21</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如因招标人原因（自然灾害等不可抗力因素除外），工程不能按期开工，或开工后全部停滞，工期按相关规定予以顺延。停工发生后，若可复工时，中标人应在收到招标人发出的复工通知书后3日内开始复工。</w:t>
      </w:r>
    </w:p>
    <w:p w14:paraId="4FB1DB02">
      <w:pPr>
        <w:pStyle w:val="47"/>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w:t>
      </w:r>
      <w:r>
        <w:rPr>
          <w:rFonts w:hint="eastAsia" w:ascii="宋体" w:hAnsi="宋体" w:eastAsia="宋体" w:cs="宋体"/>
          <w:b/>
          <w:bCs/>
          <w:color w:val="auto"/>
          <w:sz w:val="24"/>
          <w:szCs w:val="24"/>
          <w:highlight w:val="none"/>
          <w:lang w:bidi="ar"/>
        </w:rPr>
        <w:t>2</w:t>
      </w:r>
      <w:r>
        <w:rPr>
          <w:rFonts w:hint="eastAsia" w:ascii="宋体" w:hAnsi="宋体" w:eastAsia="宋体" w:cs="宋体"/>
          <w:b/>
          <w:bCs/>
          <w:color w:val="auto"/>
          <w:sz w:val="24"/>
          <w:szCs w:val="24"/>
          <w:highlight w:val="none"/>
          <w:lang w:val="en-US" w:eastAsia="zh-CN" w:bidi="ar"/>
        </w:rPr>
        <w:t>2</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中标人须为招标人提供现场管理的交通便利（开工至质保期满）。中标人不得以任何理由提出任何费用及补偿要求。</w:t>
      </w:r>
    </w:p>
    <w:p w14:paraId="0094380E">
      <w:pPr>
        <w:pStyle w:val="47"/>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.2</w:t>
      </w:r>
      <w:r>
        <w:rPr>
          <w:rFonts w:hint="eastAsia" w:ascii="宋体" w:hAnsi="宋体" w:eastAsia="宋体" w:cs="宋体"/>
          <w:b/>
          <w:bCs/>
          <w:color w:val="auto"/>
          <w:sz w:val="24"/>
          <w:szCs w:val="24"/>
          <w:highlight w:val="none"/>
          <w:lang w:val="en-US" w:eastAsia="zh-CN" w:bidi="ar"/>
        </w:rPr>
        <w:t>3</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中标人必须做好施工场地地下地上管线和邻近建筑物、构筑物（包括文物保护建筑）、名树名木（如有）的保护工作。</w:t>
      </w:r>
    </w:p>
    <w:p w14:paraId="40EBCD59">
      <w:pPr>
        <w:pStyle w:val="47"/>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.2</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color w:val="auto"/>
          <w:sz w:val="24"/>
          <w:szCs w:val="24"/>
          <w:highlight w:val="none"/>
          <w:lang w:bidi="ar"/>
        </w:rPr>
        <w:t>中标单位必须在中标通知书发出之日起一个月内完成现场临时设施（施工用水用电、围蔽、板房、洗车槽、相关公示牌等）施工，因中标人原因导致逾期的，逾期第壹天起每天按2000元作违约处理。</w:t>
      </w:r>
    </w:p>
    <w:p w14:paraId="2AB83CB4">
      <w:pPr>
        <w:pStyle w:val="47"/>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.2</w:t>
      </w:r>
      <w:r>
        <w:rPr>
          <w:rFonts w:hint="eastAsia" w:ascii="宋体" w:hAnsi="宋体" w:eastAsia="宋体" w:cs="宋体"/>
          <w:b/>
          <w:bCs/>
          <w:color w:val="auto"/>
          <w:sz w:val="24"/>
          <w:szCs w:val="24"/>
          <w:highlight w:val="none"/>
          <w:lang w:val="en-US" w:eastAsia="zh-CN" w:bidi="ar"/>
        </w:rPr>
        <w:t xml:space="preserve">5 </w:t>
      </w:r>
      <w:r>
        <w:rPr>
          <w:rFonts w:hint="eastAsia" w:ascii="宋体" w:hAnsi="宋体" w:eastAsia="宋体" w:cs="宋体"/>
          <w:color w:val="auto"/>
          <w:sz w:val="24"/>
          <w:szCs w:val="24"/>
          <w:highlight w:val="none"/>
          <w:lang w:bidi="ar"/>
        </w:rPr>
        <w:t>为保证施工现场的环境卫生，中标人在本工程施工过程中，所有的车辆必须按招标人规定的行车路线行驶。并负责施工现场及受施工影响周边道路的卫生。</w:t>
      </w:r>
    </w:p>
    <w:p w14:paraId="19A125B9">
      <w:pPr>
        <w:pStyle w:val="47"/>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26</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招标人有权根据本项目建设的实际情况调整建设规模或减少建设内容，如出现因特殊原因取消某子项目的建设，则该子项目未完成的工作内容及费用相应扣减，中标人应在投标报价中综合考虑该因素，中标后不得因此向招标人提出额外的费用补偿或索赔</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并且必须按调整后的规模及内容完成工程建设。</w:t>
      </w:r>
    </w:p>
    <w:p w14:paraId="3E78A10A">
      <w:pPr>
        <w:pStyle w:val="47"/>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27 </w:t>
      </w:r>
      <w:r>
        <w:rPr>
          <w:rFonts w:hint="eastAsia" w:ascii="宋体" w:hAnsi="宋体" w:eastAsia="宋体" w:cs="宋体"/>
          <w:color w:val="auto"/>
          <w:sz w:val="24"/>
          <w:szCs w:val="24"/>
          <w:highlight w:val="none"/>
          <w:lang w:bidi="ar"/>
        </w:rPr>
        <w:t>中标人在施工过程中应及时发现现场缺项漏项变更签证等影响造价的事项，应及时跟招标人报告（书面、微信等），</w:t>
      </w:r>
      <w:r>
        <w:rPr>
          <w:rFonts w:hint="eastAsia" w:ascii="宋体" w:hAnsi="宋体" w:eastAsia="宋体" w:cs="宋体"/>
          <w:color w:val="auto"/>
          <w:sz w:val="24"/>
          <w:szCs w:val="24"/>
          <w:highlight w:val="none"/>
          <w:lang w:eastAsia="zh-CN" w:bidi="ar"/>
        </w:rPr>
        <w:t>并按照招标人的程序确认后才能进行施工，</w:t>
      </w:r>
      <w:r>
        <w:rPr>
          <w:rFonts w:hint="eastAsia" w:ascii="宋体" w:hAnsi="宋体" w:eastAsia="宋体" w:cs="宋体"/>
          <w:color w:val="auto"/>
          <w:sz w:val="24"/>
          <w:szCs w:val="24"/>
          <w:highlight w:val="none"/>
          <w:lang w:bidi="ar"/>
        </w:rPr>
        <w:t>若因中标人不及时报告</w:t>
      </w:r>
      <w:r>
        <w:rPr>
          <w:rFonts w:hint="eastAsia" w:ascii="宋体" w:hAnsi="宋体" w:eastAsia="宋体" w:cs="宋体"/>
          <w:color w:val="auto"/>
          <w:sz w:val="24"/>
          <w:szCs w:val="24"/>
          <w:highlight w:val="none"/>
          <w:lang w:eastAsia="zh-CN" w:bidi="ar"/>
        </w:rPr>
        <w:t>擅自施工，</w:t>
      </w:r>
      <w:r>
        <w:rPr>
          <w:rFonts w:hint="eastAsia" w:ascii="宋体" w:hAnsi="宋体" w:eastAsia="宋体" w:cs="宋体"/>
          <w:color w:val="auto"/>
          <w:sz w:val="24"/>
          <w:szCs w:val="24"/>
          <w:highlight w:val="none"/>
          <w:lang w:bidi="ar"/>
        </w:rPr>
        <w:t>导致的不良后果，由中标人承担。</w:t>
      </w:r>
    </w:p>
    <w:p w14:paraId="218631BC">
      <w:pPr>
        <w:pStyle w:val="47"/>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28</w:t>
      </w:r>
      <w:r>
        <w:rPr>
          <w:rFonts w:hint="eastAsia" w:ascii="宋体" w:hAnsi="宋体" w:eastAsia="宋体" w:cs="宋体"/>
          <w:color w:val="auto"/>
          <w:sz w:val="24"/>
          <w:szCs w:val="24"/>
          <w:highlight w:val="none"/>
          <w:lang w:val="en-US" w:eastAsia="zh-CN" w:bidi="ar"/>
        </w:rPr>
        <w:t xml:space="preserve"> 因项目用地的不可控因素，造成建设用地延期交付，导致产生的费用不予补偿，仅顺延工期。</w:t>
      </w:r>
    </w:p>
    <w:p w14:paraId="0122210F">
      <w:pPr>
        <w:pStyle w:val="47"/>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29 </w:t>
      </w:r>
      <w:r>
        <w:rPr>
          <w:rFonts w:hint="eastAsia" w:ascii="宋体" w:hAnsi="宋体" w:eastAsia="宋体" w:cs="宋体"/>
          <w:color w:val="auto"/>
          <w:sz w:val="24"/>
          <w:szCs w:val="24"/>
          <w:highlight w:val="none"/>
          <w:lang w:val="en-US" w:eastAsia="zh-CN" w:bidi="ar"/>
        </w:rPr>
        <w:t>中标人须参与图纸会审并及时提出涉及设计修改或变更方面的相关方案或意见，否则由此造成的后果由中标人自行负责。</w:t>
      </w:r>
    </w:p>
    <w:p w14:paraId="4D9B5367">
      <w:pPr>
        <w:pStyle w:val="47"/>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14.30</w:t>
      </w:r>
      <w:r>
        <w:rPr>
          <w:rFonts w:hint="eastAsia" w:ascii="宋体" w:hAnsi="宋体" w:eastAsia="宋体" w:cs="宋体"/>
          <w:color w:val="auto"/>
          <w:sz w:val="24"/>
          <w:szCs w:val="24"/>
          <w:highlight w:val="none"/>
          <w:lang w:val="en-US" w:eastAsia="zh-CN" w:bidi="ar"/>
        </w:rPr>
        <w:t xml:space="preserve"> 对于招标工程量清单、招标控制价发生的以下事项，招标人有权在合同签订前按以下原则进行修订：</w:t>
      </w:r>
    </w:p>
    <w:p w14:paraId="2F1CC493">
      <w:pPr>
        <w:pStyle w:val="47"/>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14.30.1</w:t>
      </w:r>
      <w:r>
        <w:rPr>
          <w:rFonts w:hint="eastAsia" w:ascii="宋体" w:hAnsi="宋体" w:eastAsia="宋体" w:cs="宋体"/>
          <w:color w:val="auto"/>
          <w:sz w:val="24"/>
          <w:szCs w:val="24"/>
          <w:highlight w:val="none"/>
          <w:lang w:val="en-US" w:eastAsia="zh-CN" w:bidi="ar"/>
        </w:rPr>
        <w:t xml:space="preserve"> 招标工程量清单描述有误：招标人有权修正工程量清单描述错误部分，工程量清单综合单价以投标人报价为准。</w:t>
      </w:r>
    </w:p>
    <w:p w14:paraId="306D7085">
      <w:pPr>
        <w:pStyle w:val="47"/>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14.30.2</w:t>
      </w:r>
      <w:r>
        <w:rPr>
          <w:rFonts w:hint="eastAsia" w:ascii="宋体" w:hAnsi="宋体" w:eastAsia="宋体" w:cs="宋体"/>
          <w:color w:val="auto"/>
          <w:sz w:val="24"/>
          <w:szCs w:val="24"/>
          <w:highlight w:val="none"/>
          <w:lang w:val="en-US" w:eastAsia="zh-CN" w:bidi="ar"/>
        </w:rPr>
        <w:t xml:space="preserve"> 招标工程量计量错误：以实际发生工程量为准，工程量清单综合单价以投标人报价为准。</w:t>
      </w:r>
    </w:p>
    <w:p w14:paraId="3BD7B859">
      <w:pPr>
        <w:pStyle w:val="47"/>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14.30.3</w:t>
      </w:r>
      <w:r>
        <w:rPr>
          <w:rFonts w:hint="eastAsia" w:ascii="宋体" w:hAnsi="宋体" w:eastAsia="宋体" w:cs="宋体"/>
          <w:color w:val="auto"/>
          <w:sz w:val="24"/>
          <w:szCs w:val="24"/>
          <w:highlight w:val="none"/>
          <w:lang w:val="en-US" w:eastAsia="zh-CN" w:bidi="ar"/>
        </w:rPr>
        <w:t xml:space="preserve"> 相同子目综合单价在不同单位工程中单价不一致：以投标报价低价为准。</w:t>
      </w:r>
    </w:p>
    <w:p w14:paraId="794E9A50">
      <w:pPr>
        <w:pStyle w:val="47"/>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 xml:space="preserve">14.30.4 </w:t>
      </w:r>
      <w:r>
        <w:rPr>
          <w:rFonts w:hint="eastAsia" w:ascii="宋体" w:hAnsi="宋体" w:eastAsia="宋体" w:cs="宋体"/>
          <w:color w:val="auto"/>
          <w:sz w:val="24"/>
          <w:szCs w:val="24"/>
          <w:highlight w:val="none"/>
          <w:lang w:val="en-US" w:eastAsia="zh-CN" w:bidi="ar"/>
        </w:rPr>
        <w:t>招标工程量清单漏项（图纸有而清单漏项）：按工程量按实计算，综合单价以招标人委托的第三方造价咨询公司按本项目招标控制价编制原则编制，并按投标总价下浮率下浮计算。</w:t>
      </w:r>
    </w:p>
    <w:p w14:paraId="62728CEE">
      <w:pPr>
        <w:pStyle w:val="47"/>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14.31</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施工合同签订备案后，承包人应一个月内将安全防护、文明施工措施项目费、工人工资保证金、工程排污费等涉及办理建筑工程施工许可证的缴费项目，缴纳至相应管理部门，办结相关手续，并提供缴费凭据等相关资料复印件给发包人，到商业银行办理安全防护、文明施工措施费及工人工资专用账户，同时承包人应向发包人提供符合韶关市相关行业行政主管部门规定的有效劳务分包合同。</w:t>
      </w:r>
    </w:p>
    <w:p w14:paraId="7002201C">
      <w:pPr>
        <w:pStyle w:val="47"/>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32 </w:t>
      </w:r>
      <w:r>
        <w:rPr>
          <w:rFonts w:hint="eastAsia" w:ascii="宋体" w:hAnsi="宋体" w:eastAsia="宋体" w:cs="宋体"/>
          <w:color w:val="auto"/>
          <w:sz w:val="24"/>
          <w:szCs w:val="24"/>
          <w:highlight w:val="none"/>
          <w:lang w:bidi="ar"/>
        </w:rPr>
        <w:t>承包人应充分考虑施工对接情况，为本工程的其他参建单位提供工作便利、配合及服务（如水源、电源接口等），并有针对性地组织施工；承包人与为本工程的其他参建单位就协调、配合、服务等不能达成一致的，由监理工程师协调，并遵照监理工程师指令执行；承包人应负责统筹安排本工程范围内的各项工程的协调与配合，确保工程建设有序进行。承包人由此增加的费用应认为已包括在承包人的投标报价之中，发包人不另行支付。</w:t>
      </w:r>
    </w:p>
    <w:p w14:paraId="3D99BF50">
      <w:pPr>
        <w:pStyle w:val="47"/>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33 </w:t>
      </w:r>
      <w:r>
        <w:rPr>
          <w:rFonts w:hint="eastAsia" w:ascii="宋体" w:hAnsi="宋体" w:eastAsia="宋体" w:cs="宋体"/>
          <w:color w:val="auto"/>
          <w:sz w:val="24"/>
          <w:szCs w:val="24"/>
          <w:highlight w:val="none"/>
          <w:lang w:bidi="ar"/>
        </w:rPr>
        <w:t>工程完工后，为了本项目整体竣工验收的需要，承包人必须在发包人的统筹安排下，与为本项目其他工程服务的单位进行协同配合，做好竣工验收的各项工作，交付的工程必须符合各专业工程管养单位的相关要求。</w:t>
      </w:r>
    </w:p>
    <w:p w14:paraId="23170E54">
      <w:pPr>
        <w:pStyle w:val="47"/>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14.34 </w:t>
      </w:r>
      <w:r>
        <w:rPr>
          <w:rFonts w:hint="eastAsia" w:ascii="宋体" w:hAnsi="宋体" w:eastAsia="宋体" w:cs="宋体"/>
          <w:color w:val="auto"/>
          <w:sz w:val="24"/>
          <w:szCs w:val="24"/>
          <w:highlight w:val="none"/>
          <w:lang w:val="en-US" w:eastAsia="zh-CN" w:bidi="ar"/>
        </w:rPr>
        <w:t>本工程评标专家酬劳由中标人支付，该费用不再另行报价，由投标人在投标报价时综合考虑在内。中标人在领取中标通知书前须向招标代理机构评标专家酬劳。</w:t>
      </w:r>
    </w:p>
    <w:p w14:paraId="3F93F7E1">
      <w:pPr>
        <w:pStyle w:val="47"/>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14.35 </w:t>
      </w:r>
      <w:r>
        <w:rPr>
          <w:rFonts w:hint="eastAsia" w:ascii="宋体" w:hAnsi="宋体" w:eastAsia="宋体" w:cs="宋体"/>
          <w:color w:val="auto"/>
          <w:sz w:val="24"/>
          <w:szCs w:val="24"/>
          <w:highlight w:val="none"/>
          <w:lang w:val="en-US" w:eastAsia="zh-CN" w:bidi="ar"/>
        </w:rPr>
        <w:t>发包人仅在征地红线范围内提供场地，其他一切场地费用由承包人自行负责（含临时道路），因实施合同工程的需要，承包人须占用场地外的道路及修建场外用地、设施等，均由承包人自行负责。承包人自行办理所需的申请手续，并承担一切所需的费用，承包人须负责保持场内外的临时道路畅通，提供指示牌、警告告示、灯号及所需之交通指导员等一切安全措施以保障行人安全及车辆安全行驶，并承担因其失责引起之所有索偿。基坑开挖期间，承包人须于基坑至工地出入口设置挖运土（石）方的专用便道，便道须作填硬质渣土或浇混凝土路面等加硬处理，以确保雨天仍能安全施工。该费用已包含在合同单价中；超大件和超重件运输所需的一切费用包括但不限于道路和桥梁临时加固改造费用等均由承包人自行负责。</w:t>
      </w:r>
    </w:p>
    <w:p w14:paraId="0DE847E9">
      <w:pPr>
        <w:pStyle w:val="47"/>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14.36</w:t>
      </w:r>
      <w:r>
        <w:rPr>
          <w:rFonts w:hint="eastAsia" w:ascii="宋体" w:hAnsi="宋体" w:eastAsia="宋体" w:cs="宋体"/>
          <w:color w:val="auto"/>
          <w:sz w:val="24"/>
          <w:szCs w:val="24"/>
          <w:highlight w:val="none"/>
          <w:lang w:val="en-US" w:eastAsia="zh-CN" w:bidi="ar"/>
        </w:rPr>
        <w:t xml:space="preserve"> 承包人应对所有现场作业、所有施工方法和全部工程的完备性、稳定性和安全性负责，负责施工场地安全保卫工作，防止因工程施工造成的人身伤害和财产损失，提供和维修施工照明、围栏设施及要约标志以满足现场实际需要。</w:t>
      </w:r>
    </w:p>
    <w:p w14:paraId="38F31608">
      <w:pPr>
        <w:pStyle w:val="47"/>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14.37</w:t>
      </w:r>
      <w:r>
        <w:rPr>
          <w:rFonts w:hint="eastAsia" w:ascii="宋体" w:hAnsi="宋体" w:eastAsia="宋体" w:cs="宋体"/>
          <w:color w:val="auto"/>
          <w:sz w:val="24"/>
          <w:szCs w:val="24"/>
          <w:highlight w:val="none"/>
          <w:lang w:val="en-US" w:eastAsia="zh-CN" w:bidi="ar"/>
        </w:rPr>
        <w:t xml:space="preserve"> 遵守国家、广东省及韶关市现行的法律、条例、规定和通知，并办理所需的申请和支付有关的法定费用和税项（包括但不限于营业税及其附加税/增值税及其附加税或其他任何因履行合同需由承包商承担的相关税金）。包括但不限于施工场地交通、余泥排放、环境保护、安全防护、文明施工、施工噪音管理、夜间施工、排水许可、施工爆破许可等的申请及支付有关费用。</w:t>
      </w:r>
    </w:p>
    <w:p w14:paraId="25310ACA">
      <w:pPr>
        <w:pStyle w:val="47"/>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14.38</w:t>
      </w:r>
      <w:r>
        <w:rPr>
          <w:rFonts w:hint="eastAsia" w:ascii="宋体" w:hAnsi="宋体" w:eastAsia="宋体" w:cs="宋体"/>
          <w:color w:val="auto"/>
          <w:sz w:val="24"/>
          <w:szCs w:val="24"/>
          <w:highlight w:val="none"/>
          <w:lang w:val="en-US" w:eastAsia="zh-CN" w:bidi="ar"/>
        </w:rPr>
        <w:t xml:space="preserve"> 遵守政府部门有关环境卫生的管理规定，保证施工场地的清洁和交工前施工现场的清理，并承担因自身责任造成的损失和罚款。</w:t>
      </w:r>
    </w:p>
    <w:p w14:paraId="773E831F">
      <w:pPr>
        <w:pStyle w:val="47"/>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14.39</w:t>
      </w:r>
      <w:r>
        <w:rPr>
          <w:rFonts w:hint="eastAsia" w:ascii="宋体" w:hAnsi="宋体" w:eastAsia="宋体" w:cs="宋体"/>
          <w:color w:val="auto"/>
          <w:sz w:val="24"/>
          <w:szCs w:val="24"/>
          <w:highlight w:val="none"/>
          <w:lang w:val="en-US" w:eastAsia="zh-CN" w:bidi="ar"/>
        </w:rPr>
        <w:t xml:space="preserve"> 工程完工后，应按照合同约定提交竣工验收申请报告、竣工图纸和资料及竣工结算文件。本项目的工程竣工图亦须由承包人负责编制及提交，相关费用和利润视作已考虑在合同价款内。</w:t>
      </w:r>
    </w:p>
    <w:p w14:paraId="7204233A">
      <w:pPr>
        <w:pStyle w:val="47"/>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14.40 </w:t>
      </w:r>
      <w:r>
        <w:rPr>
          <w:rFonts w:hint="eastAsia" w:ascii="宋体" w:hAnsi="宋体" w:eastAsia="宋体" w:cs="宋体"/>
          <w:color w:val="auto"/>
          <w:sz w:val="24"/>
          <w:szCs w:val="24"/>
          <w:highlight w:val="none"/>
          <w:lang w:val="en-US" w:eastAsia="zh-CN" w:bidi="ar"/>
        </w:rPr>
        <w:t>自行办理本工程施工所需的道路占用手续（包括开路口），负责有关申请及维持占用道路所需的一切费用，并负责本工程的红线外的一切场地使用费用。</w:t>
      </w:r>
    </w:p>
    <w:p w14:paraId="6D6B3730">
      <w:pPr>
        <w:pStyle w:val="47"/>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14.41</w:t>
      </w:r>
      <w:r>
        <w:rPr>
          <w:rFonts w:hint="eastAsia" w:ascii="宋体" w:hAnsi="宋体" w:eastAsia="宋体" w:cs="宋体"/>
          <w:color w:val="auto"/>
          <w:sz w:val="24"/>
          <w:szCs w:val="24"/>
          <w:highlight w:val="none"/>
          <w:lang w:val="en-US" w:eastAsia="zh-CN" w:bidi="ar"/>
        </w:rPr>
        <w:t xml:space="preserve"> 对于承包人或其指定分包人所雇用的工人或任何其它人员的伤亡或赔偿，承包人应保证发包人免负该等责任，且保证发包人不负担涉及这类伤亡与赔偿或与此有关的索赔和诉讼，损害赔偿、诉讼费、赔偿费及其它费用均由承包人自行负责，另承包人由于伤亡事故而造成本工程停工的，发包人将不予顺延工期，其所有损失由承包人自负。但由于发包人或监理工程师的行为失误所造成的伤亡除外。</w:t>
      </w:r>
    </w:p>
    <w:p w14:paraId="19C2614A">
      <w:pPr>
        <w:pStyle w:val="47"/>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14.42 </w:t>
      </w:r>
      <w:r>
        <w:rPr>
          <w:rFonts w:hint="eastAsia" w:ascii="宋体" w:hAnsi="宋体" w:eastAsia="宋体" w:cs="宋体"/>
          <w:color w:val="auto"/>
          <w:sz w:val="24"/>
          <w:szCs w:val="24"/>
          <w:highlight w:val="none"/>
          <w:lang w:val="en-US" w:eastAsia="zh-CN" w:bidi="ar"/>
        </w:rPr>
        <w:t>应发包人要求对所有隐蔽工程施工进行录像并刻录成光盘，于工程验收时一并提交。</w:t>
      </w:r>
    </w:p>
    <w:p w14:paraId="562EC5D2">
      <w:pPr>
        <w:pStyle w:val="47"/>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14.43</w:t>
      </w:r>
      <w:r>
        <w:rPr>
          <w:rFonts w:hint="eastAsia" w:ascii="宋体" w:hAnsi="宋体" w:eastAsia="宋体" w:cs="宋体"/>
          <w:color w:val="auto"/>
          <w:sz w:val="24"/>
          <w:szCs w:val="24"/>
          <w:highlight w:val="none"/>
          <w:lang w:val="en-US" w:eastAsia="zh-CN" w:bidi="ar"/>
        </w:rPr>
        <w:t xml:space="preserve"> 本工程竣工交付予发包人，或合同终止之日起30天内时，承包人应将全部场地清理干净退还发包人。如承包人逾期未退还场地，承包人须按每天5元/m2向发包人缴纳场地占用费。</w:t>
      </w:r>
    </w:p>
    <w:p w14:paraId="7C5E5803">
      <w:pPr>
        <w:pStyle w:val="47"/>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14.44 </w:t>
      </w:r>
      <w:r>
        <w:rPr>
          <w:rFonts w:hint="eastAsia" w:ascii="宋体" w:hAnsi="宋体" w:eastAsia="宋体" w:cs="宋体"/>
          <w:color w:val="auto"/>
          <w:sz w:val="24"/>
          <w:szCs w:val="24"/>
          <w:highlight w:val="none"/>
          <w:lang w:val="en-US" w:eastAsia="zh-CN" w:bidi="ar"/>
        </w:rPr>
        <w:t>承包人必须参加各专业工程的图纸会审，对于专业工程与土建工程有冲突的地方，有义务提出修改建议和解决方案，否则，因此产生的费用将不予签证和工程设计变更。</w:t>
      </w:r>
    </w:p>
    <w:p w14:paraId="66187EAB">
      <w:pPr>
        <w:pStyle w:val="47"/>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14.45</w:t>
      </w:r>
      <w:r>
        <w:rPr>
          <w:rFonts w:hint="eastAsia" w:ascii="宋体" w:hAnsi="宋体" w:eastAsia="宋体" w:cs="宋体"/>
          <w:color w:val="auto"/>
          <w:sz w:val="24"/>
          <w:szCs w:val="24"/>
          <w:highlight w:val="none"/>
          <w:lang w:val="en-US" w:eastAsia="zh-CN" w:bidi="ar"/>
        </w:rPr>
        <w:t xml:space="preserve"> 承包人应根据发包人提供的正式变更资料及时进行工程变更，工程变更完成并由监理工程师和发包人书面确认后，承包人在30天内向发包人和造价工程师提出工程变更预算(包括经确认完成的变更证明资料及相应图纸、计算明细及单价组成等)，在30天内未提交的，视为变更不涉及费用的增加和工期的延长。承包人需按发包人的要求在每月20日前对设计变更及现场签证的事项台账及预算台账进行更新填报，若承包人漏报，发包人将视为该工作或签证不涉及费用的增加及工期的延长。承包人不得高估冒算，承包人预（结）算的送审价高出发包人审定价20%，承包人按以下方式承担违约金：违约金＝(承包人预（结）算送审造价－发包人预（结）算审定价×1.2)×10%，在预（结）算款项中以违约金形式扣除。</w:t>
      </w:r>
    </w:p>
    <w:p w14:paraId="45411232">
      <w:pPr>
        <w:pStyle w:val="47"/>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14.46</w:t>
      </w:r>
      <w:r>
        <w:rPr>
          <w:rFonts w:hint="eastAsia" w:ascii="宋体" w:hAnsi="宋体" w:eastAsia="宋体" w:cs="宋体"/>
          <w:color w:val="auto"/>
          <w:sz w:val="24"/>
          <w:szCs w:val="24"/>
          <w:highlight w:val="none"/>
          <w:lang w:val="en-US" w:eastAsia="zh-CN" w:bidi="ar"/>
        </w:rPr>
        <w:t xml:space="preserve"> 在展开任何工作或订购任何材料设备前，承包人须核实图纸上及现场所有尺寸，及审核现场、图纸、标准、规范之间有没有不符，若发现有任何错漏、疏忽或偏差，必须立即以书面形式通知发包人和监理工程师，由发包人给予指示。发包人的任何指示皆不会免除或减轻承包人按合同所承担的义务和责任。发包人不负责承包人未有充分审核而引致的虚耗材料设备、工作或进度拖延。</w:t>
      </w:r>
    </w:p>
    <w:p w14:paraId="3676FC3C">
      <w:pPr>
        <w:pStyle w:val="47"/>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14.47</w:t>
      </w:r>
      <w:r>
        <w:rPr>
          <w:rFonts w:hint="eastAsia" w:ascii="宋体" w:hAnsi="宋体" w:eastAsia="宋体" w:cs="宋体"/>
          <w:color w:val="auto"/>
          <w:sz w:val="24"/>
          <w:szCs w:val="24"/>
          <w:highlight w:val="none"/>
          <w:lang w:val="en-US" w:eastAsia="zh-CN" w:bidi="ar"/>
        </w:rPr>
        <w:t xml:space="preserve"> 合同价款已包括探明、打碎及移去所有在施工期间所遇到的地下障碍物如石块、结构混凝土、素混凝土、砖块、坟头等，及用经认可的土壤回填于空位内，合同价款亦已包括因上述障碍物而引致工人及机械窝工的费用及其它一切费用。</w:t>
      </w:r>
    </w:p>
    <w:p w14:paraId="3BD78CDF">
      <w:pPr>
        <w:pStyle w:val="47"/>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14.48</w:t>
      </w:r>
      <w:r>
        <w:rPr>
          <w:rFonts w:hint="eastAsia" w:ascii="宋体" w:hAnsi="宋体" w:eastAsia="宋体" w:cs="宋体"/>
          <w:color w:val="auto"/>
          <w:sz w:val="24"/>
          <w:szCs w:val="24"/>
          <w:highlight w:val="none"/>
          <w:lang w:val="en-US" w:eastAsia="zh-CN" w:bidi="ar"/>
        </w:rPr>
        <w:t xml:space="preserve"> 合同履行期间，除分部分项工程量清单内人工及模板人工（不包含机械费中的人工）与分部分项工程清单内的商品混凝土、商品砂浆、钢筋、结构用型钢、砌体、在约定的条件下可调整价差外，合同价款及单价不会因任何物价或汇率的变动而作调整。</w:t>
      </w:r>
    </w:p>
    <w:p w14:paraId="6D1ECE8B">
      <w:pPr>
        <w:pStyle w:val="47"/>
        <w:wordWrap w:val="0"/>
        <w:adjustRightInd w:val="0"/>
        <w:snapToGrid w:val="0"/>
        <w:spacing w:line="360" w:lineRule="auto"/>
        <w:ind w:firstLine="56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bidi="ar"/>
        </w:rPr>
        <w:t>14.49</w:t>
      </w:r>
      <w:r>
        <w:rPr>
          <w:rFonts w:hint="eastAsia" w:ascii="宋体" w:hAnsi="宋体" w:eastAsia="宋体" w:cs="宋体"/>
          <w:color w:val="auto"/>
          <w:sz w:val="24"/>
          <w:szCs w:val="24"/>
          <w:highlight w:val="none"/>
          <w:lang w:val="en-US" w:eastAsia="zh-CN" w:bidi="ar"/>
        </w:rPr>
        <w:t xml:space="preserve"> 承包人应积极配合发包人进行与自行施工范围有关的变更、签证“一月一清”工作。</w:t>
      </w:r>
    </w:p>
    <w:p w14:paraId="48CB4B52">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160" w:name="_Toc3399"/>
      <w:bookmarkStart w:id="161" w:name="_Toc9877"/>
      <w:r>
        <w:rPr>
          <w:rFonts w:hint="eastAsia" w:ascii="宋体" w:hAnsi="宋体" w:eastAsia="宋体" w:cs="宋体"/>
          <w:b/>
          <w:bCs/>
          <w:color w:val="auto"/>
          <w:spacing w:val="-11"/>
          <w:sz w:val="24"/>
          <w:szCs w:val="24"/>
          <w:highlight w:val="none"/>
          <w:lang w:val="en-US" w:eastAsia="zh-CN"/>
        </w:rPr>
        <w:t>15.违约及质量保证条款</w:t>
      </w:r>
      <w:bookmarkEnd w:id="160"/>
    </w:p>
    <w:p w14:paraId="4D34CB41">
      <w:pPr>
        <w:pStyle w:val="47"/>
        <w:wordWrap w:val="0"/>
        <w:adjustRightInd w:val="0"/>
        <w:snapToGrid w:val="0"/>
        <w:spacing w:line="360" w:lineRule="auto"/>
        <w:ind w:firstLine="560"/>
        <w:rPr>
          <w:rFonts w:hint="eastAsia" w:ascii="宋体" w:hAnsi="宋体" w:eastAsia="宋体" w:cs="宋体"/>
          <w:b/>
          <w:bCs/>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15.1 </w:t>
      </w:r>
      <w:r>
        <w:rPr>
          <w:rFonts w:hint="eastAsia" w:ascii="宋体" w:hAnsi="宋体" w:eastAsia="宋体" w:cs="宋体"/>
          <w:b w:val="0"/>
          <w:bCs w:val="0"/>
          <w:color w:val="auto"/>
          <w:sz w:val="24"/>
          <w:szCs w:val="24"/>
          <w:highlight w:val="none"/>
          <w:lang w:val="en-US" w:eastAsia="zh-CN" w:bidi="ar"/>
        </w:rPr>
        <w:t>工程移交延误违约</w:t>
      </w:r>
      <w:bookmarkEnd w:id="161"/>
    </w:p>
    <w:p w14:paraId="1430008C">
      <w:pPr>
        <w:pStyle w:val="47"/>
        <w:snapToGrid w:val="0"/>
        <w:spacing w:line="360" w:lineRule="auto"/>
        <w:ind w:firstLine="560"/>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lang w:val="en-US" w:eastAsia="zh-CN"/>
        </w:rPr>
        <w:t>15.1.1</w:t>
      </w:r>
      <w:r>
        <w:rPr>
          <w:rFonts w:hint="eastAsia" w:ascii="宋体" w:hAnsi="宋体" w:eastAsia="宋体" w:cs="宋体"/>
          <w:b w:val="0"/>
          <w:bCs w:val="0"/>
          <w:snapToGrid w:val="0"/>
          <w:color w:val="auto"/>
          <w:kern w:val="0"/>
          <w:sz w:val="24"/>
          <w:szCs w:val="24"/>
          <w:highlight w:val="none"/>
          <w:lang w:val="en-US" w:eastAsia="zh-CN"/>
        </w:rPr>
        <w:t>因承包人原因，工程没有按期竣工时，承包人须在逾期第壹天起每天按合同价的</w:t>
      </w:r>
      <w:r>
        <w:rPr>
          <w:rFonts w:hint="eastAsia" w:ascii="宋体" w:hAnsi="宋体" w:eastAsia="宋体" w:cs="宋体"/>
          <w:b w:val="0"/>
          <w:bCs w:val="0"/>
          <w:snapToGrid w:val="0"/>
          <w:color w:val="auto"/>
          <w:kern w:val="0"/>
          <w:sz w:val="24"/>
          <w:szCs w:val="24"/>
          <w:highlight w:val="none"/>
          <w:u w:val="single"/>
          <w:lang w:val="en-US" w:eastAsia="zh-CN"/>
        </w:rPr>
        <w:t>1‰</w:t>
      </w:r>
      <w:r>
        <w:rPr>
          <w:rFonts w:hint="eastAsia" w:ascii="宋体" w:hAnsi="宋体" w:eastAsia="宋体" w:cs="宋体"/>
          <w:b w:val="0"/>
          <w:bCs w:val="0"/>
          <w:snapToGrid w:val="0"/>
          <w:color w:val="auto"/>
          <w:kern w:val="0"/>
          <w:sz w:val="24"/>
          <w:szCs w:val="24"/>
          <w:highlight w:val="none"/>
          <w:lang w:val="en-US" w:eastAsia="zh-CN"/>
        </w:rPr>
        <w:t>向发包人返纳逾期竣工违约金。逾期竣工违约金的最高限额为合同价款的</w:t>
      </w:r>
      <w:r>
        <w:rPr>
          <w:rFonts w:hint="eastAsia" w:ascii="宋体" w:hAnsi="宋体" w:eastAsia="宋体" w:cs="宋体"/>
          <w:b w:val="0"/>
          <w:bCs w:val="0"/>
          <w:snapToGrid w:val="0"/>
          <w:color w:val="auto"/>
          <w:kern w:val="0"/>
          <w:sz w:val="24"/>
          <w:szCs w:val="24"/>
          <w:highlight w:val="none"/>
          <w:u w:val="single"/>
          <w:lang w:val="en-US" w:eastAsia="zh-CN"/>
        </w:rPr>
        <w:t>1%</w:t>
      </w:r>
      <w:r>
        <w:rPr>
          <w:rFonts w:hint="eastAsia" w:ascii="宋体" w:hAnsi="宋体" w:eastAsia="宋体" w:cs="宋体"/>
          <w:b w:val="0"/>
          <w:bCs w:val="0"/>
          <w:snapToGrid w:val="0"/>
          <w:color w:val="auto"/>
          <w:kern w:val="0"/>
          <w:sz w:val="24"/>
          <w:szCs w:val="24"/>
          <w:highlight w:val="none"/>
          <w:lang w:val="en-US" w:eastAsia="zh-CN"/>
        </w:rPr>
        <w:t>。</w:t>
      </w:r>
    </w:p>
    <w:p w14:paraId="4CFD2A5E">
      <w:pPr>
        <w:spacing w:line="360" w:lineRule="auto"/>
        <w:ind w:firstLine="475" w:firstLineChars="19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.1.2</w:t>
      </w:r>
      <w:r>
        <w:rPr>
          <w:rFonts w:hint="eastAsia" w:ascii="宋体" w:hAnsi="宋体" w:eastAsia="宋体" w:cs="宋体"/>
          <w:iCs/>
          <w:color w:val="auto"/>
          <w:sz w:val="24"/>
          <w:szCs w:val="24"/>
          <w:highlight w:val="none"/>
        </w:rPr>
        <w:t>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w:t>
      </w:r>
      <w:r>
        <w:rPr>
          <w:rFonts w:hint="eastAsia" w:ascii="宋体" w:hAnsi="宋体" w:eastAsia="宋体" w:cs="宋体"/>
          <w:color w:val="auto"/>
          <w:sz w:val="24"/>
          <w:szCs w:val="24"/>
          <w:highlight w:val="none"/>
        </w:rPr>
        <w:t>每次按2000元缴纳违约金给发包人，在结算中一并扣除。</w:t>
      </w:r>
    </w:p>
    <w:p w14:paraId="54FC1836">
      <w:pPr>
        <w:pStyle w:val="47"/>
        <w:snapToGrid w:val="0"/>
        <w:spacing w:line="360" w:lineRule="auto"/>
        <w:ind w:firstLine="56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rPr>
        <w:t>15</w:t>
      </w:r>
      <w:r>
        <w:rPr>
          <w:rFonts w:hint="eastAsia" w:ascii="宋体" w:hAnsi="宋体" w:eastAsia="宋体" w:cs="宋体"/>
          <w:b/>
          <w:bCs/>
          <w:snapToGrid w:val="0"/>
          <w:color w:val="auto"/>
          <w:kern w:val="0"/>
          <w:sz w:val="24"/>
          <w:szCs w:val="24"/>
          <w:highlight w:val="none"/>
        </w:rPr>
        <w:t>.1.3</w:t>
      </w:r>
      <w:r>
        <w:rPr>
          <w:rFonts w:hint="eastAsia" w:ascii="宋体" w:hAnsi="宋体" w:eastAsia="宋体" w:cs="宋体"/>
          <w:color w:val="auto"/>
          <w:sz w:val="24"/>
          <w:szCs w:val="24"/>
          <w:highlight w:val="none"/>
        </w:rPr>
        <w:t>承包人在进场后7天内提交施工进度计划，并注明主要施工节点时间，送监理单位及发包人审核后，作为工期考核的阶段性指标。</w:t>
      </w:r>
    </w:p>
    <w:p w14:paraId="18088F65">
      <w:pPr>
        <w:pStyle w:val="47"/>
        <w:keepNext w:val="0"/>
        <w:keepLines w:val="0"/>
        <w:pageBreakBefore w:val="0"/>
        <w:widowControl/>
        <w:wordWrap w:val="0"/>
        <w:overflowPunct/>
        <w:bidi w:val="0"/>
        <w:adjustRightInd w:val="0"/>
        <w:snapToGrid w:val="0"/>
        <w:spacing w:line="360" w:lineRule="auto"/>
        <w:ind w:firstLine="560"/>
        <w:rPr>
          <w:rFonts w:hint="eastAsia" w:ascii="宋体" w:hAnsi="宋体" w:eastAsia="宋体" w:cs="宋体"/>
          <w:b/>
          <w:bCs/>
          <w:color w:val="auto"/>
          <w:sz w:val="24"/>
          <w:szCs w:val="24"/>
          <w:highlight w:val="none"/>
          <w:lang w:val="en-US" w:eastAsia="zh-CN" w:bidi="ar"/>
        </w:rPr>
      </w:pPr>
      <w:bookmarkStart w:id="162" w:name="_Toc25518"/>
      <w:r>
        <w:rPr>
          <w:rFonts w:hint="eastAsia" w:ascii="宋体" w:hAnsi="宋体" w:eastAsia="宋体" w:cs="宋体"/>
          <w:b/>
          <w:bCs/>
          <w:color w:val="auto"/>
          <w:sz w:val="24"/>
          <w:szCs w:val="24"/>
          <w:highlight w:val="none"/>
          <w:lang w:val="en-US" w:eastAsia="zh-CN" w:bidi="ar"/>
        </w:rPr>
        <w:t xml:space="preserve">15.2 </w:t>
      </w:r>
      <w:r>
        <w:rPr>
          <w:rFonts w:hint="eastAsia" w:ascii="宋体" w:hAnsi="宋体" w:eastAsia="宋体" w:cs="宋体"/>
          <w:b w:val="0"/>
          <w:bCs w:val="0"/>
          <w:color w:val="auto"/>
          <w:sz w:val="24"/>
          <w:szCs w:val="24"/>
          <w:highlight w:val="none"/>
          <w:lang w:val="en-US" w:eastAsia="zh-CN" w:bidi="ar"/>
        </w:rPr>
        <w:t>质量违约</w:t>
      </w:r>
      <w:bookmarkEnd w:id="162"/>
    </w:p>
    <w:p w14:paraId="6B7F14FB">
      <w:pPr>
        <w:keepNext w:val="0"/>
        <w:keepLines w:val="0"/>
        <w:pageBreakBefore w:val="0"/>
        <w:widowControl w:val="0"/>
        <w:kinsoku w:val="0"/>
        <w:wordWrap/>
        <w:overflowPunct/>
        <w:autoSpaceDE w:val="0"/>
        <w:autoSpaceDN w:val="0"/>
        <w:bidi w:val="0"/>
        <w:adjustRightInd w:val="0"/>
        <w:snapToGrid w:val="0"/>
        <w:spacing w:line="360" w:lineRule="auto"/>
        <w:ind w:firstLine="475" w:firstLineChars="19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.2.1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材料违约处理：若发现材料不符合国家标准或发包人在技术规范中规定的标准，视为承包人违约，按现行《建设工程质量管理条例》处理。</w:t>
      </w:r>
    </w:p>
    <w:p w14:paraId="56972C69">
      <w:pPr>
        <w:pStyle w:val="48"/>
        <w:keepNext w:val="0"/>
        <w:keepLines w:val="0"/>
        <w:pageBreakBefore w:val="0"/>
        <w:widowControl w:val="0"/>
        <w:kinsoku w:val="0"/>
        <w:wordWrap/>
        <w:overflowPunct/>
        <w:autoSpaceDE w:val="0"/>
        <w:autoSpaceDN w:val="0"/>
        <w:bidi w:val="0"/>
        <w:adjustRightInd w:val="0"/>
        <w:snapToGrid w:val="0"/>
        <w:spacing w:line="360" w:lineRule="auto"/>
        <w:ind w:firstLine="490"/>
        <w:textAlignment w:val="baseline"/>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15</w:t>
      </w:r>
      <w:r>
        <w:rPr>
          <w:rFonts w:hint="eastAsia" w:ascii="宋体" w:hAnsi="宋体" w:eastAsia="宋体" w:cs="宋体"/>
          <w:b/>
          <w:color w:val="auto"/>
          <w:sz w:val="24"/>
          <w:szCs w:val="24"/>
          <w:highlight w:val="none"/>
        </w:rPr>
        <w:t>.2.1.1</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color w:val="auto"/>
          <w:sz w:val="24"/>
          <w:szCs w:val="24"/>
          <w:highlight w:val="none"/>
        </w:rPr>
        <w:t>成品采购项目在采购前，承包人必须先行书面征求监理人、发包人的同意并一起看样定版后方能实施。未经监理人、发包人同意擅自先行采购和实施的，否则因不符合设计要求返工造成的费用由承包人承担。</w:t>
      </w:r>
    </w:p>
    <w:p w14:paraId="17484DB6">
      <w:pPr>
        <w:keepNext w:val="0"/>
        <w:keepLines w:val="0"/>
        <w:pageBreakBefore w:val="0"/>
        <w:widowControl w:val="0"/>
        <w:kinsoku w:val="0"/>
        <w:wordWrap/>
        <w:overflowPunct/>
        <w:autoSpaceDE w:val="0"/>
        <w:autoSpaceDN w:val="0"/>
        <w:bidi w:val="0"/>
        <w:adjustRightInd w:val="0"/>
        <w:snapToGrid w:val="0"/>
        <w:spacing w:line="360" w:lineRule="auto"/>
        <w:ind w:firstLine="475" w:firstLineChars="19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.2.2</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工程质量违约：</w:t>
      </w:r>
    </w:p>
    <w:p w14:paraId="24467C7D">
      <w:pPr>
        <w:keepNext w:val="0"/>
        <w:keepLines w:val="0"/>
        <w:pageBreakBefore w:val="0"/>
        <w:widowControl w:val="0"/>
        <w:kinsoku w:val="0"/>
        <w:wordWrap/>
        <w:overflowPunct/>
        <w:autoSpaceDE w:val="0"/>
        <w:autoSpaceDN w:val="0"/>
        <w:bidi w:val="0"/>
        <w:adjustRightInd w:val="0"/>
        <w:snapToGrid w:val="0"/>
        <w:spacing w:line="360" w:lineRule="auto"/>
        <w:ind w:firstLine="482"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.2.2.1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在施工过程中经监理单位日常巡查或抽检发现未达到合格标准，责令承包人进行整改，如未按规定时间进行整改或整改不到位的，每次按5000元缴纳违约金给发包人，在进度款或结算款中一并扣除。</w:t>
      </w:r>
    </w:p>
    <w:p w14:paraId="7B15B08E">
      <w:pPr>
        <w:keepNext w:val="0"/>
        <w:keepLines w:val="0"/>
        <w:pageBreakBefore w:val="0"/>
        <w:widowControl w:val="0"/>
        <w:kinsoku w:val="0"/>
        <w:wordWrap/>
        <w:overflowPunct/>
        <w:autoSpaceDE w:val="0"/>
        <w:autoSpaceDN w:val="0"/>
        <w:bidi w:val="0"/>
        <w:adjustRightInd w:val="0"/>
        <w:snapToGrid w:val="0"/>
        <w:spacing w:line="360" w:lineRule="auto"/>
        <w:ind w:firstLine="482"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.2.2.2</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本工程验收达到国家合格或以上标准</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如未达到合格标准，除无偿返工至合格外，还要按合同价款的1%向招标人支付质量违约金，工期不予顺延。</w:t>
      </w:r>
    </w:p>
    <w:p w14:paraId="08C5CC1D">
      <w:pPr>
        <w:pStyle w:val="47"/>
        <w:wordWrap w:val="0"/>
        <w:adjustRightInd w:val="0"/>
        <w:snapToGrid w:val="0"/>
        <w:spacing w:line="360" w:lineRule="auto"/>
        <w:ind w:firstLine="560"/>
        <w:rPr>
          <w:rFonts w:hint="eastAsia" w:ascii="宋体" w:hAnsi="宋体" w:eastAsia="宋体" w:cs="宋体"/>
          <w:b w:val="0"/>
          <w:bCs w:val="0"/>
          <w:color w:val="auto"/>
          <w:sz w:val="24"/>
          <w:szCs w:val="24"/>
          <w:highlight w:val="none"/>
          <w:lang w:val="en-US" w:eastAsia="zh-CN" w:bidi="ar"/>
        </w:rPr>
      </w:pPr>
      <w:bookmarkStart w:id="163" w:name="_Toc6857"/>
      <w:r>
        <w:rPr>
          <w:rFonts w:hint="eastAsia" w:ascii="宋体" w:hAnsi="宋体" w:eastAsia="宋体" w:cs="宋体"/>
          <w:b/>
          <w:bCs/>
          <w:color w:val="auto"/>
          <w:sz w:val="24"/>
          <w:szCs w:val="24"/>
          <w:highlight w:val="none"/>
          <w:lang w:val="en-US" w:eastAsia="zh-CN" w:bidi="ar"/>
        </w:rPr>
        <w:t xml:space="preserve">15.3 </w:t>
      </w:r>
      <w:r>
        <w:rPr>
          <w:rFonts w:hint="eastAsia" w:ascii="宋体" w:hAnsi="宋体" w:eastAsia="宋体" w:cs="宋体"/>
          <w:b w:val="0"/>
          <w:bCs w:val="0"/>
          <w:color w:val="auto"/>
          <w:sz w:val="24"/>
          <w:szCs w:val="24"/>
          <w:highlight w:val="none"/>
          <w:lang w:val="en-US" w:eastAsia="zh-CN" w:bidi="ar"/>
        </w:rPr>
        <w:t>重大责任事故违约</w:t>
      </w:r>
      <w:bookmarkEnd w:id="163"/>
    </w:p>
    <w:p w14:paraId="764FB7C5">
      <w:pPr>
        <w:spacing w:line="360" w:lineRule="auto"/>
        <w:ind w:firstLine="475" w:firstLineChars="19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.3.1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承包人因违反国家安全质量法规及合同有关条款约定,出现火灾、坍塌、人员重伤、死亡等重大责任事故,则承包人应承担全部损失,并按相关法规接受行政处罚；如造成发包人及对第三人利益的损害,该等损害赔偿责任均由承包人承担。</w:t>
      </w:r>
    </w:p>
    <w:p w14:paraId="2EFE74E0">
      <w:pPr>
        <w:pStyle w:val="47"/>
        <w:wordWrap w:val="0"/>
        <w:adjustRightInd w:val="0"/>
        <w:snapToGrid w:val="0"/>
        <w:spacing w:line="360" w:lineRule="auto"/>
        <w:ind w:firstLine="560"/>
        <w:rPr>
          <w:rFonts w:hint="eastAsia" w:ascii="宋体" w:hAnsi="宋体" w:eastAsia="宋体" w:cs="宋体"/>
          <w:b/>
          <w:bCs/>
          <w:color w:val="auto"/>
          <w:sz w:val="24"/>
          <w:szCs w:val="24"/>
          <w:highlight w:val="none"/>
          <w:lang w:val="en-US" w:eastAsia="zh-CN" w:bidi="ar"/>
        </w:rPr>
      </w:pPr>
      <w:bookmarkStart w:id="164" w:name="_Toc8249"/>
      <w:r>
        <w:rPr>
          <w:rFonts w:hint="eastAsia" w:ascii="宋体" w:hAnsi="宋体" w:eastAsia="宋体" w:cs="宋体"/>
          <w:b/>
          <w:bCs/>
          <w:color w:val="auto"/>
          <w:sz w:val="24"/>
          <w:szCs w:val="24"/>
          <w:highlight w:val="none"/>
          <w:lang w:val="en-US" w:eastAsia="zh-CN" w:bidi="ar"/>
        </w:rPr>
        <w:t xml:space="preserve">15.4 </w:t>
      </w:r>
      <w:r>
        <w:rPr>
          <w:rFonts w:hint="eastAsia" w:ascii="宋体" w:hAnsi="宋体" w:eastAsia="宋体" w:cs="宋体"/>
          <w:b w:val="0"/>
          <w:bCs w:val="0"/>
          <w:color w:val="auto"/>
          <w:sz w:val="24"/>
          <w:szCs w:val="24"/>
          <w:highlight w:val="none"/>
          <w:lang w:val="en-US" w:eastAsia="zh-CN" w:bidi="ar"/>
        </w:rPr>
        <w:t>用工违约</w:t>
      </w:r>
      <w:bookmarkEnd w:id="164"/>
    </w:p>
    <w:p w14:paraId="58A1F9D2">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.4.1</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在合同履行期间，如经查实承包人拖欠或克扣农民工或劳务工工资，导致劳资纠纷或发生危及公共安全或正常社会秩序的事件的，按承包人违约处理，按人民币10000元/次从工程进度款中扣除。承包人必须无条件确保民工工资得到及时发放，无拖欠民工工资现象，并采取发包人认为切实可行的措施确保无劳资纠纷事件发生，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2倍向发包人支付违约金。违约金在下期进度款中扣除。未在下期进度款扣除或承包人在发包人处已经无款可扣的，起计逾期支付利息。发包人可以在承包人其他任何款项中扣除所垫付的工资和相应的违约金与利息。承包人对提供的资料真实性负责，如发现虚假不实情况，承包人须向发包人支付违约金20000元/次。</w:t>
      </w:r>
    </w:p>
    <w:p w14:paraId="0C611FD0">
      <w:pPr>
        <w:spacing w:line="360" w:lineRule="auto"/>
        <w:ind w:firstLine="475" w:firstLineChars="197"/>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.4.2</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承包人应积极落实有关部门关于用工实名制管理工作的要求，未按规定落实农民工工资专户及实用工实名制要求，经有关部门警告或处罚的，按违约金人民币10000元/次从工程进度款中扣除。</w:t>
      </w:r>
      <w:bookmarkStart w:id="165" w:name="_Toc28116"/>
    </w:p>
    <w:p w14:paraId="1B58E836">
      <w:pPr>
        <w:spacing w:line="360" w:lineRule="auto"/>
        <w:ind w:firstLine="475" w:firstLineChars="197"/>
        <w:rPr>
          <w:rFonts w:hint="eastAsia" w:ascii="宋体" w:hAnsi="宋体" w:eastAsia="宋体" w:cs="宋体"/>
          <w:b/>
          <w:bCs/>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15.5 </w:t>
      </w:r>
      <w:r>
        <w:rPr>
          <w:rFonts w:hint="eastAsia" w:ascii="宋体" w:hAnsi="宋体" w:eastAsia="宋体" w:cs="宋体"/>
          <w:b w:val="0"/>
          <w:bCs w:val="0"/>
          <w:color w:val="auto"/>
          <w:sz w:val="24"/>
          <w:szCs w:val="24"/>
          <w:highlight w:val="none"/>
          <w:lang w:val="en-US" w:eastAsia="zh-CN" w:bidi="ar"/>
        </w:rPr>
        <w:t>安全文明施工违约</w:t>
      </w:r>
      <w:bookmarkEnd w:id="165"/>
    </w:p>
    <w:p w14:paraId="33660C47">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.5.1</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承包人应严格遵守国家、省、市有关防火、爆破和施工安全以及文明施工、深夜施工、环卫和城市管理等规定，建立规章制度和防护措施，并组织施工。</w:t>
      </w:r>
    </w:p>
    <w:p w14:paraId="246D7C39">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.5.2</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现场施工人员存在野蛮施工行为，经现场发包人（含监理单位）管理人员确认后，承包人须按10000元/次缴纳违约金；如因野蛮施工行为，引起投诉或网络问政的，承包人须按5000元/次缴纳违约金；并承担因野蛮施工行为所造成的全部责任。</w:t>
      </w:r>
    </w:p>
    <w:p w14:paraId="40A8D1C1">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.5.3</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承包人必须接受发包人及监理单位组织的安全、文明施工的检查，检查中的不合格项目、安全隐患必须在规定的时间内整改完成，否则每拖延一天处以10000元人民币违约金，直至整改合格。</w:t>
      </w:r>
    </w:p>
    <w:p w14:paraId="0768D791">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.5.4</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承包人施工现场发生工伤或其他责任事故的，承包人按下列标准缴纳违约金：</w:t>
      </w:r>
    </w:p>
    <w:p w14:paraId="5991882A">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①一次事故或全年累计死亡3人及以上：项目部必须撤换项目经理、主管安全副经理和安全主管，一次或全年累计缴纳违约金100万元人民币；</w:t>
      </w:r>
    </w:p>
    <w:p w14:paraId="55827DB0">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②一次事故或全年累计死亡2人：安全第一责任人在韶关市地区建设范围内公开检查；承包人必须撤换项目主管安全副经理或安全主管；一次或全年累计缴纳违约金60万元人民币；</w:t>
      </w:r>
    </w:p>
    <w:p w14:paraId="418963B4">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③全年死亡1人：安全第一责任人在韶关市地区建设范围内公开检查，并报其上级单位；承包人必须撤换项目安全主管；缴纳违约金30万元人民币。</w:t>
      </w:r>
    </w:p>
    <w:p w14:paraId="786E050D">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④重伤事故、造成10人及以上集体中毒住院、经济损失重大的火灾、设备及交通事故，缴纳违约金30万元人民币。</w:t>
      </w:r>
    </w:p>
    <w:p w14:paraId="49217ECA">
      <w:pPr>
        <w:spacing w:line="360" w:lineRule="auto"/>
        <w:ind w:firstLine="472" w:firstLineChars="19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⑤因施工造成的道路交通中断、通讯中断、管线漏水漏气等全部责任事故，由承包人承担责任，并缴纳违约金1万元人民币。</w:t>
      </w:r>
      <w:bookmarkStart w:id="166" w:name="_Toc4275"/>
    </w:p>
    <w:p w14:paraId="79E0FFC2">
      <w:pPr>
        <w:spacing w:line="360" w:lineRule="auto"/>
        <w:ind w:firstLine="475" w:firstLineChars="197"/>
        <w:rPr>
          <w:rFonts w:hint="eastAsia" w:ascii="宋体" w:hAnsi="宋体" w:eastAsia="宋体" w:cs="宋体"/>
          <w:b/>
          <w:bCs/>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15.6 </w:t>
      </w:r>
      <w:r>
        <w:rPr>
          <w:rFonts w:hint="eastAsia" w:ascii="宋体" w:hAnsi="宋体" w:eastAsia="宋体" w:cs="宋体"/>
          <w:b w:val="0"/>
          <w:bCs w:val="0"/>
          <w:color w:val="auto"/>
          <w:sz w:val="24"/>
          <w:szCs w:val="24"/>
          <w:highlight w:val="none"/>
          <w:lang w:val="en-US" w:eastAsia="zh-CN" w:bidi="ar"/>
        </w:rPr>
        <w:t>其他违约</w:t>
      </w:r>
      <w:bookmarkEnd w:id="166"/>
    </w:p>
    <w:p w14:paraId="10FEAABD">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.6.1</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安排在施工场地的主要管理人员（主要指项目经理、项目技术负责人和专职安全生产管理人员）应与承包人投标文件承诺的名单一致，并保持相对稳定。未经总监理工程师批准，上述人员不应无故不到位或被替换。如果擅自更换项目负责人或项目技术负责人，承包人每更换一人次，需支付20000元违约金给发包人，如果擅自更换主要施工管理人员，每更换一人次，承包人需支付10000元违约金给发包人。若确实无法到位或需替换，需经总监理工程师审核并报发包人批准后，承包人可安排同等资历的人员替换；考勤采用人脸识别打卡每月累计不到位次数超过10天，按5000元/人/天缴纳违约金给发包人；在日常检查及相关会议中主要管理人员不到岗，按违约金人民币1000元/人/次从工程进度款中扣除。</w:t>
      </w:r>
    </w:p>
    <w:p w14:paraId="6B24E882">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.6.2</w:t>
      </w:r>
      <w:r>
        <w:rPr>
          <w:rFonts w:hint="eastAsia" w:ascii="宋体" w:hAnsi="宋体" w:eastAsia="宋体" w:cs="宋体"/>
          <w:bCs/>
          <w:color w:val="auto"/>
          <w:sz w:val="24"/>
          <w:szCs w:val="24"/>
          <w:highlight w:val="none"/>
        </w:rPr>
        <w:t xml:space="preserve"> 承包人施工资料必须与形象进度同步，如发包人在日常检查中发现不同步的现象的，视为违约并按违约金人民币1000元/次从工程进度款中扣除。</w:t>
      </w:r>
    </w:p>
    <w:p w14:paraId="3E6ABC2C">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.6.3</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发包人要求承包人替换项目部中不称职人员或能力有异议，而承包人不予替换，视为承包人违约，承包人须按承包人项目部主要管理人员（主要指项目经理、项目技术负责人和专职安全生产管理人员）20000元/人次缴纳违约金给发包人。</w:t>
      </w:r>
    </w:p>
    <w:p w14:paraId="7C53C8DA">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.6.4</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发包人对上述约定中的规定并不免除承包人接受国家、地方政府相关部门依法对承包人的处罚。</w:t>
      </w:r>
    </w:p>
    <w:p w14:paraId="54CE9F80">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.6.5</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承包人没有正当合理的理由中途退场，可扣除承包人已递交的所有履约保证金作为违约金。</w:t>
      </w:r>
    </w:p>
    <w:p w14:paraId="19C856F7">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.6.6</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有下列情况之一的，承包人在一年内不得参与发包人的任何工程任务，并勒令从现施工的工地退场，同时按违约金人民币50000元从工程进度款中扣除：</w:t>
      </w:r>
    </w:p>
    <w:p w14:paraId="560DD9D6">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A、路面沉降、开裂超过规范要求并造成不良社会影响的；</w:t>
      </w:r>
    </w:p>
    <w:p w14:paraId="3F916BE6">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B、发生重大责任安全事故的；</w:t>
      </w:r>
    </w:p>
    <w:p w14:paraId="47891846">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C、不能在合同规定的期限内竣工的；</w:t>
      </w:r>
    </w:p>
    <w:p w14:paraId="6FE30589">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D、承包人所承担的施工任务在施工期间，由于工程质量或工程进度原因，监理单位发出10个以上﹙含10个﹚停工令的；</w:t>
      </w:r>
    </w:p>
    <w:p w14:paraId="146C5512">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E、质量监督部门在抽检时发出5个以上（含5个）由于工程质量原因通报的；</w:t>
      </w:r>
    </w:p>
    <w:p w14:paraId="09BD63E4">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F、业主组织的质量大检查发现由于工程质量原因而通报二次以上（含二次）的；</w:t>
      </w:r>
    </w:p>
    <w:p w14:paraId="435E5848">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.6.7</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必须严格塔吊、起重机等机械设备及货梯、提升机等机电设备的安装、拆卸和使用运行管理。必须落实持证上岗、专人操作、专人检查，严格落实每天操作前和操作后的检查，检查发现未落实相关措施和规定的，按违约金人民币2000元/次从工程进度款中扣除。</w:t>
      </w:r>
    </w:p>
    <w:p w14:paraId="588B6E75">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.6.8</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承包人应加强生活用电管理，检查发现私拉乱接电线的，承包人须按人民币500元/次缴纳违约金给发包人。</w:t>
      </w:r>
    </w:p>
    <w:p w14:paraId="250191F5">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.6.9</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承包人应加强建设范围内因雨季造成临时积水部位的管理，防止发生淹亡、溺亡事故，若因措施不严造成的后果全部由承包人承担。</w:t>
      </w:r>
    </w:p>
    <w:p w14:paraId="18713615">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.6.10</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国家发生疫情或其他重大风险期间，承包人不执行有关部门关于特殊时期管控规定、不落实相关措施的，承包人须按人民币1000元/人/次缴纳违约金给发包人。</w:t>
      </w:r>
    </w:p>
    <w:p w14:paraId="3E69F5D2">
      <w:pPr>
        <w:spacing w:line="360" w:lineRule="auto"/>
        <w:ind w:firstLine="352" w:firstLineChars="14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承包人因上述违约行为而须缴纳的违约金在工程进度款中或结算时一并扣除。</w:t>
      </w:r>
    </w:p>
    <w:p w14:paraId="6F8EE97B">
      <w:pPr>
        <w:pStyle w:val="7"/>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lang w:eastAsia="zh-CN"/>
        </w:rPr>
        <w:t>.7</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lang w:eastAsia="zh-CN"/>
        </w:rPr>
        <w:t>专业工程发包：</w:t>
      </w:r>
      <w:r>
        <w:rPr>
          <w:rFonts w:hint="eastAsia" w:ascii="宋体" w:hAnsi="宋体" w:eastAsia="宋体" w:cs="宋体"/>
          <w:bCs/>
          <w:color w:val="auto"/>
          <w:sz w:val="24"/>
          <w:szCs w:val="24"/>
          <w:highlight w:val="none"/>
        </w:rPr>
        <w:t>合同范围内的工程未经发包人同意一律不得发包，一经发现，取消承包人的承包资格，由此引起的一切经济损失和法律责任由承包人自行承担。若有专业工程必须发包的，发包人不另行支付总包服务费；其发包合同由承包人与对方签订，发包人不参与承包人与对方之间的结算，该部分工程的造价仍按承包人与发包人签订的合同的有关条款进行结算。注：本项目包含电力部分及电力附属部分内容，应由执有电力相关专业资质的单位承接，若达到必须招标规模标准的，由中标人招标，招标人参与管理，确定电力专业工程承包人和合同价格。</w:t>
      </w:r>
      <w:bookmarkStart w:id="167" w:name="_Toc21685"/>
    </w:p>
    <w:p w14:paraId="3B9D079D">
      <w:pPr>
        <w:pStyle w:val="7"/>
        <w:spacing w:line="360" w:lineRule="auto"/>
        <w:ind w:firstLine="482" w:firstLineChars="200"/>
        <w:rPr>
          <w:rFonts w:hint="eastAsia" w:ascii="宋体" w:hAnsi="宋体" w:eastAsia="宋体" w:cs="宋体"/>
          <w:b/>
          <w:bCs/>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15.8  </w:t>
      </w:r>
      <w:r>
        <w:rPr>
          <w:rFonts w:hint="eastAsia" w:ascii="宋体" w:hAnsi="宋体" w:eastAsia="宋体" w:cs="宋体"/>
          <w:b w:val="0"/>
          <w:bCs w:val="0"/>
          <w:color w:val="auto"/>
          <w:sz w:val="24"/>
          <w:szCs w:val="24"/>
          <w:highlight w:val="none"/>
          <w:lang w:val="en-US" w:eastAsia="zh-CN" w:bidi="ar"/>
        </w:rPr>
        <w:t>质量保证</w:t>
      </w:r>
      <w:bookmarkEnd w:id="167"/>
    </w:p>
    <w:p w14:paraId="765942FF">
      <w:pPr>
        <w:wordWrap w:val="0"/>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lang w:eastAsia="zh-CN"/>
        </w:rPr>
        <w:t>.8.1</w:t>
      </w:r>
      <w:r>
        <w:rPr>
          <w:rFonts w:hint="eastAsia" w:ascii="宋体" w:hAnsi="宋体" w:eastAsia="宋体" w:cs="宋体"/>
          <w:color w:val="auto"/>
          <w:sz w:val="24"/>
          <w:szCs w:val="24"/>
          <w:highlight w:val="none"/>
          <w:lang w:eastAsia="zh-CN"/>
        </w:rPr>
        <w:t xml:space="preserve"> 本招标项目缺陷责任期为</w:t>
      </w:r>
      <w:r>
        <w:rPr>
          <w:rFonts w:hint="eastAsia" w:ascii="宋体" w:hAnsi="宋体" w:eastAsia="宋体" w:cs="宋体"/>
          <w:color w:val="auto"/>
          <w:sz w:val="24"/>
          <w:szCs w:val="24"/>
          <w:highlight w:val="none"/>
          <w:u w:val="single"/>
          <w:lang w:val="en-US" w:eastAsia="zh-CN"/>
        </w:rPr>
        <w:t xml:space="preserve"> 2 </w:t>
      </w:r>
      <w:r>
        <w:rPr>
          <w:rFonts w:hint="eastAsia" w:ascii="宋体" w:hAnsi="宋体" w:eastAsia="宋体" w:cs="宋体"/>
          <w:color w:val="auto"/>
          <w:sz w:val="24"/>
          <w:szCs w:val="24"/>
          <w:highlight w:val="none"/>
          <w:lang w:eastAsia="zh-CN"/>
        </w:rPr>
        <w:t>年（自通过竣工验收之日起计），在此期间预留金额为结算价</w:t>
      </w:r>
      <w:r>
        <w:rPr>
          <w:rFonts w:hint="eastAsia" w:ascii="宋体" w:hAnsi="宋体" w:eastAsia="宋体" w:cs="宋体"/>
          <w:color w:val="auto"/>
          <w:sz w:val="24"/>
          <w:szCs w:val="24"/>
          <w:highlight w:val="none"/>
          <w:u w:val="single"/>
          <w:lang w:eastAsia="zh-CN"/>
        </w:rPr>
        <w:t xml:space="preserve"> 3%</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eastAsia="zh-CN"/>
        </w:rPr>
        <w:t>的质量保证。</w:t>
      </w:r>
    </w:p>
    <w:p w14:paraId="47B21957">
      <w:pPr>
        <w:wordWrap w:val="0"/>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lang w:eastAsia="zh-CN"/>
        </w:rPr>
        <w:t>.8.2</w:t>
      </w:r>
      <w:r>
        <w:rPr>
          <w:rFonts w:hint="eastAsia" w:ascii="宋体" w:hAnsi="宋体" w:eastAsia="宋体" w:cs="宋体"/>
          <w:color w:val="auto"/>
          <w:sz w:val="24"/>
          <w:szCs w:val="24"/>
          <w:highlight w:val="none"/>
          <w:lang w:eastAsia="zh-CN"/>
        </w:rPr>
        <w:t xml:space="preserve"> 质量保证的形式包括质量保证金、质量保证担保、质量保证保险三种，由承包人自主选择。（1）采用质量保证金形式的，在结清审定总造价时一次性扣留相应金额作为质量保证金。（2）采用质量保证担保或质量保证保险的，承包人应在竣工验收时向发包人提交有效的商业保函、银行保函或保险合同（或保险单）原件，商业保函、银行保函或保险合同（或保险单）的有效期不得短于缺陷责任期。</w:t>
      </w:r>
    </w:p>
    <w:p w14:paraId="174C7587">
      <w:pPr>
        <w:wordWrap w:val="0"/>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lang w:eastAsia="zh-CN"/>
        </w:rPr>
        <w:t xml:space="preserve">.8.3 </w:t>
      </w:r>
      <w:r>
        <w:rPr>
          <w:rFonts w:hint="eastAsia" w:ascii="宋体" w:hAnsi="宋体" w:eastAsia="宋体" w:cs="宋体"/>
          <w:color w:val="auto"/>
          <w:sz w:val="24"/>
          <w:szCs w:val="24"/>
          <w:highlight w:val="none"/>
          <w:lang w:eastAsia="zh-CN"/>
        </w:rPr>
        <w:t>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由他人原因造成的缺陷，发包人负责组织维修，承包人不承担费用，且发包人不得从质量保证中扣除费用。</w:t>
      </w:r>
    </w:p>
    <w:p w14:paraId="4BB7767A">
      <w:pPr>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lang w:eastAsia="zh-CN"/>
        </w:rPr>
        <w:t xml:space="preserve">.8.4 </w:t>
      </w:r>
      <w:r>
        <w:rPr>
          <w:rFonts w:hint="eastAsia" w:ascii="宋体" w:hAnsi="宋体" w:eastAsia="宋体" w:cs="宋体"/>
          <w:color w:val="auto"/>
          <w:sz w:val="24"/>
          <w:szCs w:val="24"/>
          <w:highlight w:val="none"/>
          <w:lang w:eastAsia="zh-CN"/>
        </w:rPr>
        <w:t>缺陷责任期内，承包人应认真履行合同约定的责任。缺陷责任期到期后，承包人向发包人申请退还质量保证，发包人应按照《建设工程质量保证金管理办法》有关规定将质量保证退还给承包人。</w:t>
      </w:r>
    </w:p>
    <w:p w14:paraId="5A3FC830">
      <w:pPr>
        <w:spacing w:before="78" w:line="324" w:lineRule="auto"/>
        <w:ind w:firstLine="480"/>
        <w:rPr>
          <w:rFonts w:hint="default" w:ascii="宋体" w:hAnsi="宋体" w:eastAsia="宋体" w:cs="宋体"/>
          <w:b/>
          <w:bCs/>
          <w:color w:val="auto"/>
          <w:spacing w:val="-3"/>
          <w:sz w:val="24"/>
          <w:szCs w:val="24"/>
          <w:highlight w:val="none"/>
          <w:lang w:val="en-US" w:eastAsia="zh-CN"/>
        </w:rPr>
      </w:pPr>
      <w:r>
        <w:rPr>
          <w:rFonts w:hint="eastAsia" w:ascii="宋体" w:hAnsi="宋体" w:cs="宋体"/>
          <w:b/>
          <w:bCs/>
          <w:color w:val="auto"/>
          <w:spacing w:val="-3"/>
          <w:sz w:val="24"/>
          <w:szCs w:val="24"/>
          <w:highlight w:val="none"/>
          <w:lang w:val="en-US" w:eastAsia="zh-CN"/>
        </w:rPr>
        <w:t>二、合同文件格式</w:t>
      </w:r>
    </w:p>
    <w:p w14:paraId="602E6334">
      <w:pPr>
        <w:pStyle w:val="2"/>
        <w:bidi w:val="0"/>
        <w:ind w:left="0" w:leftChars="0" w:firstLine="0" w:firstLineChars="0"/>
        <w:jc w:val="center"/>
        <w:rPr>
          <w:rFonts w:hint="eastAsia" w:ascii="宋体" w:hAnsi="宋体" w:eastAsia="宋体" w:cs="宋体"/>
          <w:color w:val="auto"/>
          <w:spacing w:val="-1"/>
          <w:sz w:val="24"/>
          <w:szCs w:val="24"/>
          <w:highlight w:val="none"/>
        </w:rPr>
      </w:pPr>
      <w:r>
        <w:rPr>
          <w:rFonts w:hint="eastAsia" w:ascii="宋体" w:hAnsi="宋体" w:eastAsia="宋体" w:cs="宋体"/>
          <w:color w:val="auto"/>
          <w:spacing w:val="-3"/>
          <w:sz w:val="24"/>
          <w:szCs w:val="24"/>
          <w:highlight w:val="none"/>
        </w:rPr>
        <w:t>（略</w:t>
      </w:r>
      <w:r>
        <w:rPr>
          <w:rFonts w:hint="eastAsia" w:ascii="宋体" w:hAnsi="宋体" w:eastAsia="宋体" w:cs="宋体"/>
          <w:color w:val="auto"/>
          <w:spacing w:val="-10"/>
          <w:sz w:val="24"/>
          <w:szCs w:val="24"/>
          <w:highlight w:val="none"/>
        </w:rPr>
        <w:t>），</w:t>
      </w:r>
      <w:r>
        <w:rPr>
          <w:rFonts w:hint="eastAsia" w:ascii="宋体" w:hAnsi="宋体" w:eastAsia="宋体" w:cs="宋体"/>
          <w:color w:val="auto"/>
          <w:spacing w:val="-3"/>
          <w:sz w:val="24"/>
          <w:szCs w:val="24"/>
          <w:highlight w:val="none"/>
        </w:rPr>
        <w:t>按《广东省建设工程标准施工合同》（2009 年版）或《建设工程施工合同</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rPr>
        <w:t>（示范文本）》（GF—2017—0201）执行。</w:t>
      </w:r>
    </w:p>
    <w:p w14:paraId="1EA779F2">
      <w:pPr>
        <w:pStyle w:val="2"/>
        <w:bidi w:val="0"/>
        <w:ind w:left="0" w:leftChars="0" w:firstLine="0" w:firstLineChars="0"/>
        <w:jc w:val="center"/>
        <w:rPr>
          <w:rFonts w:hint="eastAsia" w:ascii="宋体" w:hAnsi="宋体" w:eastAsia="宋体" w:cs="宋体"/>
          <w:color w:val="auto"/>
          <w:spacing w:val="-1"/>
          <w:sz w:val="24"/>
          <w:szCs w:val="24"/>
          <w:highlight w:val="none"/>
        </w:rPr>
      </w:pPr>
    </w:p>
    <w:p w14:paraId="588A2FEA">
      <w:pPr>
        <w:pStyle w:val="2"/>
        <w:bidi w:val="0"/>
        <w:ind w:left="0" w:leftChars="0" w:firstLine="0" w:firstLineChars="0"/>
        <w:jc w:val="center"/>
        <w:rPr>
          <w:rFonts w:hint="eastAsia" w:ascii="宋体" w:hAnsi="宋体" w:eastAsia="宋体" w:cs="宋体"/>
          <w:color w:val="auto"/>
          <w:spacing w:val="-1"/>
          <w:sz w:val="24"/>
          <w:szCs w:val="24"/>
          <w:highlight w:val="none"/>
        </w:rPr>
      </w:pPr>
    </w:p>
    <w:p w14:paraId="52F10329">
      <w:pPr>
        <w:pStyle w:val="2"/>
        <w:bidi w:val="0"/>
        <w:ind w:left="0" w:leftChars="0" w:firstLine="0" w:firstLineChars="0"/>
        <w:jc w:val="center"/>
        <w:rPr>
          <w:rFonts w:hint="eastAsia" w:ascii="宋体" w:hAnsi="宋体" w:eastAsia="宋体" w:cs="宋体"/>
          <w:color w:val="auto"/>
          <w:spacing w:val="-1"/>
          <w:sz w:val="24"/>
          <w:szCs w:val="24"/>
          <w:highlight w:val="none"/>
        </w:rPr>
      </w:pPr>
    </w:p>
    <w:p w14:paraId="1029378A">
      <w:pPr>
        <w:pStyle w:val="6"/>
        <w:rPr>
          <w:rFonts w:hint="eastAsia" w:ascii="宋体" w:hAnsi="宋体" w:eastAsia="宋体" w:cs="宋体"/>
          <w:color w:val="auto"/>
          <w:spacing w:val="-1"/>
          <w:sz w:val="24"/>
          <w:szCs w:val="24"/>
          <w:highlight w:val="none"/>
        </w:rPr>
      </w:pPr>
    </w:p>
    <w:p w14:paraId="4DBC5A70">
      <w:pPr>
        <w:rPr>
          <w:rFonts w:hint="eastAsia" w:ascii="宋体" w:hAnsi="宋体" w:eastAsia="宋体" w:cs="宋体"/>
          <w:color w:val="auto"/>
          <w:spacing w:val="-1"/>
          <w:sz w:val="24"/>
          <w:szCs w:val="24"/>
          <w:highlight w:val="none"/>
        </w:rPr>
      </w:pPr>
    </w:p>
    <w:p w14:paraId="29695008">
      <w:pPr>
        <w:pStyle w:val="6"/>
        <w:rPr>
          <w:rFonts w:hint="eastAsia" w:ascii="宋体" w:hAnsi="宋体" w:eastAsia="宋体" w:cs="宋体"/>
          <w:color w:val="auto"/>
          <w:spacing w:val="-1"/>
          <w:sz w:val="24"/>
          <w:szCs w:val="24"/>
          <w:highlight w:val="none"/>
        </w:rPr>
      </w:pPr>
    </w:p>
    <w:p w14:paraId="08CEEF01">
      <w:pPr>
        <w:rPr>
          <w:rFonts w:hint="eastAsia" w:ascii="宋体" w:hAnsi="宋体" w:eastAsia="宋体" w:cs="宋体"/>
          <w:color w:val="auto"/>
          <w:spacing w:val="-1"/>
          <w:sz w:val="24"/>
          <w:szCs w:val="24"/>
          <w:highlight w:val="none"/>
        </w:rPr>
      </w:pPr>
    </w:p>
    <w:p w14:paraId="6E843933">
      <w:pPr>
        <w:pStyle w:val="6"/>
        <w:rPr>
          <w:rFonts w:hint="eastAsia" w:ascii="宋体" w:hAnsi="宋体" w:eastAsia="宋体" w:cs="宋体"/>
          <w:color w:val="auto"/>
          <w:spacing w:val="-1"/>
          <w:sz w:val="24"/>
          <w:szCs w:val="24"/>
          <w:highlight w:val="none"/>
        </w:rPr>
      </w:pPr>
    </w:p>
    <w:p w14:paraId="012569E4">
      <w:pPr>
        <w:rPr>
          <w:rFonts w:hint="eastAsia" w:ascii="宋体" w:hAnsi="宋体" w:eastAsia="宋体" w:cs="宋体"/>
          <w:color w:val="auto"/>
          <w:spacing w:val="-1"/>
          <w:sz w:val="24"/>
          <w:szCs w:val="24"/>
          <w:highlight w:val="none"/>
        </w:rPr>
      </w:pPr>
    </w:p>
    <w:p w14:paraId="12829284">
      <w:pPr>
        <w:pStyle w:val="6"/>
        <w:rPr>
          <w:rFonts w:hint="eastAsia"/>
          <w:color w:val="auto"/>
        </w:rPr>
      </w:pPr>
    </w:p>
    <w:p w14:paraId="30B19D74">
      <w:pPr>
        <w:rPr>
          <w:rFonts w:hint="eastAsia" w:ascii="宋体" w:hAnsi="宋体" w:eastAsia="宋体" w:cs="宋体"/>
          <w:color w:val="auto"/>
          <w:spacing w:val="-1"/>
          <w:sz w:val="24"/>
          <w:szCs w:val="24"/>
          <w:highlight w:val="none"/>
        </w:rPr>
      </w:pPr>
    </w:p>
    <w:p w14:paraId="24659460">
      <w:pPr>
        <w:rPr>
          <w:rFonts w:hint="eastAsia"/>
          <w:color w:val="auto"/>
        </w:rPr>
      </w:pPr>
    </w:p>
    <w:p w14:paraId="6878AF7A">
      <w:pPr>
        <w:rPr>
          <w:rFonts w:hint="eastAsia"/>
          <w:color w:val="auto"/>
        </w:rPr>
      </w:pPr>
    </w:p>
    <w:p w14:paraId="4D121543">
      <w:pPr>
        <w:pStyle w:val="2"/>
        <w:bidi w:val="0"/>
        <w:ind w:left="0" w:leftChars="0" w:firstLine="0" w:firstLineChars="0"/>
        <w:jc w:val="center"/>
        <w:rPr>
          <w:rFonts w:hint="eastAsia" w:ascii="宋体" w:hAnsi="宋体" w:eastAsia="宋体" w:cs="宋体"/>
          <w:color w:val="auto"/>
        </w:rPr>
      </w:pPr>
      <w:r>
        <w:rPr>
          <w:rFonts w:hint="eastAsia" w:ascii="宋体" w:hAnsi="宋体" w:eastAsia="宋体" w:cs="宋体"/>
          <w:color w:val="auto"/>
        </w:rPr>
        <w:t>第六章</w:t>
      </w:r>
      <w:r>
        <w:rPr>
          <w:rFonts w:hint="eastAsia" w:cs="宋体"/>
          <w:color w:val="auto"/>
          <w:lang w:val="en-US" w:eastAsia="zh-CN"/>
        </w:rPr>
        <w:t xml:space="preserve">   </w:t>
      </w:r>
      <w:r>
        <w:rPr>
          <w:rFonts w:hint="eastAsia" w:ascii="宋体" w:hAnsi="宋体" w:eastAsia="宋体" w:cs="宋体"/>
          <w:color w:val="auto"/>
        </w:rPr>
        <w:t>施工图纸</w:t>
      </w:r>
      <w:bookmarkEnd w:id="119"/>
    </w:p>
    <w:p w14:paraId="7275AB0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(另册)</w:t>
      </w:r>
    </w:p>
    <w:p w14:paraId="1293BA7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（与项目招标文件同时发布）</w:t>
      </w:r>
    </w:p>
    <w:p w14:paraId="2DBA1BC0">
      <w:pPr>
        <w:rPr>
          <w:rFonts w:hint="eastAsia" w:ascii="宋体" w:hAnsi="宋体" w:eastAsia="宋体" w:cs="宋体"/>
          <w:color w:val="auto"/>
          <w:lang w:eastAsia="zh-CN"/>
        </w:rPr>
      </w:pPr>
    </w:p>
    <w:p w14:paraId="611E25AA">
      <w:pPr>
        <w:rPr>
          <w:rFonts w:hint="eastAsia" w:ascii="宋体" w:hAnsi="宋体" w:eastAsia="宋体" w:cs="宋体"/>
          <w:color w:val="auto"/>
          <w:lang w:eastAsia="zh-CN"/>
        </w:rPr>
      </w:pPr>
    </w:p>
    <w:p w14:paraId="716A20FB">
      <w:pPr>
        <w:rPr>
          <w:rFonts w:hint="eastAsia" w:ascii="宋体" w:hAnsi="宋体" w:eastAsia="宋体" w:cs="宋体"/>
          <w:color w:val="auto"/>
          <w:lang w:eastAsia="zh-CN"/>
        </w:rPr>
      </w:pPr>
    </w:p>
    <w:p w14:paraId="15CDBE97">
      <w:pPr>
        <w:rPr>
          <w:rFonts w:hint="eastAsia" w:ascii="宋体" w:hAnsi="宋体" w:eastAsia="宋体" w:cs="宋体"/>
          <w:color w:val="auto"/>
          <w:lang w:eastAsia="zh-CN"/>
        </w:rPr>
      </w:pPr>
    </w:p>
    <w:p w14:paraId="5FD4B268">
      <w:pPr>
        <w:rPr>
          <w:rFonts w:hint="eastAsia" w:ascii="宋体" w:hAnsi="宋体" w:eastAsia="宋体" w:cs="宋体"/>
          <w:color w:val="auto"/>
          <w:lang w:eastAsia="zh-CN"/>
        </w:rPr>
      </w:pPr>
    </w:p>
    <w:p w14:paraId="1E8F2B9F">
      <w:pPr>
        <w:rPr>
          <w:rFonts w:hint="eastAsia" w:ascii="宋体" w:hAnsi="宋体" w:eastAsia="宋体" w:cs="宋体"/>
          <w:color w:val="auto"/>
          <w:lang w:eastAsia="zh-CN"/>
        </w:rPr>
      </w:pPr>
    </w:p>
    <w:p w14:paraId="15D4D5BC">
      <w:pPr>
        <w:rPr>
          <w:rFonts w:hint="eastAsia" w:ascii="宋体" w:hAnsi="宋体" w:eastAsia="宋体" w:cs="宋体"/>
          <w:color w:val="auto"/>
          <w:lang w:eastAsia="zh-CN"/>
        </w:rPr>
      </w:pPr>
    </w:p>
    <w:p w14:paraId="0383EA43">
      <w:pPr>
        <w:rPr>
          <w:rFonts w:hint="eastAsia" w:ascii="宋体" w:hAnsi="宋体" w:eastAsia="宋体" w:cs="宋体"/>
          <w:color w:val="auto"/>
          <w:lang w:eastAsia="zh-CN"/>
        </w:rPr>
      </w:pPr>
    </w:p>
    <w:p w14:paraId="160AF593">
      <w:pPr>
        <w:rPr>
          <w:rFonts w:hint="eastAsia" w:ascii="宋体" w:hAnsi="宋体" w:eastAsia="宋体" w:cs="宋体"/>
          <w:color w:val="auto"/>
          <w:lang w:eastAsia="zh-CN"/>
        </w:rPr>
      </w:pPr>
    </w:p>
    <w:p w14:paraId="1AFF3C70">
      <w:pPr>
        <w:rPr>
          <w:rFonts w:hint="eastAsia" w:ascii="宋体" w:hAnsi="宋体" w:eastAsia="宋体" w:cs="宋体"/>
          <w:color w:val="auto"/>
          <w:lang w:eastAsia="zh-CN"/>
        </w:rPr>
      </w:pPr>
    </w:p>
    <w:p w14:paraId="564F0E58">
      <w:pPr>
        <w:rPr>
          <w:rFonts w:hint="eastAsia" w:ascii="宋体" w:hAnsi="宋体" w:eastAsia="宋体" w:cs="宋体"/>
          <w:color w:val="auto"/>
          <w:lang w:eastAsia="zh-CN"/>
        </w:rPr>
      </w:pPr>
    </w:p>
    <w:p w14:paraId="2B4031B5">
      <w:pPr>
        <w:rPr>
          <w:rFonts w:hint="eastAsia" w:ascii="宋体" w:hAnsi="宋体" w:eastAsia="宋体" w:cs="宋体"/>
          <w:color w:val="auto"/>
          <w:lang w:eastAsia="zh-CN"/>
        </w:rPr>
      </w:pPr>
    </w:p>
    <w:p w14:paraId="3AAED797">
      <w:pPr>
        <w:rPr>
          <w:rFonts w:hint="eastAsia" w:ascii="宋体" w:hAnsi="宋体" w:eastAsia="宋体" w:cs="宋体"/>
          <w:color w:val="auto"/>
          <w:lang w:eastAsia="zh-CN"/>
        </w:rPr>
      </w:pPr>
    </w:p>
    <w:p w14:paraId="541A237C">
      <w:pPr>
        <w:rPr>
          <w:rFonts w:hint="eastAsia" w:ascii="宋体" w:hAnsi="宋体" w:eastAsia="宋体" w:cs="宋体"/>
          <w:color w:val="auto"/>
          <w:lang w:eastAsia="zh-CN"/>
        </w:rPr>
      </w:pPr>
    </w:p>
    <w:p w14:paraId="2876CABF">
      <w:pPr>
        <w:rPr>
          <w:rFonts w:hint="eastAsia" w:ascii="宋体" w:hAnsi="宋体" w:eastAsia="宋体" w:cs="宋体"/>
          <w:color w:val="auto"/>
          <w:lang w:eastAsia="zh-CN"/>
        </w:rPr>
      </w:pPr>
    </w:p>
    <w:p w14:paraId="03517376">
      <w:pPr>
        <w:rPr>
          <w:rFonts w:hint="eastAsia" w:ascii="宋体" w:hAnsi="宋体" w:eastAsia="宋体" w:cs="宋体"/>
          <w:color w:val="auto"/>
          <w:lang w:eastAsia="zh-CN"/>
        </w:rPr>
      </w:pPr>
    </w:p>
    <w:p w14:paraId="5BB6EB66">
      <w:pPr>
        <w:rPr>
          <w:rFonts w:hint="eastAsia" w:ascii="宋体" w:hAnsi="宋体" w:eastAsia="宋体" w:cs="宋体"/>
          <w:color w:val="auto"/>
          <w:lang w:eastAsia="zh-CN"/>
        </w:rPr>
      </w:pPr>
    </w:p>
    <w:p w14:paraId="5005EA5E">
      <w:pPr>
        <w:rPr>
          <w:rFonts w:hint="eastAsia" w:ascii="宋体" w:hAnsi="宋体" w:eastAsia="宋体" w:cs="宋体"/>
          <w:color w:val="auto"/>
          <w:lang w:eastAsia="zh-CN"/>
        </w:rPr>
      </w:pPr>
    </w:p>
    <w:p w14:paraId="33170B02">
      <w:pPr>
        <w:rPr>
          <w:rFonts w:hint="eastAsia" w:ascii="宋体" w:hAnsi="宋体" w:eastAsia="宋体" w:cs="宋体"/>
          <w:color w:val="auto"/>
          <w:lang w:eastAsia="zh-CN"/>
        </w:rPr>
      </w:pPr>
    </w:p>
    <w:p w14:paraId="3C691C93">
      <w:pPr>
        <w:rPr>
          <w:rFonts w:hint="eastAsia" w:ascii="宋体" w:hAnsi="宋体" w:eastAsia="宋体" w:cs="宋体"/>
          <w:color w:val="auto"/>
          <w:lang w:eastAsia="zh-CN"/>
        </w:rPr>
      </w:pPr>
    </w:p>
    <w:p w14:paraId="5D9AD963">
      <w:pPr>
        <w:rPr>
          <w:rFonts w:hint="eastAsia" w:ascii="宋体" w:hAnsi="宋体" w:eastAsia="宋体" w:cs="宋体"/>
          <w:color w:val="auto"/>
          <w:lang w:eastAsia="zh-CN"/>
        </w:rPr>
      </w:pPr>
    </w:p>
    <w:p w14:paraId="3FC2FD9B">
      <w:pPr>
        <w:rPr>
          <w:rFonts w:hint="eastAsia" w:ascii="宋体" w:hAnsi="宋体" w:eastAsia="宋体" w:cs="宋体"/>
          <w:color w:val="auto"/>
          <w:lang w:eastAsia="zh-CN"/>
        </w:rPr>
      </w:pPr>
    </w:p>
    <w:p w14:paraId="22EFD51C">
      <w:pPr>
        <w:rPr>
          <w:rFonts w:hint="eastAsia" w:ascii="宋体" w:hAnsi="宋体" w:eastAsia="宋体" w:cs="宋体"/>
          <w:color w:val="auto"/>
          <w:lang w:eastAsia="zh-CN"/>
        </w:rPr>
      </w:pPr>
    </w:p>
    <w:p w14:paraId="16D72AD0">
      <w:pPr>
        <w:rPr>
          <w:rFonts w:hint="eastAsia" w:ascii="宋体" w:hAnsi="宋体" w:eastAsia="宋体" w:cs="宋体"/>
          <w:color w:val="auto"/>
          <w:lang w:eastAsia="zh-CN"/>
        </w:rPr>
      </w:pPr>
    </w:p>
    <w:p w14:paraId="626F0F25">
      <w:pPr>
        <w:rPr>
          <w:rFonts w:hint="eastAsia" w:ascii="宋体" w:hAnsi="宋体" w:eastAsia="宋体" w:cs="宋体"/>
          <w:color w:val="auto"/>
          <w:lang w:eastAsia="zh-CN"/>
        </w:rPr>
      </w:pPr>
    </w:p>
    <w:p w14:paraId="62C77D3B">
      <w:pPr>
        <w:rPr>
          <w:rFonts w:hint="eastAsia" w:ascii="宋体" w:hAnsi="宋体" w:eastAsia="宋体" w:cs="宋体"/>
          <w:color w:val="auto"/>
          <w:lang w:eastAsia="zh-CN"/>
        </w:rPr>
      </w:pPr>
    </w:p>
    <w:p w14:paraId="666A445B">
      <w:pPr>
        <w:rPr>
          <w:rFonts w:hint="eastAsia" w:ascii="宋体" w:hAnsi="宋体" w:eastAsia="宋体" w:cs="宋体"/>
          <w:color w:val="auto"/>
          <w:lang w:eastAsia="zh-CN"/>
        </w:rPr>
      </w:pPr>
    </w:p>
    <w:p w14:paraId="5FD8A42F">
      <w:pPr>
        <w:rPr>
          <w:rFonts w:hint="eastAsia" w:ascii="宋体" w:hAnsi="宋体" w:eastAsia="宋体" w:cs="宋体"/>
          <w:color w:val="auto"/>
          <w:lang w:eastAsia="zh-CN"/>
        </w:rPr>
      </w:pPr>
    </w:p>
    <w:p w14:paraId="29FC328D">
      <w:pPr>
        <w:rPr>
          <w:rFonts w:hint="eastAsia" w:ascii="宋体" w:hAnsi="宋体" w:eastAsia="宋体" w:cs="宋体"/>
          <w:color w:val="auto"/>
          <w:lang w:eastAsia="zh-CN"/>
        </w:rPr>
      </w:pPr>
    </w:p>
    <w:p w14:paraId="65795A6F">
      <w:pPr>
        <w:rPr>
          <w:rFonts w:hint="eastAsia" w:ascii="宋体" w:hAnsi="宋体" w:eastAsia="宋体" w:cs="宋体"/>
          <w:color w:val="auto"/>
          <w:lang w:eastAsia="zh-CN"/>
        </w:rPr>
      </w:pPr>
    </w:p>
    <w:p w14:paraId="64A908FF">
      <w:pPr>
        <w:rPr>
          <w:rFonts w:hint="eastAsia" w:ascii="宋体" w:hAnsi="宋体" w:eastAsia="宋体" w:cs="宋体"/>
          <w:color w:val="auto"/>
          <w:lang w:eastAsia="zh-CN"/>
        </w:rPr>
      </w:pPr>
    </w:p>
    <w:p w14:paraId="7984A271">
      <w:pPr>
        <w:rPr>
          <w:rFonts w:hint="eastAsia" w:ascii="宋体" w:hAnsi="宋体" w:eastAsia="宋体" w:cs="宋体"/>
          <w:color w:val="auto"/>
          <w:lang w:eastAsia="zh-CN"/>
        </w:rPr>
      </w:pPr>
    </w:p>
    <w:p w14:paraId="70F1E11F">
      <w:pPr>
        <w:rPr>
          <w:rFonts w:hint="eastAsia" w:ascii="宋体" w:hAnsi="宋体" w:eastAsia="宋体" w:cs="宋体"/>
          <w:color w:val="auto"/>
          <w:lang w:eastAsia="zh-CN"/>
        </w:rPr>
      </w:pPr>
    </w:p>
    <w:p w14:paraId="423AC159">
      <w:pPr>
        <w:rPr>
          <w:rFonts w:hint="eastAsia" w:ascii="宋体" w:hAnsi="宋体" w:eastAsia="宋体" w:cs="宋体"/>
          <w:color w:val="auto"/>
          <w:lang w:eastAsia="zh-CN"/>
        </w:rPr>
      </w:pPr>
    </w:p>
    <w:p w14:paraId="4ADA2447">
      <w:pPr>
        <w:rPr>
          <w:rFonts w:hint="eastAsia" w:ascii="宋体" w:hAnsi="宋体" w:eastAsia="宋体" w:cs="宋体"/>
          <w:color w:val="auto"/>
          <w:lang w:eastAsia="zh-CN"/>
        </w:rPr>
      </w:pPr>
    </w:p>
    <w:p w14:paraId="699F1421">
      <w:pPr>
        <w:rPr>
          <w:rFonts w:hint="eastAsia" w:ascii="宋体" w:hAnsi="宋体" w:eastAsia="宋体" w:cs="宋体"/>
          <w:color w:val="auto"/>
          <w:lang w:eastAsia="zh-CN"/>
        </w:rPr>
      </w:pPr>
    </w:p>
    <w:p w14:paraId="1E0FF59B">
      <w:pPr>
        <w:rPr>
          <w:rFonts w:hint="eastAsia" w:ascii="宋体" w:hAnsi="宋体" w:eastAsia="宋体" w:cs="宋体"/>
          <w:color w:val="auto"/>
          <w:lang w:eastAsia="zh-CN"/>
        </w:rPr>
      </w:pPr>
    </w:p>
    <w:p w14:paraId="37C18651">
      <w:pPr>
        <w:rPr>
          <w:rFonts w:hint="eastAsia" w:ascii="宋体" w:hAnsi="宋体" w:eastAsia="宋体" w:cs="宋体"/>
          <w:color w:val="auto"/>
          <w:lang w:eastAsia="zh-CN"/>
        </w:rPr>
      </w:pPr>
    </w:p>
    <w:p w14:paraId="0C99EA74">
      <w:pPr>
        <w:rPr>
          <w:rFonts w:hint="eastAsia" w:ascii="宋体" w:hAnsi="宋体" w:eastAsia="宋体" w:cs="宋体"/>
          <w:color w:val="auto"/>
          <w:lang w:eastAsia="zh-CN"/>
        </w:rPr>
      </w:pPr>
    </w:p>
    <w:p w14:paraId="1314AD12">
      <w:pPr>
        <w:rPr>
          <w:rFonts w:hint="eastAsia" w:ascii="宋体" w:hAnsi="宋体" w:eastAsia="宋体" w:cs="宋体"/>
          <w:color w:val="auto"/>
          <w:lang w:eastAsia="zh-CN"/>
        </w:rPr>
      </w:pPr>
    </w:p>
    <w:p w14:paraId="697A45C5">
      <w:pPr>
        <w:pStyle w:val="2"/>
        <w:bidi w:val="0"/>
        <w:ind w:left="0" w:leftChars="0" w:firstLine="0" w:firstLineChars="0"/>
        <w:jc w:val="center"/>
        <w:rPr>
          <w:rFonts w:hint="eastAsia" w:ascii="宋体" w:hAnsi="宋体" w:eastAsia="宋体" w:cs="宋体"/>
          <w:color w:val="auto"/>
          <w:lang w:eastAsia="zh-CN"/>
        </w:rPr>
      </w:pPr>
      <w:bookmarkStart w:id="168" w:name="_Toc27612"/>
      <w:r>
        <w:rPr>
          <w:rFonts w:hint="eastAsia" w:ascii="宋体" w:hAnsi="宋体" w:eastAsia="宋体" w:cs="宋体"/>
          <w:color w:val="auto"/>
        </w:rPr>
        <w:t>第七章</w:t>
      </w:r>
      <w:r>
        <w:rPr>
          <w:rFonts w:hint="eastAsia" w:ascii="宋体" w:hAnsi="宋体" w:eastAsia="宋体" w:cs="宋体"/>
          <w:color w:val="auto"/>
          <w:lang w:val="en-US" w:eastAsia="zh-CN"/>
        </w:rPr>
        <w:t xml:space="preserve">   </w:t>
      </w:r>
      <w:r>
        <w:rPr>
          <w:rFonts w:hint="eastAsia" w:ascii="宋体" w:hAnsi="宋体" w:eastAsia="宋体" w:cs="宋体"/>
          <w:color w:val="auto"/>
        </w:rPr>
        <w:t>工程量清单</w:t>
      </w:r>
      <w:bookmarkEnd w:id="168"/>
    </w:p>
    <w:p w14:paraId="14E4A25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(另册)</w:t>
      </w:r>
    </w:p>
    <w:p w14:paraId="1C4CDFF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（与项目招标文件同时发布）</w:t>
      </w:r>
    </w:p>
    <w:p w14:paraId="2985C663">
      <w:pPr>
        <w:rPr>
          <w:rFonts w:hint="eastAsia" w:ascii="宋体" w:hAnsi="宋体" w:eastAsia="宋体" w:cs="宋体"/>
          <w:color w:val="auto"/>
          <w:lang w:eastAsia="zh-CN"/>
        </w:rPr>
      </w:pPr>
    </w:p>
    <w:p w14:paraId="007EF4FD">
      <w:pPr>
        <w:rPr>
          <w:rFonts w:hint="eastAsia" w:ascii="宋体" w:hAnsi="宋体" w:eastAsia="宋体" w:cs="宋体"/>
          <w:color w:val="auto"/>
          <w:lang w:eastAsia="zh-CN"/>
        </w:rPr>
      </w:pPr>
    </w:p>
    <w:p w14:paraId="7EBB0DFD">
      <w:pPr>
        <w:rPr>
          <w:rFonts w:hint="eastAsia" w:ascii="宋体" w:hAnsi="宋体" w:eastAsia="宋体" w:cs="宋体"/>
          <w:color w:val="auto"/>
          <w:lang w:eastAsia="zh-CN"/>
        </w:rPr>
      </w:pPr>
    </w:p>
    <w:p w14:paraId="6AA59DB2">
      <w:pPr>
        <w:rPr>
          <w:rFonts w:hint="eastAsia" w:ascii="宋体" w:hAnsi="宋体" w:eastAsia="宋体" w:cs="宋体"/>
          <w:color w:val="auto"/>
          <w:lang w:eastAsia="zh-CN"/>
        </w:rPr>
      </w:pPr>
    </w:p>
    <w:p w14:paraId="7E2FE39F">
      <w:pPr>
        <w:rPr>
          <w:rFonts w:hint="eastAsia" w:ascii="宋体" w:hAnsi="宋体" w:eastAsia="宋体" w:cs="宋体"/>
          <w:color w:val="auto"/>
          <w:lang w:eastAsia="zh-CN"/>
        </w:rPr>
      </w:pPr>
    </w:p>
    <w:p w14:paraId="2E04100A">
      <w:pPr>
        <w:rPr>
          <w:rFonts w:hint="eastAsia" w:ascii="宋体" w:hAnsi="宋体" w:eastAsia="宋体" w:cs="宋体"/>
          <w:color w:val="auto"/>
          <w:lang w:eastAsia="zh-CN"/>
        </w:rPr>
      </w:pPr>
    </w:p>
    <w:p w14:paraId="46E4E6F8">
      <w:pPr>
        <w:rPr>
          <w:rFonts w:hint="eastAsia" w:ascii="宋体" w:hAnsi="宋体" w:eastAsia="宋体" w:cs="宋体"/>
          <w:color w:val="auto"/>
          <w:lang w:eastAsia="zh-CN"/>
        </w:rPr>
      </w:pPr>
    </w:p>
    <w:p w14:paraId="2DDE88EC">
      <w:pPr>
        <w:rPr>
          <w:rFonts w:hint="eastAsia" w:ascii="宋体" w:hAnsi="宋体" w:eastAsia="宋体" w:cs="宋体"/>
          <w:color w:val="auto"/>
          <w:lang w:eastAsia="zh-CN"/>
        </w:rPr>
      </w:pPr>
    </w:p>
    <w:p w14:paraId="7B3B9372">
      <w:pPr>
        <w:rPr>
          <w:rFonts w:hint="eastAsia" w:ascii="宋体" w:hAnsi="宋体" w:eastAsia="宋体" w:cs="宋体"/>
          <w:color w:val="auto"/>
          <w:lang w:eastAsia="zh-CN"/>
        </w:rPr>
      </w:pPr>
    </w:p>
    <w:p w14:paraId="6CCE1497">
      <w:pPr>
        <w:rPr>
          <w:rFonts w:hint="eastAsia" w:ascii="宋体" w:hAnsi="宋体" w:eastAsia="宋体" w:cs="宋体"/>
          <w:color w:val="auto"/>
          <w:lang w:eastAsia="zh-CN"/>
        </w:rPr>
      </w:pPr>
    </w:p>
    <w:p w14:paraId="1BD65DA0">
      <w:pPr>
        <w:rPr>
          <w:rFonts w:hint="eastAsia" w:ascii="宋体" w:hAnsi="宋体" w:eastAsia="宋体" w:cs="宋体"/>
          <w:color w:val="auto"/>
          <w:lang w:eastAsia="zh-CN"/>
        </w:rPr>
      </w:pPr>
    </w:p>
    <w:p w14:paraId="1EAD2C4D">
      <w:pPr>
        <w:rPr>
          <w:rFonts w:hint="eastAsia" w:ascii="宋体" w:hAnsi="宋体" w:eastAsia="宋体" w:cs="宋体"/>
          <w:color w:val="auto"/>
          <w:lang w:eastAsia="zh-CN"/>
        </w:rPr>
      </w:pPr>
    </w:p>
    <w:p w14:paraId="748CF8E0">
      <w:pPr>
        <w:rPr>
          <w:rFonts w:hint="eastAsia" w:ascii="宋体" w:hAnsi="宋体" w:eastAsia="宋体" w:cs="宋体"/>
          <w:color w:val="auto"/>
          <w:lang w:eastAsia="zh-CN"/>
        </w:rPr>
      </w:pPr>
    </w:p>
    <w:p w14:paraId="46FECAC8">
      <w:pPr>
        <w:rPr>
          <w:rFonts w:hint="eastAsia" w:ascii="宋体" w:hAnsi="宋体" w:eastAsia="宋体" w:cs="宋体"/>
          <w:color w:val="auto"/>
          <w:lang w:eastAsia="zh-CN"/>
        </w:rPr>
      </w:pPr>
    </w:p>
    <w:p w14:paraId="0E1EEB32">
      <w:pPr>
        <w:rPr>
          <w:rFonts w:hint="eastAsia" w:ascii="宋体" w:hAnsi="宋体" w:eastAsia="宋体" w:cs="宋体"/>
          <w:color w:val="auto"/>
          <w:lang w:eastAsia="zh-CN"/>
        </w:rPr>
      </w:pPr>
    </w:p>
    <w:p w14:paraId="45AEAAEC">
      <w:pPr>
        <w:rPr>
          <w:rFonts w:hint="eastAsia" w:ascii="宋体" w:hAnsi="宋体" w:eastAsia="宋体" w:cs="宋体"/>
          <w:color w:val="auto"/>
          <w:lang w:eastAsia="zh-CN"/>
        </w:rPr>
      </w:pPr>
    </w:p>
    <w:p w14:paraId="12CECF41">
      <w:pPr>
        <w:rPr>
          <w:rFonts w:hint="eastAsia" w:ascii="宋体" w:hAnsi="宋体" w:eastAsia="宋体" w:cs="宋体"/>
          <w:color w:val="auto"/>
          <w:lang w:eastAsia="zh-CN"/>
        </w:rPr>
      </w:pPr>
    </w:p>
    <w:p w14:paraId="4973B401">
      <w:pPr>
        <w:rPr>
          <w:rFonts w:hint="eastAsia" w:ascii="宋体" w:hAnsi="宋体" w:eastAsia="宋体" w:cs="宋体"/>
          <w:color w:val="auto"/>
          <w:lang w:eastAsia="zh-CN"/>
        </w:rPr>
      </w:pPr>
    </w:p>
    <w:p w14:paraId="531EA8D8">
      <w:pPr>
        <w:rPr>
          <w:rFonts w:hint="eastAsia" w:ascii="宋体" w:hAnsi="宋体" w:eastAsia="宋体" w:cs="宋体"/>
          <w:color w:val="auto"/>
          <w:lang w:eastAsia="zh-CN"/>
        </w:rPr>
      </w:pPr>
    </w:p>
    <w:p w14:paraId="09729E5B">
      <w:pPr>
        <w:rPr>
          <w:rFonts w:hint="eastAsia" w:ascii="宋体" w:hAnsi="宋体" w:eastAsia="宋体" w:cs="宋体"/>
          <w:color w:val="auto"/>
          <w:lang w:eastAsia="zh-CN"/>
        </w:rPr>
      </w:pPr>
    </w:p>
    <w:p w14:paraId="39BCA3E9">
      <w:pPr>
        <w:rPr>
          <w:rFonts w:hint="eastAsia" w:ascii="宋体" w:hAnsi="宋体" w:eastAsia="宋体" w:cs="宋体"/>
          <w:color w:val="auto"/>
          <w:lang w:eastAsia="zh-CN"/>
        </w:rPr>
      </w:pPr>
    </w:p>
    <w:p w14:paraId="6B92188B">
      <w:pPr>
        <w:rPr>
          <w:rFonts w:hint="eastAsia" w:ascii="宋体" w:hAnsi="宋体" w:eastAsia="宋体" w:cs="宋体"/>
          <w:color w:val="auto"/>
          <w:lang w:eastAsia="zh-CN"/>
        </w:rPr>
      </w:pPr>
    </w:p>
    <w:p w14:paraId="2ED9059C">
      <w:pPr>
        <w:rPr>
          <w:rFonts w:hint="eastAsia" w:ascii="宋体" w:hAnsi="宋体" w:eastAsia="宋体" w:cs="宋体"/>
          <w:color w:val="auto"/>
          <w:lang w:eastAsia="zh-CN"/>
        </w:rPr>
      </w:pPr>
    </w:p>
    <w:p w14:paraId="2C32C381">
      <w:pPr>
        <w:rPr>
          <w:rFonts w:hint="eastAsia" w:ascii="宋体" w:hAnsi="宋体" w:eastAsia="宋体" w:cs="宋体"/>
          <w:color w:val="auto"/>
          <w:lang w:eastAsia="zh-CN"/>
        </w:rPr>
      </w:pPr>
    </w:p>
    <w:p w14:paraId="51368601">
      <w:pPr>
        <w:rPr>
          <w:rFonts w:hint="eastAsia" w:ascii="宋体" w:hAnsi="宋体" w:eastAsia="宋体" w:cs="宋体"/>
          <w:color w:val="auto"/>
          <w:lang w:eastAsia="zh-CN"/>
        </w:rPr>
      </w:pPr>
    </w:p>
    <w:p w14:paraId="52055670">
      <w:pPr>
        <w:rPr>
          <w:rFonts w:hint="eastAsia" w:ascii="宋体" w:hAnsi="宋体" w:eastAsia="宋体" w:cs="宋体"/>
          <w:color w:val="auto"/>
          <w:lang w:eastAsia="zh-CN"/>
        </w:rPr>
      </w:pPr>
    </w:p>
    <w:p w14:paraId="50257B52">
      <w:pPr>
        <w:rPr>
          <w:rFonts w:hint="eastAsia" w:ascii="宋体" w:hAnsi="宋体" w:eastAsia="宋体" w:cs="宋体"/>
          <w:color w:val="auto"/>
          <w:lang w:eastAsia="zh-CN"/>
        </w:rPr>
      </w:pPr>
    </w:p>
    <w:p w14:paraId="11C3374B">
      <w:pPr>
        <w:rPr>
          <w:rFonts w:hint="eastAsia" w:ascii="宋体" w:hAnsi="宋体" w:eastAsia="宋体" w:cs="宋体"/>
          <w:color w:val="auto"/>
          <w:lang w:eastAsia="zh-CN"/>
        </w:rPr>
      </w:pPr>
    </w:p>
    <w:p w14:paraId="386F6D3B">
      <w:pPr>
        <w:rPr>
          <w:rFonts w:hint="eastAsia" w:ascii="宋体" w:hAnsi="宋体" w:eastAsia="宋体" w:cs="宋体"/>
          <w:color w:val="auto"/>
          <w:lang w:eastAsia="zh-CN"/>
        </w:rPr>
      </w:pPr>
    </w:p>
    <w:p w14:paraId="46257BF2">
      <w:pPr>
        <w:rPr>
          <w:rFonts w:hint="eastAsia" w:ascii="宋体" w:hAnsi="宋体" w:eastAsia="宋体" w:cs="宋体"/>
          <w:color w:val="auto"/>
          <w:lang w:eastAsia="zh-CN"/>
        </w:rPr>
      </w:pPr>
    </w:p>
    <w:p w14:paraId="62566A2F">
      <w:pPr>
        <w:rPr>
          <w:rFonts w:hint="eastAsia" w:ascii="宋体" w:hAnsi="宋体" w:eastAsia="宋体" w:cs="宋体"/>
          <w:color w:val="auto"/>
          <w:lang w:eastAsia="zh-CN"/>
        </w:rPr>
      </w:pPr>
    </w:p>
    <w:p w14:paraId="6AD9DD64">
      <w:pPr>
        <w:rPr>
          <w:rFonts w:hint="eastAsia" w:ascii="宋体" w:hAnsi="宋体" w:eastAsia="宋体" w:cs="宋体"/>
          <w:color w:val="auto"/>
          <w:lang w:eastAsia="zh-CN"/>
        </w:rPr>
      </w:pPr>
    </w:p>
    <w:p w14:paraId="796A6714">
      <w:pPr>
        <w:rPr>
          <w:rFonts w:hint="eastAsia" w:ascii="宋体" w:hAnsi="宋体" w:eastAsia="宋体" w:cs="宋体"/>
          <w:color w:val="auto"/>
          <w:lang w:eastAsia="zh-CN"/>
        </w:rPr>
      </w:pPr>
    </w:p>
    <w:p w14:paraId="6580A300">
      <w:pPr>
        <w:rPr>
          <w:rFonts w:hint="eastAsia" w:ascii="宋体" w:hAnsi="宋体" w:eastAsia="宋体" w:cs="宋体"/>
          <w:color w:val="auto"/>
          <w:lang w:eastAsia="zh-CN"/>
        </w:rPr>
      </w:pPr>
    </w:p>
    <w:p w14:paraId="297DD0E8">
      <w:pPr>
        <w:rPr>
          <w:rFonts w:hint="eastAsia" w:ascii="宋体" w:hAnsi="宋体" w:eastAsia="宋体" w:cs="宋体"/>
          <w:color w:val="auto"/>
          <w:lang w:eastAsia="zh-CN"/>
        </w:rPr>
      </w:pPr>
    </w:p>
    <w:p w14:paraId="3F4EAC5E">
      <w:pPr>
        <w:rPr>
          <w:rFonts w:hint="eastAsia" w:ascii="宋体" w:hAnsi="宋体" w:eastAsia="宋体" w:cs="宋体"/>
          <w:color w:val="auto"/>
          <w:lang w:eastAsia="zh-CN"/>
        </w:rPr>
      </w:pPr>
    </w:p>
    <w:p w14:paraId="3EE95148">
      <w:pPr>
        <w:rPr>
          <w:rFonts w:hint="eastAsia" w:ascii="宋体" w:hAnsi="宋体" w:eastAsia="宋体" w:cs="宋体"/>
          <w:color w:val="auto"/>
          <w:lang w:eastAsia="zh-CN"/>
        </w:rPr>
      </w:pPr>
    </w:p>
    <w:p w14:paraId="6116E12A">
      <w:pPr>
        <w:rPr>
          <w:rFonts w:hint="eastAsia" w:ascii="宋体" w:hAnsi="宋体" w:eastAsia="宋体" w:cs="宋体"/>
          <w:color w:val="auto"/>
          <w:lang w:eastAsia="zh-CN"/>
        </w:rPr>
      </w:pPr>
    </w:p>
    <w:p w14:paraId="6ECE4994">
      <w:pPr>
        <w:rPr>
          <w:rFonts w:hint="eastAsia" w:ascii="宋体" w:hAnsi="宋体" w:eastAsia="宋体" w:cs="宋体"/>
          <w:color w:val="auto"/>
          <w:lang w:eastAsia="zh-CN"/>
        </w:rPr>
      </w:pPr>
    </w:p>
    <w:p w14:paraId="2DC122C5">
      <w:pPr>
        <w:rPr>
          <w:rFonts w:hint="eastAsia" w:ascii="宋体" w:hAnsi="宋体" w:eastAsia="宋体" w:cs="宋体"/>
          <w:color w:val="auto"/>
          <w:lang w:eastAsia="zh-CN"/>
        </w:rPr>
      </w:pPr>
    </w:p>
    <w:p w14:paraId="3486AC9D">
      <w:pPr>
        <w:rPr>
          <w:rFonts w:hint="eastAsia" w:ascii="宋体" w:hAnsi="宋体" w:eastAsia="宋体" w:cs="宋体"/>
          <w:color w:val="auto"/>
          <w:lang w:eastAsia="zh-CN"/>
        </w:rPr>
      </w:pPr>
    </w:p>
    <w:p w14:paraId="169FF535">
      <w:pPr>
        <w:pStyle w:val="2"/>
        <w:bidi w:val="0"/>
        <w:ind w:left="0" w:leftChars="0" w:firstLine="0" w:firstLineChars="0"/>
        <w:jc w:val="center"/>
        <w:rPr>
          <w:rFonts w:hint="eastAsia" w:ascii="宋体" w:hAnsi="宋体" w:eastAsia="宋体" w:cs="宋体"/>
          <w:color w:val="auto"/>
        </w:rPr>
      </w:pPr>
      <w:bookmarkStart w:id="169" w:name="_Toc29316"/>
      <w:r>
        <w:rPr>
          <w:rFonts w:hint="eastAsia" w:ascii="宋体" w:hAnsi="宋体" w:eastAsia="宋体" w:cs="宋体"/>
          <w:color w:val="auto"/>
        </w:rPr>
        <w:t>第八章</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最高投标限</w:t>
      </w:r>
      <w:r>
        <w:rPr>
          <w:rFonts w:hint="eastAsia" w:ascii="宋体" w:hAnsi="宋体" w:eastAsia="宋体" w:cs="宋体"/>
          <w:color w:val="auto"/>
        </w:rPr>
        <w:t>价</w:t>
      </w:r>
      <w:bookmarkEnd w:id="169"/>
    </w:p>
    <w:p w14:paraId="6CF1067D">
      <w:pPr>
        <w:pStyle w:val="49"/>
        <w:spacing w:line="360" w:lineRule="auto"/>
        <w:ind w:firstLine="480" w:firstLineChars="200"/>
        <w:rPr>
          <w:rFonts w:hint="eastAsia" w:ascii="宋体" w:hAnsi="宋体" w:eastAsia="宋体" w:cs="宋体"/>
          <w:b w:val="0"/>
          <w:bCs/>
          <w:i w:val="0"/>
          <w:iCs/>
          <w:color w:val="auto"/>
          <w:kern w:val="2"/>
          <w:sz w:val="24"/>
          <w:szCs w:val="24"/>
          <w:highlight w:val="none"/>
          <w:lang w:val="en-US" w:eastAsia="zh-CN" w:bidi="ar-SA"/>
        </w:rPr>
      </w:pPr>
      <w:r>
        <w:rPr>
          <w:rFonts w:hint="eastAsia" w:ascii="宋体" w:hAnsi="宋体" w:eastAsia="宋体" w:cs="宋体"/>
          <w:b w:val="0"/>
          <w:bCs/>
          <w:i w:val="0"/>
          <w:iCs/>
          <w:color w:val="auto"/>
          <w:kern w:val="2"/>
          <w:sz w:val="24"/>
          <w:szCs w:val="24"/>
          <w:highlight w:val="none"/>
          <w:lang w:val="en-US" w:eastAsia="zh-CN" w:bidi="ar-SA"/>
        </w:rPr>
        <w:t>本招标项目最高投标限价、工程量清单、施工图最终以补充公告形式在开标前15天另行发布于相关网站，各投标人可在全国公共资源交易平台（广东省·韶关市）自行下载。</w:t>
      </w:r>
    </w:p>
    <w:p w14:paraId="4FB5E624">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kern w:val="2"/>
          <w:sz w:val="24"/>
          <w:szCs w:val="24"/>
          <w:highlight w:val="none"/>
          <w:lang w:val="en-US" w:eastAsia="zh-CN" w:bidi="ar-SA"/>
        </w:rPr>
        <w:t>（https://ygp.gdzwfw.gov..cn/ggzy-portal/#/440200/index）、广东省招标投标监管网（https://www.gdzwfw.gov.cn/ztbjg-portal/#/index）网站。</w:t>
      </w:r>
    </w:p>
    <w:sectPr>
      <w:footerReference r:id="rId5" w:type="default"/>
      <w:pgSz w:w="11906" w:h="16838"/>
      <w:pgMar w:top="1134" w:right="1134" w:bottom="1134" w:left="1134" w:header="851" w:footer="850" w:gutter="0"/>
      <w:pgBorders>
        <w:top w:val="none" w:sz="0" w:space="0"/>
        <w:left w:val="none" w:sz="0" w:space="0"/>
        <w:bottom w:val="none" w:sz="0" w:space="0"/>
        <w:right w:val="none" w:sz="0" w:space="0"/>
      </w:pgBorders>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0218A">
    <w:pPr>
      <w:pStyle w:val="13"/>
      <w:ind w:right="360"/>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矩形 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62F0C3C0"/>
                      </w:txbxContent>
                    </wps:txbx>
                    <wps:bodyPr wrap="none" lIns="0" tIns="0" rIns="0" bIns="0" upright="0">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l1uVLQAAAABQEAAA8AAAAAAAAAAQAgAAAAIgAAAGRycy9kb3ducmV2LnhtbFBLAQIUABQA&#10;AAAIAIdO4kBGpHq7vwEAAIwDAAAOAAAAAAAAAAEAIAAAAB8BAABkcnMvZTJvRG9jLnhtbFBLBQYA&#10;AAAABgAGAFkBAABQBQAAAAA=&#10;">
              <v:fill on="f" focussize="0,0"/>
              <v:stroke on="f"/>
              <v:imagedata o:title=""/>
              <o:lock v:ext="edit" aspectratio="f"/>
              <v:textbox inset="0mm,0mm,0mm,0mm" style="mso-fit-shape-to-text:t;">
                <w:txbxContent>
                  <w:p w14:paraId="62F0C3C0"/>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9A2B0">
    <w:pPr>
      <w:pStyle w:val="13"/>
      <w:ind w:right="360"/>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9A77FD">
                          <w:pPr>
                            <w:pStyle w:val="13"/>
                          </w:pPr>
                          <w:r>
                            <w:t xml:space="preserve">— </w:t>
                          </w:r>
                          <w:r>
                            <w:fldChar w:fldCharType="begin"/>
                          </w:r>
                          <w:r>
                            <w:instrText xml:space="preserve"> PAGE  \* MERGEFORMAT </w:instrText>
                          </w:r>
                          <w:r>
                            <w:fldChar w:fldCharType="separate"/>
                          </w:r>
                          <w:r>
                            <w:t>89</w:t>
                          </w:r>
                          <w:r>
                            <w:fldChar w:fldCharType="end"/>
                          </w:r>
                          <w: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14:paraId="419A77FD">
                    <w:pPr>
                      <w:pStyle w:val="13"/>
                    </w:pPr>
                    <w:r>
                      <w:t xml:space="preserve">— </w:t>
                    </w:r>
                    <w:r>
                      <w:fldChar w:fldCharType="begin"/>
                    </w:r>
                    <w:r>
                      <w:instrText xml:space="preserve"> PAGE  \* MERGEFORMAT </w:instrText>
                    </w:r>
                    <w:r>
                      <w:fldChar w:fldCharType="separate"/>
                    </w:r>
                    <w:r>
                      <w:t>89</w:t>
                    </w:r>
                    <w:r>
                      <w:fldChar w:fldCharType="end"/>
                    </w:r>
                    <w:r>
                      <w:t xml:space="preserve"> —</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矩形 1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68232AB5"/>
                      </w:txbxContent>
                    </wps:txbx>
                    <wps:bodyPr wrap="none" lIns="0" tIns="0" rIns="0" bIns="0" upright="0">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5dblS0AAAAAUBAAAPAAAAAAAAAAEAIAAAACIAAABkcnMvZG93bnJldi54bWxQSwECFAAU&#10;AAAACACHTuJA2bGBmcABAACOAwAADgAAAAAAAAABACAAAAAfAQAAZHJzL2Uyb0RvYy54bWxQSwUG&#10;AAAAAAYABgBZAQAAUQUAAAAA&#10;">
              <v:fill on="f" focussize="0,0"/>
              <v:stroke on="f"/>
              <v:imagedata o:title=""/>
              <o:lock v:ext="edit" aspectratio="f"/>
              <v:textbox inset="0mm,0mm,0mm,0mm" style="mso-fit-shape-to-text:t;">
                <w:txbxContent>
                  <w:p w14:paraId="68232AB5"/>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9C8ED">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1DFFD4"/>
    <w:multiLevelType w:val="singleLevel"/>
    <w:tmpl w:val="B21DFFD4"/>
    <w:lvl w:ilvl="0" w:tentative="0">
      <w:start w:val="1"/>
      <w:numFmt w:val="decimal"/>
      <w:suff w:val="nothing"/>
      <w:lvlText w:val="%1．"/>
      <w:lvlJc w:val="left"/>
    </w:lvl>
  </w:abstractNum>
  <w:abstractNum w:abstractNumId="1">
    <w:nsid w:val="E3CD69B4"/>
    <w:multiLevelType w:val="singleLevel"/>
    <w:tmpl w:val="E3CD69B4"/>
    <w:lvl w:ilvl="0" w:tentative="0">
      <w:start w:val="1"/>
      <w:numFmt w:val="decimal"/>
      <w:suff w:val="nothing"/>
      <w:lvlText w:val="%1．"/>
      <w:lvlJc w:val="left"/>
    </w:lvl>
  </w:abstractNum>
  <w:abstractNum w:abstractNumId="2">
    <w:nsid w:val="E6C9BDCA"/>
    <w:multiLevelType w:val="singleLevel"/>
    <w:tmpl w:val="E6C9BDCA"/>
    <w:lvl w:ilvl="0" w:tentative="0">
      <w:start w:val="1"/>
      <w:numFmt w:val="decimal"/>
      <w:suff w:val="nothing"/>
      <w:lvlText w:val="（%1）"/>
      <w:lvlJc w:val="left"/>
    </w:lvl>
  </w:abstractNum>
  <w:abstractNum w:abstractNumId="3">
    <w:nsid w:val="2A188D02"/>
    <w:multiLevelType w:val="singleLevel"/>
    <w:tmpl w:val="2A188D02"/>
    <w:lvl w:ilvl="0" w:tentative="0">
      <w:start w:val="1"/>
      <w:numFmt w:val="decimal"/>
      <w:suff w:val="space"/>
      <w:lvlText w:val="%1."/>
      <w:lvlJc w:val="left"/>
    </w:lvl>
  </w:abstractNum>
  <w:abstractNum w:abstractNumId="4">
    <w:nsid w:val="609EB8A8"/>
    <w:multiLevelType w:val="singleLevel"/>
    <w:tmpl w:val="609EB8A8"/>
    <w:lvl w:ilvl="0" w:tentative="0">
      <w:start w:val="1"/>
      <w:numFmt w:val="decimal"/>
      <w:lvlText w:val="%1."/>
      <w:lvlJc w:val="left"/>
      <w:pPr>
        <w:tabs>
          <w:tab w:val="left" w:pos="312"/>
        </w:tabs>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072FA8"/>
    <w:rsid w:val="039C7C14"/>
    <w:rsid w:val="055D4CF2"/>
    <w:rsid w:val="05FB28F4"/>
    <w:rsid w:val="06442F31"/>
    <w:rsid w:val="06804EB5"/>
    <w:rsid w:val="0A863EBB"/>
    <w:rsid w:val="0AA8200A"/>
    <w:rsid w:val="0C594239"/>
    <w:rsid w:val="128363CE"/>
    <w:rsid w:val="13066E80"/>
    <w:rsid w:val="14C61AC2"/>
    <w:rsid w:val="1B4305B5"/>
    <w:rsid w:val="1E7D7293"/>
    <w:rsid w:val="25581E9D"/>
    <w:rsid w:val="2A296B0F"/>
    <w:rsid w:val="2B3C1135"/>
    <w:rsid w:val="2BA52826"/>
    <w:rsid w:val="2D58451C"/>
    <w:rsid w:val="30072FA8"/>
    <w:rsid w:val="30DE023D"/>
    <w:rsid w:val="30FF13F1"/>
    <w:rsid w:val="31B506F9"/>
    <w:rsid w:val="323C7E4C"/>
    <w:rsid w:val="3920556F"/>
    <w:rsid w:val="3AE12D88"/>
    <w:rsid w:val="3D84267B"/>
    <w:rsid w:val="3F6828C5"/>
    <w:rsid w:val="40541391"/>
    <w:rsid w:val="462E2831"/>
    <w:rsid w:val="463E1DD5"/>
    <w:rsid w:val="494713B8"/>
    <w:rsid w:val="4D40600C"/>
    <w:rsid w:val="4FB20A87"/>
    <w:rsid w:val="53B524C6"/>
    <w:rsid w:val="55FF4AFF"/>
    <w:rsid w:val="57555018"/>
    <w:rsid w:val="58196A6F"/>
    <w:rsid w:val="5A6E45B7"/>
    <w:rsid w:val="5E1831B8"/>
    <w:rsid w:val="5E745F14"/>
    <w:rsid w:val="61E735F4"/>
    <w:rsid w:val="64EC12EA"/>
    <w:rsid w:val="651D2E62"/>
    <w:rsid w:val="666C48A4"/>
    <w:rsid w:val="69DE332C"/>
    <w:rsid w:val="6C444501"/>
    <w:rsid w:val="6DA560EA"/>
    <w:rsid w:val="6DA5751F"/>
    <w:rsid w:val="6F9F00AC"/>
    <w:rsid w:val="70CD7AA7"/>
    <w:rsid w:val="73407C41"/>
    <w:rsid w:val="73D22AD5"/>
    <w:rsid w:val="762D7533"/>
    <w:rsid w:val="7A987403"/>
    <w:rsid w:val="7B666EB5"/>
    <w:rsid w:val="7CE47D4A"/>
    <w:rsid w:val="7D482448"/>
    <w:rsid w:val="7D6573C7"/>
    <w:rsid w:val="7DFC77ED"/>
    <w:rsid w:val="7EE94FBF"/>
    <w:rsid w:val="7F820A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tabs>
        <w:tab w:val="left" w:pos="1830"/>
      </w:tabs>
      <w:spacing w:line="480" w:lineRule="exact"/>
      <w:ind w:left="1830" w:hanging="480"/>
      <w:jc w:val="left"/>
      <w:outlineLvl w:val="0"/>
    </w:pPr>
    <w:rPr>
      <w:rFonts w:ascii="宋体" w:hAnsi="宋体"/>
      <w:b/>
      <w:sz w:val="28"/>
    </w:rPr>
  </w:style>
  <w:style w:type="paragraph" w:styleId="3">
    <w:name w:val="heading 2"/>
    <w:basedOn w:val="1"/>
    <w:next w:val="1"/>
    <w:qFormat/>
    <w:uiPriority w:val="0"/>
    <w:pPr>
      <w:keepNext/>
      <w:tabs>
        <w:tab w:val="left" w:pos="1995"/>
      </w:tabs>
      <w:spacing w:line="480" w:lineRule="exact"/>
      <w:ind w:left="1995" w:hanging="720"/>
      <w:jc w:val="left"/>
      <w:outlineLvl w:val="1"/>
    </w:pPr>
    <w:rPr>
      <w:rFonts w:ascii="宋体" w:hAnsi="宋体"/>
      <w:b/>
      <w:sz w:val="28"/>
    </w:rPr>
  </w:style>
  <w:style w:type="paragraph" w:styleId="4">
    <w:name w:val="heading 3"/>
    <w:basedOn w:val="5"/>
    <w:next w:val="5"/>
    <w:qFormat/>
    <w:uiPriority w:val="0"/>
    <w:pPr>
      <w:keepNext/>
      <w:keepLines/>
      <w:spacing w:before="260" w:beforeLines="0" w:after="260" w:afterLines="0"/>
      <w:jc w:val="center"/>
      <w:outlineLvl w:val="2"/>
    </w:pPr>
    <w:rPr>
      <w:rFonts w:eastAsia="宋体"/>
      <w:b/>
      <w:bCs/>
      <w:sz w:val="28"/>
      <w:szCs w:val="32"/>
    </w:rPr>
  </w:style>
  <w:style w:type="paragraph" w:styleId="6">
    <w:name w:val="heading 4"/>
    <w:basedOn w:val="1"/>
    <w:next w:val="1"/>
    <w:qFormat/>
    <w:uiPriority w:val="0"/>
    <w:pPr>
      <w:keepNext/>
      <w:keepLines/>
      <w:spacing w:before="280" w:beforeLines="0" w:after="290" w:afterLines="0" w:line="376" w:lineRule="auto"/>
      <w:outlineLvl w:val="3"/>
    </w:pPr>
    <w:rPr>
      <w:rFonts w:ascii="Arial" w:hAnsi="Arial" w:eastAsia="黑体"/>
      <w:b/>
      <w:bCs/>
      <w:kern w:val="2"/>
      <w:sz w:val="28"/>
      <w:szCs w:val="28"/>
      <w:lang w:val="en-US" w:eastAsia="zh-CN" w:bidi="ar-SA"/>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ind w:firstLine="420"/>
    </w:pPr>
    <w:rPr>
      <w:rFonts w:eastAsia="宋体"/>
      <w:kern w:val="2"/>
      <w:sz w:val="21"/>
      <w:lang w:val="en-US" w:eastAsia="zh-CN" w:bidi="ar-SA"/>
    </w:rPr>
  </w:style>
  <w:style w:type="paragraph" w:styleId="7">
    <w:name w:val="annotation text"/>
    <w:basedOn w:val="1"/>
    <w:qFormat/>
    <w:uiPriority w:val="0"/>
    <w:pPr>
      <w:jc w:val="left"/>
    </w:pPr>
    <w:rPr>
      <w:rFonts w:ascii="宋体" w:hAnsi="Times New Roman" w:eastAsia="宋体" w:cs="Times New Roman"/>
      <w:sz w:val="28"/>
      <w:szCs w:val="20"/>
    </w:rPr>
  </w:style>
  <w:style w:type="paragraph" w:styleId="8">
    <w:name w:val="Salutation"/>
    <w:basedOn w:val="1"/>
    <w:next w:val="1"/>
    <w:qFormat/>
    <w:uiPriority w:val="0"/>
  </w:style>
  <w:style w:type="paragraph" w:styleId="9">
    <w:name w:val="Body Text"/>
    <w:basedOn w:val="1"/>
    <w:qFormat/>
    <w:uiPriority w:val="0"/>
    <w:pPr>
      <w:spacing w:after="120" w:afterLines="0"/>
    </w:pPr>
    <w:rPr>
      <w:rFonts w:eastAsia="宋体"/>
      <w:kern w:val="2"/>
      <w:sz w:val="21"/>
      <w:szCs w:val="24"/>
      <w:lang w:val="en-US" w:eastAsia="zh-CN" w:bidi="ar-SA"/>
    </w:rPr>
  </w:style>
  <w:style w:type="paragraph" w:styleId="10">
    <w:name w:val="Body Text Indent"/>
    <w:basedOn w:val="1"/>
    <w:qFormat/>
    <w:uiPriority w:val="0"/>
    <w:pPr>
      <w:ind w:firstLine="480"/>
      <w:jc w:val="center"/>
    </w:pPr>
    <w:rPr>
      <w:rFonts w:eastAsia="黑体"/>
      <w:sz w:val="44"/>
    </w:rPr>
  </w:style>
  <w:style w:type="paragraph" w:styleId="11">
    <w:name w:val="toc 3"/>
    <w:basedOn w:val="1"/>
    <w:next w:val="1"/>
    <w:qFormat/>
    <w:uiPriority w:val="0"/>
    <w:pPr>
      <w:ind w:left="840" w:leftChars="400"/>
    </w:pPr>
    <w:rPr>
      <w:rFonts w:ascii="Calibri" w:hAnsi="Calibri"/>
      <w:szCs w:val="22"/>
    </w:rPr>
  </w:style>
  <w:style w:type="paragraph" w:styleId="12">
    <w:name w:val="Plain Text"/>
    <w:basedOn w:val="1"/>
    <w:qFormat/>
    <w:uiPriority w:val="0"/>
    <w:rPr>
      <w:rFonts w:ascii="宋体" w:hAnsi="Courier New" w:eastAsia="宋体"/>
      <w:kern w:val="2"/>
      <w:sz w:val="21"/>
      <w:lang w:val="en-US" w:eastAsia="zh-CN" w:bidi="ar-SA"/>
    </w:rPr>
  </w:style>
  <w:style w:type="paragraph" w:styleId="13">
    <w:name w:val="footer"/>
    <w:basedOn w:val="1"/>
    <w:next w:val="1"/>
    <w:qFormat/>
    <w:uiPriority w:val="0"/>
    <w:pPr>
      <w:tabs>
        <w:tab w:val="center" w:pos="4153"/>
        <w:tab w:val="right" w:pos="8306"/>
      </w:tabs>
      <w:snapToGrid w:val="0"/>
      <w:jc w:val="left"/>
    </w:pPr>
    <w:rPr>
      <w:rFonts w:eastAsia="宋体"/>
      <w:kern w:val="2"/>
      <w:sz w:val="18"/>
      <w:szCs w:val="18"/>
      <w:lang w:val="en-US" w:eastAsia="zh-CN" w:bidi="ar-SA"/>
    </w:rPr>
  </w:style>
  <w:style w:type="paragraph" w:styleId="14">
    <w:name w:val="header"/>
    <w:basedOn w:val="1"/>
    <w:next w:val="13"/>
    <w:qFormat/>
    <w:uiPriority w:val="0"/>
    <w:pPr>
      <w:pBdr>
        <w:bottom w:val="single" w:color="auto" w:sz="6" w:space="1"/>
      </w:pBdr>
      <w:tabs>
        <w:tab w:val="center" w:pos="4153"/>
        <w:tab w:val="right" w:pos="8306"/>
      </w:tabs>
      <w:snapToGrid w:val="0"/>
      <w:jc w:val="center"/>
    </w:pPr>
    <w:rPr>
      <w:rFonts w:eastAsia="宋体"/>
      <w:kern w:val="2"/>
      <w:sz w:val="18"/>
      <w:szCs w:val="18"/>
      <w:lang w:val="en-US" w:eastAsia="zh-CN" w:bidi="ar-SA"/>
    </w:rPr>
  </w:style>
  <w:style w:type="paragraph" w:styleId="15">
    <w:name w:val="toc 1"/>
    <w:basedOn w:val="1"/>
    <w:next w:val="1"/>
    <w:qFormat/>
    <w:uiPriority w:val="0"/>
    <w:pPr>
      <w:tabs>
        <w:tab w:val="right" w:leader="dot" w:pos="8296"/>
      </w:tabs>
    </w:pPr>
    <w:rPr>
      <w:rFonts w:ascii="宋体" w:eastAsia="楷体_GB2312" w:cs="TimesNewRomanPSMT"/>
      <w:b/>
      <w:kern w:val="0"/>
      <w:sz w:val="28"/>
      <w:szCs w:val="20"/>
    </w:rPr>
  </w:style>
  <w:style w:type="paragraph" w:styleId="16">
    <w:name w:val="toc 2"/>
    <w:basedOn w:val="1"/>
    <w:next w:val="1"/>
    <w:qFormat/>
    <w:uiPriority w:val="0"/>
    <w:pPr>
      <w:ind w:left="420" w:leftChars="200"/>
    </w:pPr>
    <w:rPr>
      <w:rFonts w:ascii="宋体"/>
      <w:b/>
      <w:sz w:val="28"/>
      <w:szCs w:val="20"/>
    </w:rPr>
  </w:style>
  <w:style w:type="paragraph" w:styleId="17">
    <w:name w:val="Body Text 2"/>
    <w:basedOn w:val="1"/>
    <w:qFormat/>
    <w:uiPriority w:val="0"/>
    <w:pPr>
      <w:spacing w:after="120" w:afterLines="0" w:line="480" w:lineRule="auto"/>
    </w:pPr>
  </w:style>
  <w:style w:type="paragraph" w:styleId="18">
    <w:name w:val="Normal (Web)"/>
    <w:basedOn w:val="1"/>
    <w:qFormat/>
    <w:uiPriority w:val="0"/>
    <w:pPr>
      <w:widowControl/>
      <w:spacing w:before="100" w:beforeLines="0" w:after="100" w:afterLines="0"/>
      <w:jc w:val="left"/>
    </w:pPr>
    <w:rPr>
      <w:rFonts w:ascii="宋体" w:hAnsi="宋体"/>
      <w:kern w:val="0"/>
      <w:sz w:val="24"/>
      <w:szCs w:val="20"/>
    </w:rPr>
  </w:style>
  <w:style w:type="paragraph" w:styleId="19">
    <w:name w:val="Body Text First Indent"/>
    <w:basedOn w:val="9"/>
    <w:next w:val="1"/>
    <w:qFormat/>
    <w:uiPriority w:val="0"/>
    <w:pPr>
      <w:ind w:firstLine="420"/>
    </w:pPr>
  </w:style>
  <w:style w:type="paragraph" w:styleId="20">
    <w:name w:val="Body Text First Indent 2"/>
    <w:basedOn w:val="10"/>
    <w:next w:val="19"/>
    <w:qFormat/>
    <w:uiPriority w:val="0"/>
    <w:pPr>
      <w:spacing w:after="120"/>
      <w:ind w:left="420" w:leftChars="200" w:firstLine="420" w:firstLineChars="200"/>
    </w:pPr>
    <w:rPr>
      <w:sz w:val="21"/>
      <w:szCs w:val="24"/>
    </w:rPr>
  </w:style>
  <w:style w:type="table" w:styleId="22">
    <w:name w:val="Table Grid"/>
    <w:basedOn w:val="2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0"/>
    <w:rPr>
      <w:b/>
      <w:bCs/>
    </w:rPr>
  </w:style>
  <w:style w:type="character" w:styleId="25">
    <w:name w:val="Emphasis"/>
    <w:basedOn w:val="23"/>
    <w:qFormat/>
    <w:uiPriority w:val="0"/>
    <w:rPr>
      <w:i/>
      <w:iCs/>
    </w:rPr>
  </w:style>
  <w:style w:type="paragraph" w:customStyle="1" w:styleId="26">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7">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character" w:customStyle="1" w:styleId="28">
    <w:name w:val="NormalCharacter"/>
    <w:semiHidden/>
    <w:qFormat/>
    <w:uiPriority w:val="0"/>
    <w:rPr>
      <w:rFonts w:ascii="宋体"/>
      <w:kern w:val="2"/>
      <w:sz w:val="24"/>
      <w:lang w:val="en-US" w:eastAsia="zh-CN" w:bidi="ar-SA"/>
    </w:rPr>
  </w:style>
  <w:style w:type="paragraph" w:customStyle="1" w:styleId="29">
    <w:name w:val="正文 New New New"/>
    <w:basedOn w:val="1"/>
    <w:qFormat/>
    <w:uiPriority w:val="0"/>
    <w:pPr>
      <w:keepNext w:val="0"/>
      <w:keepLines w:val="0"/>
      <w:widowControl w:val="0"/>
      <w:suppressLineNumbers w:val="0"/>
      <w:spacing w:before="0" w:beforeAutospacing="0" w:after="0" w:afterAutospacing="0" w:line="240" w:lineRule="auto"/>
      <w:ind w:left="0" w:right="0"/>
      <w:jc w:val="both"/>
    </w:pPr>
    <w:rPr>
      <w:rFonts w:hint="default" w:ascii="Times New Roman" w:hAnsi="Times New Roman" w:eastAsia="宋体" w:cs="Times New Roman"/>
      <w:kern w:val="2"/>
      <w:sz w:val="21"/>
      <w:szCs w:val="21"/>
      <w:lang w:val="en-US" w:eastAsia="zh-CN" w:bidi="ar"/>
    </w:rPr>
  </w:style>
  <w:style w:type="paragraph" w:customStyle="1" w:styleId="30">
    <w:name w:val="普通(网站)1"/>
    <w:basedOn w:val="1"/>
    <w:qFormat/>
    <w:uiPriority w:val="0"/>
    <w:pPr>
      <w:spacing w:before="100" w:beforeAutospacing="1" w:after="100" w:afterAutospacing="1"/>
      <w:jc w:val="left"/>
    </w:pPr>
    <w:rPr>
      <w:rFonts w:ascii="宋体" w:hAnsi="宋体" w:eastAsia="宋体"/>
      <w:kern w:val="0"/>
      <w:sz w:val="24"/>
    </w:rPr>
  </w:style>
  <w:style w:type="paragraph" w:customStyle="1" w:styleId="31">
    <w:name w:val="普通 (Web)"/>
    <w:basedOn w:val="1"/>
    <w:qFormat/>
    <w:uiPriority w:val="0"/>
    <w:pPr>
      <w:widowControl/>
      <w:spacing w:before="100" w:beforeLines="0" w:beforeAutospacing="1" w:after="100" w:afterLines="0" w:afterAutospacing="1"/>
      <w:jc w:val="left"/>
    </w:pPr>
    <w:rPr>
      <w:rFonts w:ascii="宋体" w:hAnsi="宋体"/>
      <w:kern w:val="0"/>
      <w:sz w:val="24"/>
    </w:rPr>
  </w:style>
  <w:style w:type="paragraph" w:customStyle="1" w:styleId="32">
    <w:name w:val=" Char Char Char Char"/>
    <w:basedOn w:val="1"/>
    <w:qFormat/>
    <w:uiPriority w:val="0"/>
    <w:pPr>
      <w:tabs>
        <w:tab w:val="left" w:pos="360"/>
      </w:tabs>
      <w:spacing w:line="440" w:lineRule="exact"/>
      <w:ind w:firstLine="480" w:firstLineChars="200"/>
    </w:pPr>
    <w:rPr>
      <w:rFonts w:cs="宋体"/>
      <w:kern w:val="0"/>
      <w:sz w:val="24"/>
      <w:u w:val="wave"/>
    </w:rPr>
  </w:style>
  <w:style w:type="paragraph" w:customStyle="1" w:styleId="33">
    <w:name w:val="Normal (Web)"/>
    <w:qFormat/>
    <w:uiPriority w:val="0"/>
    <w:pPr>
      <w:spacing w:before="100" w:beforeLines="0" w:beforeAutospacing="1" w:after="100" w:afterLines="0" w:afterAutospacing="1" w:line="360" w:lineRule="auto"/>
    </w:pPr>
    <w:rPr>
      <w:rFonts w:ascii="宋体" w:hAnsi="宋体" w:eastAsia="宋体" w:cs="宋体"/>
      <w:sz w:val="25"/>
      <w:szCs w:val="25"/>
      <w:lang w:val="en-US" w:eastAsia="zh-CN"/>
    </w:rPr>
  </w:style>
  <w:style w:type="paragraph" w:customStyle="1" w:styleId="34">
    <w:name w:val="正文 New New New New New New New New New New New New New New"/>
    <w:basedOn w:val="1"/>
    <w:qFormat/>
    <w:uiPriority w:val="0"/>
    <w:pPr>
      <w:spacing w:line="240" w:lineRule="auto"/>
    </w:pPr>
    <w:rPr>
      <w:rFonts w:ascii="Times New Roman" w:eastAsia="楷体_GB2312"/>
      <w:sz w:val="21"/>
      <w:szCs w:val="21"/>
    </w:rPr>
  </w:style>
  <w:style w:type="paragraph" w:customStyle="1" w:styleId="35">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6">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7">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8">
    <w:name w:val="标题 3 New New"/>
    <w:basedOn w:val="39"/>
    <w:next w:val="39"/>
    <w:qFormat/>
    <w:uiPriority w:val="0"/>
    <w:pPr>
      <w:keepNext/>
      <w:keepLines/>
      <w:widowControl/>
      <w:suppressLineNumbers w:val="0"/>
      <w:spacing w:before="120" w:beforeAutospacing="0" w:after="120" w:afterAutospacing="0" w:line="360" w:lineRule="auto"/>
      <w:ind w:left="0" w:right="0" w:firstLine="420"/>
      <w:jc w:val="center"/>
      <w:outlineLvl w:val="2"/>
    </w:pPr>
    <w:rPr>
      <w:rFonts w:hint="eastAsia" w:ascii="宋体" w:hAnsi="Times New Roman" w:eastAsia="宋体" w:cs="Times New Roman"/>
      <w:kern w:val="0"/>
      <w:sz w:val="24"/>
      <w:szCs w:val="24"/>
      <w:lang w:val="en-US" w:eastAsia="zh-CN" w:bidi="ar"/>
    </w:rPr>
  </w:style>
  <w:style w:type="paragraph" w:customStyle="1" w:styleId="39">
    <w:name w:val="正文缩进 New"/>
    <w:basedOn w:val="40"/>
    <w:qFormat/>
    <w:uiPriority w:val="0"/>
    <w:pPr>
      <w:keepNext w:val="0"/>
      <w:keepLines w:val="0"/>
      <w:widowControl/>
      <w:suppressLineNumbers w:val="0"/>
      <w:spacing w:before="0" w:beforeAutospacing="0" w:after="0" w:afterAutospacing="0" w:line="360" w:lineRule="auto"/>
      <w:ind w:left="0" w:right="0" w:firstLine="420"/>
      <w:jc w:val="left"/>
    </w:pPr>
    <w:rPr>
      <w:rFonts w:hint="eastAsia" w:ascii="宋体" w:hAnsi="Times New Roman" w:eastAsia="宋体" w:cs="Times New Roman"/>
      <w:kern w:val="0"/>
      <w:sz w:val="20"/>
      <w:szCs w:val="20"/>
      <w:lang w:val="en-US" w:eastAsia="zh-CN" w:bidi="ar"/>
    </w:rPr>
  </w:style>
  <w:style w:type="paragraph" w:customStyle="1" w:styleId="40">
    <w:name w:val="正文 New New New New New New New New New New New New New New New New New New New New New New New New New New New New New New New"/>
    <w:basedOn w:val="1"/>
    <w:qFormat/>
    <w:uiPriority w:val="0"/>
    <w:pPr>
      <w:keepNext w:val="0"/>
      <w:keepLines w:val="0"/>
      <w:widowControl w:val="0"/>
      <w:suppressLineNumbers w:val="0"/>
      <w:spacing w:before="0" w:beforeAutospacing="0" w:after="0" w:afterAutospacing="0" w:line="360" w:lineRule="auto"/>
      <w:ind w:left="0" w:right="0"/>
      <w:jc w:val="both"/>
    </w:pPr>
    <w:rPr>
      <w:rFonts w:hint="eastAsia" w:ascii="宋体" w:hAnsi="Times New Roman" w:eastAsia="宋体" w:cs="Times New Roman"/>
      <w:kern w:val="2"/>
      <w:sz w:val="24"/>
      <w:szCs w:val="24"/>
      <w:lang w:val="en-US" w:eastAsia="zh-CN" w:bidi="ar"/>
    </w:rPr>
  </w:style>
  <w:style w:type="paragraph" w:customStyle="1" w:styleId="41">
    <w:name w:val="正文文本缩进 New"/>
    <w:basedOn w:val="40"/>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eastAsia" w:ascii="宋体" w:hAnsi="Times New Roman" w:eastAsia="宋体" w:cs="Times New Roman"/>
      <w:kern w:val="2"/>
      <w:sz w:val="24"/>
      <w:szCs w:val="24"/>
      <w:lang w:val="en-US" w:eastAsia="zh-CN" w:bidi="ar"/>
    </w:rPr>
  </w:style>
  <w:style w:type="paragraph" w:customStyle="1" w:styleId="42">
    <w:name w:val="正文 New New New New New New New New New New New New New New New New New New New New New New New New New New New New New New New New New New New New New New New New New New New New New New"/>
    <w:basedOn w:val="1"/>
    <w:qFormat/>
    <w:uiPriority w:val="0"/>
    <w:pPr>
      <w:keepNext w:val="0"/>
      <w:keepLines w:val="0"/>
      <w:widowControl w:val="0"/>
      <w:suppressLineNumbers w:val="0"/>
      <w:spacing w:before="0" w:beforeAutospacing="0" w:after="0" w:afterAutospacing="0" w:line="240" w:lineRule="auto"/>
      <w:ind w:left="0" w:right="0"/>
      <w:jc w:val="both"/>
    </w:pPr>
    <w:rPr>
      <w:rFonts w:hint="default" w:ascii="Times New Roman" w:hAnsi="Times New Roman" w:eastAsia="宋体" w:cs="Times New Roman"/>
      <w:kern w:val="2"/>
      <w:sz w:val="21"/>
      <w:szCs w:val="21"/>
      <w:lang w:val="en-US" w:eastAsia="zh-CN" w:bidi="ar"/>
    </w:rPr>
  </w:style>
  <w:style w:type="paragraph" w:customStyle="1" w:styleId="43">
    <w:name w:val="AnnotationText"/>
    <w:basedOn w:val="1"/>
    <w:qFormat/>
    <w:uiPriority w:val="99"/>
    <w:pPr>
      <w:spacing w:line="360" w:lineRule="atLeast"/>
      <w:jc w:val="left"/>
    </w:pPr>
    <w:rPr>
      <w:kern w:val="0"/>
    </w:rPr>
  </w:style>
  <w:style w:type="paragraph" w:customStyle="1" w:styleId="44">
    <w:name w:val="UserStyle_44"/>
    <w:basedOn w:val="45"/>
    <w:qFormat/>
    <w:uiPriority w:val="99"/>
    <w:rPr>
      <w:sz w:val="24"/>
      <w:szCs w:val="24"/>
    </w:rPr>
  </w:style>
  <w:style w:type="paragraph" w:customStyle="1" w:styleId="45">
    <w:name w:val="UserStyle_33"/>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46">
    <w:name w:val="UserStyle_4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47">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48">
    <w:name w:val="文一"/>
    <w:basedOn w:val="1"/>
    <w:qFormat/>
    <w:uiPriority w:val="0"/>
    <w:pPr>
      <w:topLinePunct/>
      <w:adjustRightInd w:val="0"/>
      <w:snapToGrid w:val="0"/>
      <w:ind w:firstLine="200" w:firstLineChars="200"/>
    </w:pPr>
    <w:rPr>
      <w:rFonts w:ascii="Calibri" w:hAnsi="Calibri"/>
      <w:snapToGrid w:val="0"/>
      <w:spacing w:val="4"/>
      <w:kern w:val="0"/>
      <w:szCs w:val="22"/>
    </w:rPr>
  </w:style>
  <w:style w:type="paragraph" w:customStyle="1" w:styleId="49">
    <w:name w:val="正文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50">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6.wmf"/><Relationship Id="rId33" Type="http://schemas.openxmlformats.org/officeDocument/2006/relationships/oleObject" Target="embeddings/oleObject12.bin"/><Relationship Id="rId32" Type="http://schemas.openxmlformats.org/officeDocument/2006/relationships/image" Target="media/image15.wmf"/><Relationship Id="rId31" Type="http://schemas.openxmlformats.org/officeDocument/2006/relationships/oleObject" Target="embeddings/oleObject11.bin"/><Relationship Id="rId30" Type="http://schemas.openxmlformats.org/officeDocument/2006/relationships/image" Target="media/image14.wmf"/><Relationship Id="rId3" Type="http://schemas.openxmlformats.org/officeDocument/2006/relationships/header" Target="header1.xml"/><Relationship Id="rId29" Type="http://schemas.openxmlformats.org/officeDocument/2006/relationships/oleObject" Target="embeddings/oleObject10.bin"/><Relationship Id="rId28" Type="http://schemas.openxmlformats.org/officeDocument/2006/relationships/image" Target="media/image13.wmf"/><Relationship Id="rId27" Type="http://schemas.openxmlformats.org/officeDocument/2006/relationships/oleObject" Target="embeddings/oleObject9.bin"/><Relationship Id="rId26" Type="http://schemas.openxmlformats.org/officeDocument/2006/relationships/image" Target="media/image12.wmf"/><Relationship Id="rId25" Type="http://schemas.openxmlformats.org/officeDocument/2006/relationships/oleObject" Target="embeddings/oleObject8.bin"/><Relationship Id="rId24" Type="http://schemas.openxmlformats.org/officeDocument/2006/relationships/image" Target="media/image11.wmf"/><Relationship Id="rId23" Type="http://schemas.openxmlformats.org/officeDocument/2006/relationships/oleObject" Target="embeddings/oleObject7.bin"/><Relationship Id="rId22" Type="http://schemas.openxmlformats.org/officeDocument/2006/relationships/image" Target="media/image10.wmf"/><Relationship Id="rId21" Type="http://schemas.openxmlformats.org/officeDocument/2006/relationships/oleObject" Target="embeddings/oleObject6.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8.wmf"/><Relationship Id="rId17" Type="http://schemas.openxmlformats.org/officeDocument/2006/relationships/oleObject" Target="embeddings/oleObject4.bin"/><Relationship Id="rId16" Type="http://schemas.openxmlformats.org/officeDocument/2006/relationships/image" Target="media/image7.wmf"/><Relationship Id="rId15" Type="http://schemas.openxmlformats.org/officeDocument/2006/relationships/oleObject" Target="embeddings/oleObject3.bin"/><Relationship Id="rId14" Type="http://schemas.openxmlformats.org/officeDocument/2006/relationships/image" Target="media/image6.wmf"/><Relationship Id="rId13" Type="http://schemas.openxmlformats.org/officeDocument/2006/relationships/oleObject" Target="embeddings/oleObject2.bin"/><Relationship Id="rId12" Type="http://schemas.openxmlformats.org/officeDocument/2006/relationships/image" Target="media/image5.wmf"/><Relationship Id="rId11" Type="http://schemas.openxmlformats.org/officeDocument/2006/relationships/oleObject" Target="embeddings/oleObject1.bin"/><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ntractReview xmlns="http://schemas.wps.cn/vas-ai-hub/contract-review">
  <reviewItems>
    <reviewItem>
      <errorID>875340b8-4882-4f54-8568-7e0190bb7d58</errorID>
      <errorWord>49元</errorWord>
      <group>L1_AI</group>
      <groupName>深度校对</groupName>
      <ability>L2_AI_Word</ability>
      <abilityName>字词纠错</abilityName>
      <candidateList>
        <item>49</item>
      </candidateList>
      <explain/>
      <paraID>490E3EE0</paraID>
      <start>38</start>
      <end>41</end>
      <status>unmodified</status>
      <modifiedWord/>
      <trackRevisions>false</trackRevisions>
    </reviewItem>
    <reviewItem>
      <errorID>984b4d23-8e23-4ce4-b6d8-ad0af1ca1fb8</errorID>
      <errorWord>（</errorWord>
      <group>L1_Punc</group>
      <groupName>标点问题</groupName>
      <ability>L2_Punc</ability>
      <abilityName>标点符号检查</abilityName>
      <candidateList/>
      <explain>同一形式括号套用。</explain>
      <paraID>77845E9C</paraID>
      <start>73</start>
      <end>74</end>
      <status>unmodified</status>
      <modifiedWord/>
      <trackRevisions>false</trackRevisions>
    </reviewItem>
    <reviewItem>
      <errorID>b74f32eb-ff76-485a-8663-98ff1e620bec</errorID>
      <errorWord>）</errorWord>
      <group>L1_Punc</group>
      <groupName>标点问题</groupName>
      <ability>L2_Punc</ability>
      <abilityName>标点符号检查</abilityName>
      <candidateList/>
      <explain>同一形式括号套用。</explain>
      <paraID>77845E9C</paraID>
      <start>88</start>
      <end>89</end>
      <status>unmodified</status>
      <modifiedWord/>
      <trackRevisions>false</trackRevisions>
    </reviewItem>
    <reviewItem>
      <errorID>1108194c-a0fa-4df9-899a-823debf7cda6</errorID>
      <errorWord>登陆</errorWord>
      <group>L1_Word</group>
      <groupName>字词问题</groupName>
      <ability>L2_Typo</ability>
      <abilityName>字词错误</abilityName>
      <candidateList>
        <item>登录</item>
      </candidateList>
      <explain>存在发音相同字词的误用。</explain>
      <paraID>1D938CFE</paraID>
      <start>16</start>
      <end>18</end>
      <status>modified</status>
      <modifiedWord>登录</modifiedWord>
      <trackRevisions>false</trackRevisions>
    </reviewItem>
    <reviewItem>
      <errorID>319c5072-2e63-4158-8d52-45e2bf45622a</errorID>
      <errorWord>,</errorWord>
      <group>L1_Format</group>
      <groupName>格式问题</groupName>
      <ability>L2_HalfPunc</ability>
      <abilityName>全半角检查</abilityName>
      <candidateList>
        <item>，</item>
      </candidateList>
      <explain>文本全半角错误。</explain>
      <paraID>1D938CFE</paraID>
      <start>93</start>
      <end>94</end>
      <status>unmodified</status>
      <modifiedWord/>
      <trackRevisions>false</trackRevisions>
    </reviewItem>
    <reviewItem>
      <errorID>866b2e43-1692-4706-9e5b-0c53f9346792</errorID>
      <errorWord>（</errorWord>
      <group>L1_Format</group>
      <groupName>格式问题</groupName>
      <ability>L2_HalfPunc</ability>
      <abilityName>全半角检查</abilityName>
      <candidateList>
        <item>(</item>
      </candidateList>
      <explain>文本全半角错误。</explain>
      <paraID>5E72452D</paraID>
      <start>0</start>
      <end>1</end>
      <status>unmodified</status>
      <modifiedWord/>
      <trackRevisions>false</trackRevisions>
    </reviewItem>
    <reviewItem>
      <errorID>a6d53b43-33c9-4140-8c33-fa53aa32707c</errorID>
      <errorWord>）</errorWord>
      <group>L1_Format</group>
      <groupName>格式问题</groupName>
      <ability>L2_HalfPunc</ability>
      <abilityName>全半角检查</abilityName>
      <candidateList>
        <item>)</item>
      </candidateList>
      <explain>文本全半角错误。</explain>
      <paraID>5E72452D</paraID>
      <start>41</start>
      <end>42</end>
      <status>unmodified</status>
      <modifiedWord/>
      <trackRevisions>false</trackRevisions>
    </reviewItem>
    <reviewItem>
      <errorID>204aac3b-6e37-4345-9698-a514a885c539</errorID>
      <errorWord>其它</errorWord>
      <group>L1_Word</group>
      <groupName>字词问题</groupName>
      <ability>L2_Alias</ability>
      <abilityName>也作/曾用词</abilityName>
      <candidateList>
        <item>其他</item>
      </candidateList>
      <explain>词汇[其它]为不规范表述或旧称，其规范书面表述为[其他]。</explain>
      <paraID>5B810317</paraID>
      <start>13</start>
      <end>15</end>
      <status>modified</status>
      <modifiedWord>其他</modifiedWord>
      <trackRevisions>false</trackRevisions>
    </reviewItem>
    <reviewItem>
      <errorID>9a660075-170f-454e-a04e-a342d83eaa7b</errorID>
      <errorWord>（</errorWord>
      <group>L1_Punc</group>
      <groupName>标点问题</groupName>
      <ability>L2_Punc</ability>
      <abilityName>标点符号检查</abilityName>
      <candidateList/>
      <explain>同一形式括号套用。</explain>
      <paraID>6F570F60</paraID>
      <start>75</start>
      <end>76</end>
      <status>unmodified</status>
      <modifiedWord/>
      <trackRevisions>false</trackRevisions>
    </reviewItem>
    <reviewItem>
      <errorID>e228cd99-c1a8-4a8c-9a63-d25d438869e4</errorID>
      <errorWord>）</errorWord>
      <group>L1_Punc</group>
      <groupName>标点问题</groupName>
      <ability>L2_Punc</ability>
      <abilityName>标点符号检查</abilityName>
      <candidateList/>
      <explain>同一形式括号套用。</explain>
      <paraID>6F570F60</paraID>
      <start>90</start>
      <end>91</end>
      <status>unmodified</status>
      <modifiedWord/>
      <trackRevisions>false</trackRevisions>
    </reviewItem>
    <reviewItem>
      <errorID>d4e34ae3-b96e-491d-9a03-f1d572fc0635</errorID>
      <errorWord>须</errorWord>
      <group>L1_AI</group>
      <groupName>深度校对</groupName>
      <ability>L2_AI_Punc</ability>
      <abilityName>标点纠错</abilityName>
      <candidateList>
        <item>：须</item>
      </candidateList>
      <explain/>
      <paraID>6448CFD6</paraID>
      <start>13</start>
      <end>15</end>
      <status>modified</status>
      <modifiedWord>：须</modifiedWord>
      <trackRevisions>false</trackRevisions>
    </reviewItem>
    <reviewItem>
      <errorID>4cad83c3-e338-4e61-a0fc-2be5a81d1adb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238A108</paraID>
      <start>0</start>
      <end>2</end>
      <status>unmodified</status>
      <modifiedWord/>
      <trackRevisions>false</trackRevisions>
    </reviewItem>
    <reviewItem>
      <errorID>4e55b99f-5f63-4a2d-a560-48e596a681e4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479E4BB4</paraID>
      <start>0</start>
      <end>2</end>
      <status>unmodified</status>
      <modifiedWord/>
      <trackRevisions>false</trackRevisions>
    </reviewItem>
    <reviewItem>
      <errorID>5ccd10a8-2a11-43a1-ba69-24e7a084f43d</errorID>
      <errorWord>证</errorWord>
      <group>L1_Word</group>
      <groupName>字词问题</groupName>
      <ability>L2_Typo</ability>
      <abilityName>字词错误</abilityName>
      <candidateList>
        <item>证金</item>
      </candidateList>
      <explain/>
      <paraID>45174820</paraID>
      <start>19</start>
      <end>20</end>
      <status>unmodified</status>
      <modifiedWord/>
      <trackRevisions>false</trackRevisions>
    </reviewItem>
    <reviewItem>
      <errorID>245964be-d19a-457a-8e82-e163f35e1e45</errorID>
      <errorWord>-</errorWord>
      <group>L1_Format</group>
      <groupName>格式问题</groupName>
      <ability>L2_HalfPunc</ability>
      <abilityName>全半角检查</abilityName>
      <candidateList>
        <item>－</item>
      </candidateList>
      <explain>文本全半角错误。</explain>
      <paraID>6EF3D104</paraID>
      <start>229</start>
      <end>230</end>
      <status>unmodified</status>
      <modifiedWord/>
      <trackRevisions>false</trackRevisions>
    </reviewItem>
    <reviewItem>
      <errorID>b43c846c-2798-4948-84d7-e1bfd0d921bb</errorID>
      <errorWord>(</errorWord>
      <group>L1_Format</group>
      <groupName>格式问题</groupName>
      <ability>L2_HalfPunc</ability>
      <abilityName>全半角检查</abilityName>
      <candidateList>
        <item>（</item>
      </candidateList>
      <explain>文本全半角错误。</explain>
      <paraID>6DAFAAB4</paraID>
      <start>63</start>
      <end>64</end>
      <status>unmodified</status>
      <modifiedWord/>
      <trackRevisions>false</trackRevisions>
    </reviewItem>
    <reviewItem>
      <errorID>fc2192cc-6b51-4bc1-bf07-d7609f5401b0</errorID>
      <errorWord>)</errorWord>
      <group>L1_Format</group>
      <groupName>格式问题</groupName>
      <ability>L2_HalfPunc</ability>
      <abilityName>全半角检查</abilityName>
      <candidateList>
        <item>）</item>
      </candidateList>
      <explain>文本全半角错误。</explain>
      <paraID>6DAFAAB4</paraID>
      <start>85</start>
      <end>86</end>
      <status>unmodified</status>
      <modifiedWord/>
      <trackRevisions>false</trackRevisions>
    </reviewItem>
    <reviewItem>
      <errorID>4520838c-4116-4a03-9a80-1747c0e90777</errorID>
      <errorWord>证</errorWord>
      <group>L1_Word</group>
      <groupName>字词问题</groupName>
      <ability>L2_Typo</ability>
      <abilityName>字词错误</abilityName>
      <candidateList>
        <item>证金</item>
      </candidateList>
      <explain/>
      <paraID>47AA0853</paraID>
      <start>25</start>
      <end>26</end>
      <status>unmodified</status>
      <modifiedWord/>
      <trackRevisions>false</trackRevisions>
    </reviewItem>
    <reviewItem>
      <errorID>9016d5a7-4b81-4b6b-b995-2c8b429caa4e</errorID>
      <errorWord>条款</errorWord>
      <group>L1_Word</group>
      <groupName>字词问题</groupName>
      <ability>L2_Typo</ability>
      <abilityName>字词错误</abilityName>
      <candidateList>
        <item>条</item>
      </candidateList>
      <explain/>
      <paraID>666D102E</paraID>
      <start>10</start>
      <end>12</end>
      <status>unmodified</status>
      <modifiedWord/>
      <trackRevisions>false</trackRevisions>
    </reviewItem>
    <reviewItem>
      <errorID>f7ac8ebb-1de7-4071-9e45-63fb94637fdc</errorID>
      <errorWord>百千万工程</errorWord>
      <group>L1_Political</group>
      <groupName>政治性问题</groupName>
      <ability>L2_Keyword</ability>
      <abilityName>固定表述</abilityName>
      <candidateList>
        <item>“百千万工程”</item>
      </candidateList>
      <explain>注意检查当前固定表述标点是否使用规范。</explain>
      <paraID>24B3015B</paraID>
      <start>2</start>
      <end>7</end>
      <status>unmodified</status>
      <modifiedWord/>
      <trackRevisions>false</trackRevisions>
    </reviewItem>
    <reviewItem>
      <errorID>3a0db76b-9902-4f6d-b1c0-8083c8d3883e</errorID>
      <errorWord>百千万工程</errorWord>
      <group>L1_Political</group>
      <groupName>政治性问题</groupName>
      <ability>L2_Keyword</ability>
      <abilityName>固定表述</abilityName>
      <candidateList>
        <item>“百千万工程”</item>
      </candidateList>
      <explain>注意检查当前固定表述标点是否使用规范。</explain>
      <paraID>51BA71CE</paraID>
      <start>70</start>
      <end>75</end>
      <status>unmodified</status>
      <modifiedWord/>
      <trackRevisions>false</trackRevisions>
    </reviewItem>
    <reviewItem>
      <errorID>6b43200f-aa72-44f9-b6fc-6fa4cd3e5983</errorID>
      <errorWord>百千万工程</errorWord>
      <group>L1_Political</group>
      <groupName>政治性问题</groupName>
      <ability>L2_Keyword</ability>
      <abilityName>固定表述</abilityName>
      <candidateList>
        <item>“百千万工程”</item>
      </candidateList>
      <explain>注意检查当前固定表述标点是否使用规范。</explain>
      <paraID>5B66250C</paraID>
      <start>10</start>
      <end>15</end>
      <status>unmodified</status>
      <modifiedWord/>
      <trackRevisions>false</trackRevisions>
    </reviewItem>
    <reviewItem>
      <errorID>dae2ca73-03b1-4eba-8908-1346797b641b</errorID>
      <errorWord>格式格式</errorWord>
      <group>L1_Word</group>
      <groupName>字词问题</groupName>
      <ability>L2_Typo</ability>
      <abilityName>字词错误</abilityName>
      <candidateList>
        <item>格式</item>
      </candidateList>
      <explain/>
      <paraID>5B66250C</paraID>
      <start>56</start>
      <end>58</end>
      <status>modified</status>
      <modifiedWord>格式</modifiedWord>
      <trackRevisions>false</trackRevisions>
    </reviewItem>
    <reviewItem>
      <errorID>28b9c346-e656-440a-8997-f49996452332</errorID>
      <errorWord>(</errorWord>
      <group>L1_Format</group>
      <groupName>格式问题</groupName>
      <ability>L2_HalfPunc</ability>
      <abilityName>全半角检查</abilityName>
      <candidateList>
        <item>（</item>
      </candidateList>
      <explain>文本全半角错误。</explain>
      <paraID>6FBFDAC1</paraID>
      <start>3</start>
      <end>4</end>
      <status>unmodified</status>
      <modifiedWord/>
      <trackRevisions>false</trackRevisions>
    </reviewItem>
    <reviewItem>
      <errorID>98352f31-6d52-4235-9cd4-bf25646ced05</errorID>
      <errorWord>)</errorWord>
      <group>L1_Format</group>
      <groupName>格式问题</groupName>
      <ability>L2_HalfPunc</ability>
      <abilityName>全半角检查</abilityName>
      <candidateList>
        <item>）</item>
      </candidateList>
      <explain>文本全半角错误。</explain>
      <paraID>6FBFDAC1</paraID>
      <start>6</start>
      <end>7</end>
      <status>unmodified</status>
      <modifiedWord/>
      <trackRevisions>false</trackRevisions>
    </reviewItem>
    <reviewItem>
      <errorID>495a413f-7d7e-44a0-8870-d010a8bd5a63</errorID>
      <errorWord>保证缴</errorWord>
      <group>L1_Word</group>
      <groupName>字词问题</groupName>
      <ability>L2_Typo</ability>
      <abilityName>字词错误</abilityName>
      <candidateList>
        <item>保证金</item>
      </candidateList>
      <explain/>
      <paraID>6EA8A05A</paraID>
      <start>2</start>
      <end>5</end>
      <status>unmodified</status>
      <modifiedWord/>
      <trackRevisions>false</trackRevisions>
    </reviewItem>
    <reviewItem>
      <errorID>fc1f4b71-5db0-48bb-b4ee-ff458ade36a3</errorID>
      <errorWord>纳</errorWord>
      <group>L1_Word</group>
      <groupName>字词问题</groupName>
      <ability>L2_Typo</ability>
      <abilityName>字词错误</abilityName>
      <candidateList>
        <item>的</item>
      </candidateList>
      <explain>“的”常用于连接修饰语与名词性中心语，表示属性、所属或描述。</explain>
      <paraID>4A3C97C7</paraID>
      <start>0</start>
      <end>1</end>
      <status>unmodified</status>
      <modifiedWord/>
      <trackRevisions>false</trackRevisions>
    </reviewItem>
    <reviewItem>
      <errorID>1a6b7c62-696a-418f-8305-2452b592d660</errorID>
      <errorWord>法律、法规</errorWord>
      <group>L1_Word</group>
      <groupName>字词问题</groupName>
      <ability>L2_Typo</ability>
      <abilityName>字词错误</abilityName>
      <candidateList>
        <item>法律法规</item>
      </candidateList>
      <explain/>
      <paraID>75F3CD25</paraID>
      <start>22</start>
      <end>27</end>
      <status>unmodified</status>
      <modifiedWord/>
      <trackRevisions>false</trackRevisions>
    </reviewItem>
    <reviewItem>
      <errorID>8d17f70b-c58f-4187-885e-50dbdbe6c9df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212DCF32</paraID>
      <start>0</start>
      <end>2</end>
      <status>unmodified</status>
      <modifiedWord/>
      <trackRevisions>false</trackRevisions>
    </reviewItem>
    <reviewItem>
      <errorID>89060cbb-7886-4d93-b713-f66f4b0e63f6</errorID>
      <errorWord>(</errorWord>
      <group>L1_Format</group>
      <groupName>格式问题</groupName>
      <ability>L2_HalfPunc</ability>
      <abilityName>全半角检查</abilityName>
      <candidateList>
        <item>（</item>
      </candidateList>
      <explain>文本全半角错误。</explain>
      <paraID>4B11C8A0</paraID>
      <start>53</start>
      <end>54</end>
      <status>unmodified</status>
      <modifiedWord/>
      <trackRevisions>false</trackRevisions>
    </reviewItem>
    <reviewItem>
      <errorID>b2d7da51-4de0-45b8-a702-d61cce69ad7f</errorID>
      <errorWord>)</errorWord>
      <group>L1_Format</group>
      <groupName>格式问题</groupName>
      <ability>L2_HalfPunc</ability>
      <abilityName>全半角检查</abilityName>
      <candidateList>
        <item>）</item>
      </candidateList>
      <explain>文本全半角错误。</explain>
      <paraID>4B11C8A0</paraID>
      <start>99</start>
      <end>100</end>
      <status>unmodified</status>
      <modifiedWord/>
      <trackRevisions>false</trackRevisions>
    </reviewItem>
    <reviewItem>
      <errorID>dd3257ee-ee3e-4e40-a0c5-34eb29fe66b9</errorID>
      <errorWord>(</errorWord>
      <group>L1_Format</group>
      <groupName>格式问题</groupName>
      <ability>L2_HalfPunc</ability>
      <abilityName>全半角检查</abilityName>
      <candidateList>
        <item>（</item>
      </candidateList>
      <explain>文本全半角错误。</explain>
      <paraID>5362EC9B</paraID>
      <start>65</start>
      <end>66</end>
      <status>unmodified</status>
      <modifiedWord/>
      <trackRevisions>false</trackRevisions>
    </reviewItem>
    <reviewItem>
      <errorID>3c6b0381-56b0-4922-a93b-1f643bf24373</errorID>
      <errorWord>)</errorWord>
      <group>L1_Format</group>
      <groupName>格式问题</groupName>
      <ability>L2_HalfPunc</ability>
      <abilityName>全半角检查</abilityName>
      <candidateList>
        <item>）</item>
      </candidateList>
      <explain>文本全半角错误。</explain>
      <paraID>5362EC9B</paraID>
      <start>77</start>
      <end>78</end>
      <status>unmodified</status>
      <modifiedWord/>
      <trackRevisions>false</trackRevisions>
    </reviewItem>
    <reviewItem>
      <errorID>71b67530-013b-4e46-9ade-cf7efc8af49f</errorID>
      <errorWord>采</errorWord>
      <group>L1_Word</group>
      <groupName>字词问题</groupName>
      <ability>L2_Typo</ability>
      <abilityName>字词错误</abilityName>
      <candidateList>
        <item>采用</item>
      </candidateList>
      <explain>〈动〉认为合适而使用：～新工艺｜～举手表决方式｜那篇稿子已被编辑部～。</explain>
      <paraID>2B971238</paraID>
      <start>221</start>
      <end>223</end>
      <status>modified</status>
      <modifiedWord>采用</modifiedWord>
      <trackRevisions>false</trackRevisions>
    </reviewItem>
    <reviewItem>
      <errorID>c13eecef-2b61-4546-84c9-c326be32adfc</errorID>
      <errorWord>位</errorWord>
      <group>L1_Word</group>
      <groupName>字词问题</groupName>
      <ability>L2_Typo</ability>
      <abilityName>字词错误</abilityName>
      <candidateList>
        <item>位公</item>
      </candidateList>
      <explain/>
      <paraID>5B57378B</paraID>
      <start>68</start>
      <end>69</end>
      <status>unmodified</status>
      <modifiedWord/>
      <trackRevisions>false</trackRevisions>
    </reviewItem>
    <reviewItem>
      <errorID>c66361ce-6ada-4fda-93cf-050bf0b7d9b6</errorID>
      <errorWord>》</errorWord>
      <group>L1_Word</group>
      <groupName>字词问题</groupName>
      <ability>L2_Typo</ability>
      <abilityName>字词错误</abilityName>
      <candidateList>
        <item>》等</item>
      </candidateList>
      <explain/>
      <paraID>37B01476</paraID>
      <start>55</start>
      <end>56</end>
      <status>unmodified</status>
      <modifiedWord/>
      <trackRevisions>false</trackRevisions>
    </reviewItem>
    <reviewItem>
      <errorID>1033845c-f2dc-4d8e-8be6-2b3f4ddd7187</errorID>
      <errorWord>办理办理</errorWord>
      <group>L1_Word</group>
      <groupName>字词问题</groupName>
      <ability>L2_Typo</ability>
      <abilityName>字词错误</abilityName>
      <candidateList>
        <item>办理</item>
      </candidateList>
      <explain/>
      <paraID> 94DC056</paraID>
      <start>126</start>
      <end>128</end>
      <status>modified</status>
      <modifiedWord>办理</modifiedWord>
      <trackRevisions>false</trackRevisions>
    </reviewItem>
    <reviewItem>
      <errorID>47c8c1f7-b697-49a0-a02b-ac84a2210dcd</errorID>
      <errorWord>国家工业和信息化部</errorWord>
      <group>L1_Political</group>
      <groupName>政治性问题</groupName>
      <ability>L2_Unpolitical</ability>
      <abilityName>政治敏感错误</abilityName>
      <candidateList>
        <item>工业和信息化部</item>
      </candidateList>
      <explain/>
      <paraID>65893364</paraID>
      <start>9</start>
      <end>18</end>
      <status>unmodified</status>
      <modifiedWord/>
      <trackRevisions>false</trackRevisions>
    </reviewItem>
    <reviewItem>
      <errorID>89a1edb0-16ab-47bb-9fe9-689ab5cccbd2</errorID>
      <errorWord>视</errorWord>
      <group>L1_Word</group>
      <groupName>字词问题</groupName>
      <ability>L2_Typo</ability>
      <abilityName>字词错误</abilityName>
      <candidateList>
        <item>视为</item>
      </candidateList>
      <explain/>
      <paraID>74D36036</paraID>
      <start>120</start>
      <end>122</end>
      <status>modified</status>
      <modifiedWord>视为</modifiedWord>
      <trackRevisions>false</trackRevisions>
    </reviewItem>
    <reviewItem>
      <errorID>4f07694b-4386-4369-b15a-35ce6ae4c0b9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20871AD3</paraID>
      <start>0</start>
      <end>3</end>
      <status>unmodified</status>
      <modifiedWord/>
      <trackRevisions>false</trackRevisions>
    </reviewItem>
    <reviewItem>
      <errorID>38835824-2f9b-4814-9850-fdb022d5301e</errorID>
      <errorWord>:</errorWord>
      <group>L1_Format</group>
      <groupName>格式问题</groupName>
      <ability>L2_HalfPunc</ability>
      <abilityName>全半角检查</abilityName>
      <candidateList>
        <item>：</item>
      </candidateList>
      <explain>文本全半角错误。</explain>
      <paraID>50096424</paraID>
      <start>162</start>
      <end>163</end>
      <status>unmodified</status>
      <modifiedWord/>
      <trackRevisions>false</trackRevisions>
    </reviewItem>
    <reviewItem>
      <errorID>c0ad7499-08a4-440d-8ad7-55b9c8e3655b</errorID>
      <errorWord>(</errorWord>
      <group>L1_Format</group>
      <groupName>格式问题</groupName>
      <ability>L2_HalfPunc</ability>
      <abilityName>全半角检查</abilityName>
      <candidateList>
        <item>（</item>
      </candidateList>
      <explain>文本全半角错误。</explain>
      <paraID>50096424</paraID>
      <start>173</start>
      <end>174</end>
      <status>unmodified</status>
      <modifiedWord/>
      <trackRevisions>false</trackRevisions>
    </reviewItem>
    <reviewItem>
      <errorID>2baddbd3-6312-4d57-a6fe-2cb23d104a2b</errorID>
      <errorWord>)</errorWord>
      <group>L1_Format</group>
      <groupName>格式问题</groupName>
      <ability>L2_HalfPunc</ability>
      <abilityName>全半角检查</abilityName>
      <candidateList>
        <item>）</item>
      </candidateList>
      <explain>文本全半角错误。</explain>
      <paraID>50096424</paraID>
      <start>181</start>
      <end>182</end>
      <status>unmodified</status>
      <modifiedWord/>
      <trackRevisions>false</trackRevisions>
    </reviewItem>
    <reviewItem>
      <errorID>1f14fd5a-00da-47d9-abab-ffbb46cad270</errorID>
      <errorWord>:</errorWord>
      <group>L1_Format</group>
      <groupName>格式问题</groupName>
      <ability>L2_HalfPunc</ability>
      <abilityName>全半角检查</abilityName>
      <candidateList>
        <item>：</item>
      </candidateList>
      <explain>文本全半角错误。</explain>
      <paraID>7C4C4C4C</paraID>
      <start>135</start>
      <end>136</end>
      <status>unmodified</status>
      <modifiedWord/>
      <trackRevisions>false</trackRevisions>
    </reviewItem>
    <reviewItem>
      <errorID>c5bf32cf-0dc1-4d77-beab-3a949d2ce1a6</errorID>
      <errorWord>(</errorWord>
      <group>L1_Format</group>
      <groupName>格式问题</groupName>
      <ability>L2_HalfPunc</ability>
      <abilityName>全半角检查</abilityName>
      <candidateList>
        <item>（</item>
      </candidateList>
      <explain>文本全半角错误。</explain>
      <paraID>7C4C4C4C</paraID>
      <start>146</start>
      <end>147</end>
      <status>unmodified</status>
      <modifiedWord/>
      <trackRevisions>false</trackRevisions>
    </reviewItem>
    <reviewItem>
      <errorID>f3cc5ec0-a91f-42ee-8cfd-325c16ed1432</errorID>
      <errorWord>)</errorWord>
      <group>L1_Format</group>
      <groupName>格式问题</groupName>
      <ability>L2_HalfPunc</ability>
      <abilityName>全半角检查</abilityName>
      <candidateList>
        <item>）</item>
      </candidateList>
      <explain>文本全半角错误。</explain>
      <paraID>7C4C4C4C</paraID>
      <start>154</start>
      <end>155</end>
      <status>unmodified</status>
      <modifiedWord/>
      <trackRevisions>false</trackRevisions>
    </reviewItem>
    <reviewItem>
      <errorID>880934d3-bd32-488c-9944-83d982a38955</errorID>
      <errorWord>证</errorWord>
      <group>L1_Word</group>
      <groupName>字词问题</groupName>
      <ability>L2_Typo</ability>
      <abilityName>字词错误</abilityName>
      <candidateList>
        <item>证金</item>
      </candidateList>
      <explain/>
      <paraID> 9A85513</paraID>
      <start>6</start>
      <end>7</end>
      <status>unmodified</status>
      <modifiedWord/>
      <trackRevisions>false</trackRevisions>
    </reviewItem>
    <reviewItem>
      <errorID>6f448f76-1a4a-406f-8eca-db3d2198b92f</errorID>
      <errorWord>（</errorWord>
      <group>L1_Punc</group>
      <groupName>标点问题</groupName>
      <ability>L2_Punc</ability>
      <abilityName>标点符号检查</abilityName>
      <candidateList/>
      <explain>同一形式括号套用。</explain>
      <paraID>61873E0F</paraID>
      <start>111</start>
      <end>112</end>
      <status>unmodified</status>
      <modifiedWord/>
      <trackRevisions>false</trackRevisions>
    </reviewItem>
    <reviewItem>
      <errorID>c85f7ce0-1c01-4752-ad16-fcf527aa4c06</errorID>
      <errorWord>）</errorWord>
      <group>L1_Punc</group>
      <groupName>标点问题</groupName>
      <ability>L2_Punc</ability>
      <abilityName>标点符号检查</abilityName>
      <candidateList/>
      <explain>同一形式括号套用。</explain>
      <paraID>61873E0F</paraID>
      <start>114</start>
      <end>115</end>
      <status>unmodified</status>
      <modifiedWord/>
      <trackRevisions>false</trackRevisions>
    </reviewItem>
    <reviewItem>
      <errorID>fe88dd07-7753-450d-b5d1-8a9229dc4dc0</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5C8E6500</paraID>
      <start>0</start>
      <end>2</end>
      <status>unmodified</status>
      <modifiedWord/>
      <trackRevisions>false</trackRevisions>
    </reviewItem>
    <reviewItem>
      <errorID>d94013c9-0bf8-4add-a18e-5213ef881bbc</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71BFC2E0</paraID>
      <start>0</start>
      <end>2</end>
      <status>unmodified</status>
      <modifiedWord/>
      <trackRevisions>false</trackRevisions>
    </reviewItem>
    <reviewItem>
      <errorID>f7ef2251-44d3-42ee-9360-f95b84a8c05c</errorID>
      <errorWord>法律、法规</errorWord>
      <group>L1_Word</group>
      <groupName>字词问题</groupName>
      <ability>L2_Typo</ability>
      <abilityName>字词错误</abilityName>
      <candidateList>
        <item>法律法规</item>
      </candidateList>
      <explain/>
      <paraID>5BE6AAD7</paraID>
      <start>5</start>
      <end>10</end>
      <status>unmodified</status>
      <modifiedWord/>
      <trackRevisions>false</trackRevisions>
    </reviewItem>
    <reviewItem>
      <errorID>5f69620f-837c-4058-bd2b-6f6298df97a3</errorID>
      <errorWord>超</errorWord>
      <group>L1_Word</group>
      <groupName>字词问题</groupName>
      <ability>L2_Typo</ability>
      <abilityName>字词错误</abilityName>
      <candidateList>
        <item>超过</item>
      </candidateList>
      <explain/>
      <paraID>4354ADFF</paraID>
      <start>73</start>
      <end>75</end>
      <status>modified</status>
      <modifiedWord>超过</modifiedWord>
      <trackRevisions>false</trackRevisions>
    </reviewItem>
    <reviewItem>
      <errorID>b4dbeca1-3b10-4095-b173-8a2f7867a0a3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5E927823</paraID>
      <start>0</start>
      <end>3</end>
      <status>unmodified</status>
      <modifiedWord/>
      <trackRevisions>false</trackRevisions>
    </reviewItem>
    <reviewItem>
      <errorID>decc98d2-092b-477d-93f0-dbf5ee084a22</errorID>
      <errorWord>项日</errorWord>
      <group>L1_Word</group>
      <groupName>字词问题</groupName>
      <ability>L2_Typo</ability>
      <abilityName>字词错误</abilityName>
      <candidateList>
        <item>项目</item>
      </candidateList>
      <explain>〈名〉事物分成的门类：服务～｜体育～｜建设～。</explain>
      <paraID>7AC6D476</paraID>
      <start>139</start>
      <end>141</end>
      <status>modified</status>
      <modifiedWord>项目</modifiedWord>
      <trackRevisions>false</trackRevisions>
    </reviewItem>
    <reviewItem>
      <errorID>b563fb4b-a979-4630-8e84-7eac15f5cbcb</errorID>
      <errorWord>(</errorWord>
      <group>L1_Format</group>
      <groupName>格式问题</groupName>
      <ability>L2_HalfPunc</ability>
      <abilityName>全半角检查</abilityName>
      <candidateList>
        <item>（</item>
      </candidateList>
      <explain>文本全半角错误。</explain>
      <paraID> 4E84D45</paraID>
      <start>192</start>
      <end>193</end>
      <status>unmodified</status>
      <modifiedWord/>
      <trackRevisions>false</trackRevisions>
    </reviewItem>
    <reviewItem>
      <errorID>d37a12a6-cf8f-4145-8a4e-2b6bcaa24164</errorID>
      <errorWord>)</errorWord>
      <group>L1_Format</group>
      <groupName>格式问题</groupName>
      <ability>L2_HalfPunc</ability>
      <abilityName>全半角检查</abilityName>
      <candidateList>
        <item>）</item>
      </candidateList>
      <explain>文本全半角错误。</explain>
      <paraID> 4E84D45</paraID>
      <start>195</start>
      <end>196</end>
      <status>unmodified</status>
      <modifiedWord/>
      <trackRevisions>false</trackRevisions>
    </reviewItem>
    <reviewItem>
      <errorID>f8d697b7-11d1-4a53-b2a1-40f667e255f6</errorID>
      <errorWord>(</errorWord>
      <group>L1_Format</group>
      <groupName>格式问题</groupName>
      <ability>L2_HalfPunc</ability>
      <abilityName>全半角检查</abilityName>
      <candidateList>
        <item>（</item>
      </candidateList>
      <explain>文本全半角错误。</explain>
      <paraID>442AA16B</paraID>
      <start>141</start>
      <end>142</end>
      <status>unmodified</status>
      <modifiedWord/>
      <trackRevisions>false</trackRevisions>
    </reviewItem>
    <reviewItem>
      <errorID>36ff80fd-1b85-47e1-b0de-4e8f8f7ecbf4</errorID>
      <errorWord>)</errorWord>
      <group>L1_Format</group>
      <groupName>格式问题</groupName>
      <ability>L2_HalfPunc</ability>
      <abilityName>全半角检查</abilityName>
      <candidateList>
        <item>）</item>
      </candidateList>
      <explain>文本全半角错误。</explain>
      <paraID>442AA16B</paraID>
      <start>144</start>
      <end>145</end>
      <status>unmodified</status>
      <modifiedWord/>
      <trackRevisions>false</trackRevisions>
    </reviewItem>
    <reviewItem>
      <errorID>070e48ec-f636-455f-8487-a48eac8764da</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442AA16B</paraID>
      <start>254</start>
      <end>256</end>
      <status>unmodified</status>
      <modifiedWord/>
      <trackRevisions>false</trackRevisions>
    </reviewItem>
    <reviewItem>
      <errorID>abdee4d4-33d7-428f-acb8-ff5dda9671c8</errorID>
      <errorWord>做出</errorWord>
      <group>L1_Word</group>
      <groupName>字词问题</groupName>
      <ability>L2_Typo</ability>
      <abilityName>字词错误</abilityName>
      <candidateList>
        <item>作出</item>
      </candidateList>
      <explain/>
      <paraID>442AA16B</paraID>
      <start>267</start>
      <end>269</end>
      <status>unmodified</status>
      <modifiedWord/>
      <trackRevisions>false</trackRevisions>
    </reviewItem>
    <reviewItem>
      <errorID>3c2f5672-ef13-458c-a31d-f3fb7eb0be76</errorID>
      <errorWord>收</errorWord>
      <group>L1_Word</group>
      <groupName>字词问题</groupName>
      <ability>L2_Typo</ability>
      <abilityName>字词错误</abilityName>
      <candidateList>
        <item>收到</item>
      </candidateList>
      <explain/>
      <paraID> 2FD10D5</paraID>
      <start>64</start>
      <end>66</end>
      <status>modified</status>
      <modifiedWord>收到</modifiedWord>
      <trackRevisions>false</trackRevisions>
    </reviewItem>
    <reviewItem>
      <errorID>f705502b-d8a6-4cd0-9370-45b1141af9e6</errorID>
      <errorWord>子以</errorWord>
      <group>L1_Word</group>
      <groupName>字词问题</groupName>
      <ability>L2_Typo</ability>
      <abilityName>字词错误</abilityName>
      <candidateList>
        <item>予以</item>
      </candidateList>
      <explain>〈动〉给以：～支持｜～警告｜～表扬｜～批评。</explain>
      <paraID> 2FD10D5</paraID>
      <start>97</start>
      <end>99</end>
      <status>modified</status>
      <modifiedWord>予以</modifiedWord>
      <trackRevisions>false</trackRevisions>
    </reviewItem>
    <reviewItem>
      <errorID>037a8410-9e51-41e8-8c4b-dba4d19e10e3</errorID>
      <errorWord>(</errorWord>
      <group>L1_Format</group>
      <groupName>格式问题</groupName>
      <ability>L2_HalfPunc</ability>
      <abilityName>全半角检查</abilityName>
      <candidateList>
        <item>（</item>
      </candidateList>
      <explain>文本全半角错误。</explain>
      <paraID> 79E589C</paraID>
      <start>47</start>
      <end>48</end>
      <status>unmodified</status>
      <modifiedWord/>
      <trackRevisions>false</trackRevisions>
    </reviewItem>
    <reviewItem>
      <errorID>080a223c-a0f4-4693-8bc6-e22f94739f59</errorID>
      <errorWord>)</errorWord>
      <group>L1_Format</group>
      <groupName>格式问题</groupName>
      <ability>L2_HalfPunc</ability>
      <abilityName>全半角检查</abilityName>
      <candidateList>
        <item>）</item>
      </candidateList>
      <explain>文本全半角错误。</explain>
      <paraID> 79E589C</paraID>
      <start>49</start>
      <end>50</end>
      <status>unmodified</status>
      <modifiedWord/>
      <trackRevisions>false</trackRevisions>
    </reviewItem>
    <reviewItem>
      <errorID>dbeda539-5c83-4818-a3d4-321c0957dea5</errorID>
      <errorWord>(</errorWord>
      <group>L1_Format</group>
      <groupName>格式问题</groupName>
      <ability>L2_HalfPunc</ability>
      <abilityName>全半角检查</abilityName>
      <candidateList>
        <item>（</item>
      </candidateList>
      <explain>文本全半角错误。</explain>
      <paraID> 79E589C</paraID>
      <start>82</start>
      <end>83</end>
      <status>unmodified</status>
      <modifiedWord/>
      <trackRevisions>false</trackRevisions>
    </reviewItem>
    <reviewItem>
      <errorID>3827e0b8-6682-4038-8ec0-f04c37040018</errorID>
      <errorWord>)</errorWord>
      <group>L1_Format</group>
      <groupName>格式问题</groupName>
      <ability>L2_HalfPunc</ability>
      <abilityName>全半角检查</abilityName>
      <candidateList>
        <item>）</item>
      </candidateList>
      <explain>文本全半角错误。</explain>
      <paraID> 79E589C</paraID>
      <start>88</start>
      <end>89</end>
      <status>unmodified</status>
      <modifiedWord/>
      <trackRevisions>false</trackRevisions>
    </reviewItem>
    <reviewItem>
      <errorID>6482f613-40c4-4ab7-b49b-271714c76fb0</errorID>
      <errorWord>(</errorWord>
      <group>L1_Format</group>
      <groupName>格式问题</groupName>
      <ability>L2_HalfPunc</ability>
      <abilityName>全半角检查</abilityName>
      <candidateList>
        <item>（</item>
      </candidateList>
      <explain>文本全半角错误。</explain>
      <paraID> 79E589C</paraID>
      <start>98</start>
      <end>99</end>
      <status>unmodified</status>
      <modifiedWord/>
      <trackRevisions>false</trackRevisions>
    </reviewItem>
    <reviewItem>
      <errorID>d7c0747b-a029-4f1b-830b-340f71c07867</errorID>
      <errorWord>)</errorWord>
      <group>L1_Format</group>
      <groupName>格式问题</groupName>
      <ability>L2_HalfPunc</ability>
      <abilityName>全半角检查</abilityName>
      <candidateList>
        <item>）</item>
      </candidateList>
      <explain>文本全半角错误。</explain>
      <paraID> 79E589C</paraID>
      <start>100</start>
      <end>101</end>
      <status>unmodified</status>
      <modifiedWord/>
      <trackRevisions>false</trackRevisions>
    </reviewItem>
    <reviewItem>
      <errorID>d97611b2-0d96-4ce4-84ad-4b5daa2341a1</errorID>
      <errorWord>的</errorWord>
      <group>L1_Word</group>
      <groupName>字词问题</groupName>
      <ability>L2_Typo</ability>
      <abilityName>字词错误</abilityName>
      <candidateList>
        <item>的规</item>
      </candidateList>
      <explain/>
      <paraID>641CA8B1</paraID>
      <start>35</start>
      <end>36</end>
      <status>unmodified</status>
      <modifiedWord/>
      <trackRevisions>false</trackRevisions>
    </reviewItem>
    <reviewItem>
      <errorID>f063176c-dcc5-4837-9ddd-92914cb7a8c4</errorID>
      <errorWord>(</errorWord>
      <group>L1_Format</group>
      <groupName>格式问题</groupName>
      <ability>L2_HalfPunc</ability>
      <abilityName>全半角检查</abilityName>
      <candidateList>
        <item>（</item>
      </candidateList>
      <explain>文本全半角错误。</explain>
      <paraID>641CA8B1</paraID>
      <start>73</start>
      <end>74</end>
      <status>unmodified</status>
      <modifiedWord/>
      <trackRevisions>false</trackRevisions>
    </reviewItem>
    <reviewItem>
      <errorID>23372a7e-94b4-40dd-b71a-b49aeb8af0d9</errorID>
      <errorWord>)</errorWord>
      <group>L1_Format</group>
      <groupName>格式问题</groupName>
      <ability>L2_HalfPunc</ability>
      <abilityName>全半角检查</abilityName>
      <candidateList>
        <item>）</item>
      </candidateList>
      <explain>文本全半角错误。</explain>
      <paraID>641CA8B1</paraID>
      <start>75</start>
      <end>76</end>
      <status>unmodified</status>
      <modifiedWord/>
      <trackRevisions>false</trackRevisions>
    </reviewItem>
    <reviewItem>
      <errorID>6901eddd-e3ea-4289-97f6-313bcd5a15d5</errorID>
      <errorWord>按</errorWord>
      <group>L1_Word</group>
      <groupName>字词问题</groupName>
      <ability>L2_Typo</ability>
      <abilityName>字词错误</abilityName>
      <candidateList>
        <item>按要</item>
      </candidateList>
      <explain/>
      <paraID>641CA8B1</paraID>
      <start>103</start>
      <end>105</end>
      <status>modified</status>
      <modifiedWord>按要</modifiedWord>
      <trackRevisions>false</trackRevisions>
    </reviewItem>
    <reviewItem>
      <errorID>b33f8013-232a-442f-a2af-4311200d64c7</errorID>
      <errorWord>(</errorWord>
      <group>L1_Format</group>
      <groupName>格式问题</groupName>
      <ability>L2_HalfPunc</ability>
      <abilityName>全半角检查</abilityName>
      <candidateList>
        <item>（</item>
      </candidateList>
      <explain>文本全半角错误。</explain>
      <paraID>641CA8B1</paraID>
      <start>108</start>
      <end>109</end>
      <status>unmodified</status>
      <modifiedWord/>
      <trackRevisions>false</trackRevisions>
    </reviewItem>
    <reviewItem>
      <errorID>a7a5b41e-3bd8-4e8c-a453-afefb8cb4480</errorID>
      <errorWord>)</errorWord>
      <group>L1_Format</group>
      <groupName>格式问题</groupName>
      <ability>L2_HalfPunc</ability>
      <abilityName>全半角检查</abilityName>
      <candidateList>
        <item>）</item>
      </candidateList>
      <explain>文本全半角错误。</explain>
      <paraID>641CA8B1</paraID>
      <start>114</start>
      <end>115</end>
      <status>unmodified</status>
      <modifiedWord/>
      <trackRevisions>false</trackRevisions>
    </reviewItem>
    <reviewItem>
      <errorID>f2d7bcc9-d7b1-49fd-a326-6929138a6fbc</errorID>
      <errorWord>(</errorWord>
      <group>L1_Format</group>
      <groupName>格式问题</groupName>
      <ability>L2_HalfPunc</ability>
      <abilityName>全半角检查</abilityName>
      <candidateList>
        <item>（</item>
      </candidateList>
      <explain>文本全半角错误。</explain>
      <paraID>641CA8B1</paraID>
      <start>124</start>
      <end>125</end>
      <status>unmodified</status>
      <modifiedWord/>
      <trackRevisions>false</trackRevisions>
    </reviewItem>
    <reviewItem>
      <errorID>46ebd59c-47b2-47a8-a9a8-9bfb1e766fa9</errorID>
      <errorWord>)</errorWord>
      <group>L1_Format</group>
      <groupName>格式问题</groupName>
      <ability>L2_HalfPunc</ability>
      <abilityName>全半角检查</abilityName>
      <candidateList>
        <item>）</item>
      </candidateList>
      <explain>文本全半角错误。</explain>
      <paraID>641CA8B1</paraID>
      <start>126</start>
      <end>127</end>
      <status>unmodified</status>
      <modifiedWord/>
      <trackRevisions>false</trackRevisions>
    </reviewItem>
    <reviewItem>
      <errorID>b0dd54a2-c495-478b-922d-fc6a7e3f0066</errorID>
      <errorWord>合价</errorWord>
      <group>L1_Word</group>
      <groupName>字词问题</groupName>
      <ability>L2_Typo</ability>
      <abilityName>字词错误</abilityName>
      <candidateList>
        <item>合计</item>
      </candidateList>
      <explain/>
      <paraID>16527863</paraID>
      <start>44</start>
      <end>46</end>
      <status>modified</status>
      <modifiedWord>合计</modifiedWord>
      <trackRevisions>false</trackRevisions>
    </reviewItem>
    <reviewItem>
      <errorID>1ad263a0-da69-427a-92cf-d3b7ee4ead35</errorID>
      <errorWord>&lt;</errorWord>
      <group>L1_Format</group>
      <groupName>格式问题</groupName>
      <ability>L2_HalfPunc</ability>
      <abilityName>全半角检查</abilityName>
      <candidateList>
        <item>〈</item>
      </candidateList>
      <explain>文本全半角错误。</explain>
      <paraID>3FC075FE</paraID>
      <start>67</start>
      <end>68</end>
      <status>unmodified</status>
      <modifiedWord/>
      <trackRevisions>false</trackRevisions>
    </reviewItem>
    <reviewItem>
      <errorID>04340a6e-66e2-4176-88eb-0b82cd32f99d</errorID>
      <errorWord>&gt;</errorWord>
      <group>L1_Format</group>
      <groupName>格式问题</groupName>
      <ability>L2_HalfPunc</ability>
      <abilityName>全半角检查</abilityName>
      <candidateList>
        <item>〉</item>
      </candidateList>
      <explain>文本全半角错误。</explain>
      <paraID>3FC075FE</paraID>
      <start>77</start>
      <end>78</end>
      <status>unmodified</status>
      <modifiedWord/>
      <trackRevisions>false</trackRevisions>
    </reviewItem>
    <reviewItem>
      <errorID>1516af48-fb48-4d0d-9ff0-280019ea0cfc</errorID>
      <errorWord>法律、法规</errorWord>
      <group>L1_Word</group>
      <groupName>字词问题</groupName>
      <ability>L2_Typo</ability>
      <abilityName>字词错误</abilityName>
      <candidateList>
        <item>法律法规</item>
      </candidateList>
      <explain/>
      <paraID>3C418608</paraID>
      <start>3</start>
      <end>8</end>
      <status>unmodified</status>
      <modifiedWord/>
      <trackRevisions>false</trackRevisions>
    </reviewItem>
    <reviewItem>
      <errorID>f4e4adc7-25eb-4a27-a104-e146978340b5</errorID>
      <errorWord>-</errorWord>
      <group>L1_Format</group>
      <groupName>格式问题</groupName>
      <ability>L2_HalfPunc</ability>
      <abilityName>全半角检查</abilityName>
      <candidateList>
        <item>－</item>
      </candidateList>
      <explain>文本全半角错误。</explain>
      <paraID>1B919723</paraID>
      <start>151</start>
      <end>152</end>
      <status>unmodified</status>
      <modifiedWord/>
      <trackRevisions>false</trackRevisions>
    </reviewItem>
    <reviewItem>
      <errorID>b35ef103-9a0d-4820-b967-093105f4092b</errorID>
      <errorWord>(</errorWord>
      <group>L1_Format</group>
      <groupName>格式问题</groupName>
      <ability>L2_HalfPunc</ability>
      <abilityName>全半角检查</abilityName>
      <candidateList>
        <item>（</item>
      </candidateList>
      <explain>文本全半角错误。</explain>
      <paraID>1833FEE5</paraID>
      <start>68</start>
      <end>69</end>
      <status>unmodified</status>
      <modifiedWord/>
      <trackRevisions>false</trackRevisions>
    </reviewItem>
    <reviewItem>
      <errorID>d6b950eb-026b-47d1-9e13-aeb1ebe7be40</errorID>
      <errorWord>)</errorWord>
      <group>L1_Format</group>
      <groupName>格式问题</groupName>
      <ability>L2_HalfPunc</ability>
      <abilityName>全半角检查</abilityName>
      <candidateList>
        <item>）</item>
      </candidateList>
      <explain>文本全半角错误。</explain>
      <paraID>1833FEE5</paraID>
      <start>90</start>
      <end>91</end>
      <status>unmodified</status>
      <modifiedWord/>
      <trackRevisions>false</trackRevisions>
    </reviewItem>
    <reviewItem>
      <errorID>d78046a9-1ec6-4e3a-9048-436657313e12</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42265933</paraID>
      <start>0</start>
      <end>3</end>
      <status>unmodified</status>
      <modifiedWord/>
      <trackRevisions>false</trackRevisions>
    </reviewItem>
    <reviewItem>
      <errorID>4fe8f0d1-e774-4ec5-a1c2-fda7bc02e337</errorID>
      <errorWord>证</errorWord>
      <group>L1_Word</group>
      <groupName>字词问题</groupName>
      <ability>L2_Typo</ability>
      <abilityName>字词错误</abilityName>
      <candidateList>
        <item>证金</item>
      </candidateList>
      <explain/>
      <paraID>3A0B0A36</paraID>
      <start>31</start>
      <end>32</end>
      <status>unmodified</status>
      <modifiedWord/>
      <trackRevisions>false</trackRevisions>
    </reviewItem>
    <reviewItem>
      <errorID>4a710473-f45e-4627-ba3c-c537e796b2d8</errorID>
      <errorWord>登陆</errorWord>
      <group>L1_Word</group>
      <groupName>字词问题</groupName>
      <ability>L2_Typo</ability>
      <abilityName>字词错误</abilityName>
      <candidateList>
        <item>登录</item>
      </candidateList>
      <explain>存在发音相同字词的误用。</explain>
      <paraID>3A0B0A36</paraID>
      <start>58</start>
      <end>60</end>
      <status>modified</status>
      <modifiedWord>登录</modifiedWord>
      <trackRevisions>false</trackRevisions>
    </reviewItem>
    <reviewItem>
      <errorID>c4c2c4c1-a408-4858-9915-49da538cabe8</errorID>
      <errorWord>证</errorWord>
      <group>L1_Word</group>
      <groupName>字词问题</groupName>
      <ability>L2_Typo</ability>
      <abilityName>字词错误</abilityName>
      <candidateList>
        <item>证金</item>
      </candidateList>
      <explain/>
      <paraID>6F55AECE</paraID>
      <start>93</start>
      <end>94</end>
      <status>unmodified</status>
      <modifiedWord/>
      <trackRevisions>false</trackRevisions>
    </reviewItem>
    <reviewItem>
      <errorID>bdedfcbc-6d6d-4689-87eb-68092fb87a72</errorID>
      <errorWord>截至</errorWord>
      <group>L1_Word</group>
      <groupName>字词问题</groupName>
      <ability>L2_Typo</ability>
      <abilityName>字词错误</abilityName>
      <candidateList>
        <item>截止</item>
      </candidateList>
      <explain>〈动〉（到一定期限）停止：报名在昨天已经～。</explain>
      <paraID>28B4A72E</paraID>
      <start>90</start>
      <end>92</end>
      <status>modified</status>
      <modifiedWord>截止</modifiedWord>
      <trackRevisions>false</trackRevisions>
    </reviewItem>
    <reviewItem>
      <errorID>ccb121e5-0345-4522-87e2-bcbb0ae38a3b</errorID>
      <errorWord>证</errorWord>
      <group>L1_Word</group>
      <groupName>字词问题</groupName>
      <ability>L2_Typo</ability>
      <abilityName>字词错误</abilityName>
      <candidateList>
        <item>证金</item>
      </candidateList>
      <explain/>
      <paraID>25ACB460</paraID>
      <start>91</start>
      <end>92</end>
      <status>unmodified</status>
      <modifiedWord/>
      <trackRevisions>false</trackRevisions>
    </reviewItem>
    <reviewItem>
      <errorID>9fc23b71-d983-4987-b975-fbec5b53ac08</errorID>
      <errorWord>证</errorWord>
      <group>L1_Word</group>
      <groupName>字词问题</groupName>
      <ability>L2_Typo</ability>
      <abilityName>字词错误</abilityName>
      <candidateList>
        <item>证金</item>
      </candidateList>
      <explain/>
      <paraID>621FF29A</paraID>
      <start>51</start>
      <end>52</end>
      <status>unmodified</status>
      <modifiedWord/>
      <trackRevisions>false</trackRevisions>
    </reviewItem>
    <reviewItem>
      <errorID>3bb3ba39-07e9-4247-9d6c-7aaac006ac66</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1398D94A</paraID>
      <start>70</start>
      <end>71</end>
      <status>modified</status>
      <modifiedWord>并</modifiedWord>
      <trackRevisions>false</trackRevisions>
    </reviewItem>
    <reviewItem>
      <errorID>f05d487b-d91b-496d-949f-50731f0a04b6</errorID>
      <errorWord>24．</errorWord>
      <group>L1_Format</group>
      <groupName>格式问题</groupName>
      <ability>L2_Ordinal</ability>
      <abilityName>序号格式</abilityName>
      <candidateList>
        <item>24.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67AEB31A</paraID>
      <start>0</start>
      <end>3</end>
      <status>unmodified</status>
      <modifiedWord/>
      <trackRevisions>false</trackRevisions>
    </reviewItem>
    <reviewItem>
      <errorID>14938840-4f2a-403d-9af3-c050b377f4a7</errorID>
      <errorWord>26．</errorWord>
      <group>L1_Format</group>
      <groupName>格式问题</groupName>
      <ability>L2_Ordinal</ability>
      <abilityName>序号格式</abilityName>
      <candidateList>
        <item>26.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67D5E73E</paraID>
      <start>0</start>
      <end>3</end>
      <status>unmodified</status>
      <modifiedWord/>
      <trackRevisions>false</trackRevisions>
    </reviewItem>
    <reviewItem>
      <errorID>5e8bbbc9-d359-4e0b-b0f1-ea83691faa10</errorID>
      <errorWord>,</errorWord>
      <group>L1_Format</group>
      <groupName>格式问题</groupName>
      <ability>L2_HalfPunc</ability>
      <abilityName>全半角检查</abilityName>
      <candidateList>
        <item>，</item>
      </candidateList>
      <explain>文本全半角错误。</explain>
      <paraID>22E95F6E</paraID>
      <start>24</start>
      <end>25</end>
      <status>unmodified</status>
      <modifiedWord/>
      <trackRevisions>false</trackRevisions>
    </reviewItem>
    <reviewItem>
      <errorID>d09987af-7b7d-43a3-98aa-602dd10b349b</errorID>
      <errorWord>-</errorWord>
      <group>L1_Format</group>
      <groupName>格式问题</groupName>
      <ability>L2_HalfPunc</ability>
      <abilityName>全半角检查</abilityName>
      <candidateList>
        <item>－</item>
      </candidateList>
      <explain>文本全半角错误。</explain>
      <paraID>33C77EC8</paraID>
      <start>99</start>
      <end>100</end>
      <status>unmodified</status>
      <modifiedWord/>
      <trackRevisions>false</trackRevisions>
    </reviewItem>
    <reviewItem>
      <errorID>590dde91-2101-4931-be55-d91467894cb1</errorID>
      <errorWord>-</errorWord>
      <group>L1_Format</group>
      <groupName>格式问题</groupName>
      <ability>L2_HalfPunc</ability>
      <abilityName>全半角检查</abilityName>
      <candidateList>
        <item>－</item>
      </candidateList>
      <explain>文本全半角错误。</explain>
      <paraID>33C77EC8</paraID>
      <start>105</start>
      <end>106</end>
      <status>unmodified</status>
      <modifiedWord/>
      <trackRevisions>false</trackRevisions>
    </reviewItem>
    <reviewItem>
      <errorID>b0532fcc-f44b-4f80-9685-a23934120bcf</errorID>
      <errorWord>(</errorWord>
      <group>L1_Format</group>
      <groupName>格式问题</groupName>
      <ability>L2_HalfPunc</ability>
      <abilityName>全半角检查</abilityName>
      <candidateList>
        <item>（</item>
      </candidateList>
      <explain>文本全半角错误。</explain>
      <paraID>33C77EC8</paraID>
      <start>110</start>
      <end>111</end>
      <status>unmodified</status>
      <modifiedWord/>
      <trackRevisions>false</trackRevisions>
    </reviewItem>
    <reviewItem>
      <errorID>f74e3df6-05eb-4c2b-af79-01113f8a55da</errorID>
      <errorWord>到</errorWord>
      <group>L1_Word</group>
      <groupName>字词问题</groupName>
      <ability>L2_Typo</ability>
      <abilityName>字词错误</abilityName>
      <candidateList>
        <item>至</item>
      </candidateList>
      <explain>存在字形相近字词的误用。</explain>
      <paraID>2FE137A8</paraID>
      <start>45</start>
      <end>46</end>
      <status>modified</status>
      <modifiedWord>至</modifiedWord>
      <trackRevisions>false</trackRevisions>
    </reviewItem>
    <reviewItem>
      <errorID>b7fc337b-bdc0-44be-9158-8a2dc908ec07</errorID>
      <errorWord>35．</errorWord>
      <group>L1_Format</group>
      <groupName>格式问题</groupName>
      <ability>L2_Ordinal</ability>
      <abilityName>序号格式</abilityName>
      <candidateList>
        <item>35.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69FE146D</paraID>
      <start>0</start>
      <end>3</end>
      <status>unmodified</status>
      <modifiedWord/>
      <trackRevisions>false</trackRevisions>
    </reviewItem>
    <reviewItem>
      <errorID>ec63d7af-04df-4a24-84d3-f70650d1239f</errorID>
      <errorWord>,</errorWord>
      <group>L1_Format</group>
      <groupName>格式问题</groupName>
      <ability>L2_HalfPunc</ability>
      <abilityName>全半角检查</abilityName>
      <candidateList>
        <item>，</item>
      </candidateList>
      <explain>文本全半角错误。</explain>
      <paraID>5159F32D</paraID>
      <start>24</start>
      <end>25</end>
      <status>unmodified</status>
      <modifiedWord/>
      <trackRevisions>false</trackRevisions>
    </reviewItem>
    <reviewItem>
      <errorID>66de457c-297a-41b7-9cb8-5dc275f19140</errorID>
      <errorWord>纪检监察等机关</errorWord>
      <group>L1_Political</group>
      <groupName>政治性问题</groupName>
      <ability>L2_Keyword</ability>
      <abilityName>固定表述</abilityName>
      <candidateList>
        <item>纪检监察机关</item>
      </candidateList>
      <explain>词汇“纪检监察机关”在特定场景下为固定表述形式，请确认此处的“纪检监察等机关”是否存在不当。</explain>
      <paraID> 912C035</paraID>
      <start>15</start>
      <end>22</end>
      <status>unmodified</status>
      <modifiedWord/>
      <trackRevisions>false</trackRevisions>
    </reviewItem>
    <reviewItem>
      <errorID>e929772d-ac6f-4380-b182-94855c337550</errorID>
      <errorWord>程</errorWord>
      <group>L1_Word</group>
      <groupName>字词问题</groupName>
      <ability>L2_Typo</ability>
      <abilityName>字词错误</abilityName>
      <candidateList>
        <item>程中</item>
      </candidateList>
      <explain/>
      <paraID>4BA0561D</paraID>
      <start>36</start>
      <end>37</end>
      <status>ignored</status>
      <modifiedWord/>
      <trackRevisions>false</trackRevisions>
    </reviewItem>
    <reviewItem>
      <errorID>b8b37b51-ddf1-4871-8e1e-0fa4706d4a63</errorID>
      <errorWord>证</errorWord>
      <group>L1_Word</group>
      <groupName>字词问题</groupName>
      <ability>L2_Typo</ability>
      <abilityName>字词错误</abilityName>
      <candidateList>
        <item>证金</item>
      </candidateList>
      <explain/>
      <paraID>5FECADA4</paraID>
      <start>30</start>
      <end>31</end>
      <status>unmodified</status>
      <modifiedWord/>
      <trackRevisions>false</trackRevisions>
    </reviewItem>
    <reviewItem>
      <errorID>9a9b0285-4997-464f-b7a6-6761c02b1e8d</errorID>
      <errorWord>,</errorWord>
      <group>L1_Format</group>
      <groupName>格式问题</groupName>
      <ability>L2_HalfPunc</ability>
      <abilityName>全半角检查</abilityName>
      <candidateList>
        <item>，</item>
      </candidateList>
      <explain>文本全半角错误。</explain>
      <paraID> D667AD6</paraID>
      <start>128</start>
      <end>129</end>
      <status>unmodified</status>
      <modifiedWord/>
      <trackRevisions>false</trackRevisions>
    </reviewItem>
    <reviewItem>
      <errorID>2d5021c7-baa2-403b-88de-157e42b9841a</errorID>
      <errorWord>百千万工程</errorWord>
      <group>L1_Political</group>
      <groupName>政治性问题</groupName>
      <ability>L2_Keyword</ability>
      <abilityName>固定表述</abilityName>
      <candidateList>
        <item>“百千万工程”</item>
      </candidateList>
      <explain>注意检查当前固定表述标点是否使用规范。</explain>
      <paraID> 4F2B8C6</paraID>
      <start>73</start>
      <end>78</end>
      <status>unmodified</status>
      <modifiedWord/>
      <trackRevisions>false</trackRevisions>
    </reviewItem>
    <reviewItem>
      <errorID>f50b7e83-d79b-4c3e-98b5-bea77ff10c9f</errorID>
      <errorWord>百千万工程</errorWord>
      <group>L1_Political</group>
      <groupName>政治性问题</groupName>
      <ability>L2_Keyword</ability>
      <abilityName>固定表述</abilityName>
      <candidateList>
        <item>“百千万工程”</item>
      </candidateList>
      <explain>注意检查当前固定表述标点是否使用规范。</explain>
      <paraID>3B67E3D3</paraID>
      <start>10</start>
      <end>15</end>
      <status>unmodified</status>
      <modifiedWord/>
      <trackRevisions>false</trackRevisions>
    </reviewItem>
    <reviewItem>
      <errorID>eaf0078d-e6f1-4a75-97fd-742e3c813610</errorID>
      <errorWord>格式格式</errorWord>
      <group>L1_Word</group>
      <groupName>字词问题</groupName>
      <ability>L2_Typo</ability>
      <abilityName>字词错误</abilityName>
      <candidateList>
        <item>格式</item>
      </candidateList>
      <explain/>
      <paraID>3B67E3D3</paraID>
      <start>56</start>
      <end>58</end>
      <status>modified</status>
      <modifiedWord>格式</modifiedWord>
      <trackRevisions>false</trackRevisions>
    </reviewItem>
    <reviewItem>
      <errorID>a8a570ad-884c-4886-961d-f95c709085c7</errorID>
      <errorWord>地</errorWord>
      <group>L1_Word</group>
      <groupName>字词问题</groupName>
      <ability>L2_DDD</ability>
      <abilityName>的地得用法</abilityName>
      <candidateList>
        <item>的</item>
      </candidateList>
      <explain>“的”常用于连接修饰语与名词性中心语，表示属性、所属或描述。</explain>
      <paraID>44DCEB32</paraID>
      <start>36</start>
      <end>37</end>
      <status>unmodified</status>
      <modifiedWord/>
      <trackRevisions>false</trackRevisions>
    </reviewItem>
    <reviewItem>
      <errorID>aac898c0-c7b3-4b78-9f82-0e3ecd447fd6</errorID>
      <errorWord>地</errorWord>
      <group>L1_Word</group>
      <groupName>字词问题</groupName>
      <ability>L2_DDD</ability>
      <abilityName>的地得用法</abilityName>
      <candidateList>
        <item>的</item>
      </candidateList>
      <explain>“的”常用于连接修饰语与名词性中心语，表示属性、所属或描述。</explain>
      <paraID>7CFDD934</paraID>
      <start>37</start>
      <end>38</end>
      <status>modified</status>
      <modifiedWord>的</modifiedWord>
      <trackRevisions>false</trackRevisions>
    </reviewItem>
    <reviewItem>
      <errorID>3c602e41-dbe9-4878-b564-6dbc705ccad2</errorID>
      <errorWord>法律、法规</errorWord>
      <group>L1_Word</group>
      <groupName>字词问题</groupName>
      <ability>L2_Typo</ability>
      <abilityName>字词错误</abilityName>
      <candidateList>
        <item>法律法规</item>
      </candidateList>
      <explain/>
      <paraID>10FB0658</paraID>
      <start>4</start>
      <end>9</end>
      <status>unmodified</status>
      <modifiedWord/>
      <trackRevisions>false</trackRevisions>
    </reviewItem>
    <reviewItem>
      <errorID>936c1a49-1151-47a4-aa6c-1baeda026c52</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61BED950</paraID>
      <start>0</start>
      <end>2</end>
      <status>unmodified</status>
      <modifiedWord/>
      <trackRevisions>false</trackRevisions>
    </reviewItem>
    <reviewItem>
      <errorID>f8144408-8443-4507-83b2-5f4b5674fd33</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1C6A1A35</paraID>
      <start>0</start>
      <end>2</end>
      <status>unmodified</status>
      <modifiedWord/>
      <trackRevisions>false</trackRevisions>
    </reviewItem>
    <reviewItem>
      <errorID>a750b56c-9408-48aa-8f8f-cef8e05d5bcd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2E9D3F91</paraID>
      <start>0</start>
      <end>2</end>
      <status>unmodified</status>
      <modifiedWord/>
      <trackRevisions>false</trackRevisions>
    </reviewItem>
    <reviewItem>
      <errorID>c650f58e-31a3-4bd7-9de5-0ced303547fb</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695FA17D</paraID>
      <start>0</start>
      <end>2</end>
      <status>unmodified</status>
      <modifiedWord/>
      <trackRevisions>false</trackRevisions>
    </reviewItem>
    <reviewItem>
      <errorID>11a2bae8-f506-405e-8cf0-4b61b68b9c35</errorID>
      <errorWord>,</errorWord>
      <group>L1_Format</group>
      <groupName>格式问题</groupName>
      <ability>L2_HalfPunc</ability>
      <abilityName>全半角检查</abilityName>
      <candidateList>
        <item>，</item>
      </candidateList>
      <explain>文本全半角错误。</explain>
      <paraID>695FA17D</paraID>
      <start>62</start>
      <end>63</end>
      <status>unmodified</status>
      <modifiedWord/>
      <trackRevisions>false</trackRevisions>
    </reviewItem>
    <reviewItem>
      <errorID>c1100328-7eb1-4c11-9109-17a5c7b3f8cb</errorID>
      <errorWord>－（</errorWord>
      <group>L1_Format</group>
      <groupName>格式问题</groupName>
      <ability>L2_HalfPunc</ability>
      <abilityName>全半角检查</abilityName>
      <candidateList>
        <item>-(</item>
      </candidateList>
      <explain>文本全半角错误。</explain>
      <paraID>4D1FE51C</paraID>
      <start>5</start>
      <end>7</end>
      <status>unmodified</status>
      <modifiedWord/>
      <trackRevisions>false</trackRevisions>
    </reviewItem>
    <reviewItem>
      <errorID>c9390f02-0b11-415c-85e9-62b75bd9385f</errorID>
      <errorWord>－</errorWord>
      <group>L1_Format</group>
      <groupName>格式问题</groupName>
      <ability>L2_HalfPunc</ability>
      <abilityName>全半角检查</abilityName>
      <candidateList>
        <item>-</item>
      </candidateList>
      <explain>文本全半角错误。</explain>
      <paraID>4D1FE51C</paraID>
      <start>11</start>
      <end>12</end>
      <status>unmodified</status>
      <modifiedWord/>
      <trackRevisions>false</trackRevisions>
    </reviewItem>
    <reviewItem>
      <errorID>8301a157-49ae-48b1-8111-17516975ce95</errorID>
      <errorWord>）</errorWord>
      <group>L1_Format</group>
      <groupName>格式问题</groupName>
      <ability>L2_HalfPunc</ability>
      <abilityName>全半角检查</abilityName>
      <candidateList>
        <item>)</item>
      </candidateList>
      <explain>文本全半角错误。</explain>
      <paraID>4D1FE51C</paraID>
      <start>18</start>
      <end>19</end>
      <status>unmodified</status>
      <modifiedWord/>
      <trackRevisions>false</trackRevisions>
    </reviewItem>
    <reviewItem>
      <errorID>064de9cb-93a8-4233-bbf4-234085c36032</errorID>
      <errorWord>的的</errorWord>
      <group>L1_Word</group>
      <groupName>字词问题</groupName>
      <ability>L2_Typo</ability>
      <abilityName>字词错误</abilityName>
      <candidateList>
        <item>的</item>
      </candidateList>
      <explain>“的”常用于连接修饰语与名词性中心语，表示属性、所属或描述。</explain>
      <paraID>2A53C32D</paraID>
      <start>74</start>
      <end>75</end>
      <status>modified</status>
      <modifiedWord>的</modifiedWord>
      <trackRevisions>false</trackRevisions>
    </reviewItem>
    <reviewItem>
      <errorID>f32328f9-5429-4bbd-83d4-a01c9bd00490</errorID>
      <errorWord>2020年01月01日</errorWord>
      <group>L1_Knowledge</group>
      <groupName>知识性问题</groupName>
      <ability>L2_Time</ability>
      <abilityName>日期时间</abilityName>
      <candidateList>
        <item>2020年1月1日</item>
      </candidateList>
      <explain>根据日常书写习惯，月份和日期一般会省略前导零。</explain>
      <paraID>53CE7DA3</paraID>
      <start>7</start>
      <end>18</end>
      <status>unmodified</status>
      <modifiedWord/>
      <trackRevisions>false</trackRevisions>
    </reviewItem>
    <reviewItem>
      <errorID>28db4bd1-4030-468b-a156-877c452ddba2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6D0231FC</paraID>
      <start>0</start>
      <end>2</end>
      <status>unmodified</status>
      <modifiedWord/>
      <trackRevisions>false</trackRevisions>
    </reviewItem>
    <reviewItem>
      <errorID>8c13dfa7-9f1a-41ab-8807-8c5c0fe5bc90</errorID>
      <errorWord>2020年01月01日</errorWord>
      <group>L1_Knowledge</group>
      <groupName>知识性问题</groupName>
      <ability>L2_Time</ability>
      <abilityName>日期时间</abilityName>
      <candidateList>
        <item>2020年1月1日</item>
      </candidateList>
      <explain>根据日常书写习惯，月份和日期一般会省略前导零。</explain>
      <paraID>1AFDFC6B</paraID>
      <start>4</start>
      <end>15</end>
      <status>unmodified</status>
      <modifiedWord/>
      <trackRevisions>false</trackRevisions>
    </reviewItem>
    <reviewItem>
      <errorID>d4e272f9-a739-446c-9147-27633e054428</errorID>
      <errorWord>2020年01月01日</errorWord>
      <group>L1_Knowledge</group>
      <groupName>知识性问题</groupName>
      <ability>L2_Time</ability>
      <abilityName>日期时间</abilityName>
      <candidateList>
        <item>2020年1月1日</item>
      </candidateList>
      <explain>根据日常书写习惯，月份和日期一般会省略前导零。</explain>
      <paraID>51D6C023</paraID>
      <start>7</start>
      <end>18</end>
      <status>unmodified</status>
      <modifiedWord/>
      <trackRevisions>false</trackRevisions>
    </reviewItem>
    <reviewItem>
      <errorID>b9563de3-4a2e-4bbd-b68a-08359a6f7c88</errorID>
      <errorWord>国</errorWord>
      <group>L1_Word</group>
      <groupName>字词问题</groupName>
      <ability>L2_Typo</ability>
      <abilityName>字词错误</abilityName>
      <candidateList>
        <item>国家</item>
      </candidateList>
      <explain/>
      <paraID>58393E4C</paraID>
      <start>9</start>
      <end>10</end>
      <status>unmodified</status>
      <modifiedWord/>
      <trackRevisions>false</trackRevisions>
    </reviewItem>
    <reviewItem>
      <errorID>5938ed0e-7bc8-4ea3-bf91-0ccc1a6c1c12</errorID>
      <errorWord>(</errorWord>
      <group>L1_Format</group>
      <groupName>格式问题</groupName>
      <ability>L2_HalfPunc</ability>
      <abilityName>全半角检查</abilityName>
      <candidateList>
        <item>（</item>
      </candidateList>
      <explain>文本全半角错误。</explain>
      <paraID>58393E4C</paraID>
      <start>22</start>
      <end>23</end>
      <status>unmodified</status>
      <modifiedWord/>
      <trackRevisions>false</trackRevisions>
    </reviewItem>
    <reviewItem>
      <errorID>ef92bcf5-4c23-431e-830e-84a7875e32ed</errorID>
      <errorWord>)</errorWord>
      <group>L1_Format</group>
      <groupName>格式问题</groupName>
      <ability>L2_HalfPunc</ability>
      <abilityName>全半角检查</abilityName>
      <candidateList>
        <item>）</item>
      </candidateList>
      <explain>文本全半角错误。</explain>
      <paraID>58393E4C</paraID>
      <start>30</start>
      <end>31</end>
      <status>unmodified</status>
      <modifiedWord/>
      <trackRevisions>false</trackRevisions>
    </reviewItem>
    <reviewItem>
      <errorID>d43302f3-5519-4501-8f75-a6b2cc16d12e</errorID>
      <errorWord>注</errorWord>
      <group>L1_Knowledge</group>
      <groupName>知识性问题</groupName>
      <ability>L2_Knowledge</ability>
      <abilityName>其他知识</abilityName>
      <candidateList>
        <item>项</item>
      </candidateList>
      <explain>请检查“注”是否为量词使用错误，建议修改为“项”。</explain>
      <paraID>15CCA8D3</paraID>
      <start>27</start>
      <end>28</end>
      <status>unmodified</status>
      <modifiedWord/>
      <trackRevisions>false</trackRevisions>
    </reviewItem>
    <reviewItem>
      <errorID>12b62dae-48ee-47c8-a8e8-db5a8113450c</errorID>
      <errorWord>)</errorWord>
      <group>L1_Format</group>
      <groupName>格式问题</groupName>
      <ability>L2_HalfPunc</ability>
      <abilityName>全半角检查</abilityName>
      <candidateList>
        <item>）</item>
      </candidateList>
      <explain>文本全半角错误。</explain>
      <paraID>475C281E</paraID>
      <start>47</start>
      <end>48</end>
      <status>unmodified</status>
      <modifiedWord/>
      <trackRevisions>false</trackRevisions>
    </reviewItem>
    <reviewItem>
      <errorID>26887272-1788-4d39-b8c1-f464f959786e</errorID>
      <errorWord>,</errorWord>
      <group>L1_Format</group>
      <groupName>格式问题</groupName>
      <ability>L2_HalfPunc</ability>
      <abilityName>全半角检查</abilityName>
      <candidateList>
        <item>，</item>
      </candidateList>
      <explain>文本全半角错误。</explain>
      <paraID>1684C90E</paraID>
      <start>16</start>
      <end>17</end>
      <status>unmodified</status>
      <modifiedWord/>
      <trackRevisions>false</trackRevisions>
    </reviewItem>
    <reviewItem>
      <errorID>612151e2-31c6-49ee-87a0-84b73d0a0f07</errorID>
      <errorWord>－（</errorWord>
      <group>L1_Format</group>
      <groupName>格式问题</groupName>
      <ability>L2_HalfPunc</ability>
      <abilityName>全半角检查</abilityName>
      <candidateList>
        <item>-(</item>
      </candidateList>
      <explain>文本全半角错误。</explain>
      <paraID>71C92F26</paraID>
      <start>5</start>
      <end>7</end>
      <status>unmodified</status>
      <modifiedWord/>
      <trackRevisions>false</trackRevisions>
    </reviewItem>
    <reviewItem>
      <errorID>fe5f5227-0df0-401f-be1d-3603c1924295</errorID>
      <errorWord>－</errorWord>
      <group>L1_Format</group>
      <groupName>格式问题</groupName>
      <ability>L2_HalfPunc</ability>
      <abilityName>全半角检查</abilityName>
      <candidateList>
        <item>-</item>
      </candidateList>
      <explain>文本全半角错误。</explain>
      <paraID>71C92F26</paraID>
      <start>10</start>
      <end>11</end>
      <status>unmodified</status>
      <modifiedWord/>
      <trackRevisions>false</trackRevisions>
    </reviewItem>
    <reviewItem>
      <errorID>ee1a4c8a-2dee-4024-997c-f40ef40369a5</errorID>
      <errorWord>）</errorWord>
      <group>L1_Format</group>
      <groupName>格式问题</groupName>
      <ability>L2_HalfPunc</ability>
      <abilityName>全半角检查</abilityName>
      <candidateList>
        <item>)</item>
      </candidateList>
      <explain>文本全半角错误。</explain>
      <paraID>71C92F26</paraID>
      <start>15</start>
      <end>16</end>
      <status>unmodified</status>
      <modifiedWord/>
      <trackRevisions>false</trackRevisions>
    </reviewItem>
    <reviewItem>
      <errorID>0a134ede-5e82-4908-8076-39d4c446308b</errorID>
      <errorWord>,</errorWord>
      <group>L1_Format</group>
      <groupName>格式问题</groupName>
      <ability>L2_HalfPunc</ability>
      <abilityName>全半角检查</abilityName>
      <candidateList>
        <item>，</item>
      </candidateList>
      <explain>文本全半角错误。</explain>
      <paraID>4D823C4B</paraID>
      <start>174</start>
      <end>175</end>
      <status>unmodified</status>
      <modifiedWord/>
      <trackRevisions>false</trackRevisions>
    </reviewItem>
    <reviewItem>
      <errorID>7c50bb00-c2e5-4302-aa37-47feeb14254d</errorID>
      <errorWord>收</errorWord>
      <group>L1_Word</group>
      <groupName>字词问题</groupName>
      <ability>L2_Typo</ability>
      <abilityName>字词错误</abilityName>
      <candidateList>
        <item>收到</item>
      </candidateList>
      <explain/>
      <paraID>165314F3</paraID>
      <start>11</start>
      <end>12</end>
      <status>unmodified</status>
      <modifiedWord/>
      <trackRevisions>false</trackRevisions>
    </reviewItem>
    <reviewItem>
      <errorID>ddf4a77e-8858-4e8b-9a6e-c82e5da10282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3AB5B4D8</paraID>
      <start>0</start>
      <end>2</end>
      <status>unmodified</status>
      <modifiedWord/>
      <trackRevisions>false</trackRevisions>
    </reviewItem>
    <reviewItem>
      <errorID>63e4c9e1-42a0-43a5-9661-1504ffff4c8c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56669D73</paraID>
      <start>0</start>
      <end>2</end>
      <status>unmodified</status>
      <modifiedWord/>
      <trackRevisions>false</trackRevisions>
    </reviewItem>
    <reviewItem>
      <errorID>f2165bd2-1a84-4fc3-b786-9faa28be5cda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5129B660</paraID>
      <start>0</start>
      <end>2</end>
      <status>unmodified</status>
      <modifiedWord/>
      <trackRevisions>false</trackRevisions>
    </reviewItem>
    <reviewItem>
      <errorID>beeb2f34-fed4-4097-a364-13582e730150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576061E8</paraID>
      <start>0</start>
      <end>2</end>
      <status>unmodified</status>
      <modifiedWord/>
      <trackRevisions>false</trackRevisions>
    </reviewItem>
    <reviewItem>
      <errorID>53f1614d-33bb-4d46-9f79-50c50770ee3f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1015F45</paraID>
      <start>0</start>
      <end>2</end>
      <status>unmodified</status>
      <modifiedWord/>
      <trackRevisions>false</trackRevisions>
    </reviewItem>
    <reviewItem>
      <errorID>15f8bac3-9be7-4e66-b039-b602bb391d0b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54F408E6</paraID>
      <start>0</start>
      <end>2</end>
      <status>unmodified</status>
      <modifiedWord/>
      <trackRevisions>false</trackRevisions>
    </reviewItem>
    <reviewItem>
      <errorID>b49902e5-811a-485c-aa7c-05fb87c53933</errorID>
      <errorWord>单位的</errorWord>
      <group>L1_Word</group>
      <groupName>字词问题</groupName>
      <ability>L2_Typo</ability>
      <abilityName>字词错误</abilityName>
      <candidateList>
        <item>单位</item>
      </candidateList>
      <explain>〈名〉❶计量事物的标准量的名称。如米为计量长度的单位，千克为计量质量的单位，升为计量容积的单位等。❷指机关、团体或属于一个机关、团体等的各个部门：直属～｜下属～｜事业～｜参加竞赛的有很多～。</explain>
      <paraID>3319B5E7</paraID>
      <start>63</start>
      <end>66</end>
      <status>unmodified</status>
      <modifiedWord/>
      <trackRevisions>false</trackRevisions>
    </reviewItem>
    <reviewItem>
      <errorID>ce4b306f-8564-4388-8140-32c3da86c849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712062EB</paraID>
      <start>4</start>
      <end>6</end>
      <status>unmodified</status>
      <modifiedWord/>
      <trackRevisions>false</trackRevisions>
    </reviewItem>
    <reviewItem>
      <errorID>8aaf4928-2862-4829-851c-441aaec57613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A378CA2</paraID>
      <start>4</start>
      <end>6</end>
      <status>unmodified</status>
      <modifiedWord/>
      <trackRevisions>false</trackRevisions>
    </reviewItem>
    <reviewItem>
      <errorID>8be52c2d-4b2b-4e43-af24-c4e95f35432b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492D6AC8</paraID>
      <start>4</start>
      <end>6</end>
      <status>unmodified</status>
      <modifiedWord/>
      <trackRevisions>false</trackRevisions>
    </reviewItem>
    <reviewItem>
      <errorID>229037e2-a8a0-4ad9-8ce9-5a901df45561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CD05AB4</paraID>
      <start>0</start>
      <end>2</end>
      <status>unmodified</status>
      <modifiedWord/>
      <trackRevisions>false</trackRevisions>
    </reviewItem>
    <reviewItem>
      <errorID>ca2d6a1f-8f22-4f58-bf26-fd3d0e4522b5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57890759</paraID>
      <start>0</start>
      <end>2</end>
      <status>unmodified</status>
      <modifiedWord/>
      <trackRevisions>false</trackRevisions>
    </reviewItem>
    <reviewItem>
      <errorID>0653f76a-3e26-471c-b1b9-561435cc83eb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8538B93</paraID>
      <start>4</start>
      <end>6</end>
      <status>unmodified</status>
      <modifiedWord/>
      <trackRevisions>false</trackRevisions>
    </reviewItem>
    <reviewItem>
      <errorID>839c42cf-f7df-4d4b-9e4b-d57cc15ee328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6B77C09</paraID>
      <start>4</start>
      <end>6</end>
      <status>unmodified</status>
      <modifiedWord/>
      <trackRevisions>false</trackRevisions>
    </reviewItem>
    <reviewItem>
      <errorID>88d1c9d9-ab4e-4459-9c69-16cff328a191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41F80FD8</paraID>
      <start>0</start>
      <end>2</end>
      <status>unmodified</status>
      <modifiedWord/>
      <trackRevisions>false</trackRevisions>
    </reviewItem>
    <reviewItem>
      <errorID>458f08f8-c70e-40dc-b32b-e336452184c2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6F7387BE</paraID>
      <start>0</start>
      <end>2</end>
      <status>unmodified</status>
      <modifiedWord/>
      <trackRevisions>false</trackRevisions>
    </reviewItem>
    <reviewItem>
      <errorID>00772e5b-5892-45be-8770-5ae78af961b5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582AFAD6</paraID>
      <start>4</start>
      <end>6</end>
      <status>unmodified</status>
      <modifiedWord/>
      <trackRevisions>false</trackRevisions>
    </reviewItem>
    <reviewItem>
      <errorID>cfbf63e5-42f4-423d-875a-75d594291f6f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70864089</paraID>
      <start>4</start>
      <end>6</end>
      <status>unmodified</status>
      <modifiedWord/>
      <trackRevisions>false</trackRevisions>
    </reviewItem>
    <reviewItem>
      <errorID>162c7265-6914-43b6-8cbb-746041460691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1E841860</paraID>
      <start>0</start>
      <end>2</end>
      <status>unmodified</status>
      <modifiedWord/>
      <trackRevisions>false</trackRevisions>
    </reviewItem>
    <reviewItem>
      <errorID>7cf82b3a-957a-49a9-b0b5-952077e828ca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196BA109</paraID>
      <start>0</start>
      <end>2</end>
      <status>unmodified</status>
      <modifiedWord/>
      <trackRevisions>false</trackRevisions>
    </reviewItem>
    <reviewItem>
      <errorID>00bd7636-86c3-407f-9f5b-39c175865e5c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615034CA</paraID>
      <start>0</start>
      <end>2</end>
      <status>unmodified</status>
      <modifiedWord/>
      <trackRevisions>false</trackRevisions>
    </reviewItem>
    <reviewItem>
      <errorID>47f35ab6-9e7e-4f26-8b32-37f4b0b2808a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601B3845</paraID>
      <start>4</start>
      <end>6</end>
      <status>unmodified</status>
      <modifiedWord/>
      <trackRevisions>false</trackRevisions>
    </reviewItem>
    <reviewItem>
      <errorID>bc7563bb-6114-4d56-aef0-ba2114465895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2DF39182</paraID>
      <start>4</start>
      <end>6</end>
      <status>unmodified</status>
      <modifiedWord/>
      <trackRevisions>false</trackRevisions>
    </reviewItem>
    <reviewItem>
      <errorID>1dcd9723-2106-4893-a537-1450abd06f2b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57E9F50C</paraID>
      <start>0</start>
      <end>2</end>
      <status>unmodified</status>
      <modifiedWord/>
      <trackRevisions>false</trackRevisions>
    </reviewItem>
    <reviewItem>
      <errorID>c2566384-6c23-45f6-a15a-4e4c1a795a47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11E704A7</paraID>
      <start>4</start>
      <end>6</end>
      <status>unmodified</status>
      <modifiedWord/>
      <trackRevisions>false</trackRevisions>
    </reviewItem>
    <reviewItem>
      <errorID>4e3d41ec-5356-4ebc-8ad6-6d2cd10aff06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669F3AAF</paraID>
      <start>0</start>
      <end>2</end>
      <status>unmodified</status>
      <modifiedWord/>
      <trackRevisions>false</trackRevisions>
    </reviewItem>
    <reviewItem>
      <errorID>5970223c-8c19-408d-aa90-8ff3441d0fd3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FDE667C</paraID>
      <start>0</start>
      <end>2</end>
      <status>unmodified</status>
      <modifiedWord/>
      <trackRevisions>false</trackRevisions>
    </reviewItem>
    <reviewItem>
      <errorID>c18c1eb6-2c38-4c9e-a14d-c97a29e39b89</errorID>
      <errorWord>与</errorWord>
      <group>L1_Word</group>
      <groupName>字词问题</groupName>
      <ability>L2_Typo</ability>
      <abilityName>字词错误</abilityName>
      <candidateList>
        <item>于</item>
      </candidateList>
      <explain>存在发音相同字词的误用。</explain>
      <paraID>486B342F</paraID>
      <start>33</start>
      <end>34</end>
      <status>unmodified</status>
      <modifiedWord/>
      <trackRevisions>false</trackRevisions>
    </reviewItem>
    <reviewItem>
      <errorID>783bdcbe-4beb-45af-b4e3-6ee192b9eb49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86904AA</paraID>
      <start>0</start>
      <end>2</end>
      <status>unmodified</status>
      <modifiedWord/>
      <trackRevisions>false</trackRevisions>
    </reviewItem>
    <reviewItem>
      <errorID>b9f2b417-1bc2-44b4-b2e7-4064a8dbbdb6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F9E3510</paraID>
      <start>0</start>
      <end>2</end>
      <status>unmodified</status>
      <modifiedWord/>
      <trackRevisions>false</trackRevisions>
    </reviewItem>
    <reviewItem>
      <errorID>153ffb70-9b04-4d04-b7a9-bafc10ed486e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4AC0FB52</paraID>
      <start>0</start>
      <end>2</end>
      <status>unmodified</status>
      <modifiedWord/>
      <trackRevisions>false</trackRevisions>
    </reviewItem>
    <reviewItem>
      <errorID>ecc4ec83-16f7-4e2c-8be2-995c3fae279c</errorID>
      <errorWord>其它</errorWord>
      <group>L1_Word</group>
      <groupName>字词问题</groupName>
      <ability>L2_Alias</ability>
      <abilityName>也作/曾用词</abilityName>
      <candidateList>
        <item>其他</item>
      </candidateList>
      <explain>词汇[其它]为不规范表述或旧称，其规范书面表述为[其他]。</explain>
      <paraID>7792D3D1</paraID>
      <start>20</start>
      <end>22</end>
      <status>modified</status>
      <modifiedWord>其他</modifiedWord>
      <trackRevisions>false</trackRevisions>
    </reviewItem>
    <reviewItem>
      <errorID>280d6d11-7480-4927-a48a-a666a8deeb4b</errorID>
      <errorWord>其它</errorWord>
      <group>L1_Word</group>
      <groupName>字词问题</groupName>
      <ability>L2_Alias</ability>
      <abilityName>也作/曾用词</abilityName>
      <candidateList>
        <item>其他</item>
      </candidateList>
      <explain>词汇[其它]为不规范表述或旧称，其规范书面表述为[其他]。</explain>
      <paraID>5600E91F</paraID>
      <start>2</start>
      <end>4</end>
      <status>modified</status>
      <modifiedWord>其他</modifiedWord>
      <trackRevisions>false</trackRevisions>
    </reviewItem>
    <reviewItem>
      <errorID>ce4b234b-c6f7-42d3-8b8d-3aa8b72dea35</errorID>
      <errorWord>其它</errorWord>
      <group>L1_Word</group>
      <groupName>字词问题</groupName>
      <ability>L2_Alias</ability>
      <abilityName>也作/曾用词</abilityName>
      <candidateList>
        <item>其他</item>
      </candidateList>
      <explain>词汇[其它]为不规范表述或旧称，其规范书面表述为[其他]。</explain>
      <paraID>11895D14</paraID>
      <start>2</start>
      <end>4</end>
      <status>modified</status>
      <modifiedWord>其他</modifiedWord>
      <trackRevisions>false</trackRevisions>
    </reviewItem>
    <reviewItem>
      <errorID>51e9be38-373c-4742-a49f-e37fb381e8e8</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3A84E6E7</paraID>
      <start>100</start>
      <end>101</end>
      <status>unmodified</status>
      <modifiedWord/>
      <trackRevisions>false</trackRevisions>
    </reviewItem>
    <reviewItem>
      <errorID>e30b520c-c478-46df-88f8-71bd7f90fb94</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3A84E6E7</paraID>
      <start>102</start>
      <end>103</end>
      <status>unmodified</status>
      <modifiedWord/>
      <trackRevisions>false</trackRevisions>
    </reviewItem>
    <reviewItem>
      <errorID>19937b42-48ef-44fc-809f-e16f8ca4b9a4</errorID>
      <errorWord>(</errorWord>
      <group>L1_Format</group>
      <groupName>格式问题</groupName>
      <ability>L2_HalfPunc</ability>
      <abilityName>全半角检查</abilityName>
      <candidateList>
        <item>（</item>
      </candidateList>
      <explain>文本全半角错误。</explain>
      <paraID>4A826DFB</paraID>
      <start>14</start>
      <end>15</end>
      <status>unmodified</status>
      <modifiedWord/>
      <trackRevisions>false</trackRevisions>
    </reviewItem>
    <reviewItem>
      <errorID>46ed807c-4622-4305-a7d2-002373c4c2fb</errorID>
      <errorWord>)</errorWord>
      <group>L1_Format</group>
      <groupName>格式问题</groupName>
      <ability>L2_HalfPunc</ability>
      <abilityName>全半角检查</abilityName>
      <candidateList>
        <item>）</item>
      </candidateList>
      <explain>文本全半角错误。</explain>
      <paraID>4A826DFB</paraID>
      <start>20</start>
      <end>21</end>
      <status>unmodified</status>
      <modifiedWord/>
      <trackRevisions>false</trackRevisions>
    </reviewItem>
    <reviewItem>
      <errorID>e0b93924-e134-4622-8f90-5e2282e380dd</errorID>
      <errorWord>(</errorWord>
      <group>L1_Format</group>
      <groupName>格式问题</groupName>
      <ability>L2_HalfPunc</ability>
      <abilityName>全半角检查</abilityName>
      <candidateList>
        <item>（</item>
      </candidateList>
      <explain>文本全半角错误。</explain>
      <paraID>1D19F1B0</paraID>
      <start>10</start>
      <end>11</end>
      <status>unmodified</status>
      <modifiedWord/>
      <trackRevisions>false</trackRevisions>
    </reviewItem>
    <reviewItem>
      <errorID>ac8faa09-47b4-48b7-96d5-988edb152366</errorID>
      <errorWord>)</errorWord>
      <group>L1_Format</group>
      <groupName>格式问题</groupName>
      <ability>L2_HalfPunc</ability>
      <abilityName>全半角检查</abilityName>
      <candidateList>
        <item>）</item>
      </candidateList>
      <explain>文本全半角错误。</explain>
      <paraID>1D19F1B0</paraID>
      <start>19</start>
      <end>20</end>
      <status>unmodified</status>
      <modifiedWord/>
      <trackRevisions>false</trackRevisions>
    </reviewItem>
    <reviewItem>
      <errorID>c45ea318-9d1c-489c-bb73-ac8f567313ef</errorID>
      <errorWord>)</errorWord>
      <group>L1_Format</group>
      <groupName>格式问题</groupName>
      <ability>L2_HalfPunc</ability>
      <abilityName>全半角检查</abilityName>
      <candidateList>
        <item>）</item>
      </candidateList>
      <explain>文本全半角错误。</explain>
      <paraID>1D19F1B0</paraID>
      <start>42</start>
      <end>43</end>
      <status>unmodified</status>
      <modifiedWord/>
      <trackRevisions>false</trackRevisions>
    </reviewItem>
    <reviewItem>
      <errorID>4e7490fd-4742-4ec7-bb0b-fc1155e8c302</errorID>
      <errorWord>(</errorWord>
      <group>L1_Format</group>
      <groupName>格式问题</groupName>
      <ability>L2_HalfPunc</ability>
      <abilityName>全半角检查</abilityName>
      <candidateList>
        <item>（</item>
      </candidateList>
      <explain>文本全半角错误。</explain>
      <paraID>1D19F1B0</paraID>
      <start>46</start>
      <end>47</end>
      <status>unmodified</status>
      <modifiedWord/>
      <trackRevisions>false</trackRevisions>
    </reviewItem>
    <reviewItem>
      <errorID>d1b251e5-651c-4587-b14b-9755ca52a5f0</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1D19F1B0</paraID>
      <start>49</start>
      <end>50</end>
      <status>unmodified</status>
      <modifiedWord/>
      <trackRevisions>false</trackRevisions>
    </reviewItem>
    <reviewItem>
      <errorID>771376e1-f0ca-4773-9eda-24a82ce7e6cc</errorID>
      <errorWord>"</errorWord>
      <group>L1_Format</group>
      <groupName>格式问题</groupName>
      <ability>L2_HalfPunc</ability>
      <abilityName>全半角检查</abilityName>
      <candidateList>
        <item>”</item>
      </candidateList>
      <explain>文本全半角错误。</explain>
      <paraID>1D19F1B0</paraID>
      <start>53</start>
      <end>54</end>
      <status>unmodified</status>
      <modifiedWord/>
      <trackRevisions>false</trackRevisions>
    </reviewItem>
    <reviewItem>
      <errorID>40776f32-96b0-4971-8a32-117375081a96</errorID>
      <errorWord>)</errorWord>
      <group>L1_Format</group>
      <groupName>格式问题</groupName>
      <ability>L2_HalfPunc</ability>
      <abilityName>全半角检查</abilityName>
      <candidateList>
        <item>）</item>
      </candidateList>
      <explain>文本全半角错误。</explain>
      <paraID>1D19F1B0</paraID>
      <start>55</start>
      <end>56</end>
      <status>unmodified</status>
      <modifiedWord/>
      <trackRevisions>false</trackRevisions>
    </reviewItem>
    <reviewItem>
      <errorID>357a9579-7978-4e54-ba1e-1e930bb5c205</errorID>
      <errorWord>,</errorWord>
      <group>L1_Format</group>
      <groupName>格式问题</groupName>
      <ability>L2_HalfPunc</ability>
      <abilityName>全半角检查</abilityName>
      <candidateList>
        <item>，</item>
      </candidateList>
      <explain>文本全半角错误。</explain>
      <paraID>1D19F1B0</paraID>
      <start>70</start>
      <end>71</end>
      <status>unmodified</status>
      <modifiedWord/>
      <trackRevisions>false</trackRevisions>
    </reviewItem>
    <reviewItem>
      <errorID>c30dda14-ae45-4fca-ac05-a1673ee0842a</errorID>
      <errorWord>(</errorWord>
      <group>L1_Format</group>
      <groupName>格式问题</groupName>
      <ability>L2_HalfPunc</ability>
      <abilityName>全半角检查</abilityName>
      <candidateList>
        <item>（</item>
      </candidateList>
      <explain>文本全半角错误。</explain>
      <paraID>1D913BF0</paraID>
      <start>28</start>
      <end>29</end>
      <status>unmodified</status>
      <modifiedWord/>
      <trackRevisions>false</trackRevisions>
    </reviewItem>
    <reviewItem>
      <errorID>4730a2f2-6bd0-4cc2-976a-3cdd08c59ddf</errorID>
      <errorWord>)</errorWord>
      <group>L1_Format</group>
      <groupName>格式问题</groupName>
      <ability>L2_HalfPunc</ability>
      <abilityName>全半角检查</abilityName>
      <candidateList>
        <item>）</item>
      </candidateList>
      <explain>文本全半角错误。</explain>
      <paraID>1D913BF0</paraID>
      <start>31</start>
      <end>32</end>
      <status>unmodified</status>
      <modifiedWord/>
      <trackRevisions>false</trackRevisions>
    </reviewItem>
    <reviewItem>
      <errorID>565a4103-245d-4898-8e6e-22881765cf98</errorID>
      <errorWord>,</errorWord>
      <group>L1_Format</group>
      <groupName>格式问题</groupName>
      <ability>L2_HalfPunc</ability>
      <abilityName>全半角检查</abilityName>
      <candidateList>
        <item>，</item>
      </candidateList>
      <explain>文本全半角错误。</explain>
      <paraID>6ED211BA</paraID>
      <start>14</start>
      <end>15</end>
      <status>unmodified</status>
      <modifiedWord/>
      <trackRevisions>false</trackRevisions>
    </reviewItem>
    <reviewItem>
      <errorID>ec37a7fe-a120-458b-859d-8e119d951053</errorID>
      <errorWord>,</errorWord>
      <group>L1_Format</group>
      <groupName>格式问题</groupName>
      <ability>L2_HalfPunc</ability>
      <abilityName>全半角检查</abilityName>
      <candidateList>
        <item>，</item>
      </candidateList>
      <explain>文本全半角错误。</explain>
      <paraID>6ED211BA</paraID>
      <start>32</start>
      <end>33</end>
      <status>unmodified</status>
      <modifiedWord/>
      <trackRevisions>false</trackRevisions>
    </reviewItem>
    <reviewItem>
      <errorID>9373baa0-be8e-4e1f-8fba-ded3d6f9be28</errorID>
      <errorWord>,</errorWord>
      <group>L1_Format</group>
      <groupName>格式问题</groupName>
      <ability>L2_HalfPunc</ability>
      <abilityName>全半角检查</abilityName>
      <candidateList>
        <item>，</item>
      </candidateList>
      <explain>文本全半角错误。</explain>
      <paraID>6ED211BA</paraID>
      <start>78</start>
      <end>79</end>
      <status>unmodified</status>
      <modifiedWord/>
      <trackRevisions>false</trackRevisions>
    </reviewItem>
    <reviewItem>
      <errorID>506068b7-34b4-4db0-ba74-86def302ae10</errorID>
      <errorWord>,</errorWord>
      <group>L1_Format</group>
      <groupName>格式问题</groupName>
      <ability>L2_HalfPunc</ability>
      <abilityName>全半角检查</abilityName>
      <candidateList>
        <item>，</item>
      </candidateList>
      <explain>文本全半角错误。</explain>
      <paraID>6ED211BA</paraID>
      <start>101</start>
      <end>102</end>
      <status>unmodified</status>
      <modifiedWord/>
      <trackRevisions>false</trackRevisions>
    </reviewItem>
    <reviewItem>
      <errorID>a4c845c4-536d-4a18-a6f5-4622218fe513</errorID>
      <errorWord>,</errorWord>
      <group>L1_Format</group>
      <groupName>格式问题</groupName>
      <ability>L2_HalfPunc</ability>
      <abilityName>全半角检查</abilityName>
      <candidateList>
        <item>，</item>
      </candidateList>
      <explain>文本全半角错误。</explain>
      <paraID>4EFF46D4</paraID>
      <start>23</start>
      <end>24</end>
      <status>unmodified</status>
      <modifiedWord/>
      <trackRevisions>false</trackRevisions>
    </reviewItem>
    <reviewItem>
      <errorID>cb105237-219a-4b1a-8803-2fcd7e6392c8</errorID>
      <errorWord>,</errorWord>
      <group>L1_Format</group>
      <groupName>格式问题</groupName>
      <ability>L2_HalfPunc</ability>
      <abilityName>全半角检查</abilityName>
      <candidateList>
        <item>，</item>
      </candidateList>
      <explain>文本全半角错误。</explain>
      <paraID>3D5CA0B1</paraID>
      <start>12</start>
      <end>13</end>
      <status>unmodified</status>
      <modifiedWord/>
      <trackRevisions>false</trackRevisions>
    </reviewItem>
    <reviewItem>
      <errorID>a3845e7c-9ccd-4067-9253-fad1be709272</errorID>
      <errorWord>,</errorWord>
      <group>L1_Format</group>
      <groupName>格式问题</groupName>
      <ability>L2_HalfPunc</ability>
      <abilityName>全半角检查</abilityName>
      <candidateList>
        <item>，</item>
      </candidateList>
      <explain>文本全半角错误。</explain>
      <paraID>3D5CA0B1</paraID>
      <start>30</start>
      <end>31</end>
      <status>unmodified</status>
      <modifiedWord/>
      <trackRevisions>false</trackRevisions>
    </reviewItem>
    <reviewItem>
      <errorID>0ffc45d6-a1a1-4e43-a50f-446bae18f8c7</errorID>
      <errorWord>,</errorWord>
      <group>L1_Format</group>
      <groupName>格式问题</groupName>
      <ability>L2_HalfPunc</ability>
      <abilityName>全半角检查</abilityName>
      <candidateList>
        <item>，</item>
      </candidateList>
      <explain>文本全半角错误。</explain>
      <paraID> AE3313E</paraID>
      <start>13</start>
      <end>14</end>
      <status>unmodified</status>
      <modifiedWord/>
      <trackRevisions>false</trackRevisions>
    </reviewItem>
    <reviewItem>
      <errorID>44bec5fc-251e-421d-b954-3a909f3b3c9a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1E711D27</paraID>
      <start>0</start>
      <end>2</end>
      <status>unmodified</status>
      <modifiedWord/>
      <trackRevisions>false</trackRevisions>
    </reviewItem>
    <reviewItem>
      <errorID>0278a0e1-7bdc-494f-a82d-d08135096b3e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6B149D4E</paraID>
      <start>0</start>
      <end>2</end>
      <status>unmodified</status>
      <modifiedWord/>
      <trackRevisions>false</trackRevisions>
    </reviewItem>
    <reviewItem>
      <errorID>f052cec3-c28a-4e1c-bfc8-5365062902fb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47612FA3</paraID>
      <start>0</start>
      <end>2</end>
      <status>unmodified</status>
      <modifiedWord/>
      <trackRevisions>false</trackRevisions>
    </reviewItem>
    <reviewItem>
      <errorID>4529c2e9-0124-4bf2-97a0-4663961f3f0a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7468B66B</paraID>
      <start>0</start>
      <end>2</end>
      <status>unmodified</status>
      <modifiedWord/>
      <trackRevisions>false</trackRevisions>
    </reviewItem>
    <reviewItem>
      <errorID>aca5d362-86a0-44ac-a2d1-b5c863ce7c0c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6D76BE34</paraID>
      <start>0</start>
      <end>2</end>
      <status>unmodified</status>
      <modifiedWord/>
      <trackRevisions>false</trackRevisions>
    </reviewItem>
    <reviewItem>
      <errorID>9cf927fe-133b-460b-978d-457e31e0ff39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4275308A</paraID>
      <start>0</start>
      <end>2</end>
      <status>unmodified</status>
      <modifiedWord/>
      <trackRevisions>false</trackRevisions>
    </reviewItem>
    <reviewItem>
      <errorID>d13acaa3-a998-4140-8b54-48d3124cd1d4</errorID>
      <errorWord>(</errorWord>
      <group>L1_Format</group>
      <groupName>格式问题</groupName>
      <ability>L2_HalfPunc</ability>
      <abilityName>全半角检查</abilityName>
      <candidateList>
        <item>（</item>
      </candidateList>
      <explain>文本全半角错误。</explain>
      <paraID>4EBD92D5</paraID>
      <start>47</start>
      <end>48</end>
      <status>unmodified</status>
      <modifiedWord/>
      <trackRevisions>false</trackRevisions>
    </reviewItem>
    <reviewItem>
      <errorID>bd14f30e-e829-4bc7-938f-e96823f332b6</errorID>
      <errorWord>(</errorWord>
      <group>L1_Format</group>
      <groupName>格式问题</groupName>
      <ability>L2_HalfPunc</ability>
      <abilityName>全半角检查</abilityName>
      <candidateList>
        <item>（</item>
      </candidateList>
      <explain>文本全半角错误。</explain>
      <paraID>4BB322F6</paraID>
      <start>21</start>
      <end>22</end>
      <status>unmodified</status>
      <modifiedWord/>
      <trackRevisions>false</trackRevisions>
    </reviewItem>
    <reviewItem>
      <errorID>e1a9b789-b650-4922-9bee-972c5bd380d9</errorID>
      <errorWord>)</errorWord>
      <group>L1_Format</group>
      <groupName>格式问题</groupName>
      <ability>L2_HalfPunc</ability>
      <abilityName>全半角检查</abilityName>
      <candidateList>
        <item>）</item>
      </candidateList>
      <explain>文本全半角错误。</explain>
      <paraID>4BB322F6</paraID>
      <start>31</start>
      <end>32</end>
      <status>unmodified</status>
      <modifiedWord/>
      <trackRevisions>false</trackRevisions>
    </reviewItem>
    <reviewItem>
      <errorID>d0d21002-de4e-43cb-812a-5590ae6e2b3a</errorID>
      <errorWord>(</errorWord>
      <group>L1_Format</group>
      <groupName>格式问题</groupName>
      <ability>L2_HalfPunc</ability>
      <abilityName>全半角检查</abilityName>
      <candidateList>
        <item>（</item>
      </candidateList>
      <explain>文本全半角错误。</explain>
      <paraID>31C0E7E7</paraID>
      <start>7</start>
      <end>8</end>
      <status>unmodified</status>
      <modifiedWord/>
      <trackRevisions>false</trackRevisions>
    </reviewItem>
    <reviewItem>
      <errorID>d3520b0a-6b13-4ed1-8bf2-9d075092d8a1</errorID>
      <errorWord>)</errorWord>
      <group>L1_Format</group>
      <groupName>格式问题</groupName>
      <ability>L2_HalfPunc</ability>
      <abilityName>全半角检查</abilityName>
      <candidateList>
        <item>）</item>
      </candidateList>
      <explain>文本全半角错误。</explain>
      <paraID>31C0E7E7</paraID>
      <start>12</start>
      <end>13</end>
      <status>unmodified</status>
      <modifiedWord/>
      <trackRevisions>false</trackRevisions>
    </reviewItem>
    <reviewItem>
      <errorID>470a3245-36bf-49a3-9c0b-31672901112a</errorID>
      <errorWord>(</errorWord>
      <group>L1_Format</group>
      <groupName>格式问题</groupName>
      <ability>L2_HalfPunc</ability>
      <abilityName>全半角检查</abilityName>
      <candidateList>
        <item>（</item>
      </candidateList>
      <explain>文本全半角错误。</explain>
      <paraID>64AE314C</paraID>
      <start>7</start>
      <end>8</end>
      <status>unmodified</status>
      <modifiedWord/>
      <trackRevisions>false</trackRevisions>
    </reviewItem>
    <reviewItem>
      <errorID>a40d2905-61be-441b-9197-d1f143f5e4a4</errorID>
      <errorWord>)</errorWord>
      <group>L1_Format</group>
      <groupName>格式问题</groupName>
      <ability>L2_HalfPunc</ability>
      <abilityName>全半角检查</abilityName>
      <candidateList>
        <item>）</item>
      </candidateList>
      <explain>文本全半角错误。</explain>
      <paraID>64AE314C</paraID>
      <start>11</start>
      <end>12</end>
      <status>unmodified</status>
      <modifiedWord/>
      <trackRevisions>false</trackRevisions>
    </reviewItem>
    <reviewItem>
      <errorID>a709c3d4-e471-42e0-94b7-b05453f5a92e</errorID>
      <errorWord>(</errorWord>
      <group>L1_Format</group>
      <groupName>格式问题</groupName>
      <ability>L2_HalfPunc</ability>
      <abilityName>全半角检查</abilityName>
      <candidateList>
        <item>（</item>
      </candidateList>
      <explain>文本全半角错误。</explain>
      <paraID>64B7ED73</paraID>
      <start>0</start>
      <end>1</end>
      <status>unmodified</status>
      <modifiedWord/>
      <trackRevisions>false</trackRevisions>
    </reviewItem>
    <reviewItem>
      <errorID>0cf305e8-a715-4cc5-8c66-3ce9bb508dbc</errorID>
      <errorWord>)</errorWord>
      <group>L1_Format</group>
      <groupName>格式问题</groupName>
      <ability>L2_HalfPunc</ability>
      <abilityName>全半角检查</abilityName>
      <candidateList>
        <item>）</item>
      </candidateList>
      <explain>文本全半角错误。</explain>
      <paraID>64B7ED73</paraID>
      <start>3</start>
      <end>4</end>
      <status>unmodified</status>
      <modifiedWord/>
      <trackRevisions>false</trackRevisions>
    </reviewItem>
    <reviewItem>
      <errorID>a709c3d4-e471-42e0-94b7-b05453f5a92e</errorID>
      <errorWord>(</errorWord>
      <group>L1_Format</group>
      <groupName>格式问题</groupName>
      <ability>L2_HalfPunc</ability>
      <abilityName>全半角检查</abilityName>
      <candidateList>
        <item>（</item>
      </candidateList>
      <explain>文本全半角错误。</explain>
      <paraID>7275AB00</paraID>
      <start>0</start>
      <end>1</end>
      <status>unmodified</status>
      <modifiedWord/>
      <trackRevisions>false</trackRevisions>
    </reviewItem>
    <reviewItem>
      <errorID>0cf305e8-a715-4cc5-8c66-3ce9bb508dbc</errorID>
      <errorWord>)</errorWord>
      <group>L1_Format</group>
      <groupName>格式问题</groupName>
      <ability>L2_HalfPunc</ability>
      <abilityName>全半角检查</abilityName>
      <candidateList>
        <item>）</item>
      </candidateList>
      <explain>文本全半角错误。</explain>
      <paraID>7275AB00</paraID>
      <start>3</start>
      <end>4</end>
      <status>unmodified</status>
      <modifiedWord/>
      <trackRevisions>false</trackRevisions>
    </reviewItem>
    <reviewItem>
      <errorID>a709c3d4-e471-42e0-94b7-b05453f5a92e</errorID>
      <errorWord>(</errorWord>
      <group>L1_Format</group>
      <groupName>格式问题</groupName>
      <ability>L2_HalfPunc</ability>
      <abilityName>全半角检查</abilityName>
      <candidateList>
        <item>（</item>
      </candidateList>
      <explain>文本全半角错误。</explain>
      <paraID>14E4A259</paraID>
      <start>0</start>
      <end>1</end>
      <status>unmodified</status>
      <modifiedWord/>
      <trackRevisions>false</trackRevisions>
    </reviewItem>
    <reviewItem>
      <errorID>0cf305e8-a715-4cc5-8c66-3ce9bb508dbc</errorID>
      <errorWord>)</errorWord>
      <group>L1_Format</group>
      <groupName>格式问题</groupName>
      <ability>L2_HalfPunc</ability>
      <abilityName>全半角检查</abilityName>
      <candidateList>
        <item>）</item>
      </candidateList>
      <explain>文本全半角错误。</explain>
      <paraID>14E4A259</paraID>
      <start>3</start>
      <end>4</end>
      <status>unmodified</status>
      <modifiedWord/>
      <trackRevisions>false</trackRevisions>
    </reviewItem>
    <reviewItem>
      <errorID>a3c71904-2365-4a3d-b4a5-b187a4cb1390</errorID>
      <errorWord>:</errorWord>
      <group>L1_Format</group>
      <groupName>格式问题</groupName>
      <ability>L2_HalfPunc</ability>
      <abilityName>全半角检查</abilityName>
      <candidateList>
        <item>：</item>
      </candidateList>
      <explain>文本全半角错误。</explain>
      <paraID>70CE19C7</paraID>
      <start>122</start>
      <end>123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272772-f247-4bdc-9677-285072429a8a}">
  <ds:schemaRefs/>
</ds:datastoreItem>
</file>

<file path=docProps/app.xml><?xml version="1.0" encoding="utf-8"?>
<Properties xmlns="http://schemas.openxmlformats.org/officeDocument/2006/extended-properties" xmlns:vt="http://schemas.openxmlformats.org/officeDocument/2006/docPropsVTypes">
  <Template>Normal.dotm</Template>
  <Pages>97</Pages>
  <Words>12667</Words>
  <Characters>13739</Characters>
  <Lines>0</Lines>
  <Paragraphs>0</Paragraphs>
  <TotalTime>3</TotalTime>
  <ScaleCrop>false</ScaleCrop>
  <LinksUpToDate>false</LinksUpToDate>
  <CharactersWithSpaces>13979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2026-03-05T07:04:00Z</dcterms:created>
  <dc:creator>明正</dc:creator>
  <cp:lastModifiedBy>明正</cp:lastModifiedBy>
  <dcterms:modified xsi:type="dcterms:W3CDTF">2026-03-30T02:46:31Z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770110F626AD4DFF898D8097A9797FA7_13</vt:lpwstr>
  </property>
  <property fmtid="{D5CDD505-2E9C-101B-9397-08002B2CF9AE}" pid="4" name="KSOTemplateDocerSaveRecord">
    <vt:lpwstr>eyJoZGlkIjoiY2ZiMzI0MGUwZmU4OTk2OGQwYTNlYmNmYzRlNTVkMmIiLCJ1c2VySWQiOiIzMjI4NDYzOTkifQ==</vt:lpwstr>
  </property>
</Properties>
</file>