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646BC">
      <w:pPr>
        <w:spacing w:line="800" w:lineRule="exact"/>
        <w:jc w:val="center"/>
        <w:rPr>
          <w:rFonts w:hint="eastAsia" w:asciiTheme="minorEastAsia" w:hAnsiTheme="minorEastAsia" w:eastAsiaTheme="minorEastAsia" w:cstheme="minorEastAsia"/>
          <w:b/>
          <w:color w:val="000000" w:themeColor="text1"/>
          <w:sz w:val="40"/>
          <w:szCs w:val="40"/>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48"/>
          <w:szCs w:val="48"/>
          <w:highlight w:val="none"/>
          <w:lang w:eastAsia="zh-CN"/>
          <w14:textFill>
            <w14:solidFill>
              <w14:schemeClr w14:val="tx1"/>
            </w14:solidFill>
          </w14:textFill>
        </w:rPr>
        <w:t>南雄市古市镇圩镇综合建设和乡村振兴示范项目设计、施工总承包</w:t>
      </w:r>
    </w:p>
    <w:p w14:paraId="372BE266">
      <w:pPr>
        <w:spacing w:line="360" w:lineRule="auto"/>
        <w:rPr>
          <w:rFonts w:hint="eastAsia" w:asciiTheme="minorEastAsia" w:hAnsiTheme="minorEastAsia" w:eastAsiaTheme="minorEastAsia" w:cstheme="minorEastAsia"/>
          <w:b/>
          <w:color w:val="000000" w:themeColor="text1"/>
          <w:highlight w:val="none"/>
          <w14:textFill>
            <w14:solidFill>
              <w14:schemeClr w14:val="tx1"/>
            </w14:solidFill>
          </w14:textFill>
        </w:rPr>
      </w:pPr>
    </w:p>
    <w:p w14:paraId="491B7975">
      <w:pPr>
        <w:spacing w:line="360" w:lineRule="auto"/>
        <w:rPr>
          <w:rFonts w:hint="eastAsia" w:asciiTheme="minorEastAsia" w:hAnsiTheme="minorEastAsia" w:eastAsiaTheme="minorEastAsia" w:cstheme="minorEastAsia"/>
          <w:b/>
          <w:color w:val="000000" w:themeColor="text1"/>
          <w:highlight w:val="none"/>
          <w14:textFill>
            <w14:solidFill>
              <w14:schemeClr w14:val="tx1"/>
            </w14:solidFill>
          </w14:textFill>
        </w:rPr>
      </w:pPr>
    </w:p>
    <w:p w14:paraId="1E8011C0">
      <w:pPr>
        <w:spacing w:line="360" w:lineRule="auto"/>
        <w:rPr>
          <w:rFonts w:hint="eastAsia" w:asciiTheme="minorEastAsia" w:hAnsiTheme="minorEastAsia" w:eastAsiaTheme="minorEastAsia" w:cstheme="minorEastAsia"/>
          <w:b/>
          <w:color w:val="000000" w:themeColor="text1"/>
          <w:highlight w:val="none"/>
          <w14:textFill>
            <w14:solidFill>
              <w14:schemeClr w14:val="tx1"/>
            </w14:solidFill>
          </w14:textFill>
        </w:rPr>
      </w:pPr>
    </w:p>
    <w:p w14:paraId="7D582DFF">
      <w:pPr>
        <w:pStyle w:val="8"/>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6284F61">
      <w:pPr>
        <w:pStyle w:val="19"/>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4780B1F3">
      <w:pPr>
        <w:pStyle w:val="34"/>
        <w:spacing w:line="360" w:lineRule="auto"/>
        <w:jc w:val="center"/>
        <w:rPr>
          <w:rFonts w:hint="eastAsia" w:asciiTheme="minorEastAsia" w:hAnsiTheme="minorEastAsia" w:eastAsiaTheme="minorEastAsia" w:cstheme="minorEastAsia"/>
          <w:b/>
          <w:bCs/>
          <w:color w:val="000000" w:themeColor="text1"/>
          <w:spacing w:val="26"/>
          <w:sz w:val="84"/>
          <w:szCs w:val="8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26"/>
          <w:sz w:val="84"/>
          <w:szCs w:val="84"/>
          <w:highlight w:val="none"/>
          <w14:textFill>
            <w14:solidFill>
              <w14:schemeClr w14:val="tx1"/>
            </w14:solidFill>
          </w14:textFill>
        </w:rPr>
        <w:t>招标文件</w:t>
      </w:r>
    </w:p>
    <w:p w14:paraId="584A1C28">
      <w:pPr>
        <w:spacing w:line="360" w:lineRule="auto"/>
        <w:ind w:left="240" w:leftChars="100"/>
        <w:jc w:val="cente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p>
    <w:tbl>
      <w:tblPr>
        <w:tblStyle w:val="21"/>
        <w:tblpPr w:leftFromText="180" w:rightFromText="180" w:vertAnchor="text" w:horzAnchor="page" w:tblpX="1372" w:tblpY="753"/>
        <w:tblW w:w="9799" w:type="dxa"/>
        <w:tblInd w:w="0" w:type="dxa"/>
        <w:tblLayout w:type="fixed"/>
        <w:tblCellMar>
          <w:top w:w="0" w:type="dxa"/>
          <w:left w:w="0" w:type="dxa"/>
          <w:bottom w:w="0" w:type="dxa"/>
          <w:right w:w="0" w:type="dxa"/>
        </w:tblCellMar>
      </w:tblPr>
      <w:tblGrid>
        <w:gridCol w:w="4671"/>
        <w:gridCol w:w="5128"/>
      </w:tblGrid>
      <w:tr w14:paraId="1528C84C">
        <w:tblPrEx>
          <w:tblCellMar>
            <w:top w:w="0" w:type="dxa"/>
            <w:left w:w="0" w:type="dxa"/>
            <w:bottom w:w="0" w:type="dxa"/>
            <w:right w:w="0" w:type="dxa"/>
          </w:tblCellMar>
        </w:tblPrEx>
        <w:trPr>
          <w:trHeight w:val="935" w:hRule="atLeast"/>
        </w:trPr>
        <w:tc>
          <w:tcPr>
            <w:tcW w:w="4671" w:type="dxa"/>
            <w:noWrap/>
            <w:vAlign w:val="center"/>
          </w:tcPr>
          <w:p w14:paraId="5A4A7A02">
            <w:pPr>
              <w:pStyle w:val="35"/>
              <w:jc w:val="distribute"/>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   标   人（盖单位章）：</w:t>
            </w:r>
          </w:p>
        </w:tc>
        <w:tc>
          <w:tcPr>
            <w:tcW w:w="5128" w:type="dxa"/>
            <w:noWrap/>
            <w:vAlign w:val="center"/>
          </w:tcPr>
          <w:p w14:paraId="43941704">
            <w:pPr>
              <w:pStyle w:val="35"/>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南雄市古市镇人民政府</w:t>
            </w:r>
          </w:p>
        </w:tc>
      </w:tr>
      <w:tr w14:paraId="227807CE">
        <w:tblPrEx>
          <w:tblCellMar>
            <w:top w:w="0" w:type="dxa"/>
            <w:left w:w="0" w:type="dxa"/>
            <w:bottom w:w="0" w:type="dxa"/>
            <w:right w:w="0" w:type="dxa"/>
          </w:tblCellMar>
        </w:tblPrEx>
        <w:trPr>
          <w:trHeight w:val="1059" w:hRule="atLeast"/>
        </w:trPr>
        <w:tc>
          <w:tcPr>
            <w:tcW w:w="4671" w:type="dxa"/>
            <w:noWrap/>
            <w:vAlign w:val="center"/>
          </w:tcPr>
          <w:p w14:paraId="24C6A423">
            <w:pPr>
              <w:pStyle w:val="35"/>
              <w:jc w:val="distribute"/>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招标人工作领导小组负责人（签字）：</w:t>
            </w:r>
          </w:p>
        </w:tc>
        <w:tc>
          <w:tcPr>
            <w:tcW w:w="5128" w:type="dxa"/>
            <w:noWrap/>
            <w:vAlign w:val="center"/>
          </w:tcPr>
          <w:p w14:paraId="321EF2C7">
            <w:pPr>
              <w:pStyle w:val="35"/>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tc>
      </w:tr>
      <w:tr w14:paraId="554BBDBB">
        <w:tblPrEx>
          <w:tblCellMar>
            <w:top w:w="0" w:type="dxa"/>
            <w:left w:w="0" w:type="dxa"/>
            <w:bottom w:w="0" w:type="dxa"/>
            <w:right w:w="0" w:type="dxa"/>
          </w:tblCellMar>
        </w:tblPrEx>
        <w:trPr>
          <w:trHeight w:val="1031" w:hRule="atLeast"/>
        </w:trPr>
        <w:tc>
          <w:tcPr>
            <w:tcW w:w="4671" w:type="dxa"/>
            <w:noWrap/>
            <w:vAlign w:val="center"/>
          </w:tcPr>
          <w:p w14:paraId="1FB24DC0">
            <w:pPr>
              <w:pStyle w:val="35"/>
              <w:jc w:val="distribute"/>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 标 代 理 机 构 （盖章）：</w:t>
            </w:r>
          </w:p>
        </w:tc>
        <w:tc>
          <w:tcPr>
            <w:tcW w:w="5128" w:type="dxa"/>
            <w:noWrap/>
            <w:vAlign w:val="center"/>
          </w:tcPr>
          <w:p w14:paraId="01B58229">
            <w:pPr>
              <w:pStyle w:val="35"/>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8"/>
                <w:szCs w:val="28"/>
                <w:highlight w:val="none"/>
                <w:lang w:eastAsia="zh-CN"/>
                <w14:textFill>
                  <w14:solidFill>
                    <w14:schemeClr w14:val="tx1"/>
                  </w14:solidFill>
                </w14:textFill>
              </w:rPr>
              <w:t>中恒和咨询有限公司</w:t>
            </w:r>
          </w:p>
        </w:tc>
      </w:tr>
      <w:tr w14:paraId="2BFDF3E4">
        <w:tblPrEx>
          <w:tblCellMar>
            <w:top w:w="0" w:type="dxa"/>
            <w:left w:w="0" w:type="dxa"/>
            <w:bottom w:w="0" w:type="dxa"/>
            <w:right w:w="0" w:type="dxa"/>
          </w:tblCellMar>
        </w:tblPrEx>
        <w:trPr>
          <w:trHeight w:val="809" w:hRule="atLeast"/>
        </w:trPr>
        <w:tc>
          <w:tcPr>
            <w:tcW w:w="4671" w:type="dxa"/>
            <w:noWrap/>
            <w:vAlign w:val="center"/>
          </w:tcPr>
          <w:p w14:paraId="65101364">
            <w:pPr>
              <w:pStyle w:val="35"/>
              <w:jc w:val="distribute"/>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招标文件编制人（签字）：</w:t>
            </w:r>
          </w:p>
        </w:tc>
        <w:tc>
          <w:tcPr>
            <w:tcW w:w="5128" w:type="dxa"/>
            <w:noWrap/>
            <w:vAlign w:val="center"/>
          </w:tcPr>
          <w:p w14:paraId="18AAEBD4">
            <w:pPr>
              <w:pStyle w:val="35"/>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tc>
      </w:tr>
      <w:tr w14:paraId="2F0F3FF4">
        <w:tblPrEx>
          <w:tblCellMar>
            <w:top w:w="0" w:type="dxa"/>
            <w:left w:w="0" w:type="dxa"/>
            <w:bottom w:w="0" w:type="dxa"/>
            <w:right w:w="0" w:type="dxa"/>
          </w:tblCellMar>
        </w:tblPrEx>
        <w:trPr>
          <w:trHeight w:val="863" w:hRule="atLeast"/>
        </w:trPr>
        <w:tc>
          <w:tcPr>
            <w:tcW w:w="4671" w:type="dxa"/>
            <w:noWrap/>
            <w:vAlign w:val="center"/>
          </w:tcPr>
          <w:p w14:paraId="1B395422">
            <w:pPr>
              <w:pStyle w:val="35"/>
              <w:wordWrap w:val="0"/>
              <w:jc w:val="distribute"/>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招标代理机构项目负责人（签字）：</w:t>
            </w:r>
          </w:p>
        </w:tc>
        <w:tc>
          <w:tcPr>
            <w:tcW w:w="5128" w:type="dxa"/>
            <w:noWrap/>
            <w:vAlign w:val="center"/>
          </w:tcPr>
          <w:p w14:paraId="5972A199">
            <w:pPr>
              <w:pStyle w:val="35"/>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tc>
      </w:tr>
      <w:tr w14:paraId="3220C8AE">
        <w:tblPrEx>
          <w:tblCellMar>
            <w:top w:w="0" w:type="dxa"/>
            <w:left w:w="0" w:type="dxa"/>
            <w:bottom w:w="0" w:type="dxa"/>
            <w:right w:w="0" w:type="dxa"/>
          </w:tblCellMar>
        </w:tblPrEx>
        <w:trPr>
          <w:trHeight w:val="1047" w:hRule="atLeast"/>
        </w:trPr>
        <w:tc>
          <w:tcPr>
            <w:tcW w:w="4671" w:type="dxa"/>
            <w:noWrap/>
            <w:vAlign w:val="center"/>
          </w:tcPr>
          <w:p w14:paraId="363AD005">
            <w:pPr>
              <w:pStyle w:val="35"/>
              <w:wordWrap w:val="0"/>
              <w:jc w:val="distribute"/>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招标文件编制日期：</w:t>
            </w:r>
          </w:p>
        </w:tc>
        <w:tc>
          <w:tcPr>
            <w:tcW w:w="5128" w:type="dxa"/>
            <w:noWrap/>
            <w:vAlign w:val="center"/>
          </w:tcPr>
          <w:p w14:paraId="71D0DC53">
            <w:pPr>
              <w:pStyle w:val="35"/>
              <w:rPr>
                <w:rFonts w:hint="eastAsia" w:asciiTheme="minorEastAsia" w:hAnsiTheme="minorEastAsia" w:eastAsiaTheme="minorEastAsia" w:cstheme="minorEastAsia"/>
                <w:color w:val="000000" w:themeColor="text1"/>
                <w:sz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highlight w:val="none"/>
                <w14:textFill>
                  <w14:solidFill>
                    <w14:schemeClr w14:val="tx1"/>
                  </w14:solidFill>
                </w14:textFill>
              </w:rPr>
              <w:t>202</w:t>
            </w:r>
            <w:r>
              <w:rPr>
                <w:rFonts w:hint="eastAsia" w:asciiTheme="minorEastAsia" w:hAnsiTheme="minorEastAsia" w:eastAsiaTheme="minorEastAsia" w:cstheme="minorEastAsia"/>
                <w:color w:val="000000" w:themeColor="text1"/>
                <w:sz w:val="28"/>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8"/>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8"/>
                <w:highlight w:val="none"/>
                <w14:textFill>
                  <w14:solidFill>
                    <w14:schemeClr w14:val="tx1"/>
                  </w14:solidFill>
                </w14:textFill>
              </w:rPr>
              <w:t>月</w:t>
            </w:r>
          </w:p>
        </w:tc>
      </w:tr>
    </w:tbl>
    <w:p w14:paraId="2A129E55">
      <w:pPr>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ABA971C">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8CC84CD">
      <w:pPr>
        <w:pStyle w:val="8"/>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08B1A273">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sectPr>
          <w:footerReference r:id="rId3" w:type="default"/>
          <w:endnotePr>
            <w:numFmt w:val="decimal"/>
          </w:endnotePr>
          <w:pgSz w:w="11906" w:h="16838"/>
          <w:pgMar w:top="1440" w:right="1463" w:bottom="1440" w:left="1463" w:header="851" w:footer="992" w:gutter="0"/>
          <w:pgNumType w:start="1"/>
          <w:cols w:space="720" w:num="1"/>
          <w:docGrid w:type="lines" w:linePitch="312" w:charSpace="0"/>
        </w:sectPr>
      </w:pPr>
    </w:p>
    <w:p w14:paraId="6DF9B08C">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8D35D93">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0A1B9732">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743739B">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5248EBD7">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0AD838A2">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14E94C4">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F54B98A">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1B6F4462">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C7C5C77">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8A58102">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4207426">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4328C888">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5A009B4">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261B7B28">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0B07DEC">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478C51A">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7834CE7A">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D619D7E">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20FFD412">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4C74AE0">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51B6D913">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2F914B0F">
      <w:pPr>
        <w:pStyle w:val="36"/>
        <w:tabs>
          <w:tab w:val="left" w:pos="4935"/>
        </w:tabs>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目    录</w:t>
      </w:r>
    </w:p>
    <w:p w14:paraId="20DAF816">
      <w:pPr>
        <w:pStyle w:val="15"/>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TOC \o "1-4" \h \z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_Toc11543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第一章投标须知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F75695B">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_Toc23299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第一节.投标须知前附表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A7E8287">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_Toc25142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szCs w:val="24"/>
          <w:highlight w:val="none"/>
          <w14:textFill>
            <w14:solidFill>
              <w14:schemeClr w14:val="tx1"/>
            </w14:solidFill>
          </w14:textFill>
        </w:rPr>
        <w:t>第二节.重要事项时间地点一览表.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9A3B7FE">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_Toc23644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szCs w:val="24"/>
          <w:highlight w:val="none"/>
          <w14:textFill>
            <w14:solidFill>
              <w14:schemeClr w14:val="tx1"/>
            </w14:solidFill>
          </w14:textFill>
        </w:rPr>
        <w:t>第三节 投标须知正文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9FC6FDD">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_Toc19598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1、工程概况综合说明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627CF45">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_Toc14538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2、招标范围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964A53E">
      <w:pPr>
        <w:pStyle w:val="18"/>
        <w:tabs>
          <w:tab w:val="right" w:leader="dot" w:pos="8306"/>
        </w:tabs>
        <w:rPr>
          <w:rFonts w:hint="default" w:eastAsia="等线" w:asciiTheme="minorEastAsia" w:hAnsi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3、工期</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11</w:t>
      </w:r>
    </w:p>
    <w:p w14:paraId="2111CE6C">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_Toc22160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4、投标人资质及条件要求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506CD9E">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_Toc19195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5、工程招标内容及要求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C5A7A35">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_Toc25843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6、招标工程施工条件及现场踏勘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98B79CE">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_Toc20500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7、其他招标说明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0088E47">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_Toc18312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8、招标答疑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34F0BE5">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_Toc19156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9、投标报价的编制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8EAB21C">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_Toc1891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10、最高</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投标</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限价的确定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EAB24D7">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_Toc13330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11</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投标</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文件的编制要求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A9E4FC7">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_Toc32089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12、投标有效期及对投标人的其他要求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594A71CF">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_Toc31459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13</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3AF9C2D">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_Toc6038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14</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评标的方法和标准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4B5226D">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_Toc8759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15</w:t>
      </w:r>
      <w:r>
        <w:rPr>
          <w:rFonts w:hint="eastAsia" w:asciiTheme="minorEastAsia" w:hAnsiTheme="minorEastAsia" w:eastAsiaTheme="minorEastAsia" w:cstheme="minorEastAsia"/>
          <w:color w:val="000000" w:themeColor="text1"/>
          <w:kern w:val="2"/>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中标候选人公示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0325764">
      <w:pPr>
        <w:pStyle w:val="15"/>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_Toc9442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第二章 拟签订合同的主要条款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398B2F0">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_Toc13627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 工程承包方式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1A64135">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_Toc24837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2"/>
          <w:szCs w:val="24"/>
          <w:highlight w:val="none"/>
          <w14:textFill>
            <w14:solidFill>
              <w14:schemeClr w14:val="tx1"/>
            </w14:solidFill>
          </w14:textFill>
        </w:rPr>
        <w:t xml:space="preserve"> 工程结算原则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FBA1F79">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_Toc4915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2"/>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2"/>
          <w:szCs w:val="24"/>
          <w:highlight w:val="none"/>
          <w14:textFill>
            <w14:solidFill>
              <w14:schemeClr w14:val="tx1"/>
            </w14:solidFill>
          </w14:textFill>
        </w:rPr>
        <w:t xml:space="preserve"> 工程付款办法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5806551">
      <w:pPr>
        <w:pStyle w:val="15"/>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_Toc29022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第三章 中标人须知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878746B">
      <w:pPr>
        <w:pStyle w:val="15"/>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_Toc26670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第四章 投标人提交的其他材料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1CE1D06">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_Toc16764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1</w:t>
      </w:r>
      <w:r>
        <w:rPr>
          <w:rFonts w:hint="eastAsia" w:asciiTheme="minorEastAsia" w:hAnsiTheme="minorEastAsia" w:eastAsiaTheme="minorEastAsia" w:cstheme="minorEastAsia"/>
          <w:bCs/>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 xml:space="preserve"> 投标保证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71C32D0">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_Toc26440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2</w:t>
      </w:r>
      <w:r>
        <w:rPr>
          <w:rFonts w:hint="eastAsia" w:asciiTheme="minorEastAsia" w:hAnsiTheme="minorEastAsia" w:eastAsiaTheme="minorEastAsia" w:cstheme="minorEastAsia"/>
          <w:bCs/>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 xml:space="preserve"> 履约保证金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79</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DDB5576">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_Toc24561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3</w:t>
      </w:r>
      <w:r>
        <w:rPr>
          <w:rFonts w:hint="eastAsia" w:asciiTheme="minorEastAsia" w:hAnsiTheme="minorEastAsia" w:eastAsiaTheme="minorEastAsia" w:cstheme="minorEastAsia"/>
          <w:bCs/>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质量保证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80</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83D6D8F">
      <w:pPr>
        <w:pStyle w:val="15"/>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_Toc31291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第五章 招标工程的技术要求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A1D5079">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_Toc5947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t>1</w:t>
      </w:r>
      <w:r>
        <w:rPr>
          <w:rFonts w:hint="eastAsia" w:asciiTheme="minorEastAsia" w:hAnsiTheme="minorEastAsia" w:eastAsiaTheme="minorEastAsia" w:cstheme="minorEastAsia"/>
          <w:bCs/>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工程的技术要求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ECDE7E8">
      <w:pPr>
        <w:pStyle w:val="15"/>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_Toc10156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6"/>
          <w:highlight w:val="none"/>
          <w:lang w:val="en-US" w:eastAsia="zh-CN"/>
          <w14:textFill>
            <w14:solidFill>
              <w14:schemeClr w14:val="tx1"/>
            </w14:solidFill>
          </w14:textFill>
        </w:rPr>
        <w:t xml:space="preserve">第六章  </w:t>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招标文件的附件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83</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354A624">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_Toc6252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snapToGrid w:val="0"/>
          <w:color w:val="000000" w:themeColor="text1"/>
          <w:szCs w:val="24"/>
          <w:highlight w:val="none"/>
          <w14:textFill>
            <w14:solidFill>
              <w14:schemeClr w14:val="tx1"/>
            </w14:solidFill>
          </w14:textFill>
        </w:rPr>
        <w:t>格式一 封面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83</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125F3B3">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_Toc9668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格式二 《投标函》及《工程项目总价表》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84</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CE1EF60">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_Toc4068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格式三 各项</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承诺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86</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957DA51">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_Toc18488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格式四 授权委托书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7879832">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_Toc29587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格式五 法定代表人身份证明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92</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C918D99">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_Toc2862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格式六 联合体协议书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93</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281537A">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_Toc29507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格式七 投标人基本情况表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95</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3888F91">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_Toc31366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格式八 项目经理简历表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96</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12D9D9D">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_Toc428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格式九 项目经理任职声明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97</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C98A072">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_Toc17179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格式十 项目技术负责人简历表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98</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B4D9B1C">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_Toc12570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格式十一 项目设计负责人简历表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99</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114F073D">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_Toc27493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snapToGrid w:val="0"/>
          <w:color w:val="000000" w:themeColor="text1"/>
          <w:szCs w:val="24"/>
          <w:highlight w:val="none"/>
          <w14:textFill>
            <w14:solidFill>
              <w14:schemeClr w14:val="tx1"/>
            </w14:solidFill>
          </w14:textFill>
        </w:rPr>
        <w:t>格式十</w:t>
      </w:r>
      <w:r>
        <w:rPr>
          <w:rFonts w:hint="eastAsia" w:asciiTheme="minorEastAsia" w:hAnsiTheme="minorEastAsia" w:eastAsiaTheme="minorEastAsia" w:cstheme="minorEastAsia"/>
          <w:snapToGrid w:val="0"/>
          <w:color w:val="000000" w:themeColor="text1"/>
          <w:szCs w:val="24"/>
          <w:highlight w:val="none"/>
          <w:lang w:val="en-US" w:eastAsia="zh-CN"/>
          <w14:textFill>
            <w14:solidFill>
              <w14:schemeClr w14:val="tx1"/>
            </w14:solidFill>
          </w14:textFill>
        </w:rPr>
        <w:t>二</w:t>
      </w:r>
      <w:r>
        <w:rPr>
          <w:rFonts w:hint="eastAsia" w:asciiTheme="minorEastAsia" w:hAnsiTheme="minorEastAsia" w:eastAsiaTheme="minorEastAsia" w:cstheme="minorEastAsia"/>
          <w:snapToGrid w:val="0"/>
          <w:color w:val="000000" w:themeColor="text1"/>
          <w:szCs w:val="24"/>
          <w:highlight w:val="none"/>
          <w14:textFill>
            <w14:solidFill>
              <w14:schemeClr w14:val="tx1"/>
            </w14:solidFill>
          </w14:textFill>
        </w:rPr>
        <w:t xml:space="preserve"> 项目管理机构组成表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100</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140DAAB">
      <w:pPr>
        <w:pStyle w:val="18"/>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_Toc7707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格式十</w:t>
      </w:r>
      <w:r>
        <w:rPr>
          <w:rFonts w:hint="eastAsia" w:asciiTheme="minorEastAsia" w:hAnsiTheme="minorEastAsia" w:eastAsiaTheme="minorEastAsia" w:cstheme="minorEastAsia"/>
          <w:bCs/>
          <w:color w:val="000000" w:themeColor="text1"/>
          <w:szCs w:val="24"/>
          <w:highlight w:val="none"/>
          <w:lang w:val="en-US" w:eastAsia="zh-CN"/>
          <w14:textFill>
            <w14:solidFill>
              <w14:schemeClr w14:val="tx1"/>
            </w14:solidFill>
          </w14:textFill>
        </w:rPr>
        <w:t>三</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 xml:space="preserve"> 原件一览表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7D4F97D">
      <w:pPr>
        <w:pStyle w:val="15"/>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_Toc21994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0"/>
          <w:highlight w:val="none"/>
          <w14:textFill>
            <w14:solidFill>
              <w14:schemeClr w14:val="tx1"/>
            </w14:solidFill>
          </w14:textFill>
        </w:rPr>
        <w:t>第</w:t>
      </w:r>
      <w:r>
        <w:rPr>
          <w:rFonts w:hint="eastAsia" w:asciiTheme="minorEastAsia" w:hAnsiTheme="minorEastAsia" w:eastAsiaTheme="minorEastAsia" w:cstheme="minorEastAsia"/>
          <w:color w:val="000000" w:themeColor="text1"/>
          <w:kern w:val="44"/>
          <w:szCs w:val="30"/>
          <w:highlight w:val="none"/>
          <w:lang w:val="en-US" w:eastAsia="zh-CN"/>
          <w14:textFill>
            <w14:solidFill>
              <w14:schemeClr w14:val="tx1"/>
            </w14:solidFill>
          </w14:textFill>
        </w:rPr>
        <w:t>七</w:t>
      </w:r>
      <w:r>
        <w:rPr>
          <w:rFonts w:hint="eastAsia" w:asciiTheme="minorEastAsia" w:hAnsiTheme="minorEastAsia" w:eastAsiaTheme="minorEastAsia" w:cstheme="minorEastAsia"/>
          <w:color w:val="000000" w:themeColor="text1"/>
          <w:kern w:val="44"/>
          <w:szCs w:val="30"/>
          <w:highlight w:val="none"/>
          <w14:textFill>
            <w14:solidFill>
              <w14:schemeClr w14:val="tx1"/>
            </w14:solidFill>
          </w14:textFill>
        </w:rPr>
        <w:t>章  廉政合同、履约保函、预付款保函、支付保函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102</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29A159FC">
      <w:pPr>
        <w:pStyle w:val="10"/>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_Toc8348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32"/>
          <w:highlight w:val="none"/>
          <w14:textFill>
            <w14:solidFill>
              <w14:schemeClr w14:val="tx1"/>
            </w14:solidFill>
          </w14:textFill>
        </w:rPr>
        <w:t>廉政合同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102</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4E2FD31D">
      <w:pPr>
        <w:pStyle w:val="10"/>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_Toc1108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32"/>
          <w:highlight w:val="none"/>
          <w14:textFill>
            <w14:solidFill>
              <w14:schemeClr w14:val="tx1"/>
            </w14:solidFill>
          </w14:textFill>
        </w:rPr>
        <w:t>履约保函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105</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7EE3B564">
      <w:pPr>
        <w:pStyle w:val="10"/>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_Toc32564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32"/>
          <w:highlight w:val="none"/>
          <w14:textFill>
            <w14:solidFill>
              <w14:schemeClr w14:val="tx1"/>
            </w14:solidFill>
          </w14:textFill>
        </w:rPr>
        <w:t>预付款保函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107</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E26E459">
      <w:pPr>
        <w:pStyle w:val="10"/>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_Toc2094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Cs w:val="32"/>
          <w:highlight w:val="none"/>
          <w14:textFill>
            <w14:solidFill>
              <w14:schemeClr w14:val="tx1"/>
            </w14:solidFill>
          </w14:textFill>
        </w:rPr>
        <w:t>支付保函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109</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3B63A172">
      <w:pPr>
        <w:pStyle w:val="15"/>
        <w:tabs>
          <w:tab w:val="right" w:leader="dot" w:pos="8306"/>
        </w:tabs>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instrText xml:space="preserve"> HYPERLINK \l _Toc32097 </w:instrTex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第</w:t>
      </w:r>
      <w:r>
        <w:rPr>
          <w:rFonts w:hint="eastAsia" w:asciiTheme="minorEastAsia" w:hAnsiTheme="minorEastAsia" w:eastAsiaTheme="minorEastAsia" w:cstheme="minorEastAsia"/>
          <w:color w:val="000000" w:themeColor="text1"/>
          <w:kern w:val="44"/>
          <w:szCs w:val="36"/>
          <w:highlight w:val="none"/>
          <w:lang w:val="en-US" w:eastAsia="zh-CN"/>
          <w14:textFill>
            <w14:solidFill>
              <w14:schemeClr w14:val="tx1"/>
            </w14:solidFill>
          </w14:textFill>
        </w:rPr>
        <w:t>八</w:t>
      </w:r>
      <w:r>
        <w:rPr>
          <w:rFonts w:hint="eastAsia" w:asciiTheme="minorEastAsia" w:hAnsiTheme="minorEastAsia" w:eastAsiaTheme="minorEastAsia" w:cstheme="minorEastAsia"/>
          <w:color w:val="000000" w:themeColor="text1"/>
          <w:kern w:val="44"/>
          <w:szCs w:val="36"/>
          <w:highlight w:val="none"/>
          <w14:textFill>
            <w14:solidFill>
              <w14:schemeClr w14:val="tx1"/>
            </w14:solidFill>
          </w14:textFill>
        </w:rPr>
        <w:t>章  建设工程合同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111</w:t>
      </w:r>
      <w:r>
        <w:rPr>
          <w:color w:val="000000" w:themeColor="text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6307B97C">
      <w:pPr>
        <w:pStyle w:val="36"/>
        <w:tabs>
          <w:tab w:val="left" w:pos="4935"/>
        </w:tabs>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sectPr>
          <w:footerReference r:id="rId4" w:type="default"/>
          <w:endnotePr>
            <w:numFmt w:val="decimal"/>
          </w:endnotePr>
          <w:pgSz w:w="11906" w:h="16838"/>
          <w:pgMar w:top="1440" w:right="1800" w:bottom="1440" w:left="1800" w:header="851" w:footer="992" w:gutter="0"/>
          <w:pgNumType w:start="1"/>
          <w:cols w:space="720" w:num="1"/>
          <w:docGrid w:type="lines" w:linePitch="312" w:charSpace="0"/>
        </w:sect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fldChar w:fldCharType="end"/>
      </w:r>
    </w:p>
    <w:p w14:paraId="0A0B2040">
      <w:pPr>
        <w:pStyle w:val="37"/>
        <w:keepNext/>
        <w:keepLines/>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0" w:name="_Toc11543"/>
      <w:bookmarkStart w:id="1" w:name="_Hlt111690251"/>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第一章投标须知</w:t>
      </w:r>
      <w:bookmarkEnd w:id="0"/>
    </w:p>
    <w:p w14:paraId="538A9106">
      <w:pPr>
        <w:pStyle w:val="38"/>
        <w:keepNext/>
        <w:keepLines/>
        <w:autoSpaceDE/>
        <w:autoSpaceDN/>
        <w:adjustRightInd/>
        <w:spacing w:before="260" w:after="260" w:line="360" w:lineRule="exact"/>
        <w:ind w:firstLine="482" w:firstLineChars="20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 w:name="_Hlt127175444"/>
      <w:bookmarkEnd w:id="2"/>
      <w:bookmarkStart w:id="3" w:name="_Toc23299"/>
      <w:bookmarkStart w:id="4" w:name="_Hlt120077520"/>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第一节.投标须知前附表</w:t>
      </w:r>
      <w:bookmarkEnd w:id="3"/>
    </w:p>
    <w:tbl>
      <w:tblPr>
        <w:tblStyle w:val="21"/>
        <w:tblW w:w="1006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10"/>
        <w:gridCol w:w="1709"/>
        <w:gridCol w:w="7544"/>
      </w:tblGrid>
      <w:tr w14:paraId="3DBD7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6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7653E66C">
            <w:pPr>
              <w:pStyle w:val="36"/>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序</w:t>
            </w:r>
          </w:p>
          <w:p w14:paraId="6780CDE9">
            <w:pPr>
              <w:pStyle w:val="36"/>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号</w:t>
            </w:r>
          </w:p>
        </w:tc>
        <w:tc>
          <w:tcPr>
            <w:tcW w:w="1709" w:type="dxa"/>
            <w:tcBorders>
              <w:top w:val="single" w:color="auto" w:sz="4" w:space="0"/>
              <w:left w:val="single" w:color="auto" w:sz="4" w:space="0"/>
              <w:bottom w:val="single" w:color="auto" w:sz="4" w:space="0"/>
              <w:right w:val="single" w:color="auto" w:sz="4" w:space="0"/>
            </w:tcBorders>
            <w:noWrap/>
            <w:vAlign w:val="center"/>
          </w:tcPr>
          <w:p w14:paraId="49AE4A42">
            <w:pPr>
              <w:pStyle w:val="36"/>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内容</w:t>
            </w:r>
          </w:p>
        </w:tc>
        <w:tc>
          <w:tcPr>
            <w:tcW w:w="7544" w:type="dxa"/>
            <w:tcBorders>
              <w:top w:val="single" w:color="auto" w:sz="4" w:space="0"/>
              <w:left w:val="single" w:color="auto" w:sz="4" w:space="0"/>
              <w:bottom w:val="single" w:color="auto" w:sz="4" w:space="0"/>
              <w:right w:val="single" w:color="auto" w:sz="4" w:space="0"/>
            </w:tcBorders>
            <w:noWrap/>
            <w:vAlign w:val="center"/>
          </w:tcPr>
          <w:p w14:paraId="42F4043B">
            <w:pPr>
              <w:pStyle w:val="36"/>
              <w:tabs>
                <w:tab w:val="left" w:pos="1180"/>
              </w:tabs>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说明与要求</w:t>
            </w:r>
          </w:p>
        </w:tc>
      </w:tr>
      <w:tr w14:paraId="31F70F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5202EDA9">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1709" w:type="dxa"/>
            <w:tcBorders>
              <w:top w:val="single" w:color="auto" w:sz="4" w:space="0"/>
              <w:left w:val="single" w:color="auto" w:sz="4" w:space="0"/>
              <w:bottom w:val="single" w:color="auto" w:sz="4" w:space="0"/>
              <w:right w:val="single" w:color="auto" w:sz="4" w:space="0"/>
            </w:tcBorders>
            <w:noWrap/>
            <w:vAlign w:val="center"/>
          </w:tcPr>
          <w:p w14:paraId="274784CB">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名称</w:t>
            </w:r>
          </w:p>
        </w:tc>
        <w:tc>
          <w:tcPr>
            <w:tcW w:w="7544" w:type="dxa"/>
            <w:tcBorders>
              <w:top w:val="single" w:color="auto" w:sz="4" w:space="0"/>
              <w:left w:val="single" w:color="auto" w:sz="4" w:space="0"/>
              <w:bottom w:val="single" w:color="auto" w:sz="4" w:space="0"/>
              <w:right w:val="single" w:color="auto" w:sz="4" w:space="0"/>
            </w:tcBorders>
            <w:noWrap/>
            <w:vAlign w:val="top"/>
          </w:tcPr>
          <w:p w14:paraId="555CDF75">
            <w:pPr>
              <w:pStyle w:val="39"/>
              <w:wordWrap w:val="0"/>
              <w:adjustRightInd w:val="0"/>
              <w:snapToGrid w:val="0"/>
              <w:spacing w:line="360" w:lineRule="auto"/>
              <w:jc w:val="both"/>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南雄市古市镇圩镇综合建设和乡村振兴示范项目设计、施工总承包</w:t>
            </w:r>
          </w:p>
        </w:tc>
      </w:tr>
      <w:tr w14:paraId="667E2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1212849E">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p>
        </w:tc>
        <w:tc>
          <w:tcPr>
            <w:tcW w:w="1709" w:type="dxa"/>
            <w:tcBorders>
              <w:top w:val="single" w:color="auto" w:sz="4" w:space="0"/>
              <w:left w:val="single" w:color="auto" w:sz="4" w:space="0"/>
              <w:bottom w:val="single" w:color="auto" w:sz="4" w:space="0"/>
              <w:right w:val="single" w:color="auto" w:sz="4" w:space="0"/>
            </w:tcBorders>
            <w:noWrap/>
            <w:vAlign w:val="center"/>
          </w:tcPr>
          <w:p w14:paraId="2DC1AF30">
            <w:pPr>
              <w:pStyle w:val="36"/>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项目业主</w:t>
            </w:r>
          </w:p>
        </w:tc>
        <w:tc>
          <w:tcPr>
            <w:tcW w:w="7544" w:type="dxa"/>
            <w:tcBorders>
              <w:top w:val="single" w:color="auto" w:sz="4" w:space="0"/>
              <w:left w:val="single" w:color="auto" w:sz="4" w:space="0"/>
              <w:bottom w:val="single" w:color="auto" w:sz="4" w:space="0"/>
              <w:right w:val="single" w:color="auto" w:sz="4" w:space="0"/>
            </w:tcBorders>
            <w:noWrap/>
            <w:vAlign w:val="center"/>
          </w:tcPr>
          <w:p w14:paraId="28071C5D">
            <w:pPr>
              <w:pStyle w:val="36"/>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南雄市古市镇人民政府</w:t>
            </w:r>
          </w:p>
        </w:tc>
      </w:tr>
      <w:tr w14:paraId="1B5E5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4CE3855">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3</w:t>
            </w:r>
          </w:p>
        </w:tc>
        <w:tc>
          <w:tcPr>
            <w:tcW w:w="1709" w:type="dxa"/>
            <w:tcBorders>
              <w:top w:val="single" w:color="auto" w:sz="4" w:space="0"/>
              <w:left w:val="single" w:color="auto" w:sz="4" w:space="0"/>
              <w:bottom w:val="single" w:color="auto" w:sz="4" w:space="0"/>
              <w:right w:val="single" w:color="auto" w:sz="4" w:space="0"/>
            </w:tcBorders>
            <w:noWrap/>
            <w:vAlign w:val="center"/>
          </w:tcPr>
          <w:p w14:paraId="7DF55BAA">
            <w:pPr>
              <w:pStyle w:val="36"/>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项目批准部门</w:t>
            </w:r>
          </w:p>
        </w:tc>
        <w:tc>
          <w:tcPr>
            <w:tcW w:w="7544" w:type="dxa"/>
            <w:tcBorders>
              <w:top w:val="single" w:color="auto" w:sz="4" w:space="0"/>
              <w:left w:val="single" w:color="auto" w:sz="4" w:space="0"/>
              <w:bottom w:val="single" w:color="auto" w:sz="4" w:space="0"/>
              <w:right w:val="single" w:color="auto" w:sz="4" w:space="0"/>
            </w:tcBorders>
            <w:noWrap/>
            <w:vAlign w:val="center"/>
          </w:tcPr>
          <w:p w14:paraId="5F2090D9">
            <w:pPr>
              <w:pStyle w:val="36"/>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南雄市发展和改革局</w:t>
            </w:r>
          </w:p>
        </w:tc>
      </w:tr>
      <w:tr w14:paraId="031EF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24D266A">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4</w:t>
            </w:r>
          </w:p>
        </w:tc>
        <w:tc>
          <w:tcPr>
            <w:tcW w:w="1709" w:type="dxa"/>
            <w:tcBorders>
              <w:top w:val="single" w:color="auto" w:sz="4" w:space="0"/>
              <w:left w:val="single" w:color="auto" w:sz="4" w:space="0"/>
              <w:bottom w:val="single" w:color="auto" w:sz="4" w:space="0"/>
              <w:right w:val="single" w:color="auto" w:sz="4" w:space="0"/>
            </w:tcBorders>
            <w:noWrap/>
            <w:vAlign w:val="center"/>
          </w:tcPr>
          <w:p w14:paraId="6C46B387">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项目批准文号</w:t>
            </w:r>
          </w:p>
        </w:tc>
        <w:tc>
          <w:tcPr>
            <w:tcW w:w="7544" w:type="dxa"/>
            <w:tcBorders>
              <w:top w:val="single" w:color="auto" w:sz="4" w:space="0"/>
              <w:left w:val="single" w:color="auto" w:sz="4" w:space="0"/>
              <w:bottom w:val="single" w:color="auto" w:sz="4" w:space="0"/>
              <w:right w:val="single" w:color="auto" w:sz="4" w:space="0"/>
            </w:tcBorders>
            <w:noWrap/>
            <w:vAlign w:val="center"/>
          </w:tcPr>
          <w:p w14:paraId="16174243">
            <w:pPr>
              <w:wordWrap w:val="0"/>
              <w:adjustRightInd w:val="0"/>
              <w:snapToGrid w:val="0"/>
              <w:spacing w:line="360" w:lineRule="auto"/>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雄发改投审[2025]100号</w:t>
            </w:r>
          </w:p>
        </w:tc>
      </w:tr>
      <w:tr w14:paraId="6DB8A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389E08B8">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5</w:t>
            </w:r>
          </w:p>
        </w:tc>
        <w:tc>
          <w:tcPr>
            <w:tcW w:w="1709" w:type="dxa"/>
            <w:tcBorders>
              <w:top w:val="single" w:color="auto" w:sz="4" w:space="0"/>
              <w:left w:val="single" w:color="auto" w:sz="4" w:space="0"/>
              <w:bottom w:val="single" w:color="auto" w:sz="4" w:space="0"/>
              <w:right w:val="single" w:color="auto" w:sz="4" w:space="0"/>
            </w:tcBorders>
            <w:noWrap/>
            <w:vAlign w:val="center"/>
          </w:tcPr>
          <w:p w14:paraId="09AE85F7">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项目代码</w:t>
            </w:r>
          </w:p>
        </w:tc>
        <w:tc>
          <w:tcPr>
            <w:tcW w:w="7544" w:type="dxa"/>
            <w:tcBorders>
              <w:top w:val="single" w:color="auto" w:sz="4" w:space="0"/>
              <w:left w:val="single" w:color="auto" w:sz="4" w:space="0"/>
              <w:bottom w:val="single" w:color="auto" w:sz="4" w:space="0"/>
              <w:right w:val="single" w:color="auto" w:sz="4" w:space="0"/>
            </w:tcBorders>
            <w:noWrap/>
            <w:vAlign w:val="center"/>
          </w:tcPr>
          <w:p w14:paraId="7732AE4D">
            <w:pPr>
              <w:wordWrap w:val="0"/>
              <w:adjustRightInd w:val="0"/>
              <w:snapToGrid w:val="0"/>
              <w:spacing w:line="360" w:lineRule="auto"/>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2504-440282-17-01-692792</w:t>
            </w:r>
          </w:p>
        </w:tc>
      </w:tr>
      <w:tr w14:paraId="7CB76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2C6D0B39">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6</w:t>
            </w:r>
          </w:p>
        </w:tc>
        <w:tc>
          <w:tcPr>
            <w:tcW w:w="1709" w:type="dxa"/>
            <w:tcBorders>
              <w:top w:val="single" w:color="auto" w:sz="4" w:space="0"/>
              <w:left w:val="single" w:color="auto" w:sz="4" w:space="0"/>
              <w:bottom w:val="single" w:color="auto" w:sz="4" w:space="0"/>
              <w:right w:val="single" w:color="auto" w:sz="4" w:space="0"/>
            </w:tcBorders>
            <w:noWrap/>
            <w:vAlign w:val="center"/>
          </w:tcPr>
          <w:p w14:paraId="3DD3F795">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资金来源</w:t>
            </w:r>
          </w:p>
          <w:p w14:paraId="7533B92D">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及出资比例</w:t>
            </w:r>
          </w:p>
        </w:tc>
        <w:tc>
          <w:tcPr>
            <w:tcW w:w="7544" w:type="dxa"/>
            <w:tcBorders>
              <w:top w:val="single" w:color="auto" w:sz="4" w:space="0"/>
              <w:left w:val="single" w:color="auto" w:sz="4" w:space="0"/>
              <w:bottom w:val="single" w:color="auto" w:sz="4" w:space="0"/>
              <w:right w:val="single" w:color="auto" w:sz="4" w:space="0"/>
            </w:tcBorders>
            <w:noWrap/>
            <w:vAlign w:val="center"/>
          </w:tcPr>
          <w:p w14:paraId="75701D46">
            <w:pPr>
              <w:pStyle w:val="36"/>
              <w:tabs>
                <w:tab w:val="left" w:pos="1180"/>
              </w:tabs>
              <w:jc w:val="left"/>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由上级财政资金安排解决，100%</w:t>
            </w:r>
          </w:p>
        </w:tc>
      </w:tr>
      <w:tr w14:paraId="2FE46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3C10519">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w:t>
            </w:r>
          </w:p>
        </w:tc>
        <w:tc>
          <w:tcPr>
            <w:tcW w:w="1709" w:type="dxa"/>
            <w:tcBorders>
              <w:top w:val="single" w:color="auto" w:sz="4" w:space="0"/>
              <w:left w:val="single" w:color="auto" w:sz="4" w:space="0"/>
              <w:bottom w:val="single" w:color="auto" w:sz="4" w:space="0"/>
              <w:right w:val="single" w:color="auto" w:sz="4" w:space="0"/>
            </w:tcBorders>
            <w:noWrap/>
            <w:vAlign w:val="center"/>
          </w:tcPr>
          <w:p w14:paraId="30F2C763">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招标人</w:t>
            </w:r>
          </w:p>
        </w:tc>
        <w:tc>
          <w:tcPr>
            <w:tcW w:w="7544" w:type="dxa"/>
            <w:tcBorders>
              <w:top w:val="single" w:color="auto" w:sz="4" w:space="0"/>
              <w:left w:val="single" w:color="auto" w:sz="4" w:space="0"/>
              <w:bottom w:val="single" w:color="auto" w:sz="4" w:space="0"/>
              <w:right w:val="single" w:color="auto" w:sz="4" w:space="0"/>
            </w:tcBorders>
            <w:noWrap/>
            <w:vAlign w:val="center"/>
          </w:tcPr>
          <w:p w14:paraId="7D027C52">
            <w:pPr>
              <w:pStyle w:val="36"/>
              <w:rPr>
                <w:rFonts w:hint="eastAsia" w:asciiTheme="minorEastAsia" w:hAnsiTheme="minorEastAsia" w:eastAsiaTheme="minorEastAsia" w:cstheme="minorEastAsia"/>
                <w:bCs/>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南雄市古市镇人民政府</w:t>
            </w:r>
          </w:p>
        </w:tc>
      </w:tr>
      <w:tr w14:paraId="341DB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8"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0EF99DD">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8</w:t>
            </w:r>
          </w:p>
        </w:tc>
        <w:tc>
          <w:tcPr>
            <w:tcW w:w="1709" w:type="dxa"/>
            <w:tcBorders>
              <w:top w:val="single" w:color="auto" w:sz="4" w:space="0"/>
              <w:left w:val="single" w:color="auto" w:sz="4" w:space="0"/>
              <w:bottom w:val="single" w:color="auto" w:sz="4" w:space="0"/>
              <w:right w:val="single" w:color="auto" w:sz="4" w:space="0"/>
            </w:tcBorders>
            <w:noWrap/>
            <w:vAlign w:val="center"/>
          </w:tcPr>
          <w:p w14:paraId="63B486E7">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招标代理机构</w:t>
            </w:r>
          </w:p>
        </w:tc>
        <w:tc>
          <w:tcPr>
            <w:tcW w:w="7544" w:type="dxa"/>
            <w:tcBorders>
              <w:top w:val="single" w:color="auto" w:sz="4" w:space="0"/>
              <w:left w:val="single" w:color="auto" w:sz="4" w:space="0"/>
              <w:bottom w:val="single" w:color="auto" w:sz="4" w:space="0"/>
              <w:right w:val="single" w:color="auto" w:sz="4" w:space="0"/>
            </w:tcBorders>
            <w:noWrap/>
            <w:vAlign w:val="center"/>
          </w:tcPr>
          <w:p w14:paraId="16F133CA">
            <w:pPr>
              <w:pStyle w:val="36"/>
              <w:jc w:val="left"/>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中恒和咨询有限公司</w:t>
            </w:r>
          </w:p>
        </w:tc>
      </w:tr>
      <w:tr w14:paraId="2BF5A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7341781E">
            <w:pPr>
              <w:pStyle w:val="36"/>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9</w:t>
            </w:r>
          </w:p>
        </w:tc>
        <w:tc>
          <w:tcPr>
            <w:tcW w:w="1709" w:type="dxa"/>
            <w:tcBorders>
              <w:top w:val="single" w:color="auto" w:sz="4" w:space="0"/>
              <w:left w:val="single" w:color="auto" w:sz="4" w:space="0"/>
              <w:bottom w:val="single" w:color="auto" w:sz="4" w:space="0"/>
              <w:right w:val="single" w:color="auto" w:sz="4" w:space="0"/>
            </w:tcBorders>
            <w:noWrap/>
            <w:vAlign w:val="center"/>
          </w:tcPr>
          <w:p w14:paraId="3F8C2B89">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项目总投资</w:t>
            </w:r>
          </w:p>
        </w:tc>
        <w:tc>
          <w:tcPr>
            <w:tcW w:w="7544" w:type="dxa"/>
            <w:tcBorders>
              <w:top w:val="single" w:color="auto" w:sz="4" w:space="0"/>
              <w:left w:val="single" w:color="auto" w:sz="4" w:space="0"/>
              <w:bottom w:val="single" w:color="auto" w:sz="4" w:space="0"/>
              <w:right w:val="single" w:color="auto" w:sz="4" w:space="0"/>
            </w:tcBorders>
            <w:noWrap/>
            <w:vAlign w:val="center"/>
          </w:tcPr>
          <w:p w14:paraId="1F31922D">
            <w:pPr>
              <w:pStyle w:val="36"/>
              <w:jc w:val="left"/>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本次招标概算总投资1500.00万元，其中:建安工程费约1200.00万元，设计费约27.432万元。</w:t>
            </w:r>
          </w:p>
        </w:tc>
      </w:tr>
      <w:tr w14:paraId="35CAA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1FF009B5">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w:t>
            </w:r>
          </w:p>
        </w:tc>
        <w:tc>
          <w:tcPr>
            <w:tcW w:w="1709" w:type="dxa"/>
            <w:tcBorders>
              <w:top w:val="single" w:color="auto" w:sz="4" w:space="0"/>
              <w:left w:val="single" w:color="auto" w:sz="4" w:space="0"/>
              <w:bottom w:val="single" w:color="auto" w:sz="4" w:space="0"/>
              <w:right w:val="single" w:color="auto" w:sz="4" w:space="0"/>
            </w:tcBorders>
            <w:noWrap/>
            <w:vAlign w:val="center"/>
          </w:tcPr>
          <w:p w14:paraId="2DA831A3">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建设地点</w:t>
            </w:r>
          </w:p>
        </w:tc>
        <w:tc>
          <w:tcPr>
            <w:tcW w:w="7544" w:type="dxa"/>
            <w:tcBorders>
              <w:top w:val="single" w:color="auto" w:sz="4" w:space="0"/>
              <w:left w:val="single" w:color="auto" w:sz="4" w:space="0"/>
              <w:bottom w:val="single" w:color="auto" w:sz="4" w:space="0"/>
              <w:right w:val="single" w:color="auto" w:sz="4" w:space="0"/>
            </w:tcBorders>
            <w:noWrap/>
            <w:vAlign w:val="center"/>
          </w:tcPr>
          <w:p w14:paraId="48010CA5">
            <w:pPr>
              <w:pStyle w:val="36"/>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南雄市古市镇辖区</w:t>
            </w:r>
            <w:r>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r>
      <w:tr w14:paraId="359E8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992"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7DF3B266">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w:t>
            </w:r>
          </w:p>
        </w:tc>
        <w:tc>
          <w:tcPr>
            <w:tcW w:w="1709" w:type="dxa"/>
            <w:tcBorders>
              <w:top w:val="single" w:color="auto" w:sz="4" w:space="0"/>
              <w:left w:val="single" w:color="auto" w:sz="4" w:space="0"/>
              <w:bottom w:val="single" w:color="auto" w:sz="4" w:space="0"/>
              <w:right w:val="single" w:color="auto" w:sz="4" w:space="0"/>
            </w:tcBorders>
            <w:noWrap/>
            <w:vAlign w:val="center"/>
          </w:tcPr>
          <w:p w14:paraId="62F59E6B">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项目建设内容</w:t>
            </w:r>
          </w:p>
          <w:p w14:paraId="428D692E">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和规模</w:t>
            </w:r>
          </w:p>
        </w:tc>
        <w:tc>
          <w:tcPr>
            <w:tcW w:w="7544" w:type="dxa"/>
            <w:tcBorders>
              <w:top w:val="single" w:color="auto" w:sz="4" w:space="0"/>
              <w:left w:val="single" w:color="auto" w:sz="4" w:space="0"/>
              <w:bottom w:val="single" w:color="auto" w:sz="4" w:space="0"/>
              <w:right w:val="single" w:color="auto" w:sz="4" w:space="0"/>
            </w:tcBorders>
            <w:noWrap/>
            <w:vAlign w:val="center"/>
          </w:tcPr>
          <w:p w14:paraId="1C54AF89">
            <w:pPr>
              <w:pStyle w:val="8"/>
              <w:spacing w:before="64" w:line="360" w:lineRule="auto"/>
              <w:ind w:right="96"/>
              <w:jc w:val="both"/>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一）古市镇古市大道基础设施建设项目：总面积约29.34亩，建设内容：①对南雄市第三小学西南侧地块建设慢行步道，长度约为1000米；②建设市民休憩广场约7000平方米，配套球场、电动自行车停车场及充电设施、无障碍设施、凉亭廊道、太阳能灯等；③古市镇美丽圩镇客厅项目，用地面积280平方米；</w:t>
            </w:r>
          </w:p>
          <w:p w14:paraId="4A1B9614">
            <w:pPr>
              <w:pStyle w:val="8"/>
              <w:spacing w:before="64" w:line="360" w:lineRule="auto"/>
              <w:ind w:right="96"/>
              <w:jc w:val="both"/>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（二）美丽圩镇入口通道提升项目：对南雄城区至古市大道及马市镇往古市大道交汇点处实施门户形象提升塑造，沿线完成道路建筑风貌改造；</w:t>
            </w:r>
          </w:p>
          <w:p w14:paraId="6C92F205">
            <w:pPr>
              <w:pStyle w:val="8"/>
              <w:spacing w:before="64" w:line="360" w:lineRule="auto"/>
              <w:ind w:right="96"/>
              <w:jc w:val="both"/>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（三）农贸市场提升项目：对农贸市场进行规划布局提升，各摊位按照功能进行区分，完善设施，增加智能智慧设备、食品安全快检公示栏等；</w:t>
            </w:r>
          </w:p>
          <w:p w14:paraId="6C014A3B">
            <w:pPr>
              <w:pStyle w:val="8"/>
              <w:spacing w:before="64" w:line="360" w:lineRule="auto"/>
              <w:ind w:right="96"/>
              <w:jc w:val="both"/>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（四）古市圩镇风貌提升工程：对圩镇道路沿线“六乱”现象进行整治；对镇区范围内进行人居环境整治；对镇区进行</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管线整理，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整治长度约1.5公里，增加圩镇沿线绿植约1000平方米；对主要街道及周边破损路面进行黑底化建设(约2公里)，完善交通标线与路灯设施；对铁皮房顶进行整治，对建筑外立面整体提升改造。</w:t>
            </w:r>
          </w:p>
        </w:tc>
      </w:tr>
      <w:tr w14:paraId="60489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08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5A77891D">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12</w:t>
            </w:r>
          </w:p>
        </w:tc>
        <w:tc>
          <w:tcPr>
            <w:tcW w:w="1709" w:type="dxa"/>
            <w:tcBorders>
              <w:top w:val="single" w:color="auto" w:sz="4" w:space="0"/>
              <w:left w:val="single" w:color="auto" w:sz="4" w:space="0"/>
              <w:bottom w:val="single" w:color="auto" w:sz="4" w:space="0"/>
              <w:right w:val="single" w:color="auto" w:sz="4" w:space="0"/>
            </w:tcBorders>
            <w:noWrap/>
            <w:vAlign w:val="center"/>
          </w:tcPr>
          <w:p w14:paraId="00C6DBEB">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招标范围</w:t>
            </w:r>
          </w:p>
          <w:p w14:paraId="28FE0162">
            <w:pPr>
              <w:pStyle w:val="36"/>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tc>
        <w:tc>
          <w:tcPr>
            <w:tcW w:w="7544" w:type="dxa"/>
            <w:tcBorders>
              <w:top w:val="single" w:color="auto" w:sz="4" w:space="0"/>
              <w:left w:val="single" w:color="auto" w:sz="4" w:space="0"/>
              <w:bottom w:val="single" w:color="auto" w:sz="4" w:space="0"/>
              <w:right w:val="single" w:color="auto" w:sz="4" w:space="0"/>
            </w:tcBorders>
            <w:noWrap/>
            <w:vAlign w:val="center"/>
          </w:tcPr>
          <w:p w14:paraId="73B9AD67">
            <w:pPr>
              <w:pStyle w:val="36"/>
              <w:ind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本工程所涉及的内容包括但不限于以下（1）</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p w14:paraId="056307B2">
            <w:pPr>
              <w:pStyle w:val="36"/>
              <w:numPr>
                <w:ilvl w:val="0"/>
                <w:numId w:val="0"/>
              </w:numPr>
              <w:ind w:leftChars="0"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设计部分：</w:t>
            </w:r>
            <w:r>
              <w:rPr>
                <w:rFonts w:hint="eastAsia" w:asciiTheme="minorEastAsia" w:hAnsiTheme="minorEastAsia" w:eastAsiaTheme="minorEastAsia" w:cstheme="minorEastAsia"/>
                <w:snapToGrid w:val="0"/>
                <w:color w:val="000000" w:themeColor="text1"/>
                <w:kern w:val="0"/>
                <w:sz w:val="24"/>
                <w:szCs w:val="24"/>
                <w:highlight w:val="none"/>
                <w:lang w:val="zh-CN"/>
                <w14:textFill>
                  <w14:solidFill>
                    <w14:schemeClr w14:val="tx1"/>
                  </w14:solidFill>
                </w14:textFill>
              </w:rPr>
              <w:t>确保项目顺利实施的报建、报批、施工等所需的所有建安工程等设计文件。包括但不限于：施工图设计、</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提供项目所需相关检测项的明细表和危险性较大的分部分项工程清单及保障安全相关说明、</w:t>
            </w:r>
            <w:r>
              <w:rPr>
                <w:rFonts w:hint="eastAsia" w:asciiTheme="minorEastAsia" w:hAnsiTheme="minorEastAsia" w:eastAsiaTheme="minorEastAsia" w:cstheme="minorEastAsia"/>
                <w:snapToGrid w:val="0"/>
                <w:color w:val="000000" w:themeColor="text1"/>
                <w:kern w:val="0"/>
                <w:sz w:val="24"/>
                <w:szCs w:val="24"/>
                <w:highlight w:val="none"/>
                <w:lang w:val="zh-CN"/>
                <w14:textFill>
                  <w14:solidFill>
                    <w14:schemeClr w14:val="tx1"/>
                  </w14:solidFill>
                </w14:textFill>
              </w:rPr>
              <w:t>工地现场服务、验收过程中的设计指导及配合阶段验收及档案整理、协助施工单位编制竣工图及后续设计服务工作</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p w14:paraId="207314B3">
            <w:pPr>
              <w:pStyle w:val="36"/>
              <w:ind w:firstLine="241"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注：设计文件深度要求必须满足</w:t>
            </w:r>
            <w:r>
              <w:rPr>
                <w:rFonts w:hint="eastAsia" w:asciiTheme="minorEastAsia" w:hAnsiTheme="minorEastAsia" w:eastAsiaTheme="minorEastAsia" w:cstheme="minorEastAsia"/>
                <w:b/>
                <w:bCs/>
                <w:snapToGrid w:val="0"/>
                <w:color w:val="000000" w:themeColor="text1"/>
                <w:kern w:val="0"/>
                <w:sz w:val="24"/>
                <w:szCs w:val="24"/>
                <w:highlight w:val="none"/>
                <w:lang w:eastAsia="zh-CN"/>
                <w14:textFill>
                  <w14:solidFill>
                    <w14:schemeClr w14:val="tx1"/>
                  </w14:solidFill>
                </w14:textFill>
              </w:rPr>
              <w:t>住房和城乡建设部</w:t>
            </w: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《建筑工程设计文件编制深度规定（20</w:t>
            </w:r>
            <w:r>
              <w:rPr>
                <w:rFonts w:hint="eastAsia" w:asciiTheme="minorEastAsia" w:hAnsiTheme="minorEastAsia" w:eastAsiaTheme="minorEastAsia" w:cstheme="minorEastAsia"/>
                <w:b/>
                <w:bCs/>
                <w:snapToGrid w:val="0"/>
                <w:color w:val="000000" w:themeColor="text1"/>
                <w:kern w:val="0"/>
                <w:sz w:val="24"/>
                <w:szCs w:val="24"/>
                <w:highlight w:val="none"/>
                <w:lang w:val="en-US" w:eastAsia="zh-CN"/>
                <w14:textFill>
                  <w14:solidFill>
                    <w14:schemeClr w14:val="tx1"/>
                  </w14:solidFill>
                </w14:textFill>
              </w:rPr>
              <w:t>23</w:t>
            </w: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版）》的要求，各专业还应该满足各专业工程设计文件编制深度规范或规定的要求</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p w14:paraId="4D5FC0A0">
            <w:pPr>
              <w:pStyle w:val="36"/>
              <w:ind w:firstLine="240" w:firstLineChars="1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）施工部分：设计文件及工程量清单范围内的所有工程及配套工程、设施等的施工</w:t>
            </w:r>
            <w:r>
              <w:rPr>
                <w:rFonts w:hint="eastAsia" w:hAnsi="宋体" w:cs="Calibri"/>
                <w:bCs/>
                <w:color w:val="000000" w:themeColor="text1"/>
                <w:sz w:val="24"/>
                <w:szCs w:val="24"/>
                <w:highlight w:val="none"/>
                <w:lang w:val="zh-CN"/>
                <w14:textFill>
                  <w14:solidFill>
                    <w14:schemeClr w14:val="tx1"/>
                  </w14:solidFill>
                </w14:textFill>
              </w:rPr>
              <w:t>（含竣工验收资料编制整理、备案等），完成并配合发包人结算、负责工程缺陷保修以及发包人要求由施工单位完成的其他工作（发包人另行委托其他单位负责实施的工作内容除外，但需提供一系列协调及配合服务）等</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tc>
      </w:tr>
      <w:tr w14:paraId="4CDE6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4BA5D47">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13</w:t>
            </w:r>
          </w:p>
        </w:tc>
        <w:tc>
          <w:tcPr>
            <w:tcW w:w="1709" w:type="dxa"/>
            <w:tcBorders>
              <w:top w:val="single" w:color="auto" w:sz="4" w:space="0"/>
              <w:left w:val="single" w:color="auto" w:sz="4" w:space="0"/>
              <w:bottom w:val="single" w:color="auto" w:sz="4" w:space="0"/>
              <w:right w:val="single" w:color="auto" w:sz="4" w:space="0"/>
            </w:tcBorders>
            <w:noWrap/>
            <w:vAlign w:val="center"/>
          </w:tcPr>
          <w:p w14:paraId="0B2F559C">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标段划分</w:t>
            </w:r>
          </w:p>
        </w:tc>
        <w:tc>
          <w:tcPr>
            <w:tcW w:w="7544" w:type="dxa"/>
            <w:tcBorders>
              <w:top w:val="single" w:color="auto" w:sz="4" w:space="0"/>
              <w:left w:val="single" w:color="auto" w:sz="4" w:space="0"/>
              <w:bottom w:val="single" w:color="auto" w:sz="4" w:space="0"/>
              <w:right w:val="single" w:color="auto" w:sz="4" w:space="0"/>
            </w:tcBorders>
            <w:noWrap/>
            <w:vAlign w:val="center"/>
          </w:tcPr>
          <w:p w14:paraId="17667584">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本招标项目不划分标段。</w:t>
            </w:r>
          </w:p>
        </w:tc>
      </w:tr>
      <w:tr w14:paraId="52644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71DC62B">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14</w:t>
            </w:r>
          </w:p>
        </w:tc>
        <w:tc>
          <w:tcPr>
            <w:tcW w:w="1709" w:type="dxa"/>
            <w:tcBorders>
              <w:top w:val="single" w:color="auto" w:sz="4" w:space="0"/>
              <w:left w:val="single" w:color="auto" w:sz="4" w:space="0"/>
              <w:bottom w:val="single" w:color="auto" w:sz="4" w:space="0"/>
              <w:right w:val="single" w:color="auto" w:sz="4" w:space="0"/>
            </w:tcBorders>
            <w:noWrap/>
            <w:vAlign w:val="center"/>
          </w:tcPr>
          <w:p w14:paraId="215D7159">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工期</w:t>
            </w:r>
          </w:p>
        </w:tc>
        <w:tc>
          <w:tcPr>
            <w:tcW w:w="7544" w:type="dxa"/>
            <w:tcBorders>
              <w:top w:val="single" w:color="auto" w:sz="4" w:space="0"/>
              <w:left w:val="single" w:color="auto" w:sz="4" w:space="0"/>
              <w:bottom w:val="single" w:color="auto" w:sz="4" w:space="0"/>
              <w:right w:val="single" w:color="auto" w:sz="4" w:space="0"/>
            </w:tcBorders>
            <w:noWrap/>
            <w:vAlign w:val="center"/>
          </w:tcPr>
          <w:p w14:paraId="24DE7874">
            <w:pPr>
              <w:wordWrap w:val="0"/>
              <w:adjustRightInd w:val="0"/>
              <w:snapToGrid w:val="0"/>
              <w:spacing w:line="360" w:lineRule="auto"/>
              <w:ind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本项目设计、施工总工期</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240</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日历天，其中：设计工期为</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30</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日历天</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施工工期为</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210</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日历天。</w:t>
            </w:r>
          </w:p>
        </w:tc>
      </w:tr>
      <w:tr w14:paraId="0A2981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459"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4E5E7E4">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15</w:t>
            </w:r>
          </w:p>
        </w:tc>
        <w:tc>
          <w:tcPr>
            <w:tcW w:w="1709" w:type="dxa"/>
            <w:tcBorders>
              <w:top w:val="single" w:color="auto" w:sz="4" w:space="0"/>
              <w:left w:val="single" w:color="auto" w:sz="4" w:space="0"/>
              <w:bottom w:val="single" w:color="auto" w:sz="4" w:space="0"/>
              <w:right w:val="single" w:color="auto" w:sz="4" w:space="0"/>
            </w:tcBorders>
            <w:noWrap/>
            <w:vAlign w:val="center"/>
          </w:tcPr>
          <w:p w14:paraId="31AA2064">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质量标准</w:t>
            </w:r>
          </w:p>
        </w:tc>
        <w:tc>
          <w:tcPr>
            <w:tcW w:w="7544" w:type="dxa"/>
            <w:tcBorders>
              <w:top w:val="single" w:color="auto" w:sz="4" w:space="0"/>
              <w:left w:val="single" w:color="auto" w:sz="4" w:space="0"/>
              <w:bottom w:val="single" w:color="auto" w:sz="4" w:space="0"/>
              <w:right w:val="single" w:color="auto" w:sz="4" w:space="0"/>
            </w:tcBorders>
            <w:noWrap/>
            <w:vAlign w:val="center"/>
          </w:tcPr>
          <w:p w14:paraId="42A8D1A7">
            <w:pPr>
              <w:pStyle w:val="36"/>
              <w:ind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hAnsi="宋体" w:cs="Calibri"/>
                <w:bCs/>
                <w:color w:val="000000" w:themeColor="text1"/>
                <w:sz w:val="24"/>
                <w:szCs w:val="24"/>
                <w:highlight w:val="none"/>
                <w:lang w:val="zh-CN"/>
                <w14:textFill>
                  <w14:solidFill>
                    <w14:schemeClr w14:val="tx1"/>
                  </w14:solidFill>
                </w14:textFill>
              </w:rPr>
              <w:t>（</w:t>
            </w:r>
            <w:r>
              <w:rPr>
                <w:rFonts w:hint="eastAsia" w:hAnsi="宋体" w:cs="Calibri"/>
                <w:bCs/>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设计要求：符合国家或行业颁布的现行有效的有关设计的规范要求，符合设计任务书的相关要求，并必须通过有关部门的审查及经有资质的审图机构审查合格。</w:t>
            </w:r>
          </w:p>
          <w:p w14:paraId="1154AF97">
            <w:pPr>
              <w:pStyle w:val="36"/>
              <w:ind w:firstLine="240" w:firstLineChars="100"/>
              <w:jc w:val="left"/>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hAnsi="宋体" w:cs="Calibri"/>
                <w:bCs/>
                <w:color w:val="000000" w:themeColor="text1"/>
                <w:sz w:val="24"/>
                <w:szCs w:val="24"/>
                <w:highlight w:val="none"/>
                <w:lang w:val="zh-CN"/>
                <w14:textFill>
                  <w14:solidFill>
                    <w14:schemeClr w14:val="tx1"/>
                  </w14:solidFill>
                </w14:textFill>
              </w:rPr>
              <w:t>（</w:t>
            </w:r>
            <w:r>
              <w:rPr>
                <w:rFonts w:hint="eastAsia" w:hAnsi="宋体" w:cs="Calibri"/>
                <w:bCs/>
                <w:color w:val="000000" w:themeColor="text1"/>
                <w:sz w:val="24"/>
                <w:szCs w:val="24"/>
                <w:highlight w:val="none"/>
                <w:lang w:val="en-US" w:eastAsia="zh-CN"/>
                <w14:textFill>
                  <w14:solidFill>
                    <w14:schemeClr w14:val="tx1"/>
                  </w14:solidFill>
                </w14:textFill>
              </w:rPr>
              <w:t>2）施工</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要求：施工质量必须达到合格标准</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符合现行国家有关工程施工质量验收规范和标准的要求。</w:t>
            </w:r>
          </w:p>
        </w:tc>
      </w:tr>
      <w:tr w14:paraId="3BDB02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79F774C9">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16</w:t>
            </w:r>
          </w:p>
        </w:tc>
        <w:tc>
          <w:tcPr>
            <w:tcW w:w="1709" w:type="dxa"/>
            <w:tcBorders>
              <w:top w:val="single" w:color="auto" w:sz="4" w:space="0"/>
              <w:left w:val="single" w:color="auto" w:sz="4" w:space="0"/>
              <w:bottom w:val="single" w:color="auto" w:sz="4" w:space="0"/>
              <w:right w:val="single" w:color="auto" w:sz="4" w:space="0"/>
            </w:tcBorders>
            <w:noWrap/>
            <w:vAlign w:val="center"/>
          </w:tcPr>
          <w:p w14:paraId="6A56A3F8">
            <w:pPr>
              <w:pStyle w:val="36"/>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工程最高投标限价</w:t>
            </w:r>
          </w:p>
        </w:tc>
        <w:tc>
          <w:tcPr>
            <w:tcW w:w="7544" w:type="dxa"/>
            <w:tcBorders>
              <w:top w:val="single" w:color="auto" w:sz="4" w:space="0"/>
              <w:left w:val="single" w:color="auto" w:sz="4" w:space="0"/>
              <w:bottom w:val="single" w:color="auto" w:sz="4" w:space="0"/>
              <w:right w:val="single" w:color="auto" w:sz="4" w:space="0"/>
            </w:tcBorders>
            <w:noWrap/>
            <w:vAlign w:val="center"/>
          </w:tcPr>
          <w:p w14:paraId="77F7CFEF">
            <w:pPr>
              <w:pStyle w:val="36"/>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本招标项目最高投标限价在开标前15天另行发布于全国公共资源交易平台（广东省·韶关市）（https://ygp.gdzwfw.gov..cn/ggzy-portal/#/440200/index）、</w:t>
            </w:r>
          </w:p>
          <w:p w14:paraId="72241113">
            <w:pPr>
              <w:pStyle w:val="36"/>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广东省招标投标监管网（https://www.gdzwfw.gov.cn/ztbjg-portal/#/index）网站。</w:t>
            </w:r>
          </w:p>
        </w:tc>
      </w:tr>
      <w:tr w14:paraId="5516B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17FE1282">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17</w:t>
            </w:r>
          </w:p>
        </w:tc>
        <w:tc>
          <w:tcPr>
            <w:tcW w:w="1709" w:type="dxa"/>
            <w:tcBorders>
              <w:top w:val="single" w:color="auto" w:sz="4" w:space="0"/>
              <w:left w:val="single" w:color="auto" w:sz="4" w:space="0"/>
              <w:bottom w:val="single" w:color="auto" w:sz="4" w:space="0"/>
              <w:right w:val="single" w:color="auto" w:sz="4" w:space="0"/>
            </w:tcBorders>
            <w:noWrap/>
            <w:vAlign w:val="center"/>
          </w:tcPr>
          <w:p w14:paraId="2E41CA2A">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投标人资格要求</w:t>
            </w:r>
          </w:p>
        </w:tc>
        <w:tc>
          <w:tcPr>
            <w:tcW w:w="7544" w:type="dxa"/>
            <w:tcBorders>
              <w:top w:val="single" w:color="auto" w:sz="4" w:space="0"/>
              <w:left w:val="single" w:color="auto" w:sz="4" w:space="0"/>
              <w:bottom w:val="single" w:color="auto" w:sz="4" w:space="0"/>
              <w:right w:val="single" w:color="auto" w:sz="4" w:space="0"/>
            </w:tcBorders>
            <w:noWrap/>
            <w:vAlign w:val="center"/>
          </w:tcPr>
          <w:p w14:paraId="47D4AE16">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本次招标接受联合体投标，联合体以一个投标人的身份共同投标。</w:t>
            </w:r>
          </w:p>
          <w:p w14:paraId="3D019FEA">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1.1．联合体成员数量不超过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个。</w:t>
            </w:r>
          </w:p>
          <w:p w14:paraId="3B1FA3B9">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1.2．联合体各方应按招标文件提供的格式签订联合体协议书，明确联合体牵头人和各方权利义务，并承诺就中标项目向招标人承担连带责任。《联合体协议书》作为投标文件的组成部分向招标人提交。</w:t>
            </w:r>
          </w:p>
          <w:p w14:paraId="3B47EEC0">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1.3．联合体成员单位均应具备拟承担的工作内容（以《联合体协议书》的约定为准）所规定的资格条件。若同一工作内容由两个或两个以上单位共同承担，该项工作内容按照资质等级较低的单位确定联合体资质等级。</w:t>
            </w:r>
          </w:p>
          <w:p w14:paraId="4923642A">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1.4．联合体各方不得再以自己名义单独或参加其他联合体在本招标项目中投标，否则各相关投标均无效。</w:t>
            </w:r>
          </w:p>
          <w:p w14:paraId="1F4147C8">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2．资格资质要求</w:t>
            </w:r>
          </w:p>
          <w:p w14:paraId="0F745CCF">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2.1 投标人须具备独立法人资格，按国家法律经营。</w:t>
            </w:r>
          </w:p>
          <w:p w14:paraId="6B705B2C">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2.2 投标人须持有建设行政主管部门颁发的企业资质证书。</w:t>
            </w:r>
          </w:p>
          <w:p w14:paraId="168A0DFB">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投标人须具备以下资质：参加投标的投标人可以是单一独立法人或由不超过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家独立法人组成的联合体（必须注明其中一家为牵头人），单一独立法人必须至少同时具备以下①～</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③</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资质，组成联合体投标的，联合后必须至少具备以下①～</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③</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资质，联合体牵头人必须为施工单位，由同一专业的单位组成的联合体，按照资质等级较低的单位确定资质等级：</w:t>
            </w:r>
          </w:p>
          <w:p w14:paraId="29F4809B">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①施工资质1：建设行政主管部门颁发的市政公用工程施工总承包叁级或以上(含叁级)资质，并持有有效安全生产许可证。</w:t>
            </w:r>
          </w:p>
          <w:p w14:paraId="17DC3110">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②施工资质2：建设行政主管部门颁发的建筑工程施工总承包叁级或以上(含叁级)资质，并持有有效安全生产许可证。</w:t>
            </w:r>
          </w:p>
          <w:p w14:paraId="372FD542">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③设计资质必须具备建设行政主管部门颁发的工程设计综合甲级资质或同时具备（1）（2）资质：</w:t>
            </w:r>
          </w:p>
          <w:p w14:paraId="11B61296">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（1）市政行业资质之一：</w:t>
            </w:r>
          </w:p>
          <w:p w14:paraId="0A95D291">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1、工程设计市政行业乙级以上（含乙级）资质；</w:t>
            </w:r>
          </w:p>
          <w:p w14:paraId="6BFBAF7A">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2、工程设计市政行业乙级（燃气工程、轨道交通工程除外）以上（含乙级）资质；</w:t>
            </w:r>
          </w:p>
          <w:p w14:paraId="236BE413">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（2）建筑行业资质之一：</w:t>
            </w:r>
          </w:p>
          <w:p w14:paraId="098ADE69">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1、工程设计建筑行业乙级以上（含乙级）资质；</w:t>
            </w:r>
          </w:p>
          <w:p w14:paraId="65CC6EF7">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2、工程设计建筑行业（建筑工程）专业乙级以上（含乙级）资质；</w:t>
            </w:r>
          </w:p>
          <w:p w14:paraId="02EEFDEB">
            <w:pPr>
              <w:pStyle w:val="39"/>
              <w:wordWrap w:val="0"/>
              <w:adjustRightInd w:val="0"/>
              <w:snapToGrid w:val="0"/>
              <w:spacing w:line="360" w:lineRule="auto"/>
              <w:ind w:firstLine="482"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2281F39C">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3．相关人员要求</w:t>
            </w:r>
          </w:p>
          <w:p w14:paraId="768BB340">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3.1 拟派项目经理为具有</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建筑工程或市政公用工程</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专业一级或二级注册建造师，其中一级注册建造师应持有国家住建部印发的有效注册证书，二级注册建造师应持有考试取得执业资格的省、自治区、直辖市住建部门核准的有效电子注册证书（二级注册建造师应持有住建部门核准的、在使用有效期内的有效电子证书）。同时均须具备有效安全生产考核合格证明（B证，安全生产考核合格证书或“广东省建筑施工企业管理人员安全生产考核信息系统”考核合格信息打印页），且未担任其他在施（包括已中标未开工、已建成未竣工）建设工程项目的项目经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（若为联合体投标，则联合体成员任意一方提供即可）</w:t>
            </w:r>
          </w:p>
          <w:p w14:paraId="48558727">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3.2投标人拟派项目技术负责人须具备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建筑工程或市政公用工程相关</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专业</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中</w:t>
            </w:r>
            <w:r>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t>级（或以上）</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技术</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职称。（若为联合体投标，则联合体成员任意一方提供即可）</w:t>
            </w:r>
          </w:p>
          <w:p w14:paraId="3C32D076">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投标人拟派专职安全生产管理人员须具备有效安全生产考核合格证明（C证，安全生产考核合格证书或“广东省建筑施工企业管理人员安全生产考核系统”考核合格信息打印页）</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且不少于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1人</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。（若为联合体投标，则联合体成员任意一方提供即可）</w:t>
            </w:r>
          </w:p>
          <w:p w14:paraId="7F238053">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投标人拟派项目设计负责人须具备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二级以上(含二级)注册建筑师注册证书或工程师或以上职称。</w:t>
            </w:r>
          </w:p>
          <w:p w14:paraId="0404D82E">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投标人与其拟派往本项目管理机构的所有人员之间必须具备合法、唯一的劳动聘用关系。拟派人员中具备注册执业资格的，其注册单位须与投标人保持一致。</w:t>
            </w:r>
          </w:p>
          <w:p w14:paraId="15C9389E">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4．禁止投标条款：</w:t>
            </w:r>
          </w:p>
          <w:p w14:paraId="4DC39987">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4.1．投标人不得存在下列情形之一：</w:t>
            </w:r>
          </w:p>
          <w:p w14:paraId="55A1C159">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（1）为招标人不具有独立法人资格的附属机构（单位）；</w:t>
            </w:r>
          </w:p>
          <w:p w14:paraId="7E26A68A">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（2）为本招标项目前期准备提供咨询服务的；</w:t>
            </w:r>
          </w:p>
          <w:p w14:paraId="6C37D882">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（3）与本招标项目的其他投标人为同一个单位负责人；</w:t>
            </w:r>
          </w:p>
          <w:p w14:paraId="722D115F">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（4）与本招标项目的其他投标人存在控股、管理关系；</w:t>
            </w:r>
          </w:p>
          <w:p w14:paraId="788E6B4F">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（5）为本招标项目的监理人；</w:t>
            </w:r>
          </w:p>
          <w:p w14:paraId="77BAE21F">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（6）为本招标项目的代建人；</w:t>
            </w:r>
          </w:p>
          <w:p w14:paraId="73B25F38">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（7）为本招标项目的招标代理机构；</w:t>
            </w:r>
          </w:p>
          <w:p w14:paraId="4E96EDE3">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（8）与本招标项目的监理人或代建人或招标代理机构同为一个法定代表人；</w:t>
            </w:r>
          </w:p>
          <w:p w14:paraId="2B46BCDE">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（9）与本招标项目的监理人或代建人或招标代理机构存在控股或参股关系；</w:t>
            </w:r>
          </w:p>
          <w:p w14:paraId="4F229E42">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（10）与本招标项目的监理人或代建人或招标代理机构存在相互任职或工作关系；</w:t>
            </w:r>
          </w:p>
          <w:p w14:paraId="0B91057E">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（11）被依法暂停或者取消投标资格；</w:t>
            </w:r>
          </w:p>
          <w:p w14:paraId="499B7F3F">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（12）被责令停产停业、暂扣或者吊销许可证、暂扣或者吊销执照；</w:t>
            </w:r>
          </w:p>
          <w:p w14:paraId="2734AE16">
            <w:pPr>
              <w:wordWrap w:val="0"/>
              <w:adjustRightInd w:val="0"/>
              <w:snapToGrid w:val="0"/>
              <w:spacing w:line="360" w:lineRule="auto"/>
              <w:ind w:left="240" w:left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（13）进入清算程序，或被宣告破产，或其他丧失履约能力的情形；</w:t>
            </w:r>
          </w:p>
          <w:p w14:paraId="0F62766D">
            <w:pPr>
              <w:wordWrap w:val="0"/>
              <w:adjustRightInd w:val="0"/>
              <w:snapToGrid w:val="0"/>
              <w:spacing w:line="360" w:lineRule="auto"/>
              <w:ind w:left="240" w:left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（14）在最近三年内发生重大工程质量或安全问题（以相关行业主管部门的行政处罚决定或司法机关出具的有关法律文书为准）；</w:t>
            </w:r>
          </w:p>
          <w:p w14:paraId="35D1AB67">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（15）被“信用中国”网站（https://www.creditchina.gov.cn）发布的《法人和非法人组织公共信用信息报告》列入严重失信主体名单的。</w:t>
            </w:r>
          </w:p>
          <w:p w14:paraId="19789BA1">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4.2．招标人拒绝以下名单中的单位参加本次投标：</w:t>
            </w:r>
          </w:p>
          <w:tbl>
            <w:tblPr>
              <w:tblStyle w:val="21"/>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3405"/>
              <w:gridCol w:w="2895"/>
            </w:tblGrid>
            <w:tr w14:paraId="63F9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660" w:type="dxa"/>
                  <w:noWrap/>
                  <w:vAlign w:val="center"/>
                </w:tcPr>
                <w:p w14:paraId="40AE4B0F">
                  <w:pPr>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序号</w:t>
                  </w:r>
                </w:p>
              </w:tc>
              <w:tc>
                <w:tcPr>
                  <w:tcW w:w="3405" w:type="dxa"/>
                  <w:noWrap/>
                  <w:vAlign w:val="center"/>
                </w:tcPr>
                <w:p w14:paraId="7A5A86FA">
                  <w:pPr>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单位名称</w:t>
                  </w:r>
                </w:p>
              </w:tc>
              <w:tc>
                <w:tcPr>
                  <w:tcW w:w="2895" w:type="dxa"/>
                  <w:noWrap/>
                  <w:vAlign w:val="center"/>
                </w:tcPr>
                <w:p w14:paraId="3A331D90">
                  <w:pPr>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拒绝原因</w:t>
                  </w:r>
                </w:p>
              </w:tc>
            </w:tr>
            <w:tr w14:paraId="6F27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0" w:type="dxa"/>
                  <w:noWrap/>
                  <w:vAlign w:val="center"/>
                </w:tcPr>
                <w:p w14:paraId="39F67673">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3405" w:type="dxa"/>
                  <w:noWrap/>
                  <w:vAlign w:val="center"/>
                </w:tcPr>
                <w:p w14:paraId="72E3912B">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南雄市古市镇人民政府</w:t>
                  </w:r>
                </w:p>
              </w:tc>
              <w:tc>
                <w:tcPr>
                  <w:tcW w:w="2895" w:type="dxa"/>
                  <w:noWrap/>
                  <w:vAlign w:val="center"/>
                </w:tcPr>
                <w:p w14:paraId="12966D16">
                  <w:pPr>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为本招标项目的招标人</w:t>
                  </w:r>
                </w:p>
              </w:tc>
            </w:tr>
            <w:tr w14:paraId="4F67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0" w:type="dxa"/>
                  <w:noWrap/>
                  <w:vAlign w:val="center"/>
                </w:tcPr>
                <w:p w14:paraId="45FFDD65">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p>
              </w:tc>
              <w:tc>
                <w:tcPr>
                  <w:tcW w:w="3405" w:type="dxa"/>
                  <w:noWrap/>
                  <w:vAlign w:val="center"/>
                </w:tcPr>
                <w:p w14:paraId="609AF14F">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南雄市古市镇人民政府</w:t>
                  </w:r>
                </w:p>
              </w:tc>
              <w:tc>
                <w:tcPr>
                  <w:tcW w:w="2895" w:type="dxa"/>
                  <w:noWrap/>
                  <w:vAlign w:val="center"/>
                </w:tcPr>
                <w:p w14:paraId="565A3941">
                  <w:pPr>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为本招标项目的业主单位</w:t>
                  </w:r>
                </w:p>
              </w:tc>
            </w:tr>
            <w:tr w14:paraId="4A01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0" w:type="dxa"/>
                  <w:noWrap/>
                  <w:vAlign w:val="center"/>
                </w:tcPr>
                <w:p w14:paraId="547AC684">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p>
              </w:tc>
              <w:tc>
                <w:tcPr>
                  <w:tcW w:w="3405" w:type="dxa"/>
                  <w:noWrap/>
                  <w:vAlign w:val="center"/>
                </w:tcPr>
                <w:p w14:paraId="36A96723">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中咨管理顾问有限责任公司</w:t>
                  </w:r>
                </w:p>
              </w:tc>
              <w:tc>
                <w:tcPr>
                  <w:tcW w:w="2895" w:type="dxa"/>
                  <w:noWrap/>
                  <w:vAlign w:val="center"/>
                </w:tcPr>
                <w:p w14:paraId="625838B3">
                  <w:pPr>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为本招标项目的可行性研究报告编制单位</w:t>
                  </w:r>
                </w:p>
              </w:tc>
            </w:tr>
            <w:tr w14:paraId="4F820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0" w:type="dxa"/>
                  <w:noWrap/>
                  <w:vAlign w:val="center"/>
                </w:tcPr>
                <w:p w14:paraId="76594481">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w:t>
                  </w:r>
                </w:p>
              </w:tc>
              <w:tc>
                <w:tcPr>
                  <w:tcW w:w="3405" w:type="dxa"/>
                  <w:noWrap/>
                  <w:vAlign w:val="center"/>
                </w:tcPr>
                <w:p w14:paraId="597DE9D3">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中恒和咨询有限公司</w:t>
                  </w:r>
                </w:p>
              </w:tc>
              <w:tc>
                <w:tcPr>
                  <w:tcW w:w="2895" w:type="dxa"/>
                  <w:noWrap/>
                  <w:vAlign w:val="center"/>
                </w:tcPr>
                <w:p w14:paraId="61935A3A">
                  <w:pPr>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为本招标项目的招标代理机构</w:t>
                  </w:r>
                </w:p>
              </w:tc>
            </w:tr>
            <w:tr w14:paraId="5D1C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0" w:type="dxa"/>
                  <w:noWrap/>
                  <w:vAlign w:val="center"/>
                </w:tcPr>
                <w:p w14:paraId="689971A2">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p>
              </w:tc>
              <w:tc>
                <w:tcPr>
                  <w:tcW w:w="3405" w:type="dxa"/>
                  <w:noWrap/>
                  <w:vAlign w:val="center"/>
                </w:tcPr>
                <w:p w14:paraId="1794DE85">
                  <w:pPr>
                    <w:tabs>
                      <w:tab w:val="center" w:pos="941"/>
                    </w:tabs>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待定</w:t>
                  </w:r>
                </w:p>
              </w:tc>
              <w:tc>
                <w:tcPr>
                  <w:tcW w:w="2895" w:type="dxa"/>
                  <w:noWrap/>
                  <w:vAlign w:val="center"/>
                </w:tcPr>
                <w:p w14:paraId="63DCF2C4">
                  <w:pPr>
                    <w:wordWrap w:val="0"/>
                    <w:adjustRightInd w:val="0"/>
                    <w:snapToGrid w:val="0"/>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为本招标项目的监理单位</w:t>
                  </w:r>
                </w:p>
              </w:tc>
            </w:tr>
          </w:tbl>
          <w:p w14:paraId="5B40FCC1">
            <w:pPr>
              <w:pStyle w:val="40"/>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5.省外企业（包括组成联合体的所有成员单位）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及其拟派往本项目管理机构的所有人员</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须按照《广东省住房和城乡建设厅关于取消省外建筑企业和人员进粤信息备案有关工作的通知》（粤建市﹝2015﹞52号）规定在“进粤企业和人员诚信信息登记平台”录入相关信息并通过数据规范检查。</w:t>
            </w:r>
          </w:p>
        </w:tc>
      </w:tr>
      <w:tr w14:paraId="2629A8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49A0FD23">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18</w:t>
            </w:r>
          </w:p>
        </w:tc>
        <w:tc>
          <w:tcPr>
            <w:tcW w:w="1709" w:type="dxa"/>
            <w:tcBorders>
              <w:top w:val="single" w:color="auto" w:sz="4" w:space="0"/>
              <w:left w:val="single" w:color="auto" w:sz="4" w:space="0"/>
              <w:bottom w:val="single" w:color="auto" w:sz="4" w:space="0"/>
              <w:right w:val="single" w:color="auto" w:sz="4" w:space="0"/>
            </w:tcBorders>
            <w:noWrap/>
            <w:vAlign w:val="center"/>
          </w:tcPr>
          <w:p w14:paraId="0B2E0E09">
            <w:pPr>
              <w:snapToGrid w:val="0"/>
              <w:spacing w:beforeLines="50"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投标保证</w:t>
            </w:r>
          </w:p>
        </w:tc>
        <w:tc>
          <w:tcPr>
            <w:tcW w:w="7544" w:type="dxa"/>
            <w:tcBorders>
              <w:top w:val="single" w:color="auto" w:sz="4" w:space="0"/>
              <w:left w:val="single" w:color="auto" w:sz="4" w:space="0"/>
              <w:bottom w:val="single" w:color="auto" w:sz="4" w:space="0"/>
              <w:right w:val="single" w:color="auto" w:sz="4" w:space="0"/>
            </w:tcBorders>
            <w:noWrap/>
            <w:vAlign w:val="center"/>
          </w:tcPr>
          <w:p w14:paraId="13ED4D28">
            <w:pPr>
              <w:wordWrap w:val="0"/>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  1．投标人须缴纳金额为人民币</w:t>
            </w:r>
            <w:r>
              <w:rPr>
                <w:rFonts w:hint="eastAsia" w:asciiTheme="minorEastAsia" w:hAnsiTheme="minorEastAsia" w:eastAsiaTheme="minorEastAsia" w:cstheme="minorEastAsia"/>
                <w:b/>
                <w:bCs/>
                <w:snapToGrid w:val="0"/>
                <w:color w:val="000000" w:themeColor="text1"/>
                <w:kern w:val="0"/>
                <w:sz w:val="24"/>
                <w:szCs w:val="24"/>
                <w:highlight w:val="none"/>
                <w:u w:val="single"/>
                <w:lang w:val="en-US" w:eastAsia="zh-CN"/>
                <w14:textFill>
                  <w14:solidFill>
                    <w14:schemeClr w14:val="tx1"/>
                  </w14:solidFill>
                </w14:textFill>
              </w:rPr>
              <w:t>贰拾万元整</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的投标保证。联合体投标的，由联合体牵头人缴纳。</w:t>
            </w:r>
          </w:p>
          <w:p w14:paraId="62094DE9">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2．投标保证的形式包括投标保证金、投标保证担保、投标保证保险三种，由投标人自主选择。</w:t>
            </w:r>
          </w:p>
          <w:p w14:paraId="0CCE61D8">
            <w:pPr>
              <w:wordWrap w:val="0"/>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采用投标保证金的，投标人在建设工程交易系统获取招标文件完毕后，即可在系统申请缴纳投标保证金，获取本次招标投标保证金缴纳账号。投标人必须于投标保证金到账截止时间（见本章“重要事项时间地点一览表”）前，从其基本账户将投标保证金转账到指定的缴纳账号。逾期到账的、从非投标人基本账户转出的，其投标无效。</w:t>
            </w:r>
          </w:p>
          <w:p w14:paraId="174E2FB2">
            <w:pPr>
              <w:wordWrap w:val="0"/>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采用投标保证担保的，投标人应提交有效的银行保函，银行保函的有效期不得短于投标有效期。投标人必须在投标保证担保截止时间（见本章“重要事项时间地点一览表”）前，使用工程建设交易系统完成网上办理电子保函。</w:t>
            </w:r>
          </w:p>
          <w:p w14:paraId="4518DC67">
            <w:pPr>
              <w:wordWrap w:val="0"/>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3）采用投标保证保险的，投标人须在投标保证保险投保截止时间（见本章“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50175835">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40D28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1CDE1DF1">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19</w:t>
            </w:r>
          </w:p>
        </w:tc>
        <w:tc>
          <w:tcPr>
            <w:tcW w:w="1709" w:type="dxa"/>
            <w:tcBorders>
              <w:top w:val="single" w:color="auto" w:sz="4" w:space="0"/>
              <w:left w:val="single" w:color="auto" w:sz="4" w:space="0"/>
              <w:bottom w:val="single" w:color="auto" w:sz="4" w:space="0"/>
              <w:right w:val="single" w:color="auto" w:sz="4" w:space="0"/>
            </w:tcBorders>
            <w:noWrap/>
            <w:vAlign w:val="center"/>
          </w:tcPr>
          <w:p w14:paraId="4DBBFD3B">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投标有效期</w:t>
            </w:r>
          </w:p>
        </w:tc>
        <w:tc>
          <w:tcPr>
            <w:tcW w:w="7544" w:type="dxa"/>
            <w:tcBorders>
              <w:top w:val="single" w:color="auto" w:sz="4" w:space="0"/>
              <w:left w:val="single" w:color="auto" w:sz="4" w:space="0"/>
              <w:bottom w:val="single" w:color="auto" w:sz="4" w:space="0"/>
              <w:right w:val="single" w:color="auto" w:sz="4" w:space="0"/>
            </w:tcBorders>
            <w:noWrap/>
            <w:vAlign w:val="center"/>
          </w:tcPr>
          <w:p w14:paraId="5F3C3CCC">
            <w:pPr>
              <w:wordWrap w:val="0"/>
              <w:adjustRightInd w:val="0"/>
              <w:snapToGrid w:val="0"/>
              <w:spacing w:line="360" w:lineRule="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  本次招标的投标有效期为</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90</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个日历天。</w:t>
            </w:r>
          </w:p>
        </w:tc>
      </w:tr>
      <w:tr w14:paraId="742B9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7"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4E13C134">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20</w:t>
            </w:r>
          </w:p>
        </w:tc>
        <w:tc>
          <w:tcPr>
            <w:tcW w:w="1709" w:type="dxa"/>
            <w:tcBorders>
              <w:top w:val="single" w:color="auto" w:sz="4" w:space="0"/>
              <w:left w:val="single" w:color="auto" w:sz="4" w:space="0"/>
              <w:bottom w:val="single" w:color="auto" w:sz="4" w:space="0"/>
              <w:right w:val="single" w:color="auto" w:sz="4" w:space="0"/>
            </w:tcBorders>
            <w:noWrap/>
            <w:vAlign w:val="center"/>
          </w:tcPr>
          <w:p w14:paraId="1F8EBDA4">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投标文件</w:t>
            </w:r>
          </w:p>
          <w:p w14:paraId="312D36D1">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组成</w:t>
            </w:r>
          </w:p>
        </w:tc>
        <w:tc>
          <w:tcPr>
            <w:tcW w:w="7544" w:type="dxa"/>
            <w:tcBorders>
              <w:top w:val="single" w:color="auto" w:sz="4" w:space="0"/>
              <w:left w:val="single" w:color="auto" w:sz="4" w:space="0"/>
              <w:bottom w:val="single" w:color="auto" w:sz="4" w:space="0"/>
              <w:right w:val="single" w:color="auto" w:sz="4" w:space="0"/>
            </w:tcBorders>
            <w:noWrap/>
            <w:vAlign w:val="center"/>
          </w:tcPr>
          <w:p w14:paraId="6E7F5634">
            <w:pPr>
              <w:wordWrap w:val="0"/>
              <w:adjustRightInd w:val="0"/>
              <w:snapToGrid w:val="0"/>
              <w:spacing w:line="360" w:lineRule="auto"/>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投标标书分为一册。</w:t>
            </w:r>
          </w:p>
        </w:tc>
      </w:tr>
      <w:tr w14:paraId="36334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0AB94F57">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21</w:t>
            </w:r>
          </w:p>
        </w:tc>
        <w:tc>
          <w:tcPr>
            <w:tcW w:w="1709" w:type="dxa"/>
            <w:tcBorders>
              <w:top w:val="single" w:color="auto" w:sz="4" w:space="0"/>
              <w:left w:val="single" w:color="auto" w:sz="4" w:space="0"/>
              <w:bottom w:val="single" w:color="auto" w:sz="4" w:space="0"/>
              <w:right w:val="single" w:color="auto" w:sz="4" w:space="0"/>
            </w:tcBorders>
            <w:noWrap/>
            <w:vAlign w:val="center"/>
          </w:tcPr>
          <w:p w14:paraId="7F08709A">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评标委员会</w:t>
            </w:r>
          </w:p>
        </w:tc>
        <w:tc>
          <w:tcPr>
            <w:tcW w:w="7544" w:type="dxa"/>
            <w:tcBorders>
              <w:top w:val="single" w:color="auto" w:sz="4" w:space="0"/>
              <w:left w:val="single" w:color="auto" w:sz="4" w:space="0"/>
              <w:bottom w:val="single" w:color="auto" w:sz="4" w:space="0"/>
              <w:right w:val="single" w:color="auto" w:sz="4" w:space="0"/>
            </w:tcBorders>
            <w:noWrap/>
            <w:vAlign w:val="center"/>
          </w:tcPr>
          <w:p w14:paraId="418FF5C6">
            <w:pPr>
              <w:wordWrap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评标委员会由5人组成，其中招标人代表0人，专家5人。专家从广东省综合评标评审专家库－韶关区域中随机抽取，其中技术类专家3人，经济类专家2人。</w:t>
            </w:r>
          </w:p>
        </w:tc>
      </w:tr>
      <w:tr w14:paraId="07DCF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259A494C">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22</w:t>
            </w:r>
          </w:p>
        </w:tc>
        <w:tc>
          <w:tcPr>
            <w:tcW w:w="1709" w:type="dxa"/>
            <w:tcBorders>
              <w:top w:val="single" w:color="auto" w:sz="4" w:space="0"/>
              <w:left w:val="single" w:color="auto" w:sz="4" w:space="0"/>
              <w:bottom w:val="single" w:color="auto" w:sz="4" w:space="0"/>
              <w:right w:val="single" w:color="auto" w:sz="4" w:space="0"/>
            </w:tcBorders>
            <w:noWrap/>
            <w:vAlign w:val="center"/>
          </w:tcPr>
          <w:p w14:paraId="5C89E496">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评标方法</w:t>
            </w:r>
          </w:p>
        </w:tc>
        <w:tc>
          <w:tcPr>
            <w:tcW w:w="7544" w:type="dxa"/>
            <w:tcBorders>
              <w:top w:val="single" w:color="auto" w:sz="4" w:space="0"/>
              <w:left w:val="single" w:color="auto" w:sz="4" w:space="0"/>
              <w:bottom w:val="single" w:color="auto" w:sz="4" w:space="0"/>
              <w:right w:val="single" w:color="auto" w:sz="4" w:space="0"/>
            </w:tcBorders>
            <w:noWrap/>
            <w:vAlign w:val="center"/>
          </w:tcPr>
          <w:p w14:paraId="56B9C5FA">
            <w:pPr>
              <w:wordWrap w:val="0"/>
              <w:adjustRightInd w:val="0"/>
              <w:snapToGrid w:val="0"/>
              <w:spacing w:line="360" w:lineRule="auto"/>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  综合评估法</w:t>
            </w:r>
          </w:p>
        </w:tc>
      </w:tr>
      <w:tr w14:paraId="70281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0149EE20">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23</w:t>
            </w:r>
          </w:p>
        </w:tc>
        <w:tc>
          <w:tcPr>
            <w:tcW w:w="1709" w:type="dxa"/>
            <w:tcBorders>
              <w:top w:val="single" w:color="auto" w:sz="4" w:space="0"/>
              <w:left w:val="single" w:color="auto" w:sz="4" w:space="0"/>
              <w:bottom w:val="single" w:color="auto" w:sz="4" w:space="0"/>
              <w:right w:val="single" w:color="auto" w:sz="4" w:space="0"/>
            </w:tcBorders>
            <w:noWrap/>
            <w:vAlign w:val="center"/>
          </w:tcPr>
          <w:p w14:paraId="792787B8">
            <w:pPr>
              <w:pStyle w:val="36"/>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安全文明施工</w:t>
            </w:r>
          </w:p>
        </w:tc>
        <w:tc>
          <w:tcPr>
            <w:tcW w:w="7544" w:type="dxa"/>
            <w:tcBorders>
              <w:top w:val="single" w:color="auto" w:sz="4" w:space="0"/>
              <w:left w:val="single" w:color="auto" w:sz="4" w:space="0"/>
              <w:bottom w:val="single" w:color="auto" w:sz="4" w:space="0"/>
              <w:right w:val="single" w:color="auto" w:sz="4" w:space="0"/>
            </w:tcBorders>
            <w:noWrap/>
            <w:vAlign w:val="center"/>
          </w:tcPr>
          <w:p w14:paraId="4C98B9C6">
            <w:pPr>
              <w:pStyle w:val="36"/>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达到国家、省、市有关标准</w:t>
            </w:r>
          </w:p>
        </w:tc>
      </w:tr>
      <w:tr w14:paraId="4FAE7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096DD9EF">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24</w:t>
            </w:r>
          </w:p>
        </w:tc>
        <w:tc>
          <w:tcPr>
            <w:tcW w:w="1709" w:type="dxa"/>
            <w:tcBorders>
              <w:top w:val="single" w:color="auto" w:sz="4" w:space="0"/>
              <w:left w:val="single" w:color="auto" w:sz="4" w:space="0"/>
              <w:bottom w:val="single" w:color="auto" w:sz="4" w:space="0"/>
              <w:right w:val="single" w:color="auto" w:sz="4" w:space="0"/>
            </w:tcBorders>
            <w:noWrap/>
            <w:vAlign w:val="center"/>
          </w:tcPr>
          <w:p w14:paraId="5F408FC1">
            <w:pPr>
              <w:pStyle w:val="36"/>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房屋建筑工程</w:t>
            </w:r>
          </w:p>
          <w:p w14:paraId="2DEFDAEF">
            <w:pPr>
              <w:pStyle w:val="36"/>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绿色建筑标准</w:t>
            </w:r>
          </w:p>
        </w:tc>
        <w:tc>
          <w:tcPr>
            <w:tcW w:w="7544" w:type="dxa"/>
            <w:tcBorders>
              <w:top w:val="single" w:color="auto" w:sz="4" w:space="0"/>
              <w:left w:val="single" w:color="auto" w:sz="4" w:space="0"/>
              <w:bottom w:val="single" w:color="auto" w:sz="4" w:space="0"/>
              <w:right w:val="single" w:color="auto" w:sz="4" w:space="0"/>
            </w:tcBorders>
            <w:noWrap/>
            <w:vAlign w:val="center"/>
          </w:tcPr>
          <w:p w14:paraId="70EAB278">
            <w:pPr>
              <w:pStyle w:val="36"/>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本招标项目不纳入绿色建筑实施范围。</w:t>
            </w:r>
          </w:p>
        </w:tc>
      </w:tr>
      <w:tr w14:paraId="4EB766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58DB0188">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25</w:t>
            </w:r>
          </w:p>
        </w:tc>
        <w:tc>
          <w:tcPr>
            <w:tcW w:w="1709" w:type="dxa"/>
            <w:tcBorders>
              <w:top w:val="single" w:color="auto" w:sz="4" w:space="0"/>
              <w:left w:val="single" w:color="auto" w:sz="4" w:space="0"/>
              <w:bottom w:val="single" w:color="auto" w:sz="4" w:space="0"/>
              <w:right w:val="single" w:color="auto" w:sz="4" w:space="0"/>
            </w:tcBorders>
            <w:noWrap/>
            <w:vAlign w:val="center"/>
          </w:tcPr>
          <w:p w14:paraId="7387BCDE">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履约保证金</w:t>
            </w:r>
          </w:p>
        </w:tc>
        <w:tc>
          <w:tcPr>
            <w:tcW w:w="7544" w:type="dxa"/>
            <w:tcBorders>
              <w:top w:val="single" w:color="auto" w:sz="4" w:space="0"/>
              <w:left w:val="single" w:color="auto" w:sz="4" w:space="0"/>
              <w:bottom w:val="single" w:color="auto" w:sz="4" w:space="0"/>
              <w:right w:val="single" w:color="auto" w:sz="4" w:space="0"/>
            </w:tcBorders>
            <w:noWrap/>
            <w:vAlign w:val="center"/>
          </w:tcPr>
          <w:p w14:paraId="26F96C49">
            <w:pPr>
              <w:pStyle w:val="36"/>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履约保证金为中标价的</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在领取中标通知书之日起</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个工作日内、签订合同前缴纳</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组成联合体时，由联合体牵头人缴纳</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6BC93424">
            <w:pPr>
              <w:pStyle w:val="36"/>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履约保证的形式包括</w:t>
            </w:r>
            <w:r>
              <w:rPr>
                <w:rFonts w:hint="eastAsia" w:ascii="宋体" w:hAnsi="宋体" w:eastAsia="宋体" w:cs="宋体"/>
                <w:snapToGrid w:val="0"/>
                <w:color w:val="000000" w:themeColor="text1"/>
                <w:kern w:val="0"/>
                <w:sz w:val="24"/>
                <w:szCs w:val="24"/>
                <w:highlight w:val="none"/>
                <w14:textFill>
                  <w14:solidFill>
                    <w14:schemeClr w14:val="tx1"/>
                  </w14:solidFill>
                </w14:textFill>
              </w:rPr>
              <w:t>履约保证金、履约保证担保、履约保证保险三种</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，由中标人自主选择</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，保函有效期不得少于</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本工程总工期</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，如果采用银行转账方式则必须从中标人的法人开户银行的账号划出招标人指定的账户，并详细注明工程名称及用途。</w:t>
            </w:r>
          </w:p>
        </w:tc>
      </w:tr>
      <w:tr w14:paraId="29E5C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FAC644E">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26</w:t>
            </w:r>
          </w:p>
        </w:tc>
        <w:tc>
          <w:tcPr>
            <w:tcW w:w="1709" w:type="dxa"/>
            <w:tcBorders>
              <w:top w:val="single" w:color="auto" w:sz="4" w:space="0"/>
              <w:left w:val="single" w:color="auto" w:sz="4" w:space="0"/>
              <w:bottom w:val="single" w:color="auto" w:sz="4" w:space="0"/>
              <w:right w:val="single" w:color="auto" w:sz="4" w:space="0"/>
            </w:tcBorders>
            <w:noWrap/>
            <w:vAlign w:val="center"/>
          </w:tcPr>
          <w:p w14:paraId="3053B38A">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工程款支付</w:t>
            </w:r>
          </w:p>
        </w:tc>
        <w:tc>
          <w:tcPr>
            <w:tcW w:w="7544" w:type="dxa"/>
            <w:tcBorders>
              <w:top w:val="single" w:color="auto" w:sz="4" w:space="0"/>
              <w:left w:val="single" w:color="auto" w:sz="4" w:space="0"/>
              <w:bottom w:val="single" w:color="auto" w:sz="4" w:space="0"/>
              <w:right w:val="single" w:color="auto" w:sz="4" w:space="0"/>
            </w:tcBorders>
            <w:noWrap/>
            <w:vAlign w:val="center"/>
          </w:tcPr>
          <w:p w14:paraId="1E9EE519">
            <w:pPr>
              <w:pStyle w:val="36"/>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详见本招标文件“2-4、工程付款办法”</w:t>
            </w:r>
          </w:p>
        </w:tc>
      </w:tr>
      <w:tr w14:paraId="020A33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07F70250">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27</w:t>
            </w:r>
          </w:p>
        </w:tc>
        <w:tc>
          <w:tcPr>
            <w:tcW w:w="1709" w:type="dxa"/>
            <w:tcBorders>
              <w:top w:val="single" w:color="auto" w:sz="4" w:space="0"/>
              <w:left w:val="single" w:color="auto" w:sz="4" w:space="0"/>
              <w:bottom w:val="single" w:color="auto" w:sz="4" w:space="0"/>
              <w:right w:val="single" w:color="auto" w:sz="4" w:space="0"/>
            </w:tcBorders>
            <w:noWrap/>
            <w:vAlign w:val="center"/>
          </w:tcPr>
          <w:p w14:paraId="1B906B99">
            <w:pPr>
              <w:pStyle w:val="36"/>
              <w:spacing w:line="24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工程质量保证金</w:t>
            </w:r>
          </w:p>
        </w:tc>
        <w:tc>
          <w:tcPr>
            <w:tcW w:w="7544" w:type="dxa"/>
            <w:tcBorders>
              <w:top w:val="single" w:color="auto" w:sz="4" w:space="0"/>
              <w:left w:val="single" w:color="auto" w:sz="4" w:space="0"/>
              <w:bottom w:val="single" w:color="auto" w:sz="4" w:space="0"/>
              <w:right w:val="single" w:color="auto" w:sz="4" w:space="0"/>
            </w:tcBorders>
            <w:noWrap/>
            <w:vAlign w:val="center"/>
          </w:tcPr>
          <w:p w14:paraId="4A30AB3E">
            <w:pPr>
              <w:pStyle w:val="36"/>
              <w:spacing w:line="240" w:lineRule="auto"/>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工程质量保证金总金额为结算价的3%，从工程竣工验收合格之日起计满</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p>
        </w:tc>
      </w:tr>
      <w:tr w14:paraId="6F4BD1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2CE6E3D7">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28</w:t>
            </w:r>
          </w:p>
        </w:tc>
        <w:tc>
          <w:tcPr>
            <w:tcW w:w="1709" w:type="dxa"/>
            <w:tcBorders>
              <w:top w:val="single" w:color="auto" w:sz="4" w:space="0"/>
              <w:left w:val="single" w:color="auto" w:sz="4" w:space="0"/>
              <w:bottom w:val="single" w:color="auto" w:sz="4" w:space="0"/>
              <w:right w:val="single" w:color="auto" w:sz="4" w:space="0"/>
            </w:tcBorders>
            <w:noWrap/>
            <w:vAlign w:val="center"/>
          </w:tcPr>
          <w:p w14:paraId="255329DD">
            <w:pPr>
              <w:pStyle w:val="36"/>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绿色施工安全防护措施费</w:t>
            </w:r>
          </w:p>
        </w:tc>
        <w:tc>
          <w:tcPr>
            <w:tcW w:w="7544" w:type="dxa"/>
            <w:tcBorders>
              <w:top w:val="single" w:color="auto" w:sz="4" w:space="0"/>
              <w:left w:val="single" w:color="auto" w:sz="4" w:space="0"/>
              <w:bottom w:val="single" w:color="auto" w:sz="4" w:space="0"/>
              <w:right w:val="single" w:color="auto" w:sz="4" w:space="0"/>
            </w:tcBorders>
            <w:noWrap/>
            <w:vAlign w:val="center"/>
          </w:tcPr>
          <w:p w14:paraId="5310C6DB">
            <w:pPr>
              <w:pStyle w:val="36"/>
              <w:ind w:firstLine="240" w:firstLineChars="1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按《建设工程工程量清单计价规范》（GB50500～2013）、《广东省建设工程计价依据（2018）》《关于明确建筑工程安全防护、文明施工措施费用具体管理办法的通知》（韶市建【2015】26号）等最新规定执行。</w:t>
            </w:r>
          </w:p>
        </w:tc>
      </w:tr>
      <w:tr w14:paraId="00FA79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E82F3">
            <w:pPr>
              <w:wordWrap w:val="0"/>
              <w:adjustRightInd w:val="0"/>
              <w:snapToGrid w:val="0"/>
              <w:spacing w:line="240" w:lineRule="auto"/>
              <w:jc w:val="cente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29</w:t>
            </w:r>
          </w:p>
        </w:tc>
        <w:tc>
          <w:tcPr>
            <w:tcW w:w="1709" w:type="dxa"/>
            <w:tcBorders>
              <w:top w:val="single" w:color="auto" w:sz="4" w:space="0"/>
              <w:left w:val="single" w:color="auto" w:sz="4" w:space="0"/>
              <w:bottom w:val="single" w:color="auto" w:sz="4" w:space="0"/>
              <w:right w:val="single" w:color="auto" w:sz="4" w:space="0"/>
            </w:tcBorders>
            <w:noWrap/>
            <w:vAlign w:val="center"/>
          </w:tcPr>
          <w:p w14:paraId="1809C70D">
            <w:pPr>
              <w:wordWrap w:val="0"/>
              <w:adjustRightInd w:val="0"/>
              <w:snapToGrid w:val="0"/>
              <w:spacing w:line="36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招标代理费及</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评标专家酬劳</w:t>
            </w:r>
          </w:p>
        </w:tc>
        <w:tc>
          <w:tcPr>
            <w:tcW w:w="7544" w:type="dxa"/>
            <w:tcBorders>
              <w:top w:val="single" w:color="auto" w:sz="4" w:space="0"/>
              <w:left w:val="single" w:color="auto" w:sz="4" w:space="0"/>
              <w:bottom w:val="single" w:color="auto" w:sz="4" w:space="0"/>
              <w:right w:val="single" w:color="auto" w:sz="4" w:space="0"/>
            </w:tcBorders>
            <w:noWrap/>
            <w:vAlign w:val="center"/>
          </w:tcPr>
          <w:p w14:paraId="55D01561">
            <w:pPr>
              <w:wordWrap w:val="0"/>
              <w:adjustRightInd w:val="0"/>
              <w:snapToGrid w:val="0"/>
              <w:spacing w:line="4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本项目由中标人支付</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招标代理费及</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评标专家酬劳。招标代理服务费以中标金额为计价基数，参照《招标代理服务收费管理暂行办法》（计价格[2002]1980号）相关规定计算招标代理服务费</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评标专家酬劳（包括食宿费用、交通费、专家评审劳务费等）</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由招标代理机构先垫付，</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中标人须在中标公告公示期结束后,向招标代理机构一次性付清评标专家酬劳（</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以当天评委签收为准</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p>
        </w:tc>
      </w:tr>
      <w:tr w14:paraId="3373D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5407A">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30</w:t>
            </w:r>
          </w:p>
        </w:tc>
        <w:tc>
          <w:tcPr>
            <w:tcW w:w="1709" w:type="dxa"/>
            <w:tcBorders>
              <w:top w:val="single" w:color="auto" w:sz="4" w:space="0"/>
              <w:left w:val="single" w:color="auto" w:sz="4" w:space="0"/>
              <w:bottom w:val="single" w:color="auto" w:sz="4" w:space="0"/>
              <w:right w:val="single" w:color="auto" w:sz="4" w:space="0"/>
            </w:tcBorders>
            <w:noWrap/>
            <w:vAlign w:val="center"/>
          </w:tcPr>
          <w:p w14:paraId="2979D514">
            <w:pPr>
              <w:pStyle w:val="36"/>
              <w:spacing w:line="360" w:lineRule="auto"/>
              <w:ind w:firstLine="240" w:firstLineChars="100"/>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招标文件要求提交的用于评审的证书、证件、</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凭证</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原件</w:t>
            </w:r>
          </w:p>
        </w:tc>
        <w:tc>
          <w:tcPr>
            <w:tcW w:w="7544" w:type="dxa"/>
            <w:tcBorders>
              <w:top w:val="single" w:color="auto" w:sz="4" w:space="0"/>
              <w:left w:val="single" w:color="auto" w:sz="4" w:space="0"/>
              <w:bottom w:val="single" w:color="auto" w:sz="4" w:space="0"/>
              <w:right w:val="single" w:color="auto" w:sz="4" w:space="0"/>
            </w:tcBorders>
            <w:noWrap/>
            <w:vAlign w:val="center"/>
          </w:tcPr>
          <w:p w14:paraId="05B64DD9">
            <w:pPr>
              <w:pStyle w:val="36"/>
              <w:spacing w:line="360" w:lineRule="auto"/>
              <w:ind w:firstLine="240" w:firstLineChars="100"/>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投标人在递交纸质投标文件时须</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提交用于评审的证书、证件、证明原件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的，投标人应自行将所需原件密封于文件袋（箱）中，并自行准备两张“原件一览表”（详见格式十</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须自行填写，表格可扩展），一张贴于文件袋（箱），一张在递交时由投标人、招标代理人签字。招标代理机构仅代签收，不对文件袋（箱）中资料的数量、内容及真实性负责。评标结束后，招标代理人将退回投标人的原件。若投标人未按要求提交相应证明材料原件或投标文件中证明材料的彩色扫描件与原件不一致，评审时相应证明材料不予认可。</w:t>
            </w:r>
          </w:p>
        </w:tc>
      </w:tr>
      <w:tr w14:paraId="10ED6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2389B">
            <w:pPr>
              <w:wordWrap w:val="0"/>
              <w:adjustRightInd w:val="0"/>
              <w:snapToGrid w:val="0"/>
              <w:spacing w:line="360" w:lineRule="auto"/>
              <w:jc w:val="center"/>
              <w:rPr>
                <w:rFonts w:hint="default"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31</w:t>
            </w:r>
          </w:p>
        </w:tc>
        <w:tc>
          <w:tcPr>
            <w:tcW w:w="1709" w:type="dxa"/>
            <w:tcBorders>
              <w:top w:val="single" w:color="auto" w:sz="4" w:space="0"/>
              <w:left w:val="single" w:color="auto" w:sz="4" w:space="0"/>
              <w:bottom w:val="single" w:color="auto" w:sz="4" w:space="0"/>
              <w:right w:val="single" w:color="auto" w:sz="4" w:space="0"/>
            </w:tcBorders>
            <w:noWrap/>
            <w:vAlign w:val="center"/>
          </w:tcPr>
          <w:p w14:paraId="29627470">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招标人</w:t>
            </w:r>
          </w:p>
          <w:p w14:paraId="3E4C2981">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联系方式</w:t>
            </w:r>
          </w:p>
        </w:tc>
        <w:tc>
          <w:tcPr>
            <w:tcW w:w="7544" w:type="dxa"/>
            <w:tcBorders>
              <w:top w:val="single" w:color="auto" w:sz="4" w:space="0"/>
              <w:left w:val="single" w:color="auto" w:sz="4" w:space="0"/>
              <w:bottom w:val="single" w:color="auto" w:sz="4" w:space="0"/>
              <w:right w:val="single" w:color="auto" w:sz="4" w:space="0"/>
            </w:tcBorders>
            <w:noWrap/>
            <w:vAlign w:val="center"/>
          </w:tcPr>
          <w:p w14:paraId="39ADEE16">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单位名称：</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南雄市古市镇人民政府</w:t>
            </w:r>
          </w:p>
          <w:p w14:paraId="26511528">
            <w:pPr>
              <w:tabs>
                <w:tab w:val="left" w:pos="1440"/>
              </w:tabs>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办公地址：</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南雄市古市镇人民政府</w:t>
            </w:r>
          </w:p>
          <w:p w14:paraId="1FEDF3C9">
            <w:pPr>
              <w:tabs>
                <w:tab w:val="left" w:pos="1440"/>
              </w:tabs>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联系人（部门）：</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张先生</w:t>
            </w:r>
          </w:p>
          <w:p w14:paraId="46CA4D98">
            <w:pPr>
              <w:tabs>
                <w:tab w:val="left" w:pos="1440"/>
              </w:tabs>
              <w:wordWrap w:val="0"/>
              <w:adjustRightInd w:val="0"/>
              <w:snapToGrid w:val="0"/>
              <w:spacing w:line="360" w:lineRule="auto"/>
              <w:jc w:val="left"/>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联系电话：0751-3572001</w:t>
            </w:r>
          </w:p>
        </w:tc>
      </w:tr>
      <w:tr w14:paraId="1F4EC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515"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95BFB7">
            <w:pPr>
              <w:wordWrap w:val="0"/>
              <w:adjustRightInd w:val="0"/>
              <w:snapToGrid w:val="0"/>
              <w:spacing w:line="360" w:lineRule="auto"/>
              <w:jc w:val="center"/>
              <w:rPr>
                <w:rFonts w:hint="default"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32</w:t>
            </w:r>
          </w:p>
        </w:tc>
        <w:tc>
          <w:tcPr>
            <w:tcW w:w="1709" w:type="dxa"/>
            <w:tcBorders>
              <w:top w:val="single" w:color="auto" w:sz="4" w:space="0"/>
              <w:left w:val="single" w:color="auto" w:sz="4" w:space="0"/>
              <w:bottom w:val="single" w:color="auto" w:sz="4" w:space="0"/>
              <w:right w:val="single" w:color="auto" w:sz="4" w:space="0"/>
            </w:tcBorders>
            <w:noWrap/>
            <w:vAlign w:val="center"/>
          </w:tcPr>
          <w:p w14:paraId="43961663">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招标代理机构</w:t>
            </w:r>
          </w:p>
          <w:p w14:paraId="07C02459">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联系方式</w:t>
            </w:r>
          </w:p>
        </w:tc>
        <w:tc>
          <w:tcPr>
            <w:tcW w:w="7544" w:type="dxa"/>
            <w:tcBorders>
              <w:top w:val="single" w:color="auto" w:sz="4" w:space="0"/>
              <w:left w:val="single" w:color="auto" w:sz="4" w:space="0"/>
              <w:bottom w:val="single" w:color="auto" w:sz="4" w:space="0"/>
              <w:right w:val="single" w:color="auto" w:sz="4" w:space="0"/>
            </w:tcBorders>
            <w:noWrap/>
            <w:vAlign w:val="center"/>
          </w:tcPr>
          <w:p w14:paraId="255F33D8">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单位名称：中恒和咨询有限公司</w:t>
            </w:r>
          </w:p>
          <w:p w14:paraId="0A18BB74">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办公地址：</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广东省韶关市武江区重阳镇重阳村委樟树坝村10号</w:t>
            </w:r>
          </w:p>
          <w:p w14:paraId="6AACACB7">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联系人（部门）：</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陈工</w:t>
            </w:r>
          </w:p>
          <w:p w14:paraId="7955F07C">
            <w:pPr>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联系电话：13417626412</w:t>
            </w:r>
          </w:p>
        </w:tc>
      </w:tr>
      <w:tr w14:paraId="17AA8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74"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D2BF8">
            <w:pPr>
              <w:wordWrap w:val="0"/>
              <w:adjustRightInd w:val="0"/>
              <w:snapToGrid w:val="0"/>
              <w:spacing w:line="360" w:lineRule="auto"/>
              <w:jc w:val="center"/>
              <w:rPr>
                <w:rFonts w:hint="default"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33</w:t>
            </w:r>
          </w:p>
        </w:tc>
        <w:tc>
          <w:tcPr>
            <w:tcW w:w="1709" w:type="dxa"/>
            <w:tcBorders>
              <w:top w:val="single" w:color="auto" w:sz="4" w:space="0"/>
              <w:left w:val="single" w:color="auto" w:sz="4" w:space="0"/>
              <w:bottom w:val="single" w:color="auto" w:sz="4" w:space="0"/>
              <w:right w:val="single" w:color="auto" w:sz="4" w:space="0"/>
            </w:tcBorders>
            <w:noWrap/>
            <w:vAlign w:val="center"/>
          </w:tcPr>
          <w:p w14:paraId="40104432">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交易场所</w:t>
            </w:r>
          </w:p>
          <w:p w14:paraId="49BD1E6B">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联系方式</w:t>
            </w:r>
          </w:p>
        </w:tc>
        <w:tc>
          <w:tcPr>
            <w:tcW w:w="7544" w:type="dxa"/>
            <w:tcBorders>
              <w:top w:val="single" w:color="auto" w:sz="4" w:space="0"/>
              <w:left w:val="single" w:color="auto" w:sz="4" w:space="0"/>
              <w:bottom w:val="single" w:color="auto" w:sz="4" w:space="0"/>
              <w:right w:val="single" w:color="auto" w:sz="4" w:space="0"/>
            </w:tcBorders>
            <w:noWrap/>
            <w:vAlign w:val="center"/>
          </w:tcPr>
          <w:p w14:paraId="3A43BD92">
            <w:p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单位名称：韶关市公共资源交易中心</w:t>
            </w:r>
          </w:p>
          <w:p w14:paraId="4FDA82F0">
            <w:p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办公地址：南雄市雄东路1号大润发四楼韶关市公共资源交易中心南雄分中心（公共服务中心内）</w:t>
            </w:r>
          </w:p>
          <w:p w14:paraId="5FB04095">
            <w:pPr>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联系人：工程交易股</w:t>
            </w:r>
          </w:p>
          <w:p w14:paraId="639A570A">
            <w:pPr>
              <w:spacing w:line="400" w:lineRule="exact"/>
              <w:jc w:val="left"/>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 0751-3860729</w:t>
            </w:r>
          </w:p>
        </w:tc>
      </w:tr>
      <w:tr w14:paraId="57B039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5569AA4B">
            <w:pPr>
              <w:wordWrap w:val="0"/>
              <w:adjustRightInd w:val="0"/>
              <w:snapToGrid w:val="0"/>
              <w:spacing w:line="360" w:lineRule="auto"/>
              <w:jc w:val="cente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34</w:t>
            </w:r>
          </w:p>
        </w:tc>
        <w:tc>
          <w:tcPr>
            <w:tcW w:w="1709" w:type="dxa"/>
            <w:tcBorders>
              <w:top w:val="single" w:color="auto" w:sz="4" w:space="0"/>
              <w:left w:val="single" w:color="auto" w:sz="4" w:space="0"/>
              <w:bottom w:val="single" w:color="auto" w:sz="4" w:space="0"/>
              <w:right w:val="single" w:color="auto" w:sz="4" w:space="0"/>
            </w:tcBorders>
            <w:noWrap/>
            <w:vAlign w:val="center"/>
          </w:tcPr>
          <w:p w14:paraId="25F16557">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行政监督部门</w:t>
            </w:r>
          </w:p>
          <w:p w14:paraId="368588DE">
            <w:pPr>
              <w:wordWrap w:val="0"/>
              <w:adjustRightInd w:val="0"/>
              <w:snapToGrid w:val="0"/>
              <w:spacing w:line="360"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联系方式</w:t>
            </w:r>
          </w:p>
        </w:tc>
        <w:tc>
          <w:tcPr>
            <w:tcW w:w="7544" w:type="dxa"/>
            <w:tcBorders>
              <w:top w:val="single" w:color="auto" w:sz="4" w:space="0"/>
              <w:left w:val="single" w:color="auto" w:sz="4" w:space="0"/>
              <w:bottom w:val="single" w:color="auto" w:sz="4" w:space="0"/>
              <w:right w:val="single" w:color="auto" w:sz="4" w:space="0"/>
            </w:tcBorders>
            <w:noWrap/>
            <w:vAlign w:val="center"/>
          </w:tcPr>
          <w:p w14:paraId="04D737ED">
            <w:pPr>
              <w:spacing w:line="40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单位名称：南雄市住房和城乡建设局</w:t>
            </w:r>
          </w:p>
          <w:p w14:paraId="3258E933">
            <w:pPr>
              <w:spacing w:line="40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办公地址：南雄市新城沿江东路143号三楼 </w:t>
            </w:r>
          </w:p>
          <w:p w14:paraId="297F74A3">
            <w:pPr>
              <w:spacing w:line="40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联系人（部门）：建筑业市场管理股</w:t>
            </w:r>
          </w:p>
          <w:p w14:paraId="3BA3D76A">
            <w:pPr>
              <w:spacing w:line="400" w:lineRule="exact"/>
              <w:jc w:val="left"/>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联系电话：0751-3823847</w:t>
            </w:r>
          </w:p>
        </w:tc>
      </w:tr>
      <w:bookmarkEnd w:id="4"/>
    </w:tbl>
    <w:p w14:paraId="13A9FF01">
      <w:pPr>
        <w:pStyle w:val="3"/>
        <w:wordWrap w:val="0"/>
        <w:autoSpaceDE/>
        <w:autoSpaceDN/>
        <w:snapToGrid w:val="0"/>
        <w:spacing w:after="260" w:line="440" w:lineRule="exact"/>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5" w:name="_Toc122859103"/>
      <w:bookmarkStart w:id="6" w:name="_Toc122671103"/>
      <w:bookmarkStart w:id="7" w:name="_Toc122769943"/>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br w:type="page"/>
      </w:r>
      <w:bookmarkEnd w:id="5"/>
      <w:bookmarkEnd w:id="6"/>
      <w:bookmarkEnd w:id="7"/>
      <w:bookmarkStart w:id="8" w:name="_Toc25142"/>
      <w:r>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t>第二节.重要事项时间地点一览表.</w:t>
      </w:r>
      <w:bookmarkEnd w:id="8"/>
    </w:p>
    <w:tbl>
      <w:tblPr>
        <w:tblStyle w:val="21"/>
        <w:tblW w:w="9699"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04"/>
        <w:gridCol w:w="1610"/>
        <w:gridCol w:w="7585"/>
      </w:tblGrid>
      <w:tr w14:paraId="22168A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2"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17063ED9">
            <w:pPr>
              <w:pStyle w:val="39"/>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1</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27EE3730">
            <w:pPr>
              <w:pStyle w:val="39"/>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招标公告</w:t>
            </w:r>
          </w:p>
          <w:p w14:paraId="59A2B6BD">
            <w:pPr>
              <w:pStyle w:val="39"/>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 xml:space="preserve">发布时间 </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1FDE5BF9">
            <w:pPr>
              <w:pStyle w:val="39"/>
              <w:wordWrap w:val="0"/>
              <w:adjustRightInd w:val="0"/>
              <w:snapToGrid w:val="0"/>
              <w:spacing w:line="400" w:lineRule="exact"/>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2025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17</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05A2E6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1"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4E9098B4">
            <w:pPr>
              <w:pStyle w:val="39"/>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2</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7D93DB6D">
            <w:pPr>
              <w:pStyle w:val="39"/>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 xml:space="preserve">获取招标文件截止时间 </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16068B54">
            <w:pPr>
              <w:pStyle w:val="39"/>
              <w:wordWrap w:val="0"/>
              <w:adjustRightInd w:val="0"/>
              <w:snapToGrid w:val="0"/>
              <w:spacing w:line="400" w:lineRule="exact"/>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2025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5FC7B6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0"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71821A0A">
            <w:pPr>
              <w:pStyle w:val="39"/>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3</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06D0E338">
            <w:pPr>
              <w:pStyle w:val="39"/>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网上提问</w:t>
            </w:r>
          </w:p>
          <w:p w14:paraId="6FAF4569">
            <w:pPr>
              <w:pStyle w:val="39"/>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 xml:space="preserve">截止时间 </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4F229188">
            <w:pPr>
              <w:pStyle w:val="39"/>
              <w:wordWrap w:val="0"/>
              <w:adjustRightInd w:val="0"/>
              <w:snapToGrid w:val="0"/>
              <w:spacing w:line="400" w:lineRule="exact"/>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2025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28</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highlight w:val="none"/>
                <w:u w:val="single"/>
                <w:lang w:val="en-US" w:eastAsia="zh-CN"/>
                <w14:textFill>
                  <w14:solidFill>
                    <w14:schemeClr w14:val="tx1"/>
                  </w14:solidFill>
                </w14:textFill>
              </w:rPr>
              <w:t>16</w:t>
            </w:r>
            <w:r>
              <w:rPr>
                <w:rFonts w:hint="eastAsia" w:ascii="宋体" w:hAnsi="宋体" w:eastAsia="宋体" w:cs="宋体"/>
                <w:snapToGrid w:val="0"/>
                <w:color w:val="000000" w:themeColor="text1"/>
                <w:kern w:val="0"/>
                <w:sz w:val="24"/>
                <w:highlight w:val="none"/>
                <w14:textFill>
                  <w14:solidFill>
                    <w14:schemeClr w14:val="tx1"/>
                  </w14:solidFill>
                </w14:textFill>
              </w:rPr>
              <w:t>时</w:t>
            </w:r>
            <w:r>
              <w:rPr>
                <w:rFonts w:hint="eastAsia" w:ascii="宋体" w:hAnsi="宋体" w:eastAsia="宋体" w:cs="宋体"/>
                <w:snapToGrid w:val="0"/>
                <w:color w:val="000000" w:themeColor="text1"/>
                <w:kern w:val="0"/>
                <w:sz w:val="24"/>
                <w:highlight w:val="none"/>
                <w:u w:val="single"/>
                <w:lang w:val="en-US" w:eastAsia="zh-CN"/>
                <w14:textFill>
                  <w14:solidFill>
                    <w14:schemeClr w14:val="tx1"/>
                  </w14:solidFill>
                </w14:textFill>
              </w:rPr>
              <w:t>00</w:t>
            </w:r>
            <w:r>
              <w:rPr>
                <w:rFonts w:hint="eastAsia" w:ascii="宋体" w:hAnsi="宋体" w:eastAsia="宋体" w:cs="宋体"/>
                <w:snapToGrid w:val="0"/>
                <w:color w:val="000000" w:themeColor="text1"/>
                <w:kern w:val="0"/>
                <w:sz w:val="24"/>
                <w:highlight w:val="none"/>
                <w14:textFill>
                  <w14:solidFill>
                    <w14:schemeClr w14:val="tx1"/>
                  </w14:solidFill>
                </w14:textFill>
              </w:rPr>
              <w:t>分</w:t>
            </w:r>
          </w:p>
        </w:tc>
      </w:tr>
      <w:tr w14:paraId="7DEEBF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0"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45C470D5">
            <w:pPr>
              <w:pStyle w:val="39"/>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4</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0F0C6282">
            <w:pPr>
              <w:pStyle w:val="39"/>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网上答疑</w:t>
            </w:r>
          </w:p>
          <w:p w14:paraId="0A74B8A9">
            <w:pPr>
              <w:pStyle w:val="39"/>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时间</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45E20FE3">
            <w:pPr>
              <w:pStyle w:val="39"/>
              <w:wordWrap w:val="0"/>
              <w:adjustRightInd w:val="0"/>
              <w:snapToGrid w:val="0"/>
              <w:spacing w:line="400" w:lineRule="exact"/>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2025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28</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highlight w:val="none"/>
                <w:u w:val="single"/>
                <w:lang w:val="en-US" w:eastAsia="zh-CN"/>
                <w14:textFill>
                  <w14:solidFill>
                    <w14:schemeClr w14:val="tx1"/>
                  </w14:solidFill>
                </w14:textFill>
              </w:rPr>
              <w:t>16</w:t>
            </w:r>
            <w:r>
              <w:rPr>
                <w:rFonts w:hint="eastAsia" w:ascii="宋体" w:hAnsi="宋体" w:eastAsia="宋体" w:cs="宋体"/>
                <w:snapToGrid w:val="0"/>
                <w:color w:val="000000" w:themeColor="text1"/>
                <w:kern w:val="0"/>
                <w:sz w:val="24"/>
                <w:highlight w:val="none"/>
                <w14:textFill>
                  <w14:solidFill>
                    <w14:schemeClr w14:val="tx1"/>
                  </w14:solidFill>
                </w14:textFill>
              </w:rPr>
              <w:t>时</w:t>
            </w:r>
            <w:r>
              <w:rPr>
                <w:rFonts w:hint="eastAsia" w:ascii="宋体" w:hAnsi="宋体" w:eastAsia="宋体" w:cs="宋体"/>
                <w:snapToGrid w:val="0"/>
                <w:color w:val="000000" w:themeColor="text1"/>
                <w:kern w:val="0"/>
                <w:sz w:val="24"/>
                <w:highlight w:val="none"/>
                <w:u w:val="single"/>
                <w:lang w:val="en-US" w:eastAsia="zh-CN"/>
                <w14:textFill>
                  <w14:solidFill>
                    <w14:schemeClr w14:val="tx1"/>
                  </w14:solidFill>
                </w14:textFill>
              </w:rPr>
              <w:t>30</w:t>
            </w:r>
            <w:r>
              <w:rPr>
                <w:rFonts w:hint="eastAsia" w:ascii="宋体" w:hAnsi="宋体" w:eastAsia="宋体" w:cs="宋体"/>
                <w:snapToGrid w:val="0"/>
                <w:color w:val="000000" w:themeColor="text1"/>
                <w:kern w:val="0"/>
                <w:sz w:val="24"/>
                <w:highlight w:val="none"/>
                <w14:textFill>
                  <w14:solidFill>
                    <w14:schemeClr w14:val="tx1"/>
                  </w14:solidFill>
                </w14:textFill>
              </w:rPr>
              <w:t>分至</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2025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31</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snapToGrid w:val="0"/>
                <w:color w:val="000000" w:themeColor="text1"/>
                <w:kern w:val="0"/>
                <w:sz w:val="24"/>
                <w:highlight w:val="none"/>
                <w:u w:val="single"/>
                <w:lang w:val="en-US" w:eastAsia="zh-CN"/>
                <w14:textFill>
                  <w14:solidFill>
                    <w14:schemeClr w14:val="tx1"/>
                  </w14:solidFill>
                </w14:textFill>
              </w:rPr>
              <w:t>16</w:t>
            </w:r>
            <w:r>
              <w:rPr>
                <w:rFonts w:hint="eastAsia" w:ascii="宋体" w:hAnsi="宋体" w:eastAsia="宋体" w:cs="宋体"/>
                <w:snapToGrid w:val="0"/>
                <w:color w:val="000000" w:themeColor="text1"/>
                <w:kern w:val="0"/>
                <w:sz w:val="24"/>
                <w:highlight w:val="none"/>
                <w14:textFill>
                  <w14:solidFill>
                    <w14:schemeClr w14:val="tx1"/>
                  </w14:solidFill>
                </w14:textFill>
              </w:rPr>
              <w:t>时</w:t>
            </w:r>
            <w:r>
              <w:rPr>
                <w:rFonts w:hint="eastAsia" w:ascii="宋体" w:hAnsi="宋体" w:eastAsia="宋体" w:cs="宋体"/>
                <w:snapToGrid w:val="0"/>
                <w:color w:val="000000" w:themeColor="text1"/>
                <w:kern w:val="0"/>
                <w:sz w:val="24"/>
                <w:highlight w:val="none"/>
                <w:u w:val="single"/>
                <w:lang w:val="en-US" w:eastAsia="zh-CN"/>
                <w14:textFill>
                  <w14:solidFill>
                    <w14:schemeClr w14:val="tx1"/>
                  </w14:solidFill>
                </w14:textFill>
              </w:rPr>
              <w:t>00</w:t>
            </w:r>
            <w:r>
              <w:rPr>
                <w:rFonts w:hint="eastAsia" w:ascii="宋体" w:hAnsi="宋体" w:eastAsia="宋体" w:cs="宋体"/>
                <w:snapToGrid w:val="0"/>
                <w:color w:val="000000" w:themeColor="text1"/>
                <w:kern w:val="0"/>
                <w:sz w:val="24"/>
                <w:highlight w:val="none"/>
                <w14:textFill>
                  <w14:solidFill>
                    <w14:schemeClr w14:val="tx1"/>
                  </w14:solidFill>
                </w14:textFill>
              </w:rPr>
              <w:t>分</w:t>
            </w:r>
          </w:p>
        </w:tc>
      </w:tr>
      <w:tr w14:paraId="27131F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94"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66F98CB7">
            <w:pPr>
              <w:pStyle w:val="39"/>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5</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4F1C7D0A">
            <w:pPr>
              <w:pStyle w:val="39"/>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投标保证缴</w:t>
            </w:r>
          </w:p>
          <w:p w14:paraId="0D9FF3FC">
            <w:pPr>
              <w:pStyle w:val="39"/>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纳截止时间</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15DE476C">
            <w:pPr>
              <w:pStyle w:val="39"/>
              <w:wordWrap w:val="0"/>
              <w:adjustRightInd w:val="0"/>
              <w:snapToGrid w:val="0"/>
              <w:spacing w:line="400" w:lineRule="exact"/>
              <w:ind w:firstLine="240" w:firstLineChars="1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投标保证金到账截止时间：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2025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snapToGrid w:val="0"/>
                <w:color w:val="000000" w:themeColor="text1"/>
                <w:kern w:val="0"/>
                <w:sz w:val="24"/>
                <w:highlight w:val="none"/>
                <w14:textFill>
                  <w14:solidFill>
                    <w14:schemeClr w14:val="tx1"/>
                  </w14:solidFill>
                </w14:textFill>
              </w:rPr>
              <w:t>；</w:t>
            </w:r>
          </w:p>
          <w:p w14:paraId="6DA70669">
            <w:pPr>
              <w:pStyle w:val="39"/>
              <w:wordWrap w:val="0"/>
              <w:adjustRightInd w:val="0"/>
              <w:snapToGrid w:val="0"/>
              <w:spacing w:line="400" w:lineRule="exact"/>
              <w:ind w:firstLine="240" w:firstLineChars="100"/>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投标保证担保上传截止时间：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2025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snapToGrid w:val="0"/>
                <w:color w:val="000000" w:themeColor="text1"/>
                <w:kern w:val="0"/>
                <w:sz w:val="24"/>
                <w:highlight w:val="none"/>
                <w14:textFill>
                  <w14:solidFill>
                    <w14:schemeClr w14:val="tx1"/>
                  </w14:solidFill>
                </w14:textFill>
              </w:rPr>
              <w:t>；</w:t>
            </w:r>
          </w:p>
          <w:p w14:paraId="67AA4DAC">
            <w:pPr>
              <w:pStyle w:val="19"/>
              <w:wordWrap w:val="0"/>
              <w:adjustRightInd w:val="0"/>
              <w:snapToGrid w:val="0"/>
              <w:spacing w:line="400" w:lineRule="exact"/>
              <w:ind w:firstLine="240" w:firstLineChars="100"/>
              <w:rPr>
                <w:rFonts w:hint="eastAsia" w:ascii="宋体" w:hAnsi="宋体" w:eastAsia="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Cs w:val="24"/>
                <w:highlight w:val="none"/>
                <w14:textFill>
                  <w14:solidFill>
                    <w14:schemeClr w14:val="tx1"/>
                  </w14:solidFill>
                </w14:textFill>
              </w:rPr>
              <w:t>投标保证保险投保截止时间：</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2025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snapToGrid w:val="0"/>
                <w:color w:val="000000" w:themeColor="text1"/>
                <w:kern w:val="0"/>
                <w:szCs w:val="24"/>
                <w:highlight w:val="none"/>
                <w14:textFill>
                  <w14:solidFill>
                    <w14:schemeClr w14:val="tx1"/>
                  </w14:solidFill>
                </w14:textFill>
              </w:rPr>
              <w:t>。</w:t>
            </w:r>
          </w:p>
        </w:tc>
      </w:tr>
      <w:tr w14:paraId="1FE4F4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8"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1BECB072">
            <w:pPr>
              <w:pStyle w:val="39"/>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6</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023875C3">
            <w:pPr>
              <w:pStyle w:val="39"/>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电子投标</w:t>
            </w:r>
          </w:p>
          <w:p w14:paraId="2F5139AE">
            <w:pPr>
              <w:pStyle w:val="39"/>
              <w:wordWrap w:val="0"/>
              <w:adjustRightInd w:val="0"/>
              <w:snapToGrid w:val="0"/>
              <w:spacing w:line="360" w:lineRule="exact"/>
              <w:jc w:val="center"/>
              <w:rPr>
                <w:rFonts w:hint="eastAsia" w:asciiTheme="minorEastAsia" w:hAnsiTheme="minorEastAsia" w:eastAsiaTheme="minorEastAsia" w:cstheme="minorEastAsia"/>
                <w:strike/>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 xml:space="preserve">截止时间 </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110EBA23">
            <w:pPr>
              <w:pStyle w:val="19"/>
              <w:wordWrap w:val="0"/>
              <w:adjustRightInd w:val="0"/>
              <w:snapToGrid w:val="0"/>
              <w:spacing w:line="400" w:lineRule="exact"/>
              <w:ind w:firstLine="120" w:firstLineChars="50"/>
              <w:jc w:val="left"/>
              <w:rPr>
                <w:rFonts w:hint="eastAsia" w:ascii="宋体" w:hAnsi="宋体" w:eastAsia="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2025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5FD046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93"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616A944A">
            <w:pPr>
              <w:pStyle w:val="39"/>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7</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72E0DCA2">
            <w:pPr>
              <w:pStyle w:val="39"/>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投标相关资料（如有）递交时间</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67655BE1">
            <w:pPr>
              <w:pStyle w:val="19"/>
              <w:wordWrap w:val="0"/>
              <w:adjustRightInd w:val="0"/>
              <w:snapToGrid w:val="0"/>
              <w:spacing w:line="400" w:lineRule="exact"/>
              <w:jc w:val="left"/>
              <w:rPr>
                <w:rFonts w:hint="eastAsia" w:ascii="宋体" w:hAnsi="宋体" w:eastAsia="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2025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09</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hAnsi="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cs="宋体"/>
                <w:color w:val="000000" w:themeColor="text1"/>
                <w:sz w:val="24"/>
                <w:szCs w:val="24"/>
                <w:highlight w:val="none"/>
                <w:u w:val="singl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snapToGrid w:val="0"/>
                <w:color w:val="000000" w:themeColor="text1"/>
                <w:kern w:val="0"/>
                <w:szCs w:val="24"/>
                <w:highlight w:val="none"/>
                <w14:textFill>
                  <w14:solidFill>
                    <w14:schemeClr w14:val="tx1"/>
                  </w14:solidFill>
                </w14:textFill>
              </w:rPr>
              <w:t>至</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2025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5FFACE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07"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78DEEFEE">
            <w:pPr>
              <w:pStyle w:val="39"/>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8</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491A0D5A">
            <w:pPr>
              <w:pStyle w:val="39"/>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投标相关资料（如有）递交地点</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68AEBD41">
            <w:pPr>
              <w:pStyle w:val="39"/>
              <w:wordWrap w:val="0"/>
              <w:adjustRightInd w:val="0"/>
              <w:snapToGrid w:val="0"/>
              <w:spacing w:line="360" w:lineRule="auto"/>
              <w:jc w:val="left"/>
              <w:rPr>
                <w:rFonts w:hint="eastAsia" w:ascii="宋体" w:hAnsi="宋体" w:eastAsia="宋体" w:cs="宋体"/>
                <w:snapToGrid w:val="0"/>
                <w:color w:val="000000" w:themeColor="text1"/>
                <w:kern w:val="0"/>
                <w:sz w:val="24"/>
                <w:szCs w:val="24"/>
                <w:highlight w:val="none"/>
                <w:lang w:val="en"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递交场所：</w:t>
            </w:r>
            <w:r>
              <w:rPr>
                <w:rFonts w:hint="eastAsia" w:ascii="宋体" w:hAnsi="宋体" w:eastAsia="宋体" w:cs="宋体"/>
                <w:snapToGrid w:val="0"/>
                <w:color w:val="000000" w:themeColor="text1"/>
                <w:kern w:val="0"/>
                <w:sz w:val="24"/>
                <w:szCs w:val="24"/>
                <w:highlight w:val="none"/>
                <w:lang w:val="en" w:eastAsia="zh-CN"/>
                <w14:textFill>
                  <w14:solidFill>
                    <w14:schemeClr w14:val="tx1"/>
                  </w14:solidFill>
                </w14:textFill>
              </w:rPr>
              <w:t>韶关市公共资源交易中心南雄分中心</w:t>
            </w:r>
          </w:p>
          <w:p w14:paraId="51BA4AB9">
            <w:pPr>
              <w:pStyle w:val="39"/>
              <w:wordWrap w:val="0"/>
              <w:adjustRightInd w:val="0"/>
              <w:snapToGrid w:val="0"/>
              <w:spacing w:line="360" w:lineRule="auto"/>
              <w:jc w:val="left"/>
              <w:rPr>
                <w:rFonts w:hint="eastAsia" w:ascii="宋体" w:hAnsi="宋体" w:eastAsia="宋体" w:cs="宋体"/>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 w:eastAsia="zh-CN"/>
                <w14:textFill>
                  <w14:solidFill>
                    <w14:schemeClr w14:val="tx1"/>
                  </w14:solidFill>
                </w14:textFill>
              </w:rPr>
              <w:t>地址：南雄市雄东路1号大润发四楼韶关市公共资源交易中心南雄分中心,具体房间号以当日现场通知为准。</w:t>
            </w:r>
            <w:bookmarkStart w:id="626" w:name="_GoBack"/>
            <w:bookmarkEnd w:id="626"/>
          </w:p>
        </w:tc>
      </w:tr>
      <w:tr w14:paraId="3BC5B7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5"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6E0B6893">
            <w:pPr>
              <w:pStyle w:val="39"/>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9</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4F6A3ED1">
            <w:pPr>
              <w:pStyle w:val="39"/>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 xml:space="preserve">开标时间 </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5E9F5160">
            <w:pPr>
              <w:pStyle w:val="19"/>
              <w:wordWrap w:val="0"/>
              <w:adjustRightInd w:val="0"/>
              <w:snapToGrid w:val="0"/>
              <w:spacing w:line="400" w:lineRule="exact"/>
              <w:jc w:val="left"/>
              <w:rPr>
                <w:rFonts w:hint="eastAsia" w:ascii="宋体" w:hAnsi="宋体" w:eastAsia="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2025 </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w:t>
            </w:r>
          </w:p>
        </w:tc>
      </w:tr>
      <w:tr w14:paraId="183B6B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47"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776EBF36">
            <w:pPr>
              <w:pStyle w:val="39"/>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10</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364B7747">
            <w:pPr>
              <w:pStyle w:val="39"/>
              <w:wordWrap w:val="0"/>
              <w:adjustRightInd w:val="0"/>
              <w:snapToGrid w:val="0"/>
              <w:spacing w:line="360" w:lineRule="exact"/>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 xml:space="preserve">开标地点 </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72882EFC">
            <w:pPr>
              <w:pStyle w:val="39"/>
              <w:wordWrap w:val="0"/>
              <w:adjustRightInd w:val="0"/>
              <w:snapToGrid w:val="0"/>
              <w:spacing w:line="360" w:lineRule="auto"/>
              <w:jc w:val="left"/>
              <w:rPr>
                <w:rFonts w:hint="eastAsia" w:ascii="宋体" w:hAnsi="宋体" w:eastAsia="宋体" w:cs="宋体"/>
                <w:snapToGrid w:val="0"/>
                <w:color w:val="000000" w:themeColor="text1"/>
                <w:kern w:val="0"/>
                <w:sz w:val="24"/>
                <w:szCs w:val="24"/>
                <w:highlight w:val="none"/>
                <w:lang w:val="en"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开标场所：</w:t>
            </w:r>
            <w:r>
              <w:rPr>
                <w:rFonts w:hint="eastAsia" w:ascii="宋体" w:hAnsi="宋体" w:eastAsia="宋体" w:cs="宋体"/>
                <w:snapToGrid w:val="0"/>
                <w:color w:val="000000" w:themeColor="text1"/>
                <w:kern w:val="0"/>
                <w:sz w:val="24"/>
                <w:szCs w:val="24"/>
                <w:highlight w:val="none"/>
                <w:lang w:val="en" w:eastAsia="zh-CN"/>
                <w14:textFill>
                  <w14:solidFill>
                    <w14:schemeClr w14:val="tx1"/>
                  </w14:solidFill>
                </w14:textFill>
              </w:rPr>
              <w:t>韶关市公共资源交易中心南雄分中心</w:t>
            </w:r>
          </w:p>
          <w:p w14:paraId="310BDFC2">
            <w:pPr>
              <w:pStyle w:val="39"/>
              <w:wordWrap w:val="0"/>
              <w:adjustRightInd w:val="0"/>
              <w:snapToGrid w:val="0"/>
              <w:spacing w:line="360" w:lineRule="auto"/>
              <w:jc w:val="left"/>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 w:eastAsia="zh-CN"/>
                <w14:textFill>
                  <w14:solidFill>
                    <w14:schemeClr w14:val="tx1"/>
                  </w14:solidFill>
                </w14:textFill>
              </w:rPr>
              <w:t>地址：南雄市雄东路1号大润发四楼韶关市公共资源交易中心南雄分中心,具体房间号以当日现场通知为准。</w:t>
            </w:r>
          </w:p>
        </w:tc>
      </w:tr>
      <w:tr w14:paraId="365C5C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31" w:hRule="exact"/>
        </w:trPr>
        <w:tc>
          <w:tcPr>
            <w:tcW w:w="504" w:type="dxa"/>
            <w:tcBorders>
              <w:top w:val="single" w:color="080000" w:sz="4" w:space="0"/>
              <w:left w:val="single" w:color="080000" w:sz="4" w:space="0"/>
              <w:bottom w:val="single" w:color="080000" w:sz="4" w:space="0"/>
              <w:right w:val="single" w:color="080000" w:sz="4" w:space="0"/>
            </w:tcBorders>
            <w:noWrap w:val="0"/>
            <w:vAlign w:val="center"/>
          </w:tcPr>
          <w:p w14:paraId="391EFF47">
            <w:pPr>
              <w:pStyle w:val="39"/>
              <w:widowControl/>
              <w:snapToGrid w:val="0"/>
              <w:spacing w:line="360" w:lineRule="auto"/>
              <w:jc w:val="cente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11</w:t>
            </w:r>
          </w:p>
        </w:tc>
        <w:tc>
          <w:tcPr>
            <w:tcW w:w="1610" w:type="dxa"/>
            <w:tcBorders>
              <w:top w:val="single" w:color="080000" w:sz="4" w:space="0"/>
              <w:left w:val="single" w:color="080000" w:sz="4" w:space="0"/>
              <w:bottom w:val="single" w:color="080000" w:sz="4" w:space="0"/>
              <w:right w:val="single" w:color="080000" w:sz="4" w:space="0"/>
            </w:tcBorders>
            <w:noWrap w:val="0"/>
            <w:vAlign w:val="center"/>
          </w:tcPr>
          <w:p w14:paraId="12C593B1">
            <w:pPr>
              <w:adjustRightInd w:val="0"/>
              <w:snapToGrid w:val="0"/>
              <w:spacing w:line="360" w:lineRule="auto"/>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备注</w:t>
            </w:r>
          </w:p>
        </w:tc>
        <w:tc>
          <w:tcPr>
            <w:tcW w:w="7585" w:type="dxa"/>
            <w:tcBorders>
              <w:top w:val="single" w:color="080000" w:sz="4" w:space="0"/>
              <w:left w:val="single" w:color="080000" w:sz="4" w:space="0"/>
              <w:bottom w:val="single" w:color="080000" w:sz="4" w:space="0"/>
              <w:right w:val="single" w:color="080000" w:sz="4" w:space="0"/>
            </w:tcBorders>
            <w:noWrap w:val="0"/>
            <w:vAlign w:val="center"/>
          </w:tcPr>
          <w:p w14:paraId="00628AC1">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投标人应按有关要求办理数字证书（CA）和企业入库、获取招标文件、资料文件及招标答疑书等。若由于投标人自身原因未能及时取得上述资料的，由此发生的任何责任由投标人自行承担。</w:t>
            </w:r>
          </w:p>
        </w:tc>
      </w:tr>
    </w:tbl>
    <w:p w14:paraId="64B54B44">
      <w:pPr>
        <w:pStyle w:val="3"/>
        <w:wordWrap w:val="0"/>
        <w:autoSpaceDE/>
        <w:autoSpaceDN/>
        <w:snapToGrid w:val="0"/>
        <w:spacing w:after="260" w:line="440" w:lineRule="exact"/>
        <w:jc w:val="center"/>
        <w:rPr>
          <w:rFonts w:hint="eastAsia" w:asciiTheme="minorEastAsia" w:hAnsiTheme="minorEastAsia" w:eastAsiaTheme="minorEastAsia" w:cstheme="minorEastAsia"/>
          <w:color w:val="000000" w:themeColor="text1"/>
          <w:sz w:val="24"/>
          <w:szCs w:val="28"/>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br w:type="page"/>
      </w:r>
      <w:bookmarkStart w:id="9" w:name="_Hlt69669159"/>
      <w:bookmarkEnd w:id="9"/>
      <w:bookmarkStart w:id="10" w:name="_Hlt69698754"/>
      <w:bookmarkStart w:id="11" w:name="_Hlt69698705"/>
      <w:bookmarkStart w:id="12" w:name="_Toc23644"/>
      <w:r>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t>第三节</w:t>
      </w:r>
      <w:bookmarkStart w:id="13" w:name="_Hlt87793819"/>
      <w:bookmarkEnd w:id="13"/>
      <w:r>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t xml:space="preserve"> 投标须知正文</w:t>
      </w:r>
      <w:bookmarkEnd w:id="10"/>
      <w:bookmarkEnd w:id="11"/>
      <w:bookmarkEnd w:id="12"/>
    </w:p>
    <w:p w14:paraId="6870AE70">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u w:val="single"/>
          <w:lang w:eastAsia="zh-CN"/>
          <w14:textFill>
            <w14:solidFill>
              <w14:schemeClr w14:val="tx1"/>
            </w14:solidFill>
          </w14:textFill>
        </w:rPr>
        <w:t>南雄市古市镇圩镇综合建设和乡村振兴示范项目</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业经</w:t>
      </w:r>
      <w:r>
        <w:rPr>
          <w:rFonts w:hint="eastAsia" w:asciiTheme="minorEastAsia" w:hAnsiTheme="minorEastAsia" w:eastAsiaTheme="minorEastAsia" w:cstheme="minorEastAsia"/>
          <w:snapToGrid w:val="0"/>
          <w:color w:val="000000" w:themeColor="text1"/>
          <w:kern w:val="0"/>
          <w:highlight w:val="none"/>
          <w:u w:val="single"/>
          <w:lang w:eastAsia="zh-CN"/>
          <w14:textFill>
            <w14:solidFill>
              <w14:schemeClr w14:val="tx1"/>
            </w14:solidFill>
          </w14:textFill>
        </w:rPr>
        <w:t>南雄市发展和改革局</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以《</w:t>
      </w:r>
      <w:r>
        <w:rPr>
          <w:rFonts w:hint="eastAsia" w:asciiTheme="minorEastAsia" w:hAnsiTheme="minorEastAsia" w:eastAsiaTheme="minorEastAsia" w:cstheme="minorEastAsia"/>
          <w:snapToGrid w:val="0"/>
          <w:color w:val="000000" w:themeColor="text1"/>
          <w:kern w:val="0"/>
          <w:szCs w:val="24"/>
          <w:highlight w:val="none"/>
          <w:u w:val="single"/>
          <w:lang w:eastAsia="zh-CN"/>
          <w14:textFill>
            <w14:solidFill>
              <w14:schemeClr w14:val="tx1"/>
            </w14:solidFill>
          </w14:textFill>
        </w:rPr>
        <w:t>关于南雄市古市镇圩镇综合建设和乡村振兴示范项目可行性研究报告的批复</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u w:val="single"/>
          <w:lang w:eastAsia="zh-CN"/>
          <w14:textFill>
            <w14:solidFill>
              <w14:schemeClr w14:val="tx1"/>
            </w14:solidFill>
          </w14:textFill>
        </w:rPr>
        <w:t>雄发改投审[2025]100号</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批准建设，项目代码为</w:t>
      </w:r>
      <w:r>
        <w:rPr>
          <w:rFonts w:hint="eastAsia" w:asciiTheme="minorEastAsia" w:hAnsiTheme="minorEastAsia" w:eastAsiaTheme="minorEastAsia" w:cstheme="minorEastAsia"/>
          <w:color w:val="000000" w:themeColor="text1"/>
          <w:szCs w:val="24"/>
          <w:highlight w:val="none"/>
          <w:u w:val="single"/>
          <w:lang w:eastAsia="zh-CN"/>
          <w14:textFill>
            <w14:solidFill>
              <w14:schemeClr w14:val="tx1"/>
            </w14:solidFill>
          </w14:textFill>
        </w:rPr>
        <w:t>2504-440282-17-01-692792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项目</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业主为</w:t>
      </w:r>
      <w:r>
        <w:rPr>
          <w:rFonts w:hint="eastAsia" w:asciiTheme="minorEastAsia" w:hAnsiTheme="minorEastAsia" w:eastAsiaTheme="minorEastAsia" w:cstheme="minorEastAsia"/>
          <w:snapToGrid w:val="0"/>
          <w:color w:val="000000" w:themeColor="text1"/>
          <w:kern w:val="0"/>
          <w:highlight w:val="none"/>
          <w:u w:val="single"/>
          <w:lang w:eastAsia="zh-CN"/>
          <w14:textFill>
            <w14:solidFill>
              <w14:schemeClr w14:val="tx1"/>
            </w14:solidFill>
          </w14:textFill>
        </w:rPr>
        <w:t>南雄市古市镇人民政府</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，建设资金来自</w:t>
      </w:r>
      <w:r>
        <w:rPr>
          <w:rFonts w:hint="eastAsia" w:hAnsi="宋体" w:eastAsia="宋体" w:cs="宋体"/>
          <w:snapToGrid w:val="0"/>
          <w:color w:val="000000" w:themeColor="text1"/>
          <w:kern w:val="0"/>
          <w:sz w:val="24"/>
          <w:highlight w:val="none"/>
          <w:u w:val="single"/>
          <w:lang w:eastAsia="zh-CN"/>
          <w14:textFill>
            <w14:solidFill>
              <w14:schemeClr w14:val="tx1"/>
            </w14:solidFill>
          </w14:textFill>
        </w:rPr>
        <w:t>上级财政资金安排解决</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，出资比例</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100%</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，招标人为</w:t>
      </w:r>
      <w:r>
        <w:rPr>
          <w:rFonts w:hint="eastAsia" w:asciiTheme="minorEastAsia" w:hAnsiTheme="minorEastAsia" w:eastAsiaTheme="minorEastAsia" w:cstheme="minorEastAsia"/>
          <w:snapToGrid w:val="0"/>
          <w:color w:val="000000" w:themeColor="text1"/>
          <w:kern w:val="0"/>
          <w:highlight w:val="none"/>
          <w:u w:val="single"/>
          <w:lang w:eastAsia="zh-CN"/>
          <w14:textFill>
            <w14:solidFill>
              <w14:schemeClr w14:val="tx1"/>
            </w14:solidFill>
          </w14:textFill>
        </w:rPr>
        <w:t>南雄市古市镇人民政府</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，招标代理机构为</w:t>
      </w:r>
      <w:r>
        <w:rPr>
          <w:rFonts w:hint="eastAsia" w:asciiTheme="minorEastAsia" w:hAnsiTheme="minorEastAsia" w:eastAsiaTheme="minorEastAsia" w:cstheme="minorEastAsia"/>
          <w:color w:val="000000" w:themeColor="text1"/>
          <w:kern w:val="0"/>
          <w:highlight w:val="none"/>
          <w:u w:val="single"/>
          <w:lang w:eastAsia="zh-CN"/>
          <w14:textFill>
            <w14:solidFill>
              <w14:schemeClr w14:val="tx1"/>
            </w14:solidFill>
          </w14:textFill>
        </w:rPr>
        <w:t>中恒和咨询有限公司</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。项目已具备招标条件，现对该项目的</w:t>
      </w:r>
      <w:r>
        <w:rPr>
          <w:rFonts w:hint="eastAsia" w:asciiTheme="minorEastAsia" w:hAnsiTheme="minorEastAsia" w:eastAsiaTheme="minorEastAsia" w:cstheme="minorEastAsia"/>
          <w:snapToGrid w:val="0"/>
          <w:color w:val="000000" w:themeColor="text1"/>
          <w:kern w:val="0"/>
          <w:szCs w:val="24"/>
          <w:highlight w:val="none"/>
          <w:u w:val="single"/>
          <w:lang w:val="en-US" w:eastAsia="zh-CN"/>
          <w14:textFill>
            <w14:solidFill>
              <w14:schemeClr w14:val="tx1"/>
            </w14:solidFill>
          </w14:textFill>
        </w:rPr>
        <w:t>设计、施工总承包</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进行公开招标。</w:t>
      </w:r>
    </w:p>
    <w:p w14:paraId="6197F2E1">
      <w:pPr>
        <w:pStyle w:val="38"/>
        <w:keepNext/>
        <w:keepLines/>
        <w:ind w:firstLine="480"/>
        <w:jc w:val="both"/>
        <w:rPr>
          <w:rFonts w:hint="eastAsia" w:asciiTheme="minorEastAsia" w:hAnsiTheme="minorEastAsia" w:eastAsiaTheme="minorEastAsia" w:cstheme="minorEastAsia"/>
          <w:b/>
          <w:bCs/>
          <w:snapToGrid w:val="0"/>
          <w:color w:val="000000" w:themeColor="text1"/>
          <w:highlight w:val="none"/>
          <w14:textFill>
            <w14:solidFill>
              <w14:schemeClr w14:val="tx1"/>
            </w14:solidFill>
          </w14:textFill>
        </w:rPr>
      </w:pPr>
      <w:bookmarkStart w:id="14" w:name="_Hlt87948285"/>
      <w:bookmarkEnd w:id="14"/>
      <w:bookmarkStart w:id="15" w:name="_Hlt109358474"/>
      <w:bookmarkEnd w:id="15"/>
      <w:bookmarkStart w:id="16" w:name="_Hlt78795222"/>
      <w:bookmarkEnd w:id="16"/>
      <w:bookmarkStart w:id="17" w:name="_Hlt119991399"/>
      <w:bookmarkEnd w:id="17"/>
      <w:bookmarkStart w:id="18" w:name="_Hlt74474735"/>
      <w:bookmarkEnd w:id="18"/>
      <w:bookmarkStart w:id="19" w:name="_Toc18453"/>
      <w:bookmarkStart w:id="20" w:name="_Toc19598"/>
      <w:bookmarkStart w:id="21" w:name="_Toc4081"/>
      <w:bookmarkStart w:id="22" w:name="_Toc23054"/>
      <w:bookmarkStart w:id="23" w:name="_Toc574"/>
      <w:bookmarkStart w:id="24" w:name="_Toc30732"/>
      <w:bookmarkStart w:id="25" w:name="_Toc24563"/>
      <w:bookmarkStart w:id="26" w:name="_Toc25252"/>
      <w:bookmarkStart w:id="27" w:name="_Toc31976"/>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 工程概况综合说明</w:t>
      </w:r>
      <w:bookmarkEnd w:id="19"/>
      <w:bookmarkEnd w:id="20"/>
      <w:bookmarkEnd w:id="21"/>
      <w:bookmarkEnd w:id="22"/>
      <w:bookmarkEnd w:id="23"/>
      <w:bookmarkEnd w:id="24"/>
      <w:bookmarkEnd w:id="25"/>
      <w:bookmarkEnd w:id="26"/>
      <w:bookmarkEnd w:id="27"/>
    </w:p>
    <w:p w14:paraId="20A82846">
      <w:pPr>
        <w:pStyle w:val="39"/>
        <w:wordWrap w:val="0"/>
        <w:adjustRightInd w:val="0"/>
        <w:snapToGrid w:val="0"/>
        <w:spacing w:line="360" w:lineRule="auto"/>
        <w:ind w:firstLine="480"/>
        <w:jc w:val="left"/>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工程概况</w:t>
      </w:r>
    </w:p>
    <w:p w14:paraId="2A22D848">
      <w:pPr>
        <w:pStyle w:val="39"/>
        <w:wordWrap w:val="0"/>
        <w:adjustRightInd w:val="0"/>
        <w:snapToGrid w:val="0"/>
        <w:spacing w:line="360" w:lineRule="auto"/>
        <w:ind w:firstLine="480"/>
        <w:jc w:val="left"/>
        <w:rPr>
          <w:rFonts w:hint="eastAsia" w:asciiTheme="minorEastAsia" w:hAnsiTheme="minorEastAsia" w:eastAsiaTheme="minorEastAsia" w:cstheme="minorEastAsia"/>
          <w:color w:val="000000" w:themeColor="text1"/>
          <w:sz w:val="24"/>
          <w:szCs w:val="18"/>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1.1.1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建设地点：</w:t>
      </w:r>
      <w:r>
        <w:rPr>
          <w:rFonts w:hint="eastAsia" w:asciiTheme="minorEastAsia" w:hAnsiTheme="minorEastAsia" w:eastAsiaTheme="minorEastAsia" w:cstheme="minorEastAsia"/>
          <w:color w:val="000000" w:themeColor="text1"/>
          <w:kern w:val="2"/>
          <w:sz w:val="24"/>
          <w:szCs w:val="24"/>
          <w:highlight w:val="none"/>
          <w:u w:val="single"/>
          <w:lang w:val="en-US" w:eastAsia="zh-CN" w:bidi="ar-SA"/>
          <w14:textFill>
            <w14:solidFill>
              <w14:schemeClr w14:val="tx1"/>
            </w14:solidFill>
          </w14:textFill>
        </w:rPr>
        <w:t>南雄市古市镇辖区。</w:t>
      </w:r>
    </w:p>
    <w:p w14:paraId="5ED6A36F">
      <w:pPr>
        <w:pStyle w:val="36"/>
        <w:ind w:firstLine="482" w:firstLineChars="200"/>
        <w:rPr>
          <w:rFonts w:hint="eastAsia" w:asciiTheme="minorEastAsia" w:hAnsiTheme="minorEastAsia" w:eastAsiaTheme="minorEastAsia" w:cstheme="minorEastAsia"/>
          <w:color w:val="000000" w:themeColor="text1"/>
          <w:szCs w:val="24"/>
          <w:highlight w:val="none"/>
          <w:u w:val="none"/>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1.1.2</w:t>
      </w:r>
      <w:r>
        <w:rPr>
          <w:rFonts w:hint="eastAsia" w:asciiTheme="minorEastAsia" w:hAnsiTheme="minorEastAsia" w:eastAsiaTheme="minorEastAsia" w:cstheme="minorEastAsia"/>
          <w:color w:val="000000" w:themeColor="text1"/>
          <w:szCs w:val="24"/>
          <w:highlight w:val="none"/>
          <w:u w:val="none"/>
          <w14:textFill>
            <w14:solidFill>
              <w14:schemeClr w14:val="tx1"/>
            </w14:solidFill>
          </w14:textFill>
        </w:rPr>
        <w:t xml:space="preserve"> 建设内容和规模：</w:t>
      </w:r>
    </w:p>
    <w:p w14:paraId="65A6467F">
      <w:pPr>
        <w:pStyle w:val="36"/>
        <w:ind w:firstLine="480" w:firstLineChars="200"/>
        <w:rPr>
          <w:rFonts w:hint="eastAsia" w:asciiTheme="minorEastAsia" w:hAnsiTheme="minorEastAsia" w:eastAsiaTheme="minorEastAsia" w:cstheme="minorEastAsia"/>
          <w:color w:val="000000" w:themeColor="text1"/>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u w:val="single"/>
          <w:lang w:val="en-US" w:eastAsia="zh-CN"/>
          <w14:textFill>
            <w14:solidFill>
              <w14:schemeClr w14:val="tx1"/>
            </w14:solidFill>
          </w14:textFill>
        </w:rPr>
        <w:t>（一）古市镇古市大道基础设施建设项目：总面积约29.34亩，建设内容：①对南雄市第三小学西南侧地块建设慢行步道，长度约为1000米；②建设市民休憩广场约7000平方米，配套球场、电动自行车停车场及充电设施、无障碍设施、凉亭廊道、太阳能灯等；③古市镇美丽圩镇客厅项目，用地面积280平方米；</w:t>
      </w:r>
    </w:p>
    <w:p w14:paraId="1B00BC83">
      <w:pPr>
        <w:pStyle w:val="36"/>
        <w:ind w:firstLine="480" w:firstLineChars="200"/>
        <w:rPr>
          <w:rFonts w:hint="eastAsia" w:asciiTheme="minorEastAsia" w:hAnsiTheme="minorEastAsia" w:eastAsiaTheme="minorEastAsia" w:cstheme="minorEastAsia"/>
          <w:color w:val="000000" w:themeColor="text1"/>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u w:val="single"/>
          <w:lang w:val="en-US" w:eastAsia="zh-CN"/>
          <w14:textFill>
            <w14:solidFill>
              <w14:schemeClr w14:val="tx1"/>
            </w14:solidFill>
          </w14:textFill>
        </w:rPr>
        <w:t>（二）美丽圩镇入口通道提升项目：对南雄城区至古市大道及马市镇往古市大道交汇点处实施门户形象提升塑造，沿线完成道路建筑风貌改造；</w:t>
      </w:r>
    </w:p>
    <w:p w14:paraId="2F550D1D">
      <w:pPr>
        <w:pStyle w:val="36"/>
        <w:ind w:firstLine="480" w:firstLineChars="200"/>
        <w:rPr>
          <w:rFonts w:hint="eastAsia" w:asciiTheme="minorEastAsia" w:hAnsiTheme="minorEastAsia" w:eastAsiaTheme="minorEastAsia" w:cstheme="minorEastAsia"/>
          <w:color w:val="000000" w:themeColor="text1"/>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u w:val="single"/>
          <w:lang w:val="en-US" w:eastAsia="zh-CN"/>
          <w14:textFill>
            <w14:solidFill>
              <w14:schemeClr w14:val="tx1"/>
            </w14:solidFill>
          </w14:textFill>
        </w:rPr>
        <w:t>（三）农贸市场提升项目：对农贸市场进行规划布局提升，各摊位按照功能进行区分，完善设施，增加智能智慧设备、食品安全快检公示栏等；</w:t>
      </w:r>
    </w:p>
    <w:p w14:paraId="17C66755">
      <w:pPr>
        <w:pStyle w:val="36"/>
        <w:ind w:firstLine="480" w:firstLineChars="200"/>
        <w:rPr>
          <w:rFonts w:hint="eastAsia" w:asciiTheme="minorEastAsia" w:hAnsiTheme="minorEastAsia" w:eastAsiaTheme="minorEastAsia" w:cstheme="minorEastAsia"/>
          <w:color w:val="000000" w:themeColor="text1"/>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u w:val="single"/>
          <w:lang w:val="en-US" w:eastAsia="zh-CN"/>
          <w14:textFill>
            <w14:solidFill>
              <w14:schemeClr w14:val="tx1"/>
            </w14:solidFill>
          </w14:textFill>
        </w:rPr>
        <w:t>（四）古市圩镇风貌提升工程：对圩镇道路沿线“六乱”现象进行整治；对镇区范围内进行人居环境整治；对镇区进行管线整理，整治长度约1.5公里，增加圩镇沿线绿植约1000平方米；对主要街道及周边破损路面进行黑底化建设(约2公里)，完善交通标线与路灯设施；对铁皮房顶进行整治，对建筑外立面整体提升改造。</w:t>
      </w:r>
    </w:p>
    <w:p w14:paraId="2A89E065">
      <w:pPr>
        <w:pStyle w:val="36"/>
        <w:ind w:firstLine="482" w:firstLineChars="200"/>
        <w:rPr>
          <w:rFonts w:hint="eastAsia" w:asciiTheme="minorEastAsia" w:hAnsiTheme="minorEastAsia" w:eastAsiaTheme="minorEastAsia" w:cstheme="minorEastAsia"/>
          <w:color w:val="000000" w:themeColor="text1"/>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1.1.3</w:t>
      </w:r>
      <w:r>
        <w:rPr>
          <w:rFonts w:hint="eastAsia" w:asciiTheme="minorEastAsia" w:hAnsiTheme="minorEastAsia" w:eastAsiaTheme="minorEastAsia" w:cstheme="minorEastAsia"/>
          <w:b/>
          <w:bCs/>
          <w:color w:val="000000" w:themeColor="text1"/>
          <w:kern w:val="2"/>
          <w:sz w:val="24"/>
          <w:szCs w:val="24"/>
          <w:highlight w:val="none"/>
          <w:u w:val="none"/>
          <w:lang w:val="en-US" w:eastAsia="zh-CN" w:bidi="ar-SA"/>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u w:val="none"/>
          <w14:textFill>
            <w14:solidFill>
              <w14:schemeClr w14:val="tx1"/>
            </w14:solidFill>
          </w14:textFill>
        </w:rPr>
        <w:t>项目总投资：</w:t>
      </w:r>
      <w:bookmarkStart w:id="28" w:name="_Toc20999"/>
      <w:r>
        <w:rPr>
          <w:rFonts w:hint="eastAsia" w:asciiTheme="minorEastAsia" w:hAnsiTheme="minorEastAsia" w:eastAsiaTheme="minorEastAsia" w:cstheme="minorEastAsia"/>
          <w:color w:val="000000" w:themeColor="text1"/>
          <w:szCs w:val="24"/>
          <w:highlight w:val="none"/>
          <w:u w:val="single"/>
          <w:lang w:val="en-US" w:eastAsia="zh-CN"/>
          <w14:textFill>
            <w14:solidFill>
              <w14:schemeClr w14:val="tx1"/>
            </w14:solidFill>
          </w14:textFill>
        </w:rPr>
        <w:t>本次招标概算总投资1500.00万元，其中:建安工程费约1200.00万元，设计费约27.432万元。</w:t>
      </w:r>
    </w:p>
    <w:p w14:paraId="37F8AD91">
      <w:pPr>
        <w:widowControl/>
        <w:spacing w:line="360" w:lineRule="auto"/>
        <w:ind w:left="511" w:leftChars="213"/>
        <w:rPr>
          <w:rFonts w:hint="eastAsia" w:asciiTheme="minorEastAsia" w:hAnsiTheme="minorEastAsia" w:eastAsiaTheme="minorEastAsia" w:cstheme="minorEastAsia"/>
          <w:snapToGrid w:val="0"/>
          <w:color w:val="000000" w:themeColor="text1"/>
          <w:kern w:val="0"/>
          <w:highlight w:val="none"/>
          <w:u w:val="singl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highlight w:val="none"/>
          <w14:textFill>
            <w14:solidFill>
              <w14:schemeClr w14:val="tx1"/>
            </w14:solidFill>
          </w14:textFill>
        </w:rPr>
        <w:t>1.2</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 xml:space="preserve"> 标段划分：</w:t>
      </w:r>
      <w:bookmarkEnd w:id="28"/>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本招标项目不划分标段。</w:t>
      </w:r>
    </w:p>
    <w:p w14:paraId="3302462C">
      <w:pPr>
        <w:pStyle w:val="36"/>
        <w:tabs>
          <w:tab w:val="left" w:pos="7020"/>
        </w:tabs>
        <w:ind w:firstLine="48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1.3</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监理单位：</w:t>
      </w:r>
      <w:r>
        <w:rPr>
          <w:rFonts w:hint="eastAsia" w:asciiTheme="minorEastAsia" w:hAnsiTheme="minorEastAsia" w:eastAsiaTheme="minorEastAsia" w:cstheme="minorEastAsia"/>
          <w:color w:val="000000" w:themeColor="text1"/>
          <w:szCs w:val="18"/>
          <w:highlight w:val="none"/>
          <w:u w:val="single"/>
          <w14:textFill>
            <w14:solidFill>
              <w14:schemeClr w14:val="tx1"/>
            </w14:solidFill>
          </w14:textFill>
        </w:rPr>
        <w:t>待定</w:t>
      </w:r>
      <w:r>
        <w:rPr>
          <w:rFonts w:hint="eastAsia" w:asciiTheme="minorEastAsia" w:hAnsiTheme="minorEastAsia" w:eastAsiaTheme="minorEastAsia" w:cstheme="minorEastAsia"/>
          <w:color w:val="000000" w:themeColor="text1"/>
          <w:szCs w:val="18"/>
          <w:highlight w:val="none"/>
          <w14:textFill>
            <w14:solidFill>
              <w14:schemeClr w14:val="tx1"/>
            </w14:solidFill>
          </w14:textFill>
        </w:rPr>
        <w:t>。</w:t>
      </w:r>
    </w:p>
    <w:p w14:paraId="7530DDF6">
      <w:pPr>
        <w:pStyle w:val="36"/>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投标费用：</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投标人应承担所有准备和参加投标的相关费用，不论投标结果如何，招标人均无义务和责任承担这些费用</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bookmarkStart w:id="29" w:name="_Toc106184808"/>
    </w:p>
    <w:p w14:paraId="3EB48DDC">
      <w:pPr>
        <w:pStyle w:val="38"/>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30" w:name="_Toc121"/>
      <w:bookmarkStart w:id="31" w:name="_Toc18851"/>
      <w:bookmarkStart w:id="32" w:name="_Toc22550"/>
      <w:bookmarkStart w:id="33" w:name="_Toc32400"/>
      <w:bookmarkStart w:id="34" w:name="_Toc7700"/>
      <w:bookmarkStart w:id="35" w:name="_Toc14958"/>
      <w:bookmarkStart w:id="36" w:name="_Toc14538"/>
      <w:bookmarkStart w:id="37" w:name="_Toc17359"/>
      <w:bookmarkStart w:id="38" w:name="_Toc12190"/>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2 、招标范围</w:t>
      </w:r>
      <w:bookmarkEnd w:id="29"/>
      <w:bookmarkEnd w:id="30"/>
      <w:bookmarkEnd w:id="31"/>
      <w:bookmarkEnd w:id="32"/>
      <w:bookmarkEnd w:id="33"/>
      <w:bookmarkEnd w:id="34"/>
      <w:bookmarkEnd w:id="35"/>
      <w:bookmarkEnd w:id="36"/>
      <w:bookmarkEnd w:id="37"/>
      <w:bookmarkEnd w:id="38"/>
    </w:p>
    <w:p w14:paraId="358B4272">
      <w:pPr>
        <w:pStyle w:val="41"/>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39" w:name="_Hlt91408212"/>
      <w:bookmarkEnd w:id="39"/>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2.1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招标范围：</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本工程所涉及的内容包括但不限于以下（1）～（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5DE91771">
      <w:pPr>
        <w:pStyle w:val="36"/>
        <w:numPr>
          <w:ilvl w:val="0"/>
          <w:numId w:val="0"/>
        </w:numPr>
        <w:ind w:leftChars="0" w:firstLine="240"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bookmarkStart w:id="40" w:name="_Toc4645"/>
      <w:bookmarkStart w:id="41" w:name="_Toc7799"/>
      <w:bookmarkStart w:id="42" w:name="_Toc13988"/>
      <w:bookmarkStart w:id="43" w:name="_Toc1366"/>
      <w:bookmarkStart w:id="44" w:name="_Toc2217"/>
      <w:bookmarkStart w:id="45" w:name="_Toc2350"/>
      <w:bookmarkStart w:id="46" w:name="_Toc708"/>
      <w:bookmarkStart w:id="47" w:name="_Toc21803"/>
      <w:bookmarkStart w:id="48" w:name="_Toc32739"/>
      <w:bookmarkStart w:id="49" w:name="_Toc26845"/>
      <w:bookmarkStart w:id="50" w:name="_Toc27886"/>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设计部分：</w:t>
      </w:r>
      <w:r>
        <w:rPr>
          <w:rFonts w:hint="eastAsia" w:asciiTheme="minorEastAsia" w:hAnsiTheme="minorEastAsia" w:eastAsiaTheme="minorEastAsia" w:cstheme="minorEastAsia"/>
          <w:snapToGrid w:val="0"/>
          <w:color w:val="000000" w:themeColor="text1"/>
          <w:kern w:val="0"/>
          <w:sz w:val="24"/>
          <w:szCs w:val="24"/>
          <w:highlight w:val="none"/>
          <w:lang w:val="zh-CN"/>
          <w14:textFill>
            <w14:solidFill>
              <w14:schemeClr w14:val="tx1"/>
            </w14:solidFill>
          </w14:textFill>
        </w:rPr>
        <w:t>确保项目顺利实施的报建、报批、施工等所需的所有建安工程等设计文件。包括但不限于：施工图设计、</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提供项目所需相关检测项的明细表和危险性较大的分部分项工程清单及保障安全相关说明</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zh-CN"/>
          <w14:textFill>
            <w14:solidFill>
              <w14:schemeClr w14:val="tx1"/>
            </w14:solidFill>
          </w14:textFill>
        </w:rPr>
        <w:t>工地现场服务、验收过程中的设计指导及配合阶段验收及档案整理、协助施工单位编制竣工图及后续设计服务工作</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p w14:paraId="057F954A">
      <w:pPr>
        <w:pStyle w:val="36"/>
        <w:ind w:firstLine="241" w:firstLineChars="100"/>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注：设计文件深度要求必须满足</w:t>
      </w:r>
      <w:r>
        <w:rPr>
          <w:rFonts w:hint="eastAsia" w:asciiTheme="minorEastAsia" w:hAnsiTheme="minorEastAsia" w:eastAsiaTheme="minorEastAsia" w:cstheme="minorEastAsia"/>
          <w:b/>
          <w:bCs/>
          <w:snapToGrid w:val="0"/>
          <w:color w:val="000000" w:themeColor="text1"/>
          <w:kern w:val="0"/>
          <w:sz w:val="24"/>
          <w:szCs w:val="24"/>
          <w:highlight w:val="none"/>
          <w:lang w:eastAsia="zh-CN"/>
          <w14:textFill>
            <w14:solidFill>
              <w14:schemeClr w14:val="tx1"/>
            </w14:solidFill>
          </w14:textFill>
        </w:rPr>
        <w:t>住房和城乡建设部</w:t>
      </w: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《建筑工程设计文件编制深度规定（20</w:t>
      </w:r>
      <w:r>
        <w:rPr>
          <w:rFonts w:hint="eastAsia" w:asciiTheme="minorEastAsia" w:hAnsiTheme="minorEastAsia" w:eastAsiaTheme="minorEastAsia" w:cstheme="minorEastAsia"/>
          <w:b/>
          <w:bCs/>
          <w:snapToGrid w:val="0"/>
          <w:color w:val="000000" w:themeColor="text1"/>
          <w:kern w:val="0"/>
          <w:sz w:val="24"/>
          <w:szCs w:val="24"/>
          <w:highlight w:val="none"/>
          <w:lang w:val="en-US" w:eastAsia="zh-CN"/>
          <w14:textFill>
            <w14:solidFill>
              <w14:schemeClr w14:val="tx1"/>
            </w14:solidFill>
          </w14:textFill>
        </w:rPr>
        <w:t>23</w:t>
      </w: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版）》的要求，各专业还应该满足各专业工程设计文件编制深度规范或规定的要求</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p>
    <w:p w14:paraId="1C81C4B2">
      <w:pPr>
        <w:pStyle w:val="36"/>
        <w:ind w:firstLine="240" w:firstLineChars="100"/>
        <w:jc w:val="left"/>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）施工部分：设计文件及工程量清单范围内的所有工程及配套工程、设施等的施工</w:t>
      </w:r>
      <w:r>
        <w:rPr>
          <w:rFonts w:hint="eastAsia" w:hAnsi="宋体" w:cs="Calibri"/>
          <w:bCs/>
          <w:color w:val="000000" w:themeColor="text1"/>
          <w:sz w:val="24"/>
          <w:szCs w:val="24"/>
          <w:highlight w:val="none"/>
          <w:lang w:val="zh-CN"/>
          <w14:textFill>
            <w14:solidFill>
              <w14:schemeClr w14:val="tx1"/>
            </w14:solidFill>
          </w14:textFill>
        </w:rPr>
        <w:t>（含竣工验收资料编制整理、备案等），完成并配合发包人结算、负责工程缺陷保修以及发包人要求由施工单位完成的其他工作（发包人另行委托其他单位负责实施的工作内容除外，但需提供一系列协调及配合服务）等</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w:t>
      </w:r>
      <w:bookmarkEnd w:id="40"/>
      <w:bookmarkEnd w:id="41"/>
      <w:bookmarkEnd w:id="42"/>
    </w:p>
    <w:p w14:paraId="4C6ED494">
      <w:pPr>
        <w:pStyle w:val="36"/>
        <w:keepNext/>
        <w:keepLines/>
        <w:ind w:firstLineChars="200"/>
        <w:jc w:val="both"/>
        <w:rPr>
          <w:rFonts w:hint="eastAsia" w:asciiTheme="minorEastAsia" w:hAnsiTheme="minorEastAsia" w:eastAsiaTheme="minorEastAsia" w:cstheme="minorEastAsia"/>
          <w:b/>
          <w:bCs/>
          <w:snapToGrid w:val="0"/>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2"/>
          <w:highlight w:val="none"/>
          <w14:textFill>
            <w14:solidFill>
              <w14:schemeClr w14:val="tx1"/>
            </w14:solidFill>
          </w14:textFill>
        </w:rPr>
        <w:t>3</w:t>
      </w:r>
      <w:bookmarkStart w:id="51" w:name="_Hlt66187826"/>
      <w:bookmarkEnd w:id="51"/>
      <w:r>
        <w:rPr>
          <w:rFonts w:hint="eastAsia" w:asciiTheme="minorEastAsia" w:hAnsiTheme="minorEastAsia" w:eastAsiaTheme="minorEastAsia" w:cstheme="minorEastAsia"/>
          <w:b/>
          <w:bCs/>
          <w:snapToGrid w:val="0"/>
          <w:color w:val="000000" w:themeColor="text1"/>
          <w:kern w:val="2"/>
          <w:highlight w:val="none"/>
          <w14:textFill>
            <w14:solidFill>
              <w14:schemeClr w14:val="tx1"/>
            </w14:solidFill>
          </w14:textFill>
        </w:rPr>
        <w:t>、工期</w:t>
      </w:r>
      <w:bookmarkEnd w:id="43"/>
      <w:bookmarkEnd w:id="44"/>
      <w:bookmarkEnd w:id="45"/>
      <w:bookmarkEnd w:id="46"/>
      <w:bookmarkEnd w:id="47"/>
      <w:bookmarkEnd w:id="48"/>
      <w:bookmarkEnd w:id="49"/>
      <w:bookmarkEnd w:id="50"/>
    </w:p>
    <w:p w14:paraId="1D49252B">
      <w:pPr>
        <w:pStyle w:val="36"/>
        <w:ind w:firstLine="480" w:firstLineChars="200"/>
        <w:rPr>
          <w:rFonts w:hint="eastAsia" w:asciiTheme="minorEastAsia" w:hAnsiTheme="minorEastAsia" w:eastAsiaTheme="minorEastAsia" w:cstheme="minorEastAsia"/>
          <w:snapToGrid w:val="0"/>
          <w:color w:val="000000" w:themeColor="text1"/>
          <w:szCs w:val="20"/>
          <w:highlight w:val="none"/>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highlight w:val="none"/>
          <w14:textFill>
            <w14:solidFill>
              <w14:schemeClr w14:val="tx1"/>
            </w14:solidFill>
          </w14:textFill>
        </w:rPr>
        <w:t>3.1</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 xml:space="preserve"> 本工程工期为：</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本项目设计、施工总工期</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240</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日历天，其中：设计工期为</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30</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日历天</w:t>
      </w:r>
      <w:r>
        <w:rPr>
          <w:rFonts w:hint="eastAsia" w:asciiTheme="minorEastAsia" w:hAnsiTheme="minorEastAsia" w:eastAsiaTheme="minorEastAsia" w:cstheme="minorEastAsia"/>
          <w:snapToGrid w:val="0"/>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施工工期为</w:t>
      </w:r>
      <w:r>
        <w:rPr>
          <w:rFonts w:hint="eastAsia" w:asciiTheme="minorEastAsia" w:hAnsiTheme="minorEastAsia" w:eastAsiaTheme="minorEastAsia" w:cstheme="minorEastAsia"/>
          <w:snapToGrid w:val="0"/>
          <w:color w:val="000000" w:themeColor="text1"/>
          <w:kern w:val="0"/>
          <w:sz w:val="24"/>
          <w:szCs w:val="24"/>
          <w:highlight w:val="none"/>
          <w:u w:val="single"/>
          <w:lang w:val="en-US" w:eastAsia="zh-CN"/>
          <w14:textFill>
            <w14:solidFill>
              <w14:schemeClr w14:val="tx1"/>
            </w14:solidFill>
          </w14:textFill>
        </w:rPr>
        <w:t>210</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日历天。</w:t>
      </w:r>
      <w:r>
        <w:rPr>
          <w:rFonts w:hint="eastAsia" w:asciiTheme="minorEastAsia" w:hAnsiTheme="minorEastAsia" w:eastAsiaTheme="minorEastAsia" w:cstheme="minorEastAsia"/>
          <w:snapToGrid w:val="0"/>
          <w:color w:val="000000" w:themeColor="text1"/>
          <w:kern w:val="2"/>
          <w:highlight w:val="none"/>
          <w14:textFill>
            <w14:solidFill>
              <w14:schemeClr w14:val="tx1"/>
            </w14:solidFill>
          </w14:textFill>
        </w:rPr>
        <w:t>中标人必须在所要求的工期内</w:t>
      </w:r>
      <w:r>
        <w:rPr>
          <w:rFonts w:hint="eastAsia" w:asciiTheme="minorEastAsia" w:hAnsiTheme="minorEastAsia" w:eastAsiaTheme="minorEastAsia" w:cstheme="minorEastAsia"/>
          <w:snapToGrid w:val="0"/>
          <w:color w:val="000000" w:themeColor="text1"/>
          <w:kern w:val="2"/>
          <w:highlight w:val="none"/>
          <w:lang w:eastAsia="zh-CN"/>
          <w14:textFill>
            <w14:solidFill>
              <w14:schemeClr w14:val="tx1"/>
            </w14:solidFill>
          </w14:textFill>
        </w:rPr>
        <w:t>完成招标范围内的全部内容</w:t>
      </w:r>
      <w:r>
        <w:rPr>
          <w:rFonts w:hint="eastAsia" w:asciiTheme="minorEastAsia" w:hAnsiTheme="minorEastAsia" w:eastAsiaTheme="minorEastAsia" w:cstheme="minorEastAsia"/>
          <w:snapToGrid w:val="0"/>
          <w:color w:val="000000" w:themeColor="text1"/>
          <w:kern w:val="2"/>
          <w:highlight w:val="none"/>
          <w14:textFill>
            <w14:solidFill>
              <w14:schemeClr w14:val="tx1"/>
            </w14:solidFill>
          </w14:textFill>
        </w:rPr>
        <w:t>。</w:t>
      </w:r>
    </w:p>
    <w:p w14:paraId="7069292E">
      <w:pPr>
        <w:pStyle w:val="36"/>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val="0"/>
          <w:snapToGrid w:val="0"/>
          <w:color w:val="000000" w:themeColor="text1"/>
          <w:highlight w:val="none"/>
          <w14:textFill>
            <w14:solidFill>
              <w14:schemeClr w14:val="tx1"/>
            </w14:solidFill>
          </w14:textFill>
        </w:rPr>
        <w:t>3.2</w:t>
      </w:r>
      <w:r>
        <w:rPr>
          <w:rFonts w:hint="eastAsia" w:asciiTheme="minorEastAsia" w:hAnsiTheme="minorEastAsia" w:eastAsiaTheme="minorEastAsia" w:cstheme="minorEastAsia"/>
          <w:color w:val="000000" w:themeColor="text1"/>
          <w:highlight w:val="none"/>
          <w14:textFill>
            <w14:solidFill>
              <w14:schemeClr w14:val="tx1"/>
            </w14:solidFill>
          </w14:textFill>
        </w:rPr>
        <w:t>因中标人原因，没有按期完成设计任务、工程没有按期竣工时，中标人须在逾期第壹天起每天分别按设计、施工合同价款的1.5</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‰向</w:t>
      </w:r>
      <w:r>
        <w:rPr>
          <w:rFonts w:hint="eastAsia" w:asciiTheme="minorEastAsia" w:hAnsiTheme="minorEastAsia" w:eastAsiaTheme="minorEastAsia" w:cstheme="minorEastAsia"/>
          <w:color w:val="000000" w:themeColor="text1"/>
          <w:highlight w:val="none"/>
          <w14:textFill>
            <w14:solidFill>
              <w14:schemeClr w14:val="tx1"/>
            </w14:solidFill>
          </w14:textFill>
        </w:rPr>
        <w:t>招标人缴纳逾期违约金，分别累计最高不超过设计、施工合同价款的10%向招标人缴纳逾期违约金。</w:t>
      </w:r>
    </w:p>
    <w:p w14:paraId="4BCB15A2">
      <w:pPr>
        <w:pStyle w:val="36"/>
        <w:ind w:firstLine="482" w:firstLineChars="20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color w:val="000000" w:themeColor="text1"/>
          <w:kern w:val="44"/>
          <w:highlight w:val="none"/>
          <w14:textFill>
            <w14:solidFill>
              <w14:schemeClr w14:val="tx1"/>
            </w14:solidFill>
          </w14:textFill>
        </w:rPr>
        <w:t>3.3</w:t>
      </w:r>
      <w:r>
        <w:rPr>
          <w:rFonts w:hint="eastAsia" w:asciiTheme="minorEastAsia" w:hAnsiTheme="minorEastAsia" w:eastAsiaTheme="minorEastAsia" w:cstheme="minorEastAsia"/>
          <w:color w:val="000000" w:themeColor="text1"/>
          <w:highlight w:val="none"/>
          <w14:textFill>
            <w14:solidFill>
              <w14:schemeClr w14:val="tx1"/>
            </w14:solidFill>
          </w14:textFill>
        </w:rPr>
        <w:t>设计工期自</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中标通知书发出之日</w:t>
      </w:r>
      <w:r>
        <w:rPr>
          <w:rFonts w:hint="eastAsia" w:asciiTheme="minorEastAsia" w:hAnsiTheme="minorEastAsia" w:eastAsiaTheme="minorEastAsia" w:cstheme="minorEastAsia"/>
          <w:color w:val="000000" w:themeColor="text1"/>
          <w:highlight w:val="none"/>
          <w14:textFill>
            <w14:solidFill>
              <w14:schemeClr w14:val="tx1"/>
            </w14:solidFill>
          </w14:textFill>
        </w:rPr>
        <w:t>起计算，至提交符合招标人及审图机构要求的施工图设计文件之日止（每一步设计工作，必须以招标人及有关部门审核批准后方可实施）</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p>
    <w:p w14:paraId="5689BC32">
      <w:pPr>
        <w:pStyle w:val="36"/>
        <w:ind w:firstLine="482" w:firstLineChars="20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highlight w:val="none"/>
          <w14:textFill>
            <w14:solidFill>
              <w14:schemeClr w14:val="tx1"/>
            </w14:solidFill>
          </w14:textFill>
        </w:rPr>
        <w:t>4</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 xml:space="preserve"> 施工工期从开工令签发之日起计，至竣工验收之日止。</w:t>
      </w:r>
      <w:bookmarkStart w:id="52" w:name="_Toc11872"/>
    </w:p>
    <w:p w14:paraId="1FEB7EBD">
      <w:pPr>
        <w:pStyle w:val="38"/>
        <w:keepNext/>
        <w:keepLines/>
        <w:ind w:firstLine="482" w:firstLineChars="200"/>
        <w:jc w:val="both"/>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pPr>
      <w:bookmarkStart w:id="53" w:name="_Toc19644"/>
      <w:bookmarkStart w:id="54" w:name="_Toc30034"/>
      <w:bookmarkStart w:id="55" w:name="_Toc2499"/>
      <w:bookmarkStart w:id="56" w:name="_Toc1889"/>
      <w:bookmarkStart w:id="57" w:name="_Toc24539"/>
      <w:bookmarkStart w:id="58" w:name="_Toc13379"/>
      <w:bookmarkStart w:id="59" w:name="_Toc22160"/>
      <w:bookmarkStart w:id="60" w:name="_Toc3312"/>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4 、投标人资质及条件要求</w:t>
      </w:r>
      <w:bookmarkEnd w:id="52"/>
      <w:bookmarkEnd w:id="53"/>
      <w:bookmarkEnd w:id="54"/>
      <w:bookmarkEnd w:id="55"/>
      <w:bookmarkEnd w:id="56"/>
      <w:bookmarkEnd w:id="57"/>
      <w:bookmarkEnd w:id="58"/>
      <w:bookmarkEnd w:id="59"/>
      <w:bookmarkEnd w:id="60"/>
      <w:bookmarkStart w:id="61" w:name="_Hlt74496495"/>
      <w:bookmarkEnd w:id="61"/>
    </w:p>
    <w:p w14:paraId="5C1A8A67">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本次招标接受联合体投标，联合体以一个投标人的身份共同投标。</w:t>
      </w:r>
    </w:p>
    <w:p w14:paraId="40E69D05">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1.1．联合体成员数量不超过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个。</w:t>
      </w:r>
    </w:p>
    <w:p w14:paraId="62A8E9FC">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1.2．联合体各方应按招标文件提供的格式签订联合体协议书，明确联合体牵头人和各方权利义务，并承诺就中标项目向招标人承担连带责任。《联合体协议书》作为投标文件的组成部分向招标人提交。</w:t>
      </w:r>
    </w:p>
    <w:p w14:paraId="42C9DB3E">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1.3．联合体成员单位均应具备拟承担的工作内容（以《联合体协议书》的约定为准）所规定的资格条件。若同一工作内容由两个或两个以上单位共同承担，该项工作内容按照资质等级较低的单位确定联合体资质等级。</w:t>
      </w:r>
    </w:p>
    <w:p w14:paraId="5794709A">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1.4．联合体各方不得再以自己名义单独或参加其他联合体在本招标项目中投标，否则各相关投标均无效。</w:t>
      </w:r>
    </w:p>
    <w:p w14:paraId="71450907">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2．资格资质要求</w:t>
      </w:r>
    </w:p>
    <w:p w14:paraId="3761DD9A">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2.1 投标人须具备独立法人资格，按国家法律经营。</w:t>
      </w:r>
    </w:p>
    <w:p w14:paraId="12EEF5DA">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2.2 投标人须持有建设行政主管部门颁发的企业资质证书。</w:t>
      </w:r>
    </w:p>
    <w:p w14:paraId="34903BCA">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投标人须具备以下资质：参加投标的投标人可以是单一独立法人或由不超过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家独立法人组成的联合体（必须注明其中一家为牵头人），单一独立法人必须至少同时具备以下①～</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③</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资质，组成联合体投标的，联合后必须至少具备以下①～</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③</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资质，联合体牵头人必须为施工单位，由同一专业的单位组成的联合体，按照资质等级较低的单位确定资质等级：</w:t>
      </w:r>
    </w:p>
    <w:p w14:paraId="76DE9725">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①施工资质1：建设行政主管部门颁发的市政公用工程施工总承包叁级或以上(含叁级)资质，并持有有效安全生产许可证。</w:t>
      </w:r>
    </w:p>
    <w:p w14:paraId="1526C347">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②施工资质2：建设行政主管部门颁发的建筑工程施工总承包叁级或以上(含叁级)资质，并持有有效安全生产许可证。</w:t>
      </w:r>
    </w:p>
    <w:p w14:paraId="7F525C41">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③设计资质必须具备建设行政主管部门颁发的工程设计综合甲级资质或同时具备（1）（2）资质：</w:t>
      </w:r>
    </w:p>
    <w:p w14:paraId="7ADCA250">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（1）市政行业资质之一：</w:t>
      </w:r>
    </w:p>
    <w:p w14:paraId="2B91EE41">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1、工程设计市政行业乙级以上（含乙级）资质；</w:t>
      </w:r>
    </w:p>
    <w:p w14:paraId="792D76C3">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2、工程设计市政行业乙级（燃气工程、轨道交通工程除外）以上（含乙级）资质；</w:t>
      </w:r>
    </w:p>
    <w:p w14:paraId="2AFECBBA">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（2）建筑行业资质之一：</w:t>
      </w:r>
    </w:p>
    <w:p w14:paraId="6E07FF84">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1、工程设计建筑行业乙级以上（含乙级）资质；</w:t>
      </w:r>
    </w:p>
    <w:p w14:paraId="4E751C57">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2、工程设计建筑行业（建筑工程）专业乙级以上（含乙级）资质；</w:t>
      </w:r>
    </w:p>
    <w:p w14:paraId="40C9FFB6">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5E7390FC">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4.3．相关人员要求</w:t>
      </w:r>
    </w:p>
    <w:p w14:paraId="0D7DCA8E">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3.1 拟派项目经理为具有</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建筑工程或市政公用工程</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专业一级或二级注册建造师，其中一级注册建造师应持有国家住建部印发的有效注册证书，二级注册建造师应持有考试取得执业资格的省、自治区、直辖市住建部门核准的有效电子注册证书（二级注册建造师应持有住建部门核准的、在使用有效期内的有效电子证书）。同时均须具备有效安全生产考核合格证明（B证，安全生产考核合格证书或“广东省建筑施工企业管理人员安全生产考核信息系统”考核合格信息打印页），且未担任其他在施（包括已中标未开工、已建成未竣工）建设工程项目的项目经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（若为联合体投标，则联合体成员任意一方提供即可）</w:t>
      </w:r>
    </w:p>
    <w:p w14:paraId="4BD464AB">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3.2投标人拟派项目技术负责人须具备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建筑工程或市政公用工程相关</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专业</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中</w:t>
      </w:r>
      <w:r>
        <w:rPr>
          <w:rFonts w:hint="eastAsia" w:asciiTheme="minorEastAsia" w:hAnsiTheme="minorEastAsia" w:eastAsiaTheme="minorEastAsia" w:cstheme="minorEastAsia"/>
          <w:color w:val="000000" w:themeColor="text1"/>
          <w:sz w:val="24"/>
          <w:szCs w:val="24"/>
          <w:highlight w:val="none"/>
          <w:lang w:val="zh-CN" w:eastAsia="zh-CN"/>
          <w14:textFill>
            <w14:solidFill>
              <w14:schemeClr w14:val="tx1"/>
            </w14:solidFill>
          </w14:textFill>
        </w:rPr>
        <w:t>级（或以上）</w:t>
      </w: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技术</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职称。（若为联合体投标，则联合体成员任意一方提供即可）</w:t>
      </w:r>
    </w:p>
    <w:p w14:paraId="22CC2713">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投标人拟派专职安全生产管理人员须具备有效安全生产考核合格证明（C证，安全生产考核合格证书或“广东省建筑施工企业管理人员安全生产考核系统”考核合格信息打印页）</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且不少于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1人</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。（若为联合体投标，则联合体成员任意一方提供即可）</w:t>
      </w:r>
    </w:p>
    <w:p w14:paraId="1B5261C8">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投标人拟派项目设计负责人须具备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二级以上(含二级)注册建筑师注册证书或工程师或以上职称。</w:t>
      </w:r>
    </w:p>
    <w:p w14:paraId="5322E50F">
      <w:pPr>
        <w:pStyle w:val="39"/>
        <w:wordWrap w:val="0"/>
        <w:adjustRightInd w:val="0"/>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4.3.5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投标人与其拟派往本项目管理机构的所有人员之间必须具备合法、唯一的劳动聘用关系。拟派人员中具备注册执业资格的，其注册单位须与投标人保持一致。</w:t>
      </w:r>
    </w:p>
    <w:p w14:paraId="47DA48DA">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4"/>
          <w:highlight w:val="none"/>
          <w14:textFill>
            <w14:solidFill>
              <w14:schemeClr w14:val="tx1"/>
            </w14:solidFill>
          </w14:textFill>
        </w:rPr>
        <w:t>4.4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禁止投标条款：</w:t>
      </w:r>
    </w:p>
    <w:p w14:paraId="4A4EB074">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4"/>
          <w:highlight w:val="none"/>
          <w14:textFill>
            <w14:solidFill>
              <w14:schemeClr w14:val="tx1"/>
            </w14:solidFill>
          </w14:textFill>
        </w:rPr>
        <w:t>4.4.1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投标人不得存在下列情形之一：</w:t>
      </w:r>
    </w:p>
    <w:p w14:paraId="0CC29F9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（1）为招标人不具有独立法人资格的附属机构（单位）；</w:t>
      </w:r>
    </w:p>
    <w:p w14:paraId="4BC742A6">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（2）为本招标项目前期准备提供咨询服务的；</w:t>
      </w:r>
    </w:p>
    <w:p w14:paraId="0C4406B3">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（3）与本招标项目的其他投标人为同一个单位负责人；</w:t>
      </w:r>
    </w:p>
    <w:p w14:paraId="32746652">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（4）与本招标项目的其他投标人存在控股、管理关系；</w:t>
      </w:r>
    </w:p>
    <w:p w14:paraId="5D0149B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（5）为本招标项目的监理人；</w:t>
      </w:r>
    </w:p>
    <w:p w14:paraId="4F018B53">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（6）为本招标项目的代建人；</w:t>
      </w:r>
    </w:p>
    <w:p w14:paraId="0DD591D5">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（7）为本招标项目的招标代理机构；</w:t>
      </w:r>
    </w:p>
    <w:p w14:paraId="6FE73510">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（8）与本招标项目的监理人或代建人或招标代理机构同为一个法定代表人；</w:t>
      </w:r>
    </w:p>
    <w:p w14:paraId="0C15F119">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（9）与本招标项目的监理人或代建人或招标代理机构存在控股或参股关系；</w:t>
      </w:r>
    </w:p>
    <w:p w14:paraId="04BAED46">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（10）与本招标项目的监理人或代建人或招标代理机构存在相互任职或工作关系；</w:t>
      </w:r>
    </w:p>
    <w:p w14:paraId="78159E10">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（11）被依法暂停或者取消投标资格；</w:t>
      </w:r>
    </w:p>
    <w:p w14:paraId="142376F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（12）被责令停产停业、暂扣或者吊销许可证、暂扣或者吊销执照；</w:t>
      </w:r>
    </w:p>
    <w:p w14:paraId="1CEFC632">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（13）进入清算程序，或被宣告破产，或其他丧失履约能力的情形；</w:t>
      </w:r>
    </w:p>
    <w:p w14:paraId="0ACF323E">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（14）在最近三年内发生重大工程质量或安全问题（以相关行业主管部门的行政处罚决定或司法机关出具的有关法律文书为准）；</w:t>
      </w:r>
    </w:p>
    <w:p w14:paraId="6FC0E969">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（15）被“信用中国”网站（https://www.creditchina.gov.cn）发布的《法人和非法人组织公共信用信息报告》列入严重失信主体名单的。</w:t>
      </w:r>
    </w:p>
    <w:p w14:paraId="2B413508">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4.4.2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招标人拒绝以下名单中的单位参加本次投标：</w:t>
      </w:r>
    </w:p>
    <w:tbl>
      <w:tblPr>
        <w:tblStyle w:val="21"/>
        <w:tblW w:w="9577"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4216"/>
        <w:gridCol w:w="4574"/>
      </w:tblGrid>
      <w:tr w14:paraId="3BBE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87" w:type="dxa"/>
            <w:noWrap/>
            <w:vAlign w:val="center"/>
          </w:tcPr>
          <w:p w14:paraId="27C006A1">
            <w:pPr>
              <w:wordWrap w:val="0"/>
              <w:adjustRightInd w:val="0"/>
              <w:snapToGrid w:val="0"/>
              <w:spacing w:line="240" w:lineRule="auto"/>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序号</w:t>
            </w:r>
          </w:p>
        </w:tc>
        <w:tc>
          <w:tcPr>
            <w:tcW w:w="4216" w:type="dxa"/>
            <w:noWrap/>
            <w:vAlign w:val="center"/>
          </w:tcPr>
          <w:p w14:paraId="1D357B38">
            <w:pPr>
              <w:wordWrap w:val="0"/>
              <w:adjustRightInd w:val="0"/>
              <w:snapToGrid w:val="0"/>
              <w:spacing w:line="240" w:lineRule="auto"/>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单位名称</w:t>
            </w:r>
          </w:p>
        </w:tc>
        <w:tc>
          <w:tcPr>
            <w:tcW w:w="4574" w:type="dxa"/>
            <w:noWrap/>
            <w:vAlign w:val="center"/>
          </w:tcPr>
          <w:p w14:paraId="102F25AC">
            <w:pPr>
              <w:wordWrap w:val="0"/>
              <w:adjustRightInd w:val="0"/>
              <w:snapToGrid w:val="0"/>
              <w:spacing w:line="240" w:lineRule="auto"/>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拒绝原因</w:t>
            </w:r>
          </w:p>
        </w:tc>
      </w:tr>
      <w:tr w14:paraId="281C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87" w:type="dxa"/>
            <w:noWrap/>
            <w:vAlign w:val="center"/>
          </w:tcPr>
          <w:p w14:paraId="5C0B97D5">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p>
        </w:tc>
        <w:tc>
          <w:tcPr>
            <w:tcW w:w="4216" w:type="dxa"/>
            <w:noWrap/>
            <w:vAlign w:val="center"/>
          </w:tcPr>
          <w:p w14:paraId="6C723C57">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南雄市古市镇人民政府</w:t>
            </w:r>
          </w:p>
        </w:tc>
        <w:tc>
          <w:tcPr>
            <w:tcW w:w="4574" w:type="dxa"/>
            <w:noWrap/>
            <w:vAlign w:val="center"/>
          </w:tcPr>
          <w:p w14:paraId="637B1763">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为本招标项目的招标人</w:t>
            </w:r>
          </w:p>
        </w:tc>
      </w:tr>
      <w:tr w14:paraId="5CB0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87" w:type="dxa"/>
            <w:noWrap/>
            <w:vAlign w:val="center"/>
          </w:tcPr>
          <w:p w14:paraId="034641EE">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w:t>
            </w:r>
          </w:p>
        </w:tc>
        <w:tc>
          <w:tcPr>
            <w:tcW w:w="4216" w:type="dxa"/>
            <w:noWrap/>
            <w:vAlign w:val="center"/>
          </w:tcPr>
          <w:p w14:paraId="4F97ADEE">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南雄市住房和城乡建设管理局</w:t>
            </w:r>
          </w:p>
        </w:tc>
        <w:tc>
          <w:tcPr>
            <w:tcW w:w="4574" w:type="dxa"/>
            <w:noWrap/>
            <w:vAlign w:val="center"/>
          </w:tcPr>
          <w:p w14:paraId="616118EF">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为本招标项目的业主单位</w:t>
            </w:r>
          </w:p>
        </w:tc>
      </w:tr>
      <w:tr w14:paraId="15BE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87" w:type="dxa"/>
            <w:noWrap/>
            <w:vAlign w:val="center"/>
          </w:tcPr>
          <w:p w14:paraId="42C8DAC7">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w:t>
            </w:r>
          </w:p>
        </w:tc>
        <w:tc>
          <w:tcPr>
            <w:tcW w:w="4216" w:type="dxa"/>
            <w:noWrap/>
            <w:vAlign w:val="center"/>
          </w:tcPr>
          <w:p w14:paraId="641E28D8">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中咨管理顾问有限责任公司</w:t>
            </w:r>
          </w:p>
        </w:tc>
        <w:tc>
          <w:tcPr>
            <w:tcW w:w="4574" w:type="dxa"/>
            <w:noWrap/>
            <w:vAlign w:val="center"/>
          </w:tcPr>
          <w:p w14:paraId="303D99DA">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为本招标项目的可行性研究报告编制单位</w:t>
            </w:r>
          </w:p>
        </w:tc>
      </w:tr>
      <w:tr w14:paraId="71ED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87" w:type="dxa"/>
            <w:noWrap/>
            <w:vAlign w:val="center"/>
          </w:tcPr>
          <w:p w14:paraId="05BEB00A">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w:t>
            </w:r>
          </w:p>
        </w:tc>
        <w:tc>
          <w:tcPr>
            <w:tcW w:w="4216" w:type="dxa"/>
            <w:noWrap/>
            <w:vAlign w:val="center"/>
          </w:tcPr>
          <w:p w14:paraId="21C7CEC0">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中恒和咨询有限公司</w:t>
            </w:r>
          </w:p>
        </w:tc>
        <w:tc>
          <w:tcPr>
            <w:tcW w:w="4574" w:type="dxa"/>
            <w:noWrap/>
            <w:vAlign w:val="center"/>
          </w:tcPr>
          <w:p w14:paraId="73F05BA5">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为本招标项目的招标代理机构</w:t>
            </w:r>
          </w:p>
        </w:tc>
      </w:tr>
      <w:tr w14:paraId="2BDC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87" w:type="dxa"/>
            <w:noWrap/>
            <w:vAlign w:val="center"/>
          </w:tcPr>
          <w:p w14:paraId="31E36485">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5</w:t>
            </w:r>
          </w:p>
        </w:tc>
        <w:tc>
          <w:tcPr>
            <w:tcW w:w="4216" w:type="dxa"/>
            <w:noWrap/>
            <w:vAlign w:val="center"/>
          </w:tcPr>
          <w:p w14:paraId="0268D0F8">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待定</w:t>
            </w:r>
          </w:p>
        </w:tc>
        <w:tc>
          <w:tcPr>
            <w:tcW w:w="4574" w:type="dxa"/>
            <w:noWrap/>
            <w:vAlign w:val="center"/>
          </w:tcPr>
          <w:p w14:paraId="17B6B69F">
            <w:pPr>
              <w:wordWrap w:val="0"/>
              <w:adjustRightInd w:val="0"/>
              <w:snapToGrid w:val="0"/>
              <w:spacing w:line="360" w:lineRule="auto"/>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为本招标项目的监理单位</w:t>
            </w:r>
          </w:p>
        </w:tc>
      </w:tr>
    </w:tbl>
    <w:p w14:paraId="07136E5D">
      <w:pPr>
        <w:wordWrap w:val="0"/>
        <w:adjustRightInd w:val="0"/>
        <w:snapToGrid w:val="0"/>
        <w:spacing w:line="360" w:lineRule="auto"/>
        <w:ind w:firstLine="482" w:firstLineChars="200"/>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4.5</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省外企业（包括组成联合体的所有成员单位）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及其拟派往本项目管理机构的所有人员</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须按照《广东省住房和城乡建设厅关于取消省外建筑企业和人员进粤信息备案有关工作的通知》（粤建市﹝2015﹞52号）规定在“进粤企业和人员诚信信息登记平台”录入相关信息并通过数据规范检查。</w:t>
      </w:r>
    </w:p>
    <w:p w14:paraId="22E3F83E">
      <w:pPr>
        <w:pStyle w:val="31"/>
        <w:spacing w:line="360" w:lineRule="auto"/>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034A7CEB">
      <w:pPr>
        <w:pStyle w:val="38"/>
        <w:keepNext/>
        <w:keepLines/>
        <w:ind w:firstLine="482" w:firstLineChars="20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62" w:name="_Toc3588"/>
      <w:bookmarkStart w:id="63" w:name="_Toc3094"/>
      <w:bookmarkStart w:id="64" w:name="_Toc17645"/>
      <w:bookmarkStart w:id="65" w:name="_Toc2707"/>
      <w:bookmarkStart w:id="66" w:name="_Toc20378"/>
      <w:bookmarkStart w:id="67" w:name="_Toc24391"/>
      <w:bookmarkStart w:id="68" w:name="_Toc8294"/>
      <w:bookmarkStart w:id="69" w:name="_Toc19195"/>
      <w:bookmarkStart w:id="70" w:name="_Toc18979"/>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5 、工程招标内容及要求</w:t>
      </w:r>
      <w:bookmarkEnd w:id="62"/>
      <w:bookmarkEnd w:id="63"/>
      <w:bookmarkEnd w:id="64"/>
      <w:bookmarkEnd w:id="65"/>
      <w:bookmarkEnd w:id="66"/>
      <w:bookmarkEnd w:id="67"/>
      <w:bookmarkEnd w:id="68"/>
      <w:bookmarkEnd w:id="69"/>
      <w:bookmarkEnd w:id="70"/>
    </w:p>
    <w:p w14:paraId="4DDE3DE2">
      <w:pPr>
        <w:pStyle w:val="36"/>
        <w:numPr>
          <w:ilvl w:val="0"/>
          <w:numId w:val="0"/>
        </w:numPr>
        <w:spacing w:line="360" w:lineRule="auto"/>
        <w:ind w:firstLine="480" w:firstLineChars="200"/>
        <w:rPr>
          <w:rFonts w:hint="eastAsia" w:ascii="宋体" w:hAnsi="宋体" w:eastAsia="宋体" w:cs="Calibri"/>
          <w:bCs/>
          <w:color w:val="000000" w:themeColor="text1"/>
          <w:sz w:val="24"/>
          <w:szCs w:val="24"/>
          <w:highlight w:val="none"/>
          <w:u w:val="none"/>
          <w14:textFill>
            <w14:solidFill>
              <w14:schemeClr w14:val="tx1"/>
            </w14:solidFill>
          </w14:textFill>
        </w:rPr>
      </w:pPr>
      <w:r>
        <w:rPr>
          <w:rFonts w:hint="eastAsia" w:ascii="宋体" w:hAnsi="宋体" w:eastAsia="宋体" w:cs="Calibri"/>
          <w:bCs/>
          <w:color w:val="000000" w:themeColor="text1"/>
          <w:sz w:val="24"/>
          <w:szCs w:val="24"/>
          <w:highlight w:val="none"/>
          <w:u w:val="none"/>
          <w:lang w:val="en-US" w:eastAsia="zh-CN"/>
          <w14:textFill>
            <w14:solidFill>
              <w14:schemeClr w14:val="tx1"/>
            </w14:solidFill>
          </w14:textFill>
        </w:rPr>
        <w:t>5.1</w:t>
      </w:r>
      <w:r>
        <w:rPr>
          <w:rFonts w:hint="eastAsia" w:ascii="宋体" w:hAnsi="宋体" w:eastAsia="宋体" w:cs="Calibri"/>
          <w:bCs/>
          <w:color w:val="000000" w:themeColor="text1"/>
          <w:sz w:val="24"/>
          <w:szCs w:val="24"/>
          <w:highlight w:val="none"/>
          <w:u w:val="none"/>
          <w:lang w:val="zh-CN"/>
          <w14:textFill>
            <w14:solidFill>
              <w14:schemeClr w14:val="tx1"/>
            </w14:solidFill>
          </w14:textFill>
        </w:rPr>
        <w:t>本工程所涉及的内容包括但不限于以下（1）～（</w:t>
      </w:r>
      <w:r>
        <w:rPr>
          <w:rFonts w:hint="eastAsia" w:hAnsi="宋体" w:cs="Calibri"/>
          <w:bCs/>
          <w:color w:val="000000" w:themeColor="text1"/>
          <w:sz w:val="24"/>
          <w:szCs w:val="24"/>
          <w:highlight w:val="none"/>
          <w:u w:val="none"/>
          <w:lang w:val="en-US" w:eastAsia="zh-CN"/>
          <w14:textFill>
            <w14:solidFill>
              <w14:schemeClr w14:val="tx1"/>
            </w14:solidFill>
          </w14:textFill>
        </w:rPr>
        <w:t>2</w:t>
      </w:r>
      <w:r>
        <w:rPr>
          <w:rFonts w:hint="eastAsia" w:ascii="宋体" w:hAnsi="宋体" w:eastAsia="宋体" w:cs="Calibri"/>
          <w:bCs/>
          <w:color w:val="000000" w:themeColor="text1"/>
          <w:sz w:val="24"/>
          <w:szCs w:val="24"/>
          <w:highlight w:val="none"/>
          <w:u w:val="none"/>
          <w:lang w:val="zh-CN"/>
          <w14:textFill>
            <w14:solidFill>
              <w14:schemeClr w14:val="tx1"/>
            </w14:solidFill>
          </w14:textFill>
        </w:rPr>
        <w:t>）：</w:t>
      </w:r>
    </w:p>
    <w:p w14:paraId="4E4E7587">
      <w:pPr>
        <w:pStyle w:val="36"/>
        <w:numPr>
          <w:ilvl w:val="0"/>
          <w:numId w:val="0"/>
        </w:numPr>
        <w:spacing w:line="360" w:lineRule="auto"/>
        <w:ind w:firstLine="480" w:firstLineChars="200"/>
        <w:rPr>
          <w:rFonts w:hint="eastAsia" w:hAnsi="宋体" w:cs="Calibri"/>
          <w:bCs/>
          <w:color w:val="000000" w:themeColor="text1"/>
          <w:sz w:val="24"/>
          <w:szCs w:val="24"/>
          <w:highlight w:val="none"/>
          <w:u w:val="none"/>
          <w14:textFill>
            <w14:solidFill>
              <w14:schemeClr w14:val="tx1"/>
            </w14:solidFill>
          </w14:textFill>
        </w:rPr>
      </w:pPr>
      <w:r>
        <w:rPr>
          <w:rFonts w:hint="eastAsia" w:hAnsi="宋体" w:cs="Calibri"/>
          <w:bCs/>
          <w:color w:val="000000" w:themeColor="text1"/>
          <w:sz w:val="24"/>
          <w:szCs w:val="24"/>
          <w:highlight w:val="none"/>
          <w:u w:val="none"/>
          <w14:textFill>
            <w14:solidFill>
              <w14:schemeClr w14:val="tx1"/>
            </w14:solidFill>
          </w14:textFill>
        </w:rPr>
        <w:t>（1）设计部分：</w:t>
      </w:r>
      <w:r>
        <w:rPr>
          <w:rFonts w:hint="eastAsia" w:hAnsi="宋体" w:cs="宋体"/>
          <w:snapToGrid w:val="0"/>
          <w:color w:val="000000" w:themeColor="text1"/>
          <w:kern w:val="0"/>
          <w:sz w:val="24"/>
          <w:szCs w:val="24"/>
          <w:highlight w:val="none"/>
          <w:u w:val="none"/>
          <w:lang w:val="zh-CN"/>
          <w14:textFill>
            <w14:solidFill>
              <w14:schemeClr w14:val="tx1"/>
            </w14:solidFill>
          </w14:textFill>
        </w:rPr>
        <w:t>确保项目顺利实施的报建、报批、施工等所需的所有建安工程等设计文件。包括但不限于：施工图设计，</w:t>
      </w:r>
      <w:r>
        <w:rPr>
          <w:rFonts w:hint="eastAsia" w:ascii="宋体" w:hAnsi="宋体" w:eastAsia="宋体" w:cs="宋体"/>
          <w:snapToGrid w:val="0"/>
          <w:color w:val="000000" w:themeColor="text1"/>
          <w:kern w:val="0"/>
          <w:sz w:val="24"/>
          <w:szCs w:val="24"/>
          <w:highlight w:val="none"/>
          <w:u w:val="none"/>
          <w14:textFill>
            <w14:solidFill>
              <w14:schemeClr w14:val="tx1"/>
            </w14:solidFill>
          </w14:textFill>
        </w:rPr>
        <w:t>提供项目所需相关检测项的明细表和危险性较大的分部分项工程清单</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及保障安全相关说明</w:t>
      </w:r>
      <w:r>
        <w:rPr>
          <w:rFonts w:hint="eastAsia" w:ascii="宋体" w:hAnsi="宋体" w:eastAsia="宋体" w:cs="宋体"/>
          <w:snapToGrid w:val="0"/>
          <w:color w:val="000000" w:themeColor="text1"/>
          <w:kern w:val="0"/>
          <w:sz w:val="24"/>
          <w:szCs w:val="24"/>
          <w:highlight w:val="none"/>
          <w:u w:val="none"/>
          <w:lang w:eastAsia="zh-CN"/>
          <w14:textFill>
            <w14:solidFill>
              <w14:schemeClr w14:val="tx1"/>
            </w14:solidFill>
          </w14:textFill>
        </w:rPr>
        <w:t>、</w:t>
      </w:r>
      <w:r>
        <w:rPr>
          <w:rFonts w:hint="eastAsia" w:hAnsi="宋体" w:cs="宋体"/>
          <w:snapToGrid w:val="0"/>
          <w:color w:val="000000" w:themeColor="text1"/>
          <w:kern w:val="0"/>
          <w:sz w:val="24"/>
          <w:szCs w:val="24"/>
          <w:highlight w:val="none"/>
          <w:u w:val="none"/>
          <w:lang w:val="zh-CN"/>
          <w14:textFill>
            <w14:solidFill>
              <w14:schemeClr w14:val="tx1"/>
            </w14:solidFill>
          </w14:textFill>
        </w:rPr>
        <w:t>工地现场服务、验收过程中的设计指导及配合阶段验收及档案整理、协助施工单位编制竣工图及后续设计服务工作</w:t>
      </w:r>
      <w:r>
        <w:rPr>
          <w:rFonts w:hint="eastAsia" w:hAnsi="宋体" w:cs="Calibri"/>
          <w:bCs/>
          <w:color w:val="000000" w:themeColor="text1"/>
          <w:sz w:val="24"/>
          <w:szCs w:val="24"/>
          <w:highlight w:val="none"/>
          <w:u w:val="none"/>
          <w14:textFill>
            <w14:solidFill>
              <w14:schemeClr w14:val="tx1"/>
            </w14:solidFill>
          </w14:textFill>
        </w:rPr>
        <w:t>。</w:t>
      </w:r>
    </w:p>
    <w:p w14:paraId="4F3E1C6F">
      <w:pPr>
        <w:pStyle w:val="36"/>
        <w:numPr>
          <w:ilvl w:val="0"/>
          <w:numId w:val="0"/>
        </w:numPr>
        <w:spacing w:line="360" w:lineRule="auto"/>
        <w:ind w:firstLine="480" w:firstLineChars="200"/>
        <w:rPr>
          <w:rFonts w:hint="eastAsia" w:hAnsi="宋体" w:cs="Calibri"/>
          <w:bCs/>
          <w:color w:val="000000" w:themeColor="text1"/>
          <w:sz w:val="24"/>
          <w:szCs w:val="24"/>
          <w:highlight w:val="none"/>
          <w:u w:val="none"/>
          <w:lang w:val="zh-CN"/>
          <w14:textFill>
            <w14:solidFill>
              <w14:schemeClr w14:val="tx1"/>
            </w14:solidFill>
          </w14:textFill>
        </w:rPr>
      </w:pPr>
      <w:r>
        <w:rPr>
          <w:rFonts w:hint="eastAsia" w:hAnsi="宋体" w:cs="Calibri"/>
          <w:bCs/>
          <w:color w:val="000000" w:themeColor="text1"/>
          <w:sz w:val="24"/>
          <w:szCs w:val="24"/>
          <w:highlight w:val="none"/>
          <w:u w:val="none"/>
          <w:lang w:val="zh-CN"/>
          <w14:textFill>
            <w14:solidFill>
              <w14:schemeClr w14:val="tx1"/>
            </w14:solidFill>
          </w14:textFill>
        </w:rPr>
        <w:t>（</w:t>
      </w:r>
      <w:r>
        <w:rPr>
          <w:rFonts w:hint="eastAsia" w:hAnsi="宋体" w:cs="Calibri"/>
          <w:bCs/>
          <w:color w:val="000000" w:themeColor="text1"/>
          <w:sz w:val="24"/>
          <w:szCs w:val="24"/>
          <w:highlight w:val="none"/>
          <w:u w:val="none"/>
          <w:lang w:val="en-US" w:eastAsia="zh-CN"/>
          <w14:textFill>
            <w14:solidFill>
              <w14:schemeClr w14:val="tx1"/>
            </w14:solidFill>
          </w14:textFill>
        </w:rPr>
        <w:t>2</w:t>
      </w:r>
      <w:r>
        <w:rPr>
          <w:rFonts w:hint="eastAsia" w:hAnsi="宋体" w:cs="Calibri"/>
          <w:bCs/>
          <w:color w:val="000000" w:themeColor="text1"/>
          <w:sz w:val="24"/>
          <w:szCs w:val="24"/>
          <w:highlight w:val="none"/>
          <w:u w:val="none"/>
          <w:lang w:val="zh-CN"/>
          <w14:textFill>
            <w14:solidFill>
              <w14:schemeClr w14:val="tx1"/>
            </w14:solidFill>
          </w14:textFill>
        </w:rPr>
        <w:t>）施工部分：</w:t>
      </w:r>
      <w:r>
        <w:rPr>
          <w:rFonts w:hint="eastAsia" w:ascii="宋体" w:hAnsi="宋体" w:eastAsia="宋体" w:cs="宋体"/>
          <w:snapToGrid w:val="0"/>
          <w:color w:val="000000" w:themeColor="text1"/>
          <w:kern w:val="0"/>
          <w:sz w:val="24"/>
          <w:szCs w:val="24"/>
          <w:highlight w:val="none"/>
          <w:u w:val="none"/>
          <w14:textFill>
            <w14:solidFill>
              <w14:schemeClr w14:val="tx1"/>
            </w14:solidFill>
          </w14:textFill>
        </w:rPr>
        <w:t>设计文件及工程量清单范围内的所有工程及配套工程、设施等的施工</w:t>
      </w:r>
      <w:r>
        <w:rPr>
          <w:rFonts w:hint="eastAsia" w:hAnsi="宋体" w:cs="Calibri"/>
          <w:bCs/>
          <w:color w:val="000000" w:themeColor="text1"/>
          <w:sz w:val="24"/>
          <w:szCs w:val="24"/>
          <w:highlight w:val="none"/>
          <w:u w:val="none"/>
          <w:lang w:val="zh-CN"/>
          <w14:textFill>
            <w14:solidFill>
              <w14:schemeClr w14:val="tx1"/>
            </w14:solidFill>
          </w14:textFill>
        </w:rPr>
        <w:t>（含竣工验收资料编制整理、备案等），完成并配合发包人结算、负责工程缺陷保修以及发包人要求由施工单位完成的其他工作（发包人另行委托其他单位负责实施的工作内容除外，但需提供一系列协调及配合服务）等。</w:t>
      </w:r>
    </w:p>
    <w:p w14:paraId="192CBC0C">
      <w:pPr>
        <w:pStyle w:val="36"/>
        <w:numPr>
          <w:ilvl w:val="0"/>
          <w:numId w:val="0"/>
        </w:numPr>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5.2</w:t>
      </w:r>
      <w:r>
        <w:rPr>
          <w:rFonts w:hint="eastAsia" w:hAnsi="宋体" w:cs="Calibri"/>
          <w:bCs/>
          <w:color w:val="000000" w:themeColor="text1"/>
          <w:sz w:val="24"/>
          <w:szCs w:val="24"/>
          <w:highlight w:val="none"/>
          <w:lang w:val="zh-CN"/>
          <w14:textFill>
            <w14:solidFill>
              <w14:schemeClr w14:val="tx1"/>
            </w14:solidFill>
          </w14:textFill>
        </w:rPr>
        <w:t>设计要求：</w:t>
      </w:r>
    </w:p>
    <w:p w14:paraId="183D90A7">
      <w:pPr>
        <w:pStyle w:val="36"/>
        <w:numPr>
          <w:ilvl w:val="0"/>
          <w:numId w:val="0"/>
        </w:numPr>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5.2.1设计质量要求：</w:t>
      </w:r>
      <w:r>
        <w:rPr>
          <w:rFonts w:hint="eastAsia" w:hAnsi="宋体" w:cs="Calibri"/>
          <w:bCs/>
          <w:color w:val="000000" w:themeColor="text1"/>
          <w:sz w:val="24"/>
          <w:szCs w:val="24"/>
          <w:highlight w:val="none"/>
          <w:lang w:val="zh-CN"/>
          <w14:textFill>
            <w14:solidFill>
              <w14:schemeClr w14:val="tx1"/>
            </w14:solidFill>
          </w14:textFill>
        </w:rPr>
        <w:t>符合国家或行业颁布的现行有效的有关设计的规范要求，并必须通过有关部门的审查及经有资质的审图机构审查合格。</w:t>
      </w:r>
    </w:p>
    <w:p w14:paraId="52B5D221">
      <w:pPr>
        <w:pStyle w:val="36"/>
        <w:numPr>
          <w:ilvl w:val="0"/>
          <w:numId w:val="0"/>
        </w:numPr>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5.2.2</w:t>
      </w:r>
      <w:r>
        <w:rPr>
          <w:rFonts w:hint="eastAsia" w:hAnsi="宋体" w:cs="Calibri"/>
          <w:bCs/>
          <w:color w:val="000000" w:themeColor="text1"/>
          <w:sz w:val="24"/>
          <w:szCs w:val="24"/>
          <w:highlight w:val="none"/>
          <w:lang w:val="zh-CN"/>
          <w14:textFill>
            <w14:solidFill>
              <w14:schemeClr w14:val="tx1"/>
            </w14:solidFill>
          </w14:textFill>
        </w:rPr>
        <w:t>本工程施工图设计必须先经</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确认才能送审，并经</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委托的有资质的审图机构审查合格。若</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或审图机构在审查过程中提出的设计修改或变更，设计单位必须无条件进行修改或优化设计，</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hAnsi="宋体" w:cs="Calibri"/>
          <w:bCs/>
          <w:color w:val="000000" w:themeColor="text1"/>
          <w:sz w:val="24"/>
          <w:szCs w:val="24"/>
          <w:highlight w:val="none"/>
          <w:lang w:val="zh-CN"/>
          <w14:textFill>
            <w14:solidFill>
              <w14:schemeClr w14:val="tx1"/>
            </w14:solidFill>
          </w14:textFill>
        </w:rPr>
        <w:t>不再支付由此而增加的设计费用。</w:t>
      </w:r>
    </w:p>
    <w:p w14:paraId="44FA2FFF">
      <w:pPr>
        <w:pStyle w:val="36"/>
        <w:numPr>
          <w:ilvl w:val="0"/>
          <w:numId w:val="0"/>
        </w:numPr>
        <w:spacing w:line="360" w:lineRule="auto"/>
        <w:ind w:firstLine="480" w:firstLineChars="200"/>
        <w:rPr>
          <w:rFonts w:hint="eastAsia" w:ascii="宋体" w:hAnsi="宋体" w:eastAsia="宋体" w:cs="Calibri"/>
          <w:bCs/>
          <w:color w:val="000000" w:themeColor="text1"/>
          <w:sz w:val="24"/>
          <w:szCs w:val="24"/>
          <w:highlight w:val="none"/>
          <w:lang w:val="en-US" w:eastAsia="zh-CN"/>
          <w14:textFill>
            <w14:solidFill>
              <w14:schemeClr w14:val="tx1"/>
            </w14:solidFill>
          </w14:textFill>
        </w:rPr>
      </w:pPr>
      <w:r>
        <w:rPr>
          <w:rFonts w:hint="eastAsia" w:ascii="宋体" w:hAnsi="宋体" w:eastAsia="宋体" w:cs="Calibri"/>
          <w:bCs/>
          <w:color w:val="000000" w:themeColor="text1"/>
          <w:sz w:val="24"/>
          <w:szCs w:val="24"/>
          <w:highlight w:val="none"/>
          <w:lang w:val="en-US" w:eastAsia="zh-CN"/>
          <w14:textFill>
            <w14:solidFill>
              <w14:schemeClr w14:val="tx1"/>
            </w14:solidFill>
          </w14:textFill>
        </w:rPr>
        <w:t>5.</w:t>
      </w:r>
      <w:r>
        <w:rPr>
          <w:rFonts w:hint="eastAsia" w:hAnsi="宋体" w:cs="Calibri"/>
          <w:bCs/>
          <w:color w:val="000000" w:themeColor="text1"/>
          <w:sz w:val="24"/>
          <w:szCs w:val="24"/>
          <w:highlight w:val="none"/>
          <w:lang w:val="en-US" w:eastAsia="zh-CN"/>
          <w14:textFill>
            <w14:solidFill>
              <w14:schemeClr w14:val="tx1"/>
            </w14:solidFill>
          </w14:textFill>
        </w:rPr>
        <w:t>2</w:t>
      </w:r>
      <w:r>
        <w:rPr>
          <w:rFonts w:hint="eastAsia" w:ascii="宋体" w:hAnsi="宋体" w:eastAsia="宋体" w:cs="Calibri"/>
          <w:bCs/>
          <w:color w:val="000000" w:themeColor="text1"/>
          <w:sz w:val="24"/>
          <w:szCs w:val="24"/>
          <w:highlight w:val="none"/>
          <w:lang w:val="en-US" w:eastAsia="zh-CN"/>
          <w14:textFill>
            <w14:solidFill>
              <w14:schemeClr w14:val="tx1"/>
            </w14:solidFill>
          </w14:textFill>
        </w:rPr>
        <w:t>.3关于设计深度的要求</w:t>
      </w:r>
    </w:p>
    <w:p w14:paraId="06F29276">
      <w:pPr>
        <w:pStyle w:val="36"/>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按国家及地方现行的设计文件深度规定等有关技术标准、设计规范（标准）要求。</w:t>
      </w:r>
    </w:p>
    <w:p w14:paraId="2E1924CD">
      <w:pPr>
        <w:pStyle w:val="36"/>
        <w:numPr>
          <w:ilvl w:val="0"/>
          <w:numId w:val="0"/>
        </w:numPr>
        <w:spacing w:line="360" w:lineRule="auto"/>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各专业设计应同步进行，涉及单位应指定总体设计人统筹布局，做好各项设施的协调和衔接、位置预留，不得留待施工中临时变更。</w:t>
      </w:r>
    </w:p>
    <w:p w14:paraId="62D0E49E">
      <w:pPr>
        <w:pStyle w:val="36"/>
        <w:numPr>
          <w:ilvl w:val="0"/>
          <w:numId w:val="0"/>
        </w:numPr>
        <w:spacing w:line="360" w:lineRule="auto"/>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对技术复杂或造价、规模较大的主要分项工程应作方案比较。 </w:t>
      </w:r>
    </w:p>
    <w:p w14:paraId="2A9B3380">
      <w:pPr>
        <w:pStyle w:val="36"/>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施工图设计文件的深度，应当满足设备材料采购，非标准设备制作和施工的需要，并注明建设工程合理使用年限。</w:t>
      </w:r>
    </w:p>
    <w:p w14:paraId="4B17CC89">
      <w:pPr>
        <w:pStyle w:val="36"/>
        <w:numPr>
          <w:ilvl w:val="0"/>
          <w:numId w:val="0"/>
        </w:numPr>
        <w:spacing w:line="360" w:lineRule="auto"/>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hAnsi="宋体" w:cs="宋体"/>
          <w:color w:val="000000" w:themeColor="text1"/>
          <w:kern w:val="2"/>
          <w:sz w:val="24"/>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相关的配套外部接口方案均需取得政府主管部门或规划部门认可。</w:t>
      </w:r>
    </w:p>
    <w:p w14:paraId="7696347F">
      <w:pPr>
        <w:pStyle w:val="36"/>
        <w:numPr>
          <w:ilvl w:val="0"/>
          <w:numId w:val="0"/>
        </w:numPr>
        <w:spacing w:line="360" w:lineRule="auto"/>
        <w:ind w:left="0" w:leftChars="0"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施工图设计文件应考虑交通维护、临时施工便道、基坑支护、对周边建筑物的影响等因素，以指导现场施工及过程评审。</w:t>
      </w: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9CDE3F4">
      <w:pPr>
        <w:pStyle w:val="36"/>
        <w:numPr>
          <w:ilvl w:val="0"/>
          <w:numId w:val="0"/>
        </w:num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snapToGrid w:val="0"/>
          <w:color w:val="000000" w:themeColor="text1"/>
          <w:kern w:val="0"/>
          <w:sz w:val="24"/>
          <w:szCs w:val="24"/>
          <w:highlight w:val="none"/>
          <w14:textFill>
            <w14:solidFill>
              <w14:schemeClr w14:val="tx1"/>
            </w14:solidFill>
          </w14:textFill>
        </w:rPr>
        <w:t>设计后期配合工作</w:t>
      </w:r>
    </w:p>
    <w:p w14:paraId="565042A2">
      <w:pPr>
        <w:pStyle w:val="36"/>
        <w:numPr>
          <w:ilvl w:val="0"/>
          <w:numId w:val="0"/>
        </w:num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14:textFill>
            <w14:solidFill>
              <w14:schemeClr w14:val="tx1"/>
            </w14:solidFill>
          </w14:textFill>
        </w:rPr>
        <w:t>施工图设计完成并经有关单位审查后，才能进入施工阶段，设计单位必须按投标文件的承诺至少派1名参与并熟悉本项目设计、有现场处理经验的设计代表驻现场以配合，</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snapToGrid w:val="0"/>
          <w:color w:val="000000" w:themeColor="text1"/>
          <w:kern w:val="0"/>
          <w:sz w:val="24"/>
          <w:szCs w:val="24"/>
          <w:highlight w:val="none"/>
          <w14:textFill>
            <w14:solidFill>
              <w14:schemeClr w14:val="tx1"/>
            </w14:solidFill>
          </w14:textFill>
        </w:rPr>
        <w:t>不另外支付配合施工费用。</w:t>
      </w:r>
    </w:p>
    <w:p w14:paraId="34D0A104">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14:textFill>
            <w14:solidFill>
              <w14:schemeClr w14:val="tx1"/>
            </w14:solidFill>
          </w14:textFill>
        </w:rPr>
        <w:t>设计单位配合施工、监理及业主单位的工作内容如下：</w:t>
      </w:r>
    </w:p>
    <w:p w14:paraId="25AA0568">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施工图设计（技术）交底；</w:t>
      </w:r>
    </w:p>
    <w:p w14:paraId="571867D6">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配合勘察单位现场交桩；</w:t>
      </w:r>
    </w:p>
    <w:p w14:paraId="10470199">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变更设计和所有补充设计；</w:t>
      </w:r>
    </w:p>
    <w:p w14:paraId="0E6F012B">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会签设计变更审批表；</w:t>
      </w:r>
    </w:p>
    <w:p w14:paraId="51B05D7D">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参加处理施工中发生的工程质量和安全事故；</w:t>
      </w:r>
    </w:p>
    <w:p w14:paraId="3E1B2B82">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参加隐蔽工程及工程竣工验收；</w:t>
      </w:r>
    </w:p>
    <w:p w14:paraId="101C07DE">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解决与设计有关的施工问题；</w:t>
      </w:r>
    </w:p>
    <w:p w14:paraId="194A6016">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配合质量检测；</w:t>
      </w:r>
    </w:p>
    <w:p w14:paraId="12798512">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参加审查施工单位的施工组织设计和专项施工方案；</w:t>
      </w:r>
    </w:p>
    <w:p w14:paraId="7F6EE7B1">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参加本项目建设有关会议。</w:t>
      </w:r>
    </w:p>
    <w:p w14:paraId="6EF578DF">
      <w:pPr>
        <w:keepNext w:val="0"/>
        <w:keepLines w:val="0"/>
        <w:pageBreakBefore w:val="0"/>
        <w:widowControl w:val="0"/>
        <w:numPr>
          <w:ilvl w:val="0"/>
          <w:numId w:val="1"/>
        </w:numPr>
        <w:tabs>
          <w:tab w:val="left" w:pos="240"/>
        </w:tabs>
        <w:kinsoku/>
        <w:wordWrap/>
        <w:overflowPunct/>
        <w:topLinePunct w:val="0"/>
        <w:autoSpaceDE/>
        <w:autoSpaceDN/>
        <w:bidi w:val="0"/>
        <w:adjustRightInd/>
        <w:snapToGrid/>
        <w:spacing w:line="360" w:lineRule="auto"/>
        <w:ind w:left="900" w:leftChars="200" w:hanging="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在监理招标期间配合建设及相关单位解释及完善施工图相关内容。</w:t>
      </w:r>
    </w:p>
    <w:p w14:paraId="602CE3F2">
      <w:pPr>
        <w:pStyle w:val="36"/>
        <w:numPr>
          <w:ilvl w:val="0"/>
          <w:numId w:val="0"/>
        </w:num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（3）设计工作技术总结</w:t>
      </w:r>
    </w:p>
    <w:p w14:paraId="187F9012">
      <w:pPr>
        <w:pStyle w:val="36"/>
        <w:numPr>
          <w:ilvl w:val="0"/>
          <w:numId w:val="0"/>
        </w:num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对设计文件及施工过程中发生的补充设计进行检查，并提出设计文件质量检查报告，在竣工验收前交</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snapToGrid w:val="0"/>
          <w:color w:val="000000" w:themeColor="text1"/>
          <w:kern w:val="0"/>
          <w:sz w:val="24"/>
          <w:szCs w:val="24"/>
          <w:highlight w:val="none"/>
          <w14:textFill>
            <w14:solidFill>
              <w14:schemeClr w14:val="tx1"/>
            </w14:solidFill>
          </w14:textFill>
        </w:rPr>
        <w:t>。工程完工后，</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应组织设计技术工作人员将全部资料进行整理并撰写工程技术总结，并于竣工后一个月内完成，交</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70A287A6">
      <w:pPr>
        <w:pStyle w:val="36"/>
        <w:numPr>
          <w:ilvl w:val="0"/>
          <w:numId w:val="0"/>
        </w:num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限额设计要求：</w:t>
      </w:r>
    </w:p>
    <w:p w14:paraId="4F122CAC">
      <w:pPr>
        <w:pStyle w:val="36"/>
        <w:numPr>
          <w:ilvl w:val="0"/>
          <w:numId w:val="0"/>
        </w:num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14:textFill>
            <w14:solidFill>
              <w14:schemeClr w14:val="tx1"/>
            </w14:solidFill>
          </w14:textFill>
        </w:rPr>
        <w:t>若</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第三方</w:t>
      </w:r>
      <w:r>
        <w:rPr>
          <w:rFonts w:hint="eastAsia" w:ascii="宋体" w:hAnsi="宋体" w:eastAsia="宋体" w:cs="宋体"/>
          <w:snapToGrid w:val="0"/>
          <w:color w:val="000000" w:themeColor="text1"/>
          <w:kern w:val="0"/>
          <w:sz w:val="24"/>
          <w:szCs w:val="24"/>
          <w:highlight w:val="none"/>
          <w14:textFill>
            <w14:solidFill>
              <w14:schemeClr w14:val="tx1"/>
            </w14:solidFill>
          </w14:textFill>
        </w:rPr>
        <w:t>造价咨询单位按施工图编制或审核的建安工程费高于</w:t>
      </w:r>
      <w:r>
        <w:rPr>
          <w:rFonts w:hint="eastAsia" w:ascii="宋体" w:hAnsi="宋体" w:eastAsia="宋体" w:cs="宋体"/>
          <w:color w:val="000000" w:themeColor="text1"/>
          <w:sz w:val="24"/>
          <w:szCs w:val="24"/>
          <w:highlight w:val="none"/>
          <w14:textFill>
            <w14:solidFill>
              <w14:schemeClr w14:val="tx1"/>
            </w14:solidFill>
          </w14:textFill>
        </w:rPr>
        <w:t>建安工程费的中标价</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必须无条件对施工图进行修改，直至满足限额设计要求，</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不另行增加设计费</w:t>
      </w:r>
      <w:r>
        <w:rPr>
          <w:rFonts w:hint="eastAsia" w:ascii="宋体" w:hAnsi="宋体" w:eastAsia="宋体" w:cs="宋体"/>
          <w:snapToGrid w:val="0"/>
          <w:color w:val="000000" w:themeColor="text1"/>
          <w:kern w:val="0"/>
          <w:sz w:val="24"/>
          <w:szCs w:val="24"/>
          <w:highlight w:val="none"/>
          <w14:textFill>
            <w14:solidFill>
              <w14:schemeClr w14:val="tx1"/>
            </w14:solidFill>
          </w14:textFill>
        </w:rPr>
        <w:t>。由此造成造价咨询单位重复编制或审核施工图预算的费用由</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承担，结算时在设计费中扣除。</w:t>
      </w:r>
    </w:p>
    <w:p w14:paraId="438D5531">
      <w:pPr>
        <w:pStyle w:val="36"/>
        <w:numPr>
          <w:ilvl w:val="0"/>
          <w:numId w:val="0"/>
        </w:numPr>
        <w:spacing w:line="360" w:lineRule="auto"/>
        <w:ind w:firstLine="480" w:firstLineChars="200"/>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hAnsi="宋体" w:cs="宋体"/>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不得为了用完设计限额额度，擅自扩大建设规模、增加建设内容、提高建设标准的行为，因此导致造价增加由</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snapToGrid w:val="0"/>
          <w:color w:val="000000" w:themeColor="text1"/>
          <w:kern w:val="0"/>
          <w:sz w:val="24"/>
          <w:szCs w:val="24"/>
          <w:highlight w:val="none"/>
          <w14:textFill>
            <w14:solidFill>
              <w14:schemeClr w14:val="tx1"/>
            </w14:solidFill>
          </w14:textFill>
        </w:rPr>
        <w:t>负责及承担费用。</w:t>
      </w:r>
    </w:p>
    <w:p w14:paraId="028B7A17">
      <w:pPr>
        <w:pStyle w:val="36"/>
        <w:numPr>
          <w:ilvl w:val="0"/>
          <w:numId w:val="0"/>
        </w:numPr>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5.3.5</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在设计前，要充分进行市场调查，主要材料、设备在满足设计规范及建设标准的情况下，尽量采用造价管理机构发布的信息价中有相应型号、规格的标准材料，若必须采用非标准材料的，必须经</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同意，否则参照信息价中相近且低于其标准的材料信息价作为该项材料的结算价。</w:t>
      </w:r>
    </w:p>
    <w:p w14:paraId="7534DBDA">
      <w:pPr>
        <w:pStyle w:val="36"/>
        <w:numPr>
          <w:ilvl w:val="0"/>
          <w:numId w:val="0"/>
        </w:numPr>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w:t>
      </w:r>
      <w:r>
        <w:rPr>
          <w:rFonts w:hint="eastAsia" w:hAnsi="宋体" w:cs="宋体"/>
          <w:b w:val="0"/>
          <w:bCs w:val="0"/>
          <w:snapToGrid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设计时需要考虑与周边地块的开发相结合。</w:t>
      </w:r>
    </w:p>
    <w:p w14:paraId="04332047">
      <w:pPr>
        <w:pStyle w:val="36"/>
        <w:numPr>
          <w:ilvl w:val="0"/>
          <w:numId w:val="0"/>
        </w:numPr>
        <w:spacing w:line="360" w:lineRule="auto"/>
        <w:ind w:firstLine="480" w:firstLineChars="200"/>
        <w:rPr>
          <w:rFonts w:hint="eastAsia" w:hAnsi="宋体" w:cs="Calibri"/>
          <w:bCs/>
          <w:color w:val="000000" w:themeColor="text1"/>
          <w:sz w:val="24"/>
          <w:szCs w:val="24"/>
          <w:highlight w:val="none"/>
          <w:lang w:val="en-US" w:eastAsia="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5.2.7设计成果文件要求：</w:t>
      </w:r>
    </w:p>
    <w:p w14:paraId="5E569659">
      <w:pPr>
        <w:pStyle w:val="36"/>
        <w:numPr>
          <w:ilvl w:val="0"/>
          <w:numId w:val="0"/>
        </w:num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单位</w:t>
      </w:r>
      <w:r>
        <w:rPr>
          <w:rFonts w:hint="eastAsia" w:ascii="宋体" w:hAnsi="宋体" w:eastAsia="宋体" w:cs="宋体"/>
          <w:color w:val="000000" w:themeColor="text1"/>
          <w:sz w:val="24"/>
          <w:szCs w:val="24"/>
          <w:highlight w:val="none"/>
          <w14:textFill>
            <w14:solidFill>
              <w14:schemeClr w14:val="tx1"/>
            </w14:solidFill>
          </w14:textFill>
        </w:rPr>
        <w:t>按合同约定、招标文件内容要求、法律法规及国家强制性标准要求提供完整的设计文件</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60882FC">
      <w:pPr>
        <w:pStyle w:val="36"/>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要求提供施工图设计文件12套。提供的所有资料均含电子版（含CAD及PDF文件格式）。</w:t>
      </w:r>
    </w:p>
    <w:p w14:paraId="697466A0">
      <w:pPr>
        <w:pStyle w:val="36"/>
        <w:numPr>
          <w:ilvl w:val="0"/>
          <w:numId w:val="0"/>
        </w:numPr>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5.3</w:t>
      </w:r>
      <w:r>
        <w:rPr>
          <w:rFonts w:hint="eastAsia" w:hAnsi="宋体" w:cs="Calibri"/>
          <w:bCs/>
          <w:color w:val="000000" w:themeColor="text1"/>
          <w:sz w:val="24"/>
          <w:szCs w:val="24"/>
          <w:highlight w:val="none"/>
          <w:lang w:val="zh-CN"/>
          <w14:textFill>
            <w14:solidFill>
              <w14:schemeClr w14:val="tx1"/>
            </w14:solidFill>
          </w14:textFill>
        </w:rPr>
        <w:t>施工要求：</w:t>
      </w:r>
    </w:p>
    <w:p w14:paraId="33FDD9E0">
      <w:pPr>
        <w:pStyle w:val="36"/>
        <w:numPr>
          <w:ilvl w:val="0"/>
          <w:numId w:val="0"/>
        </w:numPr>
        <w:spacing w:line="360" w:lineRule="auto"/>
        <w:ind w:firstLine="480" w:firstLineChars="200"/>
        <w:rPr>
          <w:rFonts w:hint="eastAsia" w:hAnsi="宋体" w:cs="Calibri"/>
          <w:bCs/>
          <w:color w:val="000000" w:themeColor="text1"/>
          <w:sz w:val="24"/>
          <w:szCs w:val="24"/>
          <w:highlight w:val="none"/>
          <w:lang w:val="zh-CN"/>
          <w14:textFill>
            <w14:solidFill>
              <w14:schemeClr w14:val="tx1"/>
            </w14:solidFill>
          </w14:textFill>
        </w:rPr>
      </w:pPr>
      <w:r>
        <w:rPr>
          <w:rFonts w:hint="eastAsia" w:hAnsi="宋体" w:cs="Calibri"/>
          <w:bCs/>
          <w:color w:val="000000" w:themeColor="text1"/>
          <w:sz w:val="24"/>
          <w:szCs w:val="24"/>
          <w:highlight w:val="none"/>
          <w:lang w:val="en-US" w:eastAsia="zh-CN"/>
          <w14:textFill>
            <w14:solidFill>
              <w14:schemeClr w14:val="tx1"/>
            </w14:solidFill>
          </w14:textFill>
        </w:rPr>
        <w:t>5.3.1施工质量要求：</w:t>
      </w:r>
      <w:r>
        <w:rPr>
          <w:rFonts w:hint="eastAsia" w:hAnsi="宋体" w:cs="Calibri"/>
          <w:bCs/>
          <w:color w:val="000000" w:themeColor="text1"/>
          <w:sz w:val="24"/>
          <w:szCs w:val="24"/>
          <w:highlight w:val="none"/>
          <w:lang w:val="zh-CN"/>
          <w14:textFill>
            <w14:solidFill>
              <w14:schemeClr w14:val="tx1"/>
            </w14:solidFill>
          </w14:textFill>
        </w:rPr>
        <w:t>施工质量必须达到国家验收合格标准。</w:t>
      </w:r>
    </w:p>
    <w:p w14:paraId="482507B4">
      <w:pPr>
        <w:pStyle w:val="36"/>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若因</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原因，</w:t>
      </w:r>
      <w:r>
        <w:rPr>
          <w:rFonts w:hint="eastAsia" w:ascii="宋体" w:hAnsi="宋体" w:eastAsia="宋体" w:cs="宋体"/>
          <w:color w:val="000000" w:themeColor="text1"/>
          <w:sz w:val="24"/>
          <w:szCs w:val="24"/>
          <w:highlight w:val="none"/>
          <w:lang w:val="en-US" w:eastAsia="zh-CN"/>
          <w14:textFill>
            <w14:solidFill>
              <w14:schemeClr w14:val="tx1"/>
            </w14:solidFill>
          </w14:textFill>
        </w:rPr>
        <w:t>工程在竣工</w:t>
      </w:r>
      <w:r>
        <w:rPr>
          <w:rFonts w:hint="eastAsia" w:ascii="宋体" w:hAnsi="宋体" w:eastAsia="宋体" w:cs="宋体"/>
          <w:color w:val="000000" w:themeColor="text1"/>
          <w:sz w:val="24"/>
          <w:szCs w:val="24"/>
          <w:highlight w:val="none"/>
          <w14:textFill>
            <w14:solidFill>
              <w14:schemeClr w14:val="tx1"/>
            </w14:solidFill>
          </w14:textFill>
        </w:rPr>
        <w:t>验收时没有达到</w:t>
      </w:r>
      <w:r>
        <w:rPr>
          <w:rFonts w:hint="eastAsia" w:ascii="宋体" w:hAnsi="宋体" w:eastAsia="宋体" w:cs="宋体"/>
          <w:color w:val="000000" w:themeColor="text1"/>
          <w:sz w:val="24"/>
          <w:szCs w:val="24"/>
          <w:highlight w:val="none"/>
          <w:lang w:val="zh-CN"/>
          <w14:textFill>
            <w14:solidFill>
              <w14:schemeClr w14:val="tx1"/>
            </w14:solidFill>
          </w14:textFill>
        </w:rPr>
        <w:t>国家验收合格标准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按合同价款的1％向</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返纳质量违约金。</w:t>
      </w:r>
    </w:p>
    <w:p w14:paraId="3F059BF9">
      <w:pPr>
        <w:pStyle w:val="36"/>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在施工中如果工程质量不符合设计要求或有关规定，</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或监理单位要求停工和返工的必须立即执行，并承担由此产生的各种费用，工期不予顺延。</w:t>
      </w:r>
    </w:p>
    <w:p w14:paraId="08B9090B">
      <w:pPr>
        <w:pStyle w:val="36"/>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保修期限按中华人民共和国国务院令第279号文《建设工程质量管理条例》规定执行，在保修期内因施工质量问题而造成返修，一切费用由</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负责。</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在向</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提交竣工验收报告时，应当向</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出具质量保修书。质量保修书中应当明确建设工程的保修范围、保修期限和保修责任等。</w:t>
      </w:r>
    </w:p>
    <w:p w14:paraId="51DF5496">
      <w:pPr>
        <w:pStyle w:val="36"/>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项目使用的主要材料质量要求必须符合本项目达到验收合格标准的要求。主要材料必须先提供样板给</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确定其颜色、等级等，并经发包人委托的检测机构检测合格方可使用。</w:t>
      </w:r>
      <w:bookmarkStart w:id="71" w:name="OLE_LINK1"/>
      <w:bookmarkStart w:id="72" w:name="OLE_LINK2"/>
    </w:p>
    <w:p w14:paraId="4EB7646E">
      <w:pPr>
        <w:pStyle w:val="36"/>
        <w:numPr>
          <w:ilvl w:val="0"/>
          <w:numId w:val="0"/>
        </w:num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为保证施工现场的环境卫生，</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color w:val="000000" w:themeColor="text1"/>
          <w:sz w:val="24"/>
          <w:szCs w:val="24"/>
          <w:highlight w:val="none"/>
          <w14:textFill>
            <w14:solidFill>
              <w14:schemeClr w14:val="tx1"/>
            </w14:solidFill>
          </w14:textFill>
        </w:rPr>
        <w:t>在本工程施工过程中，所有的车辆必须按</w:t>
      </w:r>
      <w:r>
        <w:rPr>
          <w:rFonts w:hint="eastAsia" w:hAnsi="宋体" w:cs="Calibri"/>
          <w:bCs/>
          <w:color w:val="000000" w:themeColor="text1"/>
          <w:sz w:val="24"/>
          <w:szCs w:val="24"/>
          <w:highlight w:val="none"/>
          <w:u w:val="none"/>
          <w:lang w:val="zh-CN"/>
          <w14:textFill>
            <w14:solidFill>
              <w14:schemeClr w14:val="tx1"/>
            </w14:solidFill>
          </w14:textFill>
        </w:rPr>
        <w:t>发包人</w:t>
      </w:r>
      <w:r>
        <w:rPr>
          <w:rFonts w:hint="eastAsia" w:ascii="宋体" w:hAnsi="宋体" w:eastAsia="宋体" w:cs="宋体"/>
          <w:color w:val="000000" w:themeColor="text1"/>
          <w:sz w:val="24"/>
          <w:szCs w:val="24"/>
          <w:highlight w:val="none"/>
          <w14:textFill>
            <w14:solidFill>
              <w14:schemeClr w14:val="tx1"/>
            </w14:solidFill>
          </w14:textFill>
        </w:rPr>
        <w:t>规定的行车路线行驶。并负责施工现场及受施工影响周边道路的卫生。</w:t>
      </w:r>
    </w:p>
    <w:p w14:paraId="79E7A847">
      <w:pPr>
        <w:pStyle w:val="36"/>
        <w:numPr>
          <w:ilvl w:val="0"/>
          <w:numId w:val="0"/>
        </w:numPr>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w:t>
      </w:r>
      <w:r>
        <w:rPr>
          <w:rFonts w:hint="eastAsia" w:hAnsi="宋体" w:cs="宋体"/>
          <w:b w:val="0"/>
          <w:bCs w:val="0"/>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.7</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在施工期间应严格遵守国家、广东省、韶关市有关绿色施工、文明施工、噪音扬尘、消防爆破、环境卫生、渣土清运、治安保卫等方面的规定，并建立相应规章制度和保障措施。否则由此造成的经济损失和法律责任，均由</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承担。</w:t>
      </w:r>
    </w:p>
    <w:p w14:paraId="7B32C9A0">
      <w:pPr>
        <w:pStyle w:val="36"/>
        <w:numPr>
          <w:ilvl w:val="0"/>
          <w:numId w:val="0"/>
        </w:numPr>
        <w:spacing w:line="360" w:lineRule="auto"/>
        <w:ind w:firstLine="480" w:firstLineChars="200"/>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5.</w:t>
      </w:r>
      <w:r>
        <w:rPr>
          <w:rFonts w:hint="eastAsia" w:hAnsi="宋体" w:cs="宋体"/>
          <w:b w:val="0"/>
          <w:bCs w:val="0"/>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val="0"/>
          <w:bCs w:val="0"/>
          <w:snapToGrid w:val="0"/>
          <w:color w:val="000000" w:themeColor="text1"/>
          <w:kern w:val="0"/>
          <w:sz w:val="24"/>
          <w:szCs w:val="24"/>
          <w:highlight w:val="none"/>
          <w:lang w:val="en-US" w:eastAsia="zh-CN"/>
          <w14:textFill>
            <w14:solidFill>
              <w14:schemeClr w14:val="tx1"/>
            </w14:solidFill>
          </w14:textFill>
        </w:rPr>
        <w:t>.8</w:t>
      </w:r>
      <w:r>
        <w:rPr>
          <w:rFonts w:hint="eastAsia" w:hAnsi="宋体" w:cs="Calibri"/>
          <w:bCs/>
          <w:color w:val="000000" w:themeColor="text1"/>
          <w:sz w:val="24"/>
          <w:szCs w:val="24"/>
          <w:highlight w:val="none"/>
          <w:lang w:val="en-US" w:eastAsia="zh-CN"/>
          <w14:textFill>
            <w14:solidFill>
              <w14:schemeClr w14:val="tx1"/>
            </w14:solidFill>
          </w14:textFill>
        </w:rPr>
        <w:t>施工单位</w:t>
      </w:r>
      <w:r>
        <w:rPr>
          <w:rFonts w:hint="eastAsia" w:ascii="宋体" w:hAnsi="宋体" w:eastAsia="宋体" w:cs="宋体"/>
          <w:b w:val="0"/>
          <w:bCs w:val="0"/>
          <w:snapToGrid w:val="0"/>
          <w:color w:val="000000" w:themeColor="text1"/>
          <w:kern w:val="0"/>
          <w:sz w:val="24"/>
          <w:szCs w:val="24"/>
          <w:highlight w:val="none"/>
          <w14:textFill>
            <w14:solidFill>
              <w14:schemeClr w14:val="tx1"/>
            </w14:solidFill>
          </w14:textFill>
        </w:rPr>
        <w:t>应按安全施工有关规定，采取严格、科学的安全防护措施，确保施工和人员（包括第三者）的安全，承担由于自身安全防护措施不力所造成的安全事故责任和发生的费用。</w:t>
      </w:r>
    </w:p>
    <w:p w14:paraId="4D02345E">
      <w:pPr>
        <w:pStyle w:val="43"/>
        <w:widowControl/>
        <w:spacing w:line="360" w:lineRule="auto"/>
        <w:ind w:firstLine="48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w:t>
      </w:r>
      <w:bookmarkEnd w:id="71"/>
      <w:bookmarkEnd w:id="72"/>
    </w:p>
    <w:p w14:paraId="167ACD15">
      <w:pPr>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5.</w:t>
      </w:r>
      <w:r>
        <w:rPr>
          <w:rFonts w:hint="eastAsia" w:asciiTheme="minorEastAsia" w:hAnsiTheme="minorEastAsia" w:eastAsiaTheme="minorEastAsia" w:cstheme="minorEastAsia"/>
          <w:b/>
          <w:bCs/>
          <w:snapToGrid w:val="0"/>
          <w:color w:val="000000" w:themeColor="text1"/>
          <w:kern w:val="0"/>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凡参加本次招标的投标人被视为已充分认识和理解了任何与本工程有关的影响事项和困难等情况。</w:t>
      </w:r>
    </w:p>
    <w:p w14:paraId="109A65C7">
      <w:pPr>
        <w:pStyle w:val="38"/>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73" w:name="_Hlt88974078"/>
      <w:bookmarkEnd w:id="73"/>
      <w:bookmarkStart w:id="74" w:name="_Hlt120502666"/>
      <w:bookmarkEnd w:id="74"/>
      <w:bookmarkStart w:id="75" w:name="_Hlt74496537"/>
      <w:bookmarkEnd w:id="75"/>
      <w:bookmarkStart w:id="76" w:name="_Hlt74493474"/>
      <w:bookmarkEnd w:id="76"/>
      <w:bookmarkStart w:id="77" w:name="_Hlt69356505"/>
      <w:bookmarkEnd w:id="77"/>
      <w:bookmarkStart w:id="78" w:name="_Hlt111690342"/>
      <w:bookmarkEnd w:id="78"/>
      <w:bookmarkStart w:id="79" w:name="_Hlt121563076"/>
      <w:bookmarkEnd w:id="79"/>
      <w:bookmarkStart w:id="80" w:name="_Hlt69699204"/>
      <w:bookmarkEnd w:id="80"/>
      <w:bookmarkStart w:id="81" w:name="_Toc24793"/>
      <w:bookmarkStart w:id="82" w:name="_Toc19911"/>
      <w:bookmarkStart w:id="83" w:name="_Toc20827"/>
      <w:bookmarkStart w:id="84" w:name="_Toc16432"/>
      <w:bookmarkStart w:id="85" w:name="_Toc3193"/>
      <w:bookmarkStart w:id="86" w:name="_Toc25843"/>
      <w:bookmarkStart w:id="87" w:name="_Toc10812"/>
      <w:bookmarkStart w:id="88" w:name="_Toc17958"/>
      <w:bookmarkStart w:id="89" w:name="_Toc12891"/>
    </w:p>
    <w:p w14:paraId="57DC44F7">
      <w:pPr>
        <w:pStyle w:val="38"/>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6 、招标工程施工条件及现场踏勘</w:t>
      </w:r>
      <w:bookmarkEnd w:id="81"/>
      <w:bookmarkEnd w:id="82"/>
      <w:bookmarkEnd w:id="83"/>
      <w:bookmarkEnd w:id="84"/>
      <w:bookmarkEnd w:id="85"/>
      <w:bookmarkEnd w:id="86"/>
      <w:bookmarkEnd w:id="87"/>
      <w:bookmarkEnd w:id="88"/>
      <w:bookmarkEnd w:id="89"/>
    </w:p>
    <w:p w14:paraId="202351E2">
      <w:pPr>
        <w:pStyle w:val="44"/>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6.1本工程招标人仅在征地红线范围内提供场地，其他一切场地费用由中标人自行负责（含临时道路）。</w:t>
      </w:r>
    </w:p>
    <w:p w14:paraId="18F9D350">
      <w:pPr>
        <w:wordWrap w:val="0"/>
        <w:adjustRightInd w:val="0"/>
        <w:snapToGrid w:val="0"/>
        <w:spacing w:line="360" w:lineRule="auto"/>
        <w:ind w:firstLine="360" w:firstLineChars="15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6.2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施工用水：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招标人协调，</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施工用水及水源由中标人自行解决，费用含在投标报价中，不另计</w:t>
      </w:r>
      <w:r>
        <w:rPr>
          <w:rFonts w:hint="eastAsia" w:asciiTheme="minorEastAsia" w:hAnsiTheme="minorEastAsia" w:eastAsiaTheme="minorEastAsia" w:cstheme="minorEastAsia"/>
          <w:color w:val="000000" w:themeColor="text1"/>
          <w:kern w:val="0"/>
          <w:szCs w:val="24"/>
          <w:highlight w:val="none"/>
          <w:u w:val="single"/>
          <w14:textFill>
            <w14:solidFill>
              <w14:schemeClr w14:val="tx1"/>
            </w14:solidFill>
          </w14:textFill>
        </w:rPr>
        <w:t>。</w:t>
      </w:r>
    </w:p>
    <w:p w14:paraId="6CA5EC5F">
      <w:pPr>
        <w:wordWrap w:val="0"/>
        <w:adjustRightInd w:val="0"/>
        <w:snapToGrid w:val="0"/>
        <w:spacing w:line="360" w:lineRule="auto"/>
        <w:ind w:firstLine="480" w:firstLineChars="2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6.3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施工用电：</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招标人协调，</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施工用电及电源由中标人自行解决，费用含在投标报价中，不另计</w:t>
      </w:r>
      <w:r>
        <w:rPr>
          <w:rFonts w:hint="eastAsia" w:asciiTheme="minorEastAsia" w:hAnsiTheme="minorEastAsia" w:eastAsiaTheme="minorEastAsia" w:cstheme="minorEastAsia"/>
          <w:color w:val="000000" w:themeColor="text1"/>
          <w:kern w:val="0"/>
          <w:szCs w:val="24"/>
          <w:highlight w:val="none"/>
          <w:u w:val="single"/>
          <w14:textFill>
            <w14:solidFill>
              <w14:schemeClr w14:val="tx1"/>
            </w14:solidFill>
          </w14:textFill>
        </w:rPr>
        <w:t>。</w:t>
      </w:r>
    </w:p>
    <w:p w14:paraId="186C5294">
      <w:pPr>
        <w:pStyle w:val="36"/>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6.4</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施工用水、用电由中标人负责报装并接入施工红线范围，</w:t>
      </w:r>
      <w:r>
        <w:rPr>
          <w:rFonts w:hint="eastAsia" w:asciiTheme="minorEastAsia" w:hAnsiTheme="minorEastAsia" w:eastAsiaTheme="minorEastAsia" w:cstheme="minorEastAsia"/>
          <w:color w:val="000000" w:themeColor="text1"/>
          <w:highlight w:val="none"/>
          <w14:textFill>
            <w14:solidFill>
              <w14:schemeClr w14:val="tx1"/>
            </w14:solidFill>
          </w14:textFill>
        </w:rPr>
        <w:t>并由中标人负责购置及安装满足施工所需的临时用电变压器、水表、电表，其水、电费按工程所在地</w:t>
      </w:r>
      <w:r>
        <w:rPr>
          <w:rFonts w:hint="eastAsia" w:asciiTheme="minorEastAsia" w:hAnsiTheme="minorEastAsia" w:eastAsiaTheme="minorEastAsia" w:cstheme="minorEastAsia"/>
          <w:color w:val="000000" w:themeColor="text1"/>
          <w:highlight w:val="none"/>
          <w:u w:val="single"/>
          <w:lang w:eastAsia="zh-CN"/>
          <w14:textFill>
            <w14:solidFill>
              <w14:schemeClr w14:val="tx1"/>
            </w14:solidFill>
          </w14:textFill>
        </w:rPr>
        <w:t>南雄市</w:t>
      </w:r>
      <w:r>
        <w:rPr>
          <w:rFonts w:hint="eastAsia" w:asciiTheme="minorEastAsia" w:hAnsiTheme="minorEastAsia" w:eastAsiaTheme="minorEastAsia" w:cstheme="minorEastAsia"/>
          <w:color w:val="000000" w:themeColor="text1"/>
          <w:highlight w:val="none"/>
          <w14:textFill>
            <w14:solidFill>
              <w14:schemeClr w14:val="tx1"/>
            </w14:solidFill>
          </w14:textFill>
        </w:rPr>
        <w:t>基建工程水、电计费标准计算并由中标人缴纳，相关线路、管路费用及安装费用以及购置及安装临时用电变压器的费用由中标人自行承担。</w:t>
      </w:r>
    </w:p>
    <w:p w14:paraId="041B1D09">
      <w:pPr>
        <w:pStyle w:val="36"/>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6.5招标人不集中现场踏勘，但会在招标文件及有关设计文件中明确告知招标工程的具体位置和周边环境，并在现场设置足以识别的标识或提供足以表明工程具体位置的文字或图片。投标人需要了解现场情况的，可自行进行现场踏勘。</w:t>
      </w:r>
    </w:p>
    <w:p w14:paraId="3ECEF1E1">
      <w:pPr>
        <w:pStyle w:val="36"/>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6.6在现场踏勘过程中，投标人应确保自身安全，投标人如果发生人身伤亡、财物或其他损失，法律法规有规定的按有关规定处理，没有规定的由投标人自行负责。</w:t>
      </w:r>
    </w:p>
    <w:p w14:paraId="58859549">
      <w:pPr>
        <w:pStyle w:val="36"/>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6.7现场踏勘期间的交通、食宿由投标人自行安排，费用自理。</w:t>
      </w:r>
    </w:p>
    <w:p w14:paraId="7783B4E9">
      <w:pPr>
        <w:pStyle w:val="38"/>
        <w:keepNext/>
        <w:keepLines/>
        <w:ind w:firstLine="480"/>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bookmarkStart w:id="90" w:name="_Toc25942"/>
      <w:bookmarkStart w:id="91" w:name="_Toc22484"/>
      <w:bookmarkStart w:id="92" w:name="_Toc5795"/>
      <w:bookmarkStart w:id="93" w:name="_Toc3294"/>
      <w:bookmarkStart w:id="94" w:name="_Toc23962"/>
      <w:bookmarkStart w:id="95" w:name="_Toc8518"/>
      <w:bookmarkStart w:id="96" w:name="_Toc27595"/>
      <w:bookmarkStart w:id="97" w:name="_Toc20500"/>
      <w:bookmarkStart w:id="98" w:name="_Toc17548"/>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 xml:space="preserve">7 </w:t>
      </w:r>
      <w:bookmarkStart w:id="99" w:name="_Toc488220856"/>
      <w:bookmarkStart w:id="100" w:name="_Toc371968705"/>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、其他招标说明</w:t>
      </w:r>
      <w:bookmarkEnd w:id="90"/>
      <w:bookmarkEnd w:id="91"/>
      <w:bookmarkEnd w:id="92"/>
      <w:bookmarkEnd w:id="93"/>
      <w:bookmarkEnd w:id="94"/>
      <w:bookmarkEnd w:id="95"/>
      <w:bookmarkEnd w:id="96"/>
      <w:bookmarkEnd w:id="97"/>
      <w:bookmarkEnd w:id="98"/>
      <w:bookmarkEnd w:id="99"/>
    </w:p>
    <w:bookmarkEnd w:id="100"/>
    <w:p w14:paraId="4BF44DE2">
      <w:pPr>
        <w:wordWrap w:val="0"/>
        <w:autoSpaceDE/>
        <w:autoSpaceDN/>
        <w:snapToGrid w:val="0"/>
        <w:spacing w:line="440" w:lineRule="exact"/>
        <w:ind w:firstLine="480"/>
        <w:jc w:val="both"/>
        <w:outlineLvl w:val="9"/>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pPr>
      <w:bookmarkStart w:id="101" w:name="_Toc28014"/>
      <w:bookmarkStart w:id="102" w:name="_Toc10210"/>
      <w:r>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t>7.1．</w:t>
      </w:r>
      <w:r>
        <w:rPr>
          <w:rStyle w:val="24"/>
          <w:rFonts w:hint="eastAsia" w:asciiTheme="minorEastAsia" w:hAnsiTheme="minorEastAsia" w:eastAsiaTheme="minorEastAsia" w:cstheme="minorEastAsia"/>
          <w:color w:val="000000" w:themeColor="text1"/>
          <w:szCs w:val="24"/>
          <w:highlight w:val="none"/>
          <w:shd w:val="clear" w:color="auto" w:fill="FFFFFF"/>
          <w14:textFill>
            <w14:solidFill>
              <w14:schemeClr w14:val="tx1"/>
            </w14:solidFill>
          </w14:textFill>
        </w:rPr>
        <w:t>获取招标文件</w:t>
      </w:r>
      <w:bookmarkEnd w:id="101"/>
      <w:bookmarkEnd w:id="102"/>
    </w:p>
    <w:p w14:paraId="3D4685FA">
      <w:pPr>
        <w:pStyle w:val="20"/>
        <w:widowControl w:val="0"/>
        <w:wordWrap w:val="0"/>
        <w:adjustRightInd w:val="0"/>
        <w:snapToGrid w:val="0"/>
        <w:spacing w:beforeAutospacing="0" w:afterAutospacing="0" w:line="440" w:lineRule="exact"/>
        <w:ind w:firstLine="482" w:firstLineChars="20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highlight w:val="none"/>
          <w14:textFill>
            <w14:solidFill>
              <w14:schemeClr w14:val="tx1"/>
            </w14:solidFill>
          </w14:textFill>
        </w:rPr>
        <w:t>7.1.1</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本次招标实行电子投标。</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本项目招标文件随招标公告一并在</w:t>
      </w:r>
      <w:r>
        <w:rPr>
          <w:rFonts w:hint="eastAsia" w:asciiTheme="minorEastAsia" w:hAnsiTheme="minorEastAsia" w:eastAsiaTheme="minorEastAsia" w:cstheme="minorEastAsia"/>
          <w:bCs/>
          <w:snapToGrid w:val="0"/>
          <w:color w:val="000000" w:themeColor="text1"/>
          <w:highlight w:val="none"/>
          <w14:textFill>
            <w14:solidFill>
              <w14:schemeClr w14:val="tx1"/>
            </w14:solidFill>
          </w14:textFill>
        </w:rPr>
        <w:t>广东省招标投标监管网(https://www.gdzwfw.gov.cn/ztbjg-portal/#/index)、</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全国公共资源交易平台（广东省·韶关市）（https://ygp.gdzwfw.gov.cn/ggzy-portal/#/440200/index）网站发布。招标文件一经在交易平台发布，视为发送投标人，招标文件及相关附件由投标人自行在交易平台网站下载。招标文件获取</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期间</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见本章第二节“重要事项时间地点一览表”，招标文件获取期间与招标公告发布时间一致</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），投标人须登录全国公共资源交易平台（广东省·韶关市）（https://ygp.gdzwfw.gov.cn/ggzy-portal/#/440200/index）</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下载</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招标文件及相关附件，并于电子投标截止时间（</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见本章第二节“重要事项时间地点一览表”</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前完成电子投标。投标人可登录全国公共资源交易平台（广东省·韶关市）（https://ygp.gdzwfw.gov.cn/ggzy-portal/#/440200/index），在【服务指南】栏目中下载《韶关市公共资源建设工程交易系统-投标人操作指南（电子评标）》，了解网上获取招标文件操作流程。技术咨询电话：18819797080/0751-8379671 伍先生，业务咨询电话：0751-8633211、8633071。</w:t>
      </w:r>
    </w:p>
    <w:p w14:paraId="33202C70">
      <w:pPr>
        <w:pStyle w:val="39"/>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highlight w:val="none"/>
          <w14:textFill>
            <w14:solidFill>
              <w14:schemeClr w14:val="tx1"/>
            </w14:solidFill>
          </w14:textFill>
        </w:rPr>
        <w:t xml:space="preserve">7.1.2 </w:t>
      </w: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只有申领了数字证书（CA）、“粤企签”或GDCA/SZCA/NETCA等符合法律法规规定的电子印章，并在交易平台中完成企业信息数据入库的投标人，方可在交易平台获取招标文件和电子投标。</w:t>
      </w:r>
    </w:p>
    <w:p w14:paraId="5BA934A2">
      <w:pPr>
        <w:pStyle w:val="39"/>
        <w:wordWrap w:val="0"/>
        <w:adjustRightInd w:val="0"/>
        <w:snapToGrid w:val="0"/>
        <w:spacing w:line="440" w:lineRule="exact"/>
        <w:ind w:firstLine="480"/>
        <w:jc w:val="left"/>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首次在韶关市参与建设工程招标投标活动的投标人，必须在交易平台上传企业相关资料办理企业入库事宜。投标人可登录全国公共资源交易平台（广东省·韶关市）（https://ygp.gdzwfw.gov.cn/ggzy-portal/#/440200/index）办理企业入库、数字证书及电子印章事宜，具体请在交易平台查阅相应的交易指引。</w:t>
      </w:r>
    </w:p>
    <w:p w14:paraId="453E0B96">
      <w:pPr>
        <w:pStyle w:val="39"/>
        <w:wordWrap w:val="0"/>
        <w:adjustRightInd w:val="0"/>
        <w:snapToGrid w:val="0"/>
        <w:spacing w:line="440" w:lineRule="exact"/>
        <w:ind w:firstLine="480"/>
        <w:jc w:val="left"/>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已入库企业有关信息（如单位名称、基本账号、资质、人员等）发生变化的，须及时在交易平台进行相应变更。投标人未及时变更信息而造成的损失和后果，由投标人自行承担。</w:t>
      </w:r>
    </w:p>
    <w:p w14:paraId="6AF10B15">
      <w:pPr>
        <w:tabs>
          <w:tab w:val="left" w:pos="7020"/>
        </w:tabs>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shd w:val="clear" w:color="auto" w:fill="FFFFFF"/>
          <w14:textFill>
            <w14:solidFill>
              <w14:schemeClr w14:val="tx1"/>
            </w14:solidFill>
          </w14:textFill>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asciiTheme="minorEastAsia" w:hAnsiTheme="minorEastAsia" w:eastAsiaTheme="minorEastAsia" w:cstheme="minorEastAsia"/>
          <w:snapToGrid w:val="0"/>
          <w:color w:val="000000" w:themeColor="text1"/>
          <w:szCs w:val="24"/>
          <w:highlight w:val="none"/>
          <w14:textFill>
            <w14:solidFill>
              <w14:schemeClr w14:val="tx1"/>
            </w14:solidFill>
          </w14:textFill>
        </w:rPr>
        <w:t>。</w:t>
      </w:r>
    </w:p>
    <w:p w14:paraId="1A018E2D">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7.2</w:t>
      </w:r>
      <w:r>
        <w:rPr>
          <w:rFonts w:hint="eastAsia" w:asciiTheme="minorEastAsia" w:hAnsiTheme="minorEastAsia" w:eastAsiaTheme="minorEastAsia" w:cstheme="minorEastAsia"/>
          <w:color w:val="000000" w:themeColor="text1"/>
          <w:highlight w:val="none"/>
          <w14:textFill>
            <w14:solidFill>
              <w14:schemeClr w14:val="tx1"/>
            </w14:solidFill>
          </w14:textFill>
        </w:rPr>
        <w:t>招标人（或招标代理机构）对投标人的失误不负任何责任，投标人应指定一名投标事务负责人（即授权委托人），专门负责跟踪、签收、阅读和理解招标文件及随后收到的有关资料，向招标人（或招标代理机构）发出疑问，检查投标文件，协助有关人员尽力克服各种投标失误。投标事务负责人（即授权委托人）如有更换，投标人应及时向招标人（或招标代理机构）提交授权委托书。</w:t>
      </w:r>
    </w:p>
    <w:p w14:paraId="2C8B60F2">
      <w:pPr>
        <w:spacing w:line="360" w:lineRule="auto"/>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7.3 </w:t>
      </w:r>
      <w:r>
        <w:rPr>
          <w:rFonts w:hint="eastAsia" w:asciiTheme="minorEastAsia" w:hAnsiTheme="minorEastAsia" w:eastAsiaTheme="minorEastAsia" w:cstheme="minorEastAsia"/>
          <w:b/>
          <w:bCs/>
          <w:color w:val="000000" w:themeColor="text1"/>
          <w:highlight w:val="none"/>
          <w14:textFill>
            <w14:solidFill>
              <w14:schemeClr w14:val="tx1"/>
            </w14:solidFill>
          </w14:textFill>
        </w:rPr>
        <w:t>纪律与保密要求：</w:t>
      </w:r>
    </w:p>
    <w:p w14:paraId="62D2B206">
      <w:pPr>
        <w:spacing w:line="360" w:lineRule="auto"/>
        <w:ind w:firstLine="495"/>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7.3.1</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对招标人的纪律要求</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：招标人不得泄露招标投标活动中应当保密的情况和资料，不得与投标人串通损害国家利益、社会公共利益或者他人合法权益。</w:t>
      </w:r>
    </w:p>
    <w:p w14:paraId="27E26F65">
      <w:pPr>
        <w:spacing w:line="360" w:lineRule="auto"/>
        <w:ind w:firstLine="495"/>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7.3.2 </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对投标人的纪律要求</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B2A5082">
      <w:pPr>
        <w:spacing w:line="360" w:lineRule="auto"/>
        <w:ind w:firstLine="495"/>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7.3.3 </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参与招</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标</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投标活</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动</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的各方</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应</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对招标</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文</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件和投</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标</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文件中</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商业和</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技</w:t>
      </w:r>
      <w:r>
        <w:rPr>
          <w:rFonts w:hint="eastAsia" w:asciiTheme="minorEastAsia" w:hAnsiTheme="minorEastAsia" w:eastAsiaTheme="minorEastAsia" w:cstheme="minorEastAsia"/>
          <w:color w:val="000000" w:themeColor="text1"/>
          <w:spacing w:val="8"/>
          <w:szCs w:val="24"/>
          <w:highlight w:val="none"/>
          <w14:textFill>
            <w14:solidFill>
              <w14:schemeClr w14:val="tx1"/>
            </w14:solidFill>
          </w14:textFill>
        </w:rPr>
        <w:t>术等秘密</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保密，违者应对由此造成的后果承担法律责任。</w:t>
      </w:r>
      <w:bookmarkStart w:id="103" w:name="_Toc371968706"/>
    </w:p>
    <w:p w14:paraId="4E686C31">
      <w:pPr>
        <w:spacing w:line="360" w:lineRule="auto"/>
        <w:ind w:firstLine="480"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w:t>
      </w:r>
      <w:bookmarkStart w:id="104" w:name="_Toc353462191"/>
      <w:bookmarkStart w:id="105" w:name="_Toc353462300"/>
      <w:bookmarkStart w:id="106" w:name="_Toc143766459"/>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4 </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语言、计量及投标费用</w:t>
      </w:r>
      <w:bookmarkEnd w:id="103"/>
      <w:bookmarkEnd w:id="104"/>
      <w:bookmarkEnd w:id="105"/>
      <w:bookmarkEnd w:id="106"/>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w:t>
      </w:r>
    </w:p>
    <w:p w14:paraId="182686D8">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7.4.1 除专用术语外</w:t>
      </w:r>
      <w:r>
        <w:rPr>
          <w:rFonts w:hint="eastAsia" w:asciiTheme="minorEastAsia" w:hAnsiTheme="minorEastAsia" w:eastAsiaTheme="minorEastAsia" w:cstheme="minorEastAsia"/>
          <w:color w:val="000000" w:themeColor="text1"/>
          <w:spacing w:val="-80"/>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与招标投标有关的语言均使用中文</w:t>
      </w:r>
      <w:r>
        <w:rPr>
          <w:rFonts w:hint="eastAsia" w:asciiTheme="minorEastAsia" w:hAnsiTheme="minorEastAsia" w:eastAsiaTheme="minorEastAsia" w:cstheme="minorEastAsia"/>
          <w:color w:val="000000" w:themeColor="text1"/>
          <w:spacing w:val="-80"/>
          <w:szCs w:val="24"/>
          <w:highlight w:val="none"/>
          <w14:textFill>
            <w14:solidFill>
              <w14:schemeClr w14:val="tx1"/>
            </w14:solidFill>
          </w14:textFill>
        </w:rPr>
        <w:t>。</w:t>
      </w:r>
    </w:p>
    <w:p w14:paraId="54CD046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7.4.2 所有计量均采用中华人民共和国法定计量单位。</w:t>
      </w:r>
    </w:p>
    <w:p w14:paraId="7AA57E9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7.4.3 招标文件、投标文件中所指的币种均为人民币。</w:t>
      </w:r>
    </w:p>
    <w:p w14:paraId="7058CECE">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7.4.4 投标人准备和参加投标活动发生的所有费用自理。</w:t>
      </w:r>
      <w:bookmarkStart w:id="107" w:name="_Toc371968707"/>
    </w:p>
    <w:p w14:paraId="435A2753">
      <w:pPr>
        <w:spacing w:line="360" w:lineRule="auto"/>
        <w:ind w:firstLine="480" w:firstLineChars="200"/>
        <w:rPr>
          <w:rFonts w:hint="eastAsia" w:asciiTheme="minorEastAsia" w:hAnsiTheme="minorEastAsia" w:eastAsiaTheme="minorEastAsia" w:cstheme="minorEastAsia"/>
          <w:b/>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7.5</w:t>
      </w:r>
      <w:r>
        <w:rPr>
          <w:rFonts w:hint="eastAsia" w:asciiTheme="minorEastAsia" w:hAnsiTheme="minorEastAsia" w:eastAsiaTheme="minorEastAsia" w:cstheme="minorEastAsia"/>
          <w:b/>
          <w:bCs/>
          <w:color w:val="000000" w:themeColor="text1"/>
          <w:highlight w:val="none"/>
          <w14:textFill>
            <w14:solidFill>
              <w14:schemeClr w14:val="tx1"/>
            </w14:solidFill>
          </w14:textFill>
        </w:rPr>
        <w:t>知识产权和专利权</w:t>
      </w:r>
      <w:bookmarkEnd w:id="107"/>
      <w:r>
        <w:rPr>
          <w:rFonts w:hint="eastAsia" w:asciiTheme="minorEastAsia" w:hAnsiTheme="minorEastAsia" w:eastAsiaTheme="minorEastAsia" w:cstheme="minorEastAsia"/>
          <w:b/>
          <w:bCs/>
          <w:color w:val="000000" w:themeColor="text1"/>
          <w:highlight w:val="none"/>
          <w14:textFill>
            <w14:solidFill>
              <w14:schemeClr w14:val="tx1"/>
            </w14:solidFill>
          </w14:textFill>
        </w:rPr>
        <w:t>：</w:t>
      </w:r>
    </w:p>
    <w:p w14:paraId="138F1BCB">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7.5.1 </w:t>
      </w:r>
      <w:r>
        <w:rPr>
          <w:rFonts w:hint="eastAsia" w:asciiTheme="minorEastAsia" w:hAnsiTheme="minorEastAsia" w:eastAsiaTheme="minorEastAsia" w:cstheme="minorEastAsia"/>
          <w:color w:val="000000" w:themeColor="text1"/>
          <w:highlight w:val="none"/>
          <w14:textFill>
            <w14:solidFill>
              <w14:schemeClr w14:val="tx1"/>
            </w14:solidFill>
          </w14:textFill>
        </w:rPr>
        <w:t>投标人保证投标文件及资料均未侵犯他人的知识产权，否则必须承担全部责任。若投标人使用了他人的专利、专有技术，涉及的费用由投标人负责。</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投标价应包括所有应支付的对专利权和版权、设计和其他知识产权而需要向其他方支付的版税。</w:t>
      </w:r>
    </w:p>
    <w:p w14:paraId="793FE2B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7.5.2 中标人应保证招标人在本项目建设过程中使用其设计文件和设计文件的任何一部分时，招标人免受第三方提出侵犯其专利权、商标权或其他知识产权的起诉。</w:t>
      </w:r>
    </w:p>
    <w:p w14:paraId="36C8EEB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7.5.3 中标人提交给招标人的设计文件，其著作权、版权、专利权和使用权归招标人所有（署名权除外）。</w:t>
      </w:r>
    </w:p>
    <w:p w14:paraId="7DBA581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bookmarkStart w:id="108" w:name="_Toc371968708"/>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w:t>
      </w:r>
      <w:bookmarkEnd w:id="108"/>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 招标文件是招标人发出的要约邀请，投标人参加投标均视为承认招标公告、招标文件及附件的所有条款，并承诺一旦中标将按招标文件、投标文件、合同条款、技术规范要求的质量和进度完成全部委托任务。</w:t>
      </w:r>
    </w:p>
    <w:p w14:paraId="6741AE4D">
      <w:pPr>
        <w:pStyle w:val="38"/>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109" w:name="_Toc18312"/>
      <w:bookmarkStart w:id="110" w:name="_Toc30148"/>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8 、招标答疑</w:t>
      </w:r>
      <w:bookmarkEnd w:id="109"/>
      <w:bookmarkEnd w:id="110"/>
      <w:bookmarkStart w:id="111" w:name="_Hlt74496410"/>
      <w:bookmarkEnd w:id="111"/>
    </w:p>
    <w:p w14:paraId="259053D7">
      <w:pPr>
        <w:pStyle w:val="36"/>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8.1招标人不集中组织答疑，实行网上答疑。</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投标人若对招标文件有疑问</w:t>
      </w:r>
      <w:r>
        <w:rPr>
          <w:rFonts w:hint="eastAsia" w:asciiTheme="minorEastAsia" w:hAnsiTheme="minorEastAsia" w:eastAsiaTheme="minorEastAsia" w:cstheme="minorEastAsia"/>
          <w:color w:val="000000" w:themeColor="text1"/>
          <w:highlight w:val="none"/>
          <w14:textFill>
            <w14:solidFill>
              <w14:schemeClr w14:val="tx1"/>
            </w14:solidFill>
          </w14:textFill>
        </w:rPr>
        <w:t>应在提问截止时间（</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见本章第二节“重要事项时间地点一览表”</w:t>
      </w:r>
      <w:r>
        <w:rPr>
          <w:rFonts w:hint="eastAsia" w:asciiTheme="minorEastAsia" w:hAnsiTheme="minorEastAsia" w:eastAsiaTheme="minorEastAsia" w:cstheme="minorEastAsia"/>
          <w:color w:val="000000" w:themeColor="text1"/>
          <w:highlight w:val="none"/>
          <w14:textFill>
            <w14:solidFill>
              <w14:schemeClr w14:val="tx1"/>
            </w14:solidFill>
          </w14:textFill>
        </w:rPr>
        <w:t>）前在交易平台提出问题。未在指定时间前、未采用指定方式提出的，招标人不予受理。</w:t>
      </w:r>
    </w:p>
    <w:p w14:paraId="40300F21">
      <w:pPr>
        <w:pStyle w:val="36"/>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8.2 </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招标人在提问截止时间（</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见本章第二节“重要事项时间地点一览表”</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C1662DF">
      <w:pPr>
        <w:pStyle w:val="36"/>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8.3 答疑书（</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或修改</w:t>
      </w:r>
      <w:r>
        <w:rPr>
          <w:rFonts w:hint="eastAsia" w:asciiTheme="minorEastAsia" w:hAnsiTheme="minorEastAsia" w:eastAsiaTheme="minorEastAsia" w:cstheme="minorEastAsia"/>
          <w:color w:val="000000" w:themeColor="text1"/>
          <w:highlight w:val="none"/>
          <w14:textFill>
            <w14:solidFill>
              <w14:schemeClr w14:val="tx1"/>
            </w14:solidFill>
          </w14:textFill>
        </w:rPr>
        <w:t>）对招标文件的修改或补充内容作为招标文件的组成部分，具有约束作用。招标文件的澄清、修改、补充等内容均以答疑书（</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或修改</w:t>
      </w:r>
      <w:r>
        <w:rPr>
          <w:rFonts w:hint="eastAsia" w:asciiTheme="minorEastAsia" w:hAnsiTheme="minorEastAsia" w:eastAsiaTheme="minorEastAsia" w:cstheme="minorEastAsia"/>
          <w:color w:val="000000" w:themeColor="text1"/>
          <w:highlight w:val="none"/>
          <w14:textFill>
            <w14:solidFill>
              <w14:schemeClr w14:val="tx1"/>
            </w14:solidFill>
          </w14:textFill>
        </w:rPr>
        <w:t>）中明确的内容为准。当招标文件、招标文件的澄清、修改、补充等文件在同一内容的表述上不一致时，以最后发出的答疑书（</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或修改</w:t>
      </w:r>
      <w:r>
        <w:rPr>
          <w:rFonts w:hint="eastAsia" w:asciiTheme="minorEastAsia" w:hAnsiTheme="minorEastAsia" w:eastAsiaTheme="minorEastAsia" w:cstheme="minorEastAsia"/>
          <w:color w:val="000000" w:themeColor="text1"/>
          <w:highlight w:val="none"/>
          <w14:textFill>
            <w14:solidFill>
              <w14:schemeClr w14:val="tx1"/>
            </w14:solidFill>
          </w14:textFill>
        </w:rPr>
        <w:t>）为准。</w:t>
      </w:r>
    </w:p>
    <w:p w14:paraId="34382E94">
      <w:pPr>
        <w:pStyle w:val="36"/>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8.4 投标人在规定的时间内未对招标文件提出澄清或疑问的，招标人将视其为无异议。对招标文件中描述有歧义或前后不一致的地方，评标委员会有权进行评判，但对同一条款的评判应适用于每个投标人。</w:t>
      </w:r>
    </w:p>
    <w:p w14:paraId="530D0F38">
      <w:pPr>
        <w:pStyle w:val="36"/>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8.5 招标人向投标人提供的资料和数据，是招标人现有的能使投标人利用的资料。投标人对招标人提供的招标文件所作出的推论、解释和结论，招标人概不负责；投标人由于对招标文件的任何推论和误解以及招标人对有关问题的口头解释所造成的后果，均由投标人自行负责。</w:t>
      </w:r>
    </w:p>
    <w:p w14:paraId="2E4FA8B2">
      <w:pPr>
        <w:pStyle w:val="38"/>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112" w:name="_Hlt69699188"/>
      <w:bookmarkEnd w:id="112"/>
      <w:bookmarkStart w:id="113" w:name="_Hlt92513715"/>
      <w:bookmarkEnd w:id="113"/>
      <w:bookmarkStart w:id="114" w:name="_Hlt92513711"/>
      <w:bookmarkEnd w:id="114"/>
      <w:bookmarkStart w:id="115" w:name="_Toc30627"/>
      <w:bookmarkStart w:id="116" w:name="_Toc15195"/>
      <w:bookmarkStart w:id="117" w:name="_Toc20643"/>
      <w:bookmarkStart w:id="118" w:name="_Toc19156"/>
      <w:bookmarkStart w:id="119" w:name="_Toc11301"/>
      <w:bookmarkStart w:id="120" w:name="_Toc8032"/>
      <w:bookmarkStart w:id="121" w:name="_Toc31064"/>
      <w:bookmarkStart w:id="122" w:name="_Toc28777"/>
      <w:bookmarkStart w:id="123" w:name="_Toc25532"/>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9 、投标报价的编制</w:t>
      </w:r>
      <w:bookmarkEnd w:id="115"/>
      <w:bookmarkEnd w:id="116"/>
      <w:bookmarkEnd w:id="117"/>
      <w:bookmarkEnd w:id="118"/>
      <w:bookmarkEnd w:id="119"/>
      <w:bookmarkEnd w:id="120"/>
      <w:bookmarkEnd w:id="121"/>
      <w:bookmarkEnd w:id="122"/>
      <w:bookmarkEnd w:id="123"/>
      <w:bookmarkStart w:id="124" w:name="_Hlt74498519"/>
      <w:bookmarkEnd w:id="124"/>
    </w:p>
    <w:p w14:paraId="5C87CE4D">
      <w:pPr>
        <w:pStyle w:val="36"/>
        <w:ind w:firstLine="560"/>
        <w:rPr>
          <w:rFonts w:hint="eastAsia" w:asciiTheme="minorEastAsia" w:hAnsiTheme="minorEastAsia" w:eastAsiaTheme="minorEastAsia" w:cstheme="minorEastAsia"/>
          <w:color w:val="000000" w:themeColor="text1"/>
          <w:spacing w:val="12"/>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highlight w:val="none"/>
          <w14:textFill>
            <w14:solidFill>
              <w14:schemeClr w14:val="tx1"/>
            </w14:solidFill>
          </w14:textFill>
        </w:rPr>
        <w:t>9.1 本工程计价依据为：</w:t>
      </w:r>
    </w:p>
    <w:p w14:paraId="3DDDB697">
      <w:pPr>
        <w:pStyle w:val="36"/>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25" w:name="_Hlt69335755"/>
      <w:bookmarkEnd w:id="125"/>
      <w:r>
        <w:rPr>
          <w:rFonts w:hint="eastAsia" w:asciiTheme="minorEastAsia" w:hAnsiTheme="minorEastAsia" w:eastAsiaTheme="minorEastAsia" w:cstheme="minorEastAsia"/>
          <w:color w:val="000000" w:themeColor="text1"/>
          <w:highlight w:val="none"/>
          <w14:textFill>
            <w14:solidFill>
              <w14:schemeClr w14:val="tx1"/>
            </w14:solidFill>
          </w14:textFill>
        </w:rPr>
        <w:t>（1）《工程勘察设计收费管理规定》（计价格[2002]10号）、《工程勘察设计收费导则（第二版）》（粤勘设协〔2021〕2号）；</w:t>
      </w:r>
    </w:p>
    <w:p w14:paraId="68AA67A6">
      <w:pPr>
        <w:pStyle w:val="36"/>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（2）《建设工程工程量清单计价规范》（GB50500—2013）；</w:t>
      </w:r>
    </w:p>
    <w:p w14:paraId="5038FA5F">
      <w:pPr>
        <w:pStyle w:val="36"/>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5FC8EB18">
      <w:pPr>
        <w:pStyle w:val="36"/>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招标文件及其答疑（或修改）公告</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3B5D297E">
      <w:pPr>
        <w:pStyle w:val="36"/>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（5）施工现场情况、工程特点及常规施工方案；</w:t>
      </w:r>
    </w:p>
    <w:p w14:paraId="77396941">
      <w:pPr>
        <w:pStyle w:val="36"/>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（6）项目所在地工程造价管理机构发布的工程造价信息，工程造价信息缺项的，参照市场价格；</w:t>
      </w:r>
    </w:p>
    <w:p w14:paraId="28B41DCC">
      <w:pPr>
        <w:pStyle w:val="36"/>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（7）与建设项目相关的标准、规范、技术资料。</w:t>
      </w:r>
    </w:p>
    <w:p w14:paraId="2E1BB4AB">
      <w:pPr>
        <w:pStyle w:val="36"/>
        <w:ind w:firstLine="792" w:firstLineChars="3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highlight w:val="none"/>
          <w14:textFill>
            <w14:solidFill>
              <w14:schemeClr w14:val="tx1"/>
            </w14:solidFill>
          </w14:textFill>
        </w:rPr>
        <w:t>9.2</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本工程投标前，招标人及招标代理机构不集中组织现场踏勘，投标人需要了解现场情况的，可自行进行现场踏勘。各投标人应勘察施工现场及周围环境、地形、地貌、水文、交通等情况，以获得一切可能影响到投标的直</w:t>
      </w:r>
      <w:bookmarkStart w:id="126" w:name="_Hlt66509056"/>
      <w:bookmarkEnd w:id="126"/>
      <w:r>
        <w:rPr>
          <w:rFonts w:hint="eastAsia" w:asciiTheme="minorEastAsia" w:hAnsiTheme="minorEastAsia" w:eastAsiaTheme="minorEastAsia" w:cstheme="minorEastAsia"/>
          <w:color w:val="000000" w:themeColor="text1"/>
          <w:highlight w:val="none"/>
          <w14:textFill>
            <w14:solidFill>
              <w14:schemeClr w14:val="tx1"/>
            </w14:solidFill>
          </w14:textFill>
        </w:rPr>
        <w:t>接资料。投标人应针对现场情况编制施工组织设计，并在写投标报价时考虑现场情况的影响。</w:t>
      </w:r>
    </w:p>
    <w:p w14:paraId="1D2A4D4D">
      <w:pPr>
        <w:pStyle w:val="45"/>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2"/>
          <w:highlight w:val="none"/>
          <w14:textFill>
            <w14:solidFill>
              <w14:schemeClr w14:val="tx1"/>
            </w14:solidFill>
          </w14:textFill>
        </w:rPr>
        <w:t>9.</w:t>
      </w:r>
      <w:bookmarkStart w:id="127" w:name="_Hlt88974322"/>
      <w:r>
        <w:rPr>
          <w:rFonts w:hint="eastAsia" w:asciiTheme="minorEastAsia" w:hAnsiTheme="minorEastAsia" w:eastAsiaTheme="minorEastAsia" w:cstheme="minorEastAsia"/>
          <w:color w:val="000000" w:themeColor="text1"/>
          <w:spacing w:val="12"/>
          <w:highlight w:val="none"/>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现场踏勘费以及其它施工措施项目费，由投标人在投标报价中综合考虑，</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一次包定</w:t>
      </w:r>
      <w:r>
        <w:rPr>
          <w:rFonts w:hint="eastAsia" w:asciiTheme="minorEastAsia" w:hAnsiTheme="minorEastAsia" w:eastAsiaTheme="minorEastAsia" w:cstheme="minorEastAsia"/>
          <w:color w:val="000000" w:themeColor="text1"/>
          <w:highlight w:val="none"/>
          <w14:textFill>
            <w14:solidFill>
              <w14:schemeClr w14:val="tx1"/>
            </w14:solidFill>
          </w14:textFill>
        </w:rPr>
        <w:t>。无论投标人是否列出费用，招标人将一律视为已确认所有现场条件和可能发生的异常情况。</w:t>
      </w:r>
    </w:p>
    <w:bookmarkEnd w:id="127"/>
    <w:p w14:paraId="1DAD049C">
      <w:pPr>
        <w:pStyle w:val="36"/>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9.4 招标人向投标人提供的有关现场的数据和资料，是招标人现有的能被投标人利用的资料，招标人对投标人做出的任何推论、理解和结论均不负责任。</w:t>
      </w:r>
    </w:p>
    <w:p w14:paraId="390D5AE0">
      <w:pPr>
        <w:spacing w:line="360" w:lineRule="auto"/>
        <w:ind w:firstLine="60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5</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投标人负责协调处理因项目实施与周边企业和村民等关系并承担相关费用。</w:t>
      </w:r>
    </w:p>
    <w:p w14:paraId="7E6BA5A6">
      <w:pPr>
        <w:spacing w:line="360" w:lineRule="auto"/>
        <w:ind w:firstLine="60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6</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投标人应采取设计优化的方式，通过土方平衡方法解决弃土问题，若仍有弃土，按实结算。</w:t>
      </w:r>
    </w:p>
    <w:p w14:paraId="2C0BB72B">
      <w:pPr>
        <w:spacing w:line="360" w:lineRule="auto"/>
        <w:ind w:firstLine="570"/>
        <w:rPr>
          <w:rFonts w:hint="eastAsia" w:asciiTheme="minorEastAsia" w:hAnsiTheme="minorEastAsia" w:eastAsiaTheme="minorEastAsia" w:cstheme="minorEastAsia"/>
          <w:b/>
          <w:color w:val="000000" w:themeColor="text1"/>
          <w:highlight w:val="none"/>
          <w:u w:val="doubl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bookmarkStart w:id="128" w:name="_Toc319917951"/>
      <w:r>
        <w:rPr>
          <w:rFonts w:hint="eastAsia" w:asciiTheme="minorEastAsia" w:hAnsiTheme="minorEastAsia" w:eastAsiaTheme="minorEastAsia" w:cstheme="minorEastAsia"/>
          <w:color w:val="000000" w:themeColor="text1"/>
          <w:highlight w:val="none"/>
          <w14:textFill>
            <w14:solidFill>
              <w14:schemeClr w14:val="tx1"/>
            </w14:solidFill>
          </w14:textFill>
        </w:rPr>
        <w:t>7</w:t>
      </w:r>
      <w:r>
        <w:rPr>
          <w:rFonts w:hint="eastAsia" w:asciiTheme="minorEastAsia" w:hAnsiTheme="minorEastAsia" w:eastAsiaTheme="minorEastAsia" w:cstheme="minorEastAsia"/>
          <w:b/>
          <w:color w:val="000000" w:themeColor="text1"/>
          <w:highlight w:val="none"/>
          <w:u w:val="double"/>
          <w14:textFill>
            <w14:solidFill>
              <w14:schemeClr w14:val="tx1"/>
            </w14:solidFill>
          </w14:textFill>
        </w:rPr>
        <w:t>投标人的投标报价不得超过招标人公布的最高投标限价。本项目为限额设计，工程结算总造价不得超过中标价。</w:t>
      </w:r>
    </w:p>
    <w:p w14:paraId="41AC832C">
      <w:pPr>
        <w:spacing w:line="360" w:lineRule="auto"/>
        <w:ind w:firstLine="57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9.8</w:t>
      </w:r>
      <w:r>
        <w:rPr>
          <w:rFonts w:hint="eastAsia" w:asciiTheme="minorEastAsia" w:hAnsiTheme="minorEastAsia" w:eastAsiaTheme="minorEastAsia" w:cstheme="minorEastAsia"/>
          <w:b/>
          <w:color w:val="000000" w:themeColor="text1"/>
          <w:highlight w:val="none"/>
          <w:lang w:val="zh-CN"/>
          <w14:textFill>
            <w14:solidFill>
              <w14:schemeClr w14:val="tx1"/>
            </w14:solidFill>
          </w14:textFill>
        </w:rPr>
        <w:t>投标单位应充分考虑本招标文件“第二章 拟签订合同的主要条款”所列的结算原则进行投标及报价。</w:t>
      </w:r>
      <w:bookmarkEnd w:id="128"/>
    </w:p>
    <w:p w14:paraId="1C9FDD9A">
      <w:pPr>
        <w:spacing w:line="360" w:lineRule="auto"/>
        <w:ind w:firstLine="570"/>
        <w:rPr>
          <w:rFonts w:hint="eastAsia" w:asciiTheme="minorEastAsia" w:hAnsiTheme="minorEastAsia" w:eastAsiaTheme="minorEastAsia" w:cstheme="minorEastAsia"/>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投标人的投标总报价应考虑完成招标文件中招标规模、内容及设计任务书所规定的所有工程及设备的费用，并承担结算原则中规定的一切风险，还应考虑报建和施工时应由施工单位承担的一切费用。各项费用的主要内容及其报价方式：</w:t>
      </w:r>
      <w:bookmarkStart w:id="129" w:name="_Toc29402"/>
      <w:bookmarkStart w:id="130" w:name="_Toc3872"/>
      <w:bookmarkStart w:id="131" w:name="_Toc57"/>
      <w:bookmarkStart w:id="132" w:name="_Toc11863"/>
      <w:bookmarkStart w:id="133" w:name="_Toc11568"/>
      <w:bookmarkStart w:id="134" w:name="_Toc13707"/>
      <w:bookmarkStart w:id="135" w:name="_Toc17803"/>
      <w:bookmarkStart w:id="136" w:name="_Toc20815"/>
      <w:bookmarkStart w:id="137" w:name="_Toc18903"/>
      <w:bookmarkStart w:id="138" w:name="_Toc15059"/>
      <w:bookmarkStart w:id="139" w:name="_Toc39136339"/>
      <w:bookmarkStart w:id="140" w:name="_Toc32012"/>
      <w:r>
        <w:rPr>
          <w:rFonts w:hint="eastAsia" w:asciiTheme="minorEastAsia" w:hAnsiTheme="minorEastAsia" w:eastAsiaTheme="minorEastAsia" w:cstheme="minorEastAsia"/>
          <w:b/>
          <w:bCs/>
          <w:color w:val="000000" w:themeColor="text1"/>
          <w:highlight w:val="none"/>
          <w:u w:val="single"/>
          <w:lang w:val="zh-CN"/>
          <w14:textFill>
            <w14:solidFill>
              <w14:schemeClr w14:val="tx1"/>
            </w14:solidFill>
          </w14:textFill>
        </w:rPr>
        <w:t>投标人投标报价=设计</w:t>
      </w:r>
      <w:r>
        <w:rPr>
          <w:rFonts w:hint="eastAsia" w:asciiTheme="minorEastAsia" w:hAnsiTheme="minorEastAsia" w:eastAsiaTheme="minorEastAsia" w:cstheme="minorEastAsia"/>
          <w:b/>
          <w:bCs/>
          <w:color w:val="000000" w:themeColor="text1"/>
          <w:highlight w:val="none"/>
          <w:u w:val="single"/>
          <w:lang w:val="zh-CN" w:eastAsia="zh-CN"/>
          <w14:textFill>
            <w14:solidFill>
              <w14:schemeClr w14:val="tx1"/>
            </w14:solidFill>
          </w14:textFill>
        </w:rPr>
        <w:t>费投标报价+</w:t>
      </w:r>
      <w:r>
        <w:rPr>
          <w:rFonts w:hint="eastAsia" w:asciiTheme="minorEastAsia" w:hAnsiTheme="minorEastAsia" w:eastAsiaTheme="minorEastAsia" w:cstheme="minorEastAsia"/>
          <w:b/>
          <w:bCs/>
          <w:color w:val="000000" w:themeColor="text1"/>
          <w:highlight w:val="none"/>
          <w:u w:val="single"/>
          <w:lang w:val="zh-CN"/>
          <w14:textFill>
            <w14:solidFill>
              <w14:schemeClr w14:val="tx1"/>
            </w14:solidFill>
          </w14:textFill>
        </w:rPr>
        <w:t>建安工程费投标报价</w:t>
      </w:r>
      <w:bookmarkEnd w:id="129"/>
      <w:bookmarkEnd w:id="130"/>
      <w:bookmarkEnd w:id="131"/>
      <w:bookmarkEnd w:id="132"/>
      <w:bookmarkEnd w:id="133"/>
      <w:bookmarkEnd w:id="134"/>
      <w:bookmarkEnd w:id="135"/>
      <w:bookmarkEnd w:id="136"/>
      <w:bookmarkEnd w:id="137"/>
      <w:bookmarkEnd w:id="138"/>
      <w:bookmarkEnd w:id="139"/>
      <w:bookmarkEnd w:id="140"/>
    </w:p>
    <w:p w14:paraId="7693C065">
      <w:pPr>
        <w:spacing w:line="360" w:lineRule="auto"/>
        <w:ind w:firstLine="570"/>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.1</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费投标报价</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在最高投标限价范围内，投标人自行报总价</w:t>
      </w:r>
      <w:r>
        <w:rPr>
          <w:rFonts w:hint="eastAsia" w:asciiTheme="minorEastAsia" w:hAnsiTheme="minorEastAsia" w:eastAsiaTheme="minorEastAsia" w:cstheme="minorEastAsia"/>
          <w:color w:val="000000" w:themeColor="text1"/>
          <w:szCs w:val="24"/>
          <w:highlight w:val="none"/>
          <w:lang w:val="zh-CN" w:eastAsia="zh-CN"/>
          <w14:textFill>
            <w14:solidFill>
              <w14:schemeClr w14:val="tx1"/>
            </w14:solidFill>
          </w14:textFill>
        </w:rPr>
        <w:t>及投标费率</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lang w:val="zh-CN" w:eastAsia="zh-CN"/>
          <w14:textFill>
            <w14:solidFill>
              <w14:schemeClr w14:val="tx1"/>
            </w14:solidFill>
          </w14:textFill>
        </w:rPr>
        <w:t>按经审定的建安工程费招标控制价×</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费投标费率进行结算</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设计费</w:t>
      </w:r>
      <w:r>
        <w:rPr>
          <w:rFonts w:hint="eastAsia" w:asciiTheme="minorEastAsia" w:hAnsiTheme="minorEastAsia" w:eastAsiaTheme="minorEastAsia" w:cstheme="minorEastAsia"/>
          <w:color w:val="000000" w:themeColor="text1"/>
          <w:szCs w:val="24"/>
          <w:highlight w:val="none"/>
          <w:lang w:val="zh-CN" w:eastAsia="zh-CN"/>
          <w14:textFill>
            <w14:solidFill>
              <w14:schemeClr w14:val="tx1"/>
            </w14:solidFill>
          </w14:textFill>
        </w:rPr>
        <w:t>报价应包含各</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个不同专业的</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施工图</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设计费用、进行优化设计或修改设计所增加的设计费用、各项专家评审的专家费用。若中标单位不具备专业设计资质的，需经招标人同意后，委托有相应资质的单位进行设计，所产生的费用由投标人承担。</w:t>
      </w:r>
    </w:p>
    <w:p w14:paraId="6B2DF3DD">
      <w:pPr>
        <w:spacing w:line="360" w:lineRule="auto"/>
        <w:ind w:firstLine="570"/>
        <w:rPr>
          <w:rFonts w:hint="eastAsia" w:asciiTheme="minorEastAsia" w:hAnsiTheme="minorEastAsia" w:eastAsiaTheme="minorEastAsia" w:cstheme="minorEastAsia"/>
          <w:b/>
          <w:bCs/>
          <w:color w:val="000000" w:themeColor="text1"/>
          <w:szCs w:val="24"/>
          <w:highlight w:val="none"/>
          <w:u w:val="single"/>
          <w:lang w:val="zh-CN"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u w:val="single"/>
          <w:lang w:val="zh-CN" w:eastAsia="zh-CN"/>
          <w14:textFill>
            <w14:solidFill>
              <w14:schemeClr w14:val="tx1"/>
            </w14:solidFill>
          </w14:textFill>
        </w:rPr>
        <w:t>设计</w:t>
      </w:r>
      <w:r>
        <w:rPr>
          <w:rFonts w:hint="eastAsia" w:asciiTheme="minorEastAsia" w:hAnsiTheme="minorEastAsia" w:eastAsiaTheme="minorEastAsia" w:cstheme="minorEastAsia"/>
          <w:b/>
          <w:bCs/>
          <w:color w:val="000000" w:themeColor="text1"/>
          <w:szCs w:val="24"/>
          <w:highlight w:val="none"/>
          <w:u w:val="single"/>
          <w:lang w:val="zh-CN"/>
          <w14:textFill>
            <w14:solidFill>
              <w14:schemeClr w14:val="tx1"/>
            </w14:solidFill>
          </w14:textFill>
        </w:rPr>
        <w:t>费投标报价</w:t>
      </w:r>
      <w:r>
        <w:rPr>
          <w:rFonts w:hint="eastAsia" w:asciiTheme="minorEastAsia" w:hAnsiTheme="minorEastAsia" w:eastAsiaTheme="minorEastAsia" w:cstheme="minorEastAsia"/>
          <w:b/>
          <w:bCs/>
          <w:color w:val="000000" w:themeColor="text1"/>
          <w:szCs w:val="24"/>
          <w:highlight w:val="none"/>
          <w:u w:val="single"/>
          <w:lang w:val="en-US" w:eastAsia="zh-CN"/>
          <w14:textFill>
            <w14:solidFill>
              <w14:schemeClr w14:val="tx1"/>
            </w14:solidFill>
          </w14:textFill>
        </w:rPr>
        <w:t>=报价基数</w:t>
      </w:r>
      <w:r>
        <w:rPr>
          <w:rFonts w:hint="eastAsia" w:asciiTheme="minorEastAsia" w:hAnsiTheme="minorEastAsia" w:eastAsiaTheme="minorEastAsia" w:cstheme="minorEastAsia"/>
          <w:b/>
          <w:bCs/>
          <w:color w:val="000000" w:themeColor="text1"/>
          <w:szCs w:val="24"/>
          <w:highlight w:val="none"/>
          <w:u w:val="single"/>
          <w14:textFill>
            <w14:solidFill>
              <w14:schemeClr w14:val="tx1"/>
            </w14:solidFill>
          </w14:textFill>
        </w:rPr>
        <w:t>×</w:t>
      </w:r>
      <w:r>
        <w:rPr>
          <w:rFonts w:hint="eastAsia" w:asciiTheme="minorEastAsia" w:hAnsiTheme="minorEastAsia" w:eastAsiaTheme="minorEastAsia" w:cstheme="minorEastAsia"/>
          <w:b/>
          <w:bCs/>
          <w:color w:val="000000" w:themeColor="text1"/>
          <w:szCs w:val="24"/>
          <w:highlight w:val="none"/>
          <w:u w:val="single"/>
          <w:lang w:eastAsia="zh-CN"/>
          <w14:textFill>
            <w14:solidFill>
              <w14:schemeClr w14:val="tx1"/>
            </w14:solidFill>
          </w14:textFill>
        </w:rPr>
        <w:t>投标费率</w:t>
      </w:r>
    </w:p>
    <w:p w14:paraId="39988296">
      <w:pPr>
        <w:spacing w:line="360" w:lineRule="auto"/>
        <w:ind w:firstLine="570"/>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本项目在实施过程中可能出现设计成果已通过确认，仍需进行设计变更、修改、调整等情况，不另行增加设计费。</w:t>
      </w:r>
    </w:p>
    <w:p w14:paraId="374D821A">
      <w:pPr>
        <w:spacing w:line="360" w:lineRule="auto"/>
        <w:ind w:firstLine="570"/>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9.9.</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建安工程费用：采用</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投标</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下浮率</w:t>
      </w:r>
      <w:r>
        <w:rPr>
          <w:rFonts w:hint="eastAsia" w:ascii="宋体" w:hAnsi="宋体" w:eastAsia="宋体" w:cs="宋体"/>
          <w:color w:val="000000" w:themeColor="text1"/>
          <w:sz w:val="24"/>
          <w:szCs w:val="24"/>
          <w:highlight w:val="none"/>
          <w:lang w:val="en-US" w:eastAsia="zh-CN"/>
          <w14:textFill>
            <w14:solidFill>
              <w14:schemeClr w14:val="tx1"/>
            </w14:solidFill>
          </w14:textFill>
        </w:rPr>
        <w:t>和投标报价</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的方式进行报价，结算时按招标文件有关结算原则计算后再按建安工程费</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投</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标下浮率下浮。</w:t>
      </w:r>
    </w:p>
    <w:p w14:paraId="4E61EC64">
      <w:pPr>
        <w:spacing w:line="360" w:lineRule="auto"/>
        <w:ind w:firstLine="570"/>
        <w:rPr>
          <w:rFonts w:hint="eastAsia" w:asciiTheme="minorEastAsia" w:hAnsiTheme="minorEastAsia" w:eastAsiaTheme="minorEastAsia" w:cstheme="minorEastAsia"/>
          <w:b/>
          <w:bCs/>
          <w:color w:val="000000" w:themeColor="text1"/>
          <w:szCs w:val="24"/>
          <w:highlight w:val="none"/>
          <w:u w:val="single"/>
          <w:lang w:val="zh-CN"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u w:val="single"/>
          <w:lang w:val="zh-CN" w:eastAsia="zh-CN"/>
          <w14:textFill>
            <w14:solidFill>
              <w14:schemeClr w14:val="tx1"/>
            </w14:solidFill>
          </w14:textFill>
        </w:rPr>
        <w:t>建安工程费投标报价=报价基数×（1-投标下浮率）</w:t>
      </w:r>
    </w:p>
    <w:p w14:paraId="64C960E0">
      <w:pPr>
        <w:spacing w:line="360" w:lineRule="auto"/>
        <w:ind w:firstLine="570"/>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如投标人的建安工程费用投标报价下浮率高于15%时，投标人必须在投标报价书中另行作出详细合理的书面说明并提供相关证明材料供评标委员会评审，否则评标委员会将认定该投标人以低于成本报价竞标。</w:t>
      </w:r>
    </w:p>
    <w:p w14:paraId="2357C26F">
      <w:pPr>
        <w:spacing w:line="360" w:lineRule="auto"/>
        <w:ind w:firstLine="570"/>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建安工程费用的报价应考虑完成招标文件中招标规模、内容及可行性研究报告所规定的所有工程及设备的费用</w:t>
      </w:r>
      <w:r>
        <w:rPr>
          <w:rFonts w:hint="eastAsia" w:asciiTheme="minorEastAsia" w:hAnsiTheme="minorEastAsia" w:eastAsiaTheme="minorEastAsia" w:cstheme="minorEastAsia"/>
          <w:color w:val="000000" w:themeColor="text1"/>
          <w:szCs w:val="24"/>
          <w:highlight w:val="none"/>
          <w:lang w:val="zh-CN" w:eastAsia="zh-CN"/>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并承担结算原则中规定的一切风险，还应考虑报建和施工时应由施工单位承担的一切费用、工程一切检测费用（除有文件规定必须招标人支付的费用外）、工程有关档案和影像等整理或制作及向相关部门交取的费用。</w:t>
      </w:r>
    </w:p>
    <w:p w14:paraId="0805520D">
      <w:pPr>
        <w:spacing w:line="360" w:lineRule="auto"/>
        <w:ind w:firstLine="588" w:firstLineChars="245"/>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9.9.3</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投标人在投标报价时，自行考虑高温补贴费、施工视频监控系统费用，专业分包的总包服务及配合费等，并承担相应风险，结算时不另行计取。</w:t>
      </w:r>
    </w:p>
    <w:p w14:paraId="384FD12F">
      <w:pPr>
        <w:spacing w:line="360" w:lineRule="auto"/>
        <w:ind w:firstLine="588" w:firstLineChars="245"/>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r>
        <w:rPr>
          <w:rFonts w:hint="eastAsia" w:ascii="Arial" w:hAnsi="Arial" w:eastAsia="宋体" w:cs="Arial"/>
          <w:b/>
          <w:color w:val="000000" w:themeColor="text1"/>
          <w:sz w:val="24"/>
          <w:szCs w:val="24"/>
          <w:highlight w:val="none"/>
          <w:u w:val="double"/>
          <w14:textFill>
            <w14:solidFill>
              <w14:schemeClr w14:val="tx1"/>
            </w14:solidFill>
          </w14:textFill>
        </w:rPr>
        <w:t>招标人可根据本项目实际情况对规模及内容进行调整或减少，投标人中标后不得因此调整或减少向招标人索赔，并且必须按调整或减少后的规模及内容完成工程建设。投标人在投标报价时需综合考虑该因素并报价。</w:t>
      </w:r>
    </w:p>
    <w:p w14:paraId="5F1356C9">
      <w:pPr>
        <w:pStyle w:val="38"/>
        <w:keepNext/>
        <w:keepLines/>
        <w:ind w:firstLine="480"/>
        <w:jc w:val="both"/>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bookmarkStart w:id="141" w:name="_Toc1891"/>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10、最高</w:t>
      </w: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投标</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限价的确定</w:t>
      </w:r>
      <w:bookmarkEnd w:id="141"/>
      <w:bookmarkStart w:id="142" w:name="_Hlt69335617"/>
      <w:bookmarkStart w:id="143" w:name="_Hlt121629839"/>
    </w:p>
    <w:p w14:paraId="68640D7E">
      <w:pPr>
        <w:spacing w:line="360" w:lineRule="auto"/>
        <w:ind w:firstLine="480" w:firstLineChars="200"/>
        <w:rPr>
          <w:rFonts w:hint="default" w:ascii="宋体" w:hAnsi="宋体" w:eastAsia="宋体" w:cs="宋体"/>
          <w:color w:val="000000" w:themeColor="text1"/>
          <w:szCs w:val="21"/>
          <w:highlight w:val="none"/>
          <w:lang w:val="en-US" w:eastAsia="zh-CN"/>
          <w14:textFill>
            <w14:solidFill>
              <w14:schemeClr w14:val="tx1"/>
            </w14:solidFill>
          </w14:textFill>
        </w:rPr>
      </w:pPr>
      <w:bookmarkStart w:id="144" w:name="_Toc4604"/>
      <w:bookmarkStart w:id="145" w:name="_Toc5483"/>
      <w:bookmarkStart w:id="146" w:name="_Toc15152"/>
      <w:bookmarkStart w:id="147" w:name="_Toc13350"/>
      <w:bookmarkStart w:id="148" w:name="_Toc7307"/>
      <w:bookmarkStart w:id="149" w:name="_Toc24510"/>
      <w:bookmarkStart w:id="150" w:name="_Toc32578"/>
      <w:bookmarkStart w:id="151" w:name="_Toc29734"/>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本项目最高投标限价在投标截止时间15天前以补充通知的形式在广东省招标投标监管网(https://www.gdzwfw.gov.cn/ztbjg-portal/#/index)、全国公共资源交易平台（广东省·韶关市）（https://ygp.gdzwfw.gov.cn/ggzy-portal/#/440200/index）。</w:t>
      </w:r>
    </w:p>
    <w:p w14:paraId="6B5404F4">
      <w:pPr>
        <w:pStyle w:val="38"/>
        <w:keepNext/>
        <w:keepLines/>
        <w:ind w:firstLine="480"/>
        <w:jc w:val="both"/>
        <w:rPr>
          <w:rFonts w:hint="eastAsia" w:asciiTheme="minorEastAsia" w:hAnsiTheme="minorEastAsia" w:eastAsiaTheme="minorEastAsia" w:cstheme="minorEastAsia"/>
          <w:b/>
          <w:color w:val="000000" w:themeColor="text1"/>
          <w:szCs w:val="22"/>
          <w:highlight w:val="none"/>
          <w14:textFill>
            <w14:solidFill>
              <w14:schemeClr w14:val="tx1"/>
            </w14:solidFill>
          </w14:textFill>
        </w:rPr>
      </w:pPr>
      <w:bookmarkStart w:id="152" w:name="_Toc13330"/>
      <w:r>
        <w:rPr>
          <w:rFonts w:hint="eastAsia" w:asciiTheme="minorEastAsia" w:hAnsiTheme="minorEastAsia" w:eastAsiaTheme="minorEastAsia" w:cstheme="minorEastAsia"/>
          <w:b/>
          <w:color w:val="000000" w:themeColor="text1"/>
          <w:szCs w:val="22"/>
          <w:highlight w:val="none"/>
          <w14:textFill>
            <w14:solidFill>
              <w14:schemeClr w14:val="tx1"/>
            </w14:solidFill>
          </w14:textFill>
        </w:rPr>
        <w:t>11</w:t>
      </w:r>
      <w:r>
        <w:rPr>
          <w:rFonts w:hint="eastAsia" w:asciiTheme="minorEastAsia" w:hAnsiTheme="minorEastAsia" w:eastAsiaTheme="minorEastAsia" w:cstheme="minorEastAsia"/>
          <w:b/>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投标</w:t>
      </w:r>
      <w:r>
        <w:rPr>
          <w:rFonts w:hint="eastAsia" w:asciiTheme="minorEastAsia" w:hAnsiTheme="minorEastAsia" w:eastAsiaTheme="minorEastAsia" w:cstheme="minorEastAsia"/>
          <w:b/>
          <w:color w:val="000000" w:themeColor="text1"/>
          <w:szCs w:val="22"/>
          <w:highlight w:val="none"/>
          <w14:textFill>
            <w14:solidFill>
              <w14:schemeClr w14:val="tx1"/>
            </w14:solidFill>
          </w14:textFill>
        </w:rPr>
        <w:t>文件的编制</w:t>
      </w:r>
      <w:bookmarkStart w:id="153" w:name="_Hlt69332370"/>
      <w:bookmarkEnd w:id="153"/>
      <w:bookmarkStart w:id="154" w:name="_Hlt69208262"/>
      <w:bookmarkEnd w:id="154"/>
      <w:r>
        <w:rPr>
          <w:rFonts w:hint="eastAsia" w:asciiTheme="minorEastAsia" w:hAnsiTheme="minorEastAsia" w:eastAsiaTheme="minorEastAsia" w:cstheme="minorEastAsia"/>
          <w:b/>
          <w:color w:val="000000" w:themeColor="text1"/>
          <w:szCs w:val="22"/>
          <w:highlight w:val="none"/>
          <w14:textFill>
            <w14:solidFill>
              <w14:schemeClr w14:val="tx1"/>
            </w14:solidFill>
          </w14:textFill>
        </w:rPr>
        <w:t>要求</w:t>
      </w:r>
      <w:bookmarkEnd w:id="144"/>
      <w:bookmarkEnd w:id="145"/>
      <w:bookmarkEnd w:id="146"/>
      <w:bookmarkEnd w:id="147"/>
      <w:bookmarkEnd w:id="148"/>
      <w:bookmarkEnd w:id="149"/>
      <w:bookmarkEnd w:id="150"/>
      <w:bookmarkEnd w:id="151"/>
      <w:bookmarkEnd w:id="152"/>
    </w:p>
    <w:p w14:paraId="4733A61A">
      <w:pPr>
        <w:pStyle w:val="46"/>
        <w:spacing w:line="360" w:lineRule="auto"/>
        <w:ind w:firstLine="482" w:firstLineChars="200"/>
        <w:jc w:val="both"/>
        <w:outlineLvl w:val="9"/>
        <w:rPr>
          <w:rFonts w:hint="eastAsia" w:asciiTheme="minorEastAsia" w:hAnsiTheme="minorEastAsia" w:eastAsiaTheme="minorEastAsia" w:cstheme="minorEastAsia"/>
          <w:b/>
          <w:bCs/>
          <w:snapToGrid w:val="0"/>
          <w:color w:val="000000" w:themeColor="text1"/>
          <w:kern w:val="0"/>
          <w:sz w:val="24"/>
          <w:highlight w:val="none"/>
          <w:lang w:val="en-US" w:eastAsia="zh-CN" w:bidi="ar-SA"/>
          <w14:textFill>
            <w14:solidFill>
              <w14:schemeClr w14:val="tx1"/>
            </w14:solidFill>
          </w14:textFill>
        </w:rPr>
      </w:pPr>
      <w:bookmarkStart w:id="155" w:name="_Hlt74497202"/>
      <w:bookmarkEnd w:id="155"/>
      <w:bookmarkStart w:id="156" w:name="_Hlt74495594"/>
      <w:bookmarkEnd w:id="156"/>
      <w:bookmarkStart w:id="157" w:name="_Hlt78768224"/>
      <w:bookmarkEnd w:id="157"/>
      <w:bookmarkStart w:id="158" w:name="_Toc29847"/>
      <w:bookmarkStart w:id="159" w:name="_Toc20541"/>
      <w:bookmarkStart w:id="160" w:name="_Toc17330"/>
      <w:bookmarkStart w:id="161" w:name="_Toc20091"/>
      <w:bookmarkStart w:id="162" w:name="_Toc31856"/>
      <w:bookmarkStart w:id="163" w:name="_Toc437"/>
      <w:bookmarkStart w:id="164" w:name="_Toc25295"/>
      <w:bookmarkStart w:id="165" w:name="_Toc12050"/>
      <w:bookmarkStart w:id="166" w:name="_Toc32061"/>
      <w:bookmarkStart w:id="167" w:name="_Toc5812"/>
      <w:bookmarkStart w:id="168" w:name="_Toc9699"/>
      <w:bookmarkStart w:id="169" w:name="_Toc13462"/>
      <w:bookmarkStart w:id="170" w:name="_Toc6695"/>
      <w:bookmarkStart w:id="171" w:name="_Toc9696"/>
      <w:bookmarkStart w:id="172" w:name="_Toc2841"/>
      <w:r>
        <w:rPr>
          <w:rFonts w:hint="eastAsia" w:asciiTheme="minorEastAsia" w:hAnsiTheme="minorEastAsia" w:eastAsiaTheme="minorEastAsia" w:cstheme="minorEastAsia"/>
          <w:b/>
          <w:bCs/>
          <w:snapToGrid w:val="0"/>
          <w:color w:val="000000" w:themeColor="text1"/>
          <w:kern w:val="0"/>
          <w:sz w:val="24"/>
          <w:highlight w:val="none"/>
          <w:lang w:val="en-US" w:eastAsia="zh-CN" w:bidi="ar-SA"/>
          <w14:textFill>
            <w14:solidFill>
              <w14:schemeClr w14:val="tx1"/>
            </w14:solidFill>
          </w14:textFill>
        </w:rPr>
        <w:t>11.1 一般要求</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7F7FE17B">
      <w:pPr>
        <w:pStyle w:val="44"/>
        <w:ind w:firstLineChars="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投标文件应按第七章 投标文件格式规定的内容，投标人提交的投标文件应当使用招标文件所提供的投标文件全部格式。</w:t>
      </w:r>
    </w:p>
    <w:p w14:paraId="5C5A60B4">
      <w:pPr>
        <w:pStyle w:val="36"/>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11.1.1</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投标人必须响应招标文件，并在充分理解招标人提供的全部文件、设计图纸、资料及现场条件的基础上编制投标文件。因投标文件不符合招标文件的要求而造成的损失和后果，由投标人自行承担。</w:t>
      </w:r>
    </w:p>
    <w:p w14:paraId="1C313306">
      <w:pPr>
        <w:pStyle w:val="36"/>
        <w:ind w:firstLine="5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投标文件包含投标标书分为一册。</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投标文件在电子投标时全部采用电子文档（中标人自中标通知书发出之日起五个工作日内再提供正本1份、副本壹份的纸质版投标文件给招标人存档），投标文件所附证书证件均为原件彩色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 （广东省 · 韶关市）（https://ygp.gdzwfw.gov.cn/ggzy-portal/#/440200/index）交易指引。</w:t>
      </w:r>
      <w:r>
        <w:rPr>
          <w:rFonts w:hint="eastAsia" w:asciiTheme="minorEastAsia" w:hAnsiTheme="minorEastAsia" w:eastAsiaTheme="minorEastAsia" w:cstheme="minorEastAsia"/>
          <w:color w:val="000000" w:themeColor="text1"/>
          <w:highlight w:val="none"/>
          <w14:textFill>
            <w14:solidFill>
              <w14:schemeClr w14:val="tx1"/>
            </w14:solidFill>
          </w14:textFill>
        </w:rPr>
        <w:t>（注：组成联合体时，只须加盖联合体牵头人的公章，联合体其它成员可不盖章）。</w:t>
      </w:r>
    </w:p>
    <w:p w14:paraId="6567A5AF">
      <w:pPr>
        <w:pStyle w:val="36"/>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 投标文件需按以下要求签字、盖章：</w:t>
      </w:r>
    </w:p>
    <w:p w14:paraId="0B6E3BC9">
      <w:pPr>
        <w:pStyle w:val="36"/>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电子投标文件：</w:t>
      </w:r>
    </w:p>
    <w:p w14:paraId="2C642CB7">
      <w:pPr>
        <w:pStyle w:val="36"/>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11.1.3.1 投标文件封面、组成内容中凡注明“签字”处由要求的人员签字或电子签章；凡注明“签字或盖章”处由要求的人员签字或盖其私章（电子印章）；凡注明“签字并盖执业印章”处由要求的人员签字并盖其执业印章。</w:t>
      </w:r>
    </w:p>
    <w:p w14:paraId="3A299D90">
      <w:pPr>
        <w:pStyle w:val="36"/>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11.1.3.2 投标文件封面、组成内容中凡要求录入投标人名称且注明“盖单位章”处盖单位法人公章（电子印章）</w:t>
      </w:r>
    </w:p>
    <w:p w14:paraId="154E8AFF">
      <w:pPr>
        <w:pStyle w:val="36"/>
        <w:ind w:firstLine="56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11.1.3.3 投标文件的签字均为签字人本人亲笔署名或签章（电子印章），其余部分的彩色扫描件无须另行签字、盖章。</w:t>
      </w:r>
    </w:p>
    <w:p w14:paraId="194AEBA4">
      <w:pPr>
        <w:pStyle w:val="36"/>
        <w:ind w:firstLine="56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11.1.3.4 联合体投标的，除《联合体协议书》外，由联合体牵头人按以上要求签字（电子印章）、盖章（电子印章）即可。</w:t>
      </w:r>
      <w:bookmarkStart w:id="173" w:name="_Toc257031159"/>
      <w:bookmarkStart w:id="174" w:name="_Toc274313880"/>
    </w:p>
    <w:p w14:paraId="11FE250F">
      <w:pPr>
        <w:pStyle w:val="46"/>
        <w:spacing w:line="360" w:lineRule="auto"/>
        <w:ind w:firstLine="482" w:firstLineChars="200"/>
        <w:jc w:val="both"/>
        <w:outlineLvl w:val="9"/>
        <w:rPr>
          <w:rFonts w:hint="eastAsia" w:asciiTheme="minorEastAsia" w:hAnsiTheme="minorEastAsia" w:eastAsiaTheme="minorEastAsia" w:cstheme="minorEastAsia"/>
          <w:b/>
          <w:bCs/>
          <w:snapToGrid w:val="0"/>
          <w:color w:val="000000" w:themeColor="text1"/>
          <w:kern w:val="0"/>
          <w:sz w:val="24"/>
          <w:highlight w:val="none"/>
          <w:lang w:val="en-US" w:eastAsia="zh-CN" w:bidi="ar-SA"/>
          <w14:textFill>
            <w14:solidFill>
              <w14:schemeClr w14:val="tx1"/>
            </w14:solidFill>
          </w14:textFill>
        </w:rPr>
      </w:pPr>
      <w:bookmarkStart w:id="175" w:name="_Toc8355"/>
      <w:bookmarkStart w:id="176" w:name="_Toc16107"/>
      <w:bookmarkStart w:id="177" w:name="_Toc27670"/>
      <w:bookmarkStart w:id="178" w:name="_Toc6622"/>
      <w:bookmarkStart w:id="179" w:name="_Toc27606"/>
      <w:bookmarkStart w:id="180" w:name="_Toc18076"/>
      <w:bookmarkStart w:id="181" w:name="_Toc26859"/>
      <w:bookmarkStart w:id="182" w:name="_Toc38"/>
      <w:bookmarkStart w:id="183" w:name="_Toc29894"/>
      <w:bookmarkStart w:id="184" w:name="_Toc19460"/>
      <w:bookmarkStart w:id="185" w:name="_Toc26289"/>
      <w:bookmarkStart w:id="186" w:name="_Toc23484"/>
      <w:bookmarkStart w:id="187" w:name="_Toc18670"/>
      <w:bookmarkStart w:id="188" w:name="_Toc17946"/>
      <w:bookmarkStart w:id="189" w:name="_Toc4699"/>
      <w:r>
        <w:rPr>
          <w:rFonts w:hint="eastAsia" w:asciiTheme="minorEastAsia" w:hAnsiTheme="minorEastAsia" w:eastAsiaTheme="minorEastAsia" w:cstheme="minorEastAsia"/>
          <w:b/>
          <w:bCs/>
          <w:snapToGrid w:val="0"/>
          <w:color w:val="000000" w:themeColor="text1"/>
          <w:kern w:val="0"/>
          <w:sz w:val="24"/>
          <w:highlight w:val="none"/>
          <w:lang w:val="en-US" w:eastAsia="zh-CN" w:bidi="ar-SA"/>
          <w14:textFill>
            <w14:solidFill>
              <w14:schemeClr w14:val="tx1"/>
            </w14:solidFill>
          </w14:textFill>
        </w:rPr>
        <w:t xml:space="preserve">11.2 </w:t>
      </w:r>
      <w:bookmarkEnd w:id="173"/>
      <w:bookmarkEnd w:id="174"/>
      <w:bookmarkEnd w:id="175"/>
      <w:bookmarkEnd w:id="176"/>
      <w:bookmarkEnd w:id="177"/>
      <w:bookmarkEnd w:id="178"/>
      <w:bookmarkEnd w:id="179"/>
      <w:bookmarkEnd w:id="180"/>
      <w:bookmarkEnd w:id="181"/>
      <w:bookmarkEnd w:id="182"/>
      <w:r>
        <w:rPr>
          <w:rFonts w:hint="eastAsia" w:asciiTheme="minorEastAsia" w:hAnsiTheme="minorEastAsia" w:eastAsiaTheme="minorEastAsia" w:cstheme="minorEastAsia"/>
          <w:b/>
          <w:bCs/>
          <w:snapToGrid w:val="0"/>
          <w:color w:val="000000" w:themeColor="text1"/>
          <w:kern w:val="0"/>
          <w:sz w:val="24"/>
          <w:highlight w:val="none"/>
          <w:lang w:val="en-US" w:eastAsia="zh-CN" w:bidi="ar-SA"/>
          <w14:textFill>
            <w14:solidFill>
              <w14:schemeClr w14:val="tx1"/>
            </w14:solidFill>
          </w14:textFill>
        </w:rPr>
        <w:t>投标标书的编制要求</w:t>
      </w:r>
      <w:bookmarkEnd w:id="183"/>
      <w:bookmarkEnd w:id="184"/>
      <w:bookmarkEnd w:id="185"/>
      <w:bookmarkEnd w:id="186"/>
      <w:bookmarkEnd w:id="187"/>
      <w:bookmarkEnd w:id="188"/>
      <w:bookmarkEnd w:id="189"/>
    </w:p>
    <w:p w14:paraId="5516FD77">
      <w:pPr>
        <w:pStyle w:val="36"/>
        <w:ind w:firstLine="561"/>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11.2.1 投标标书包括但不限于以下内容：</w:t>
      </w:r>
    </w:p>
    <w:p w14:paraId="16F4BF3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（1）封面（格式一）；</w:t>
      </w:r>
    </w:p>
    <w:p w14:paraId="3D596251">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（2）目录； </w:t>
      </w:r>
    </w:p>
    <w:p w14:paraId="72457639">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（3）《投标函》及《工程项目总价表》（格式二）；</w:t>
      </w:r>
    </w:p>
    <w:p w14:paraId="42DD483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（4）《各项承诺一览表》（格式三）；</w:t>
      </w:r>
    </w:p>
    <w:p w14:paraId="30E6580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（5）《授权委托书》（格式四）；</w:t>
      </w:r>
    </w:p>
    <w:p w14:paraId="051A315E">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（6）《法定代表人身份证明》（格式五）；</w:t>
      </w:r>
    </w:p>
    <w:p w14:paraId="0581DFB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（7）《联合体协议书》（格式六）及所附资料；</w:t>
      </w:r>
    </w:p>
    <w:p w14:paraId="11BECBF3">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（8）投标保证缴纳证明（</w:t>
      </w:r>
      <w:r>
        <w:rPr>
          <w:rFonts w:hint="eastAsia" w:asciiTheme="minorEastAsia" w:hAnsiTheme="minorEastAsia" w:eastAsiaTheme="minorEastAsia" w:cstheme="minorEastAsia"/>
          <w:snapToGrid w:val="0"/>
          <w:color w:val="000000" w:themeColor="text1"/>
          <w:kern w:val="0"/>
          <w:szCs w:val="18"/>
          <w:highlight w:val="none"/>
          <w14:textFill>
            <w14:solidFill>
              <w14:schemeClr w14:val="tx1"/>
            </w14:solidFill>
          </w14:textFill>
        </w:rPr>
        <w:t>投标人采用投标保证金的，附建设工程交易系统《缴纳投标保证金通知书》页面截图和银行转账单</w:t>
      </w:r>
      <w:r>
        <w:rPr>
          <w:rFonts w:hint="eastAsia" w:asciiTheme="minorEastAsia" w:hAnsiTheme="minorEastAsia" w:eastAsiaTheme="minorEastAsia" w:cstheme="minorEastAsia"/>
          <w:snapToGrid w:val="0"/>
          <w:color w:val="000000" w:themeColor="text1"/>
          <w:kern w:val="0"/>
          <w:szCs w:val="18"/>
          <w:highlight w:val="none"/>
          <w:lang w:val="en-US" w:eastAsia="zh-CN"/>
          <w14:textFill>
            <w14:solidFill>
              <w14:schemeClr w14:val="tx1"/>
            </w14:solidFill>
          </w14:textFill>
        </w:rPr>
        <w:t>彩色扫描</w:t>
      </w:r>
      <w:r>
        <w:rPr>
          <w:rFonts w:hint="eastAsia" w:asciiTheme="minorEastAsia" w:hAnsiTheme="minorEastAsia" w:eastAsiaTheme="minorEastAsia" w:cstheme="minorEastAsia"/>
          <w:snapToGrid w:val="0"/>
          <w:color w:val="000000" w:themeColor="text1"/>
          <w:kern w:val="0"/>
          <w:szCs w:val="18"/>
          <w:highlight w:val="none"/>
          <w14:textFill>
            <w14:solidFill>
              <w14:schemeClr w14:val="tx1"/>
            </w14:solidFill>
          </w14:textFill>
        </w:rPr>
        <w:t>件；采用投标保证担保的，附银行保函</w:t>
      </w:r>
      <w:r>
        <w:rPr>
          <w:rFonts w:hint="eastAsia" w:asciiTheme="minorEastAsia" w:hAnsiTheme="minorEastAsia" w:eastAsiaTheme="minorEastAsia" w:cstheme="minorEastAsia"/>
          <w:snapToGrid w:val="0"/>
          <w:color w:val="000000" w:themeColor="text1"/>
          <w:kern w:val="0"/>
          <w:szCs w:val="18"/>
          <w:highlight w:val="none"/>
          <w:lang w:val="en-US" w:eastAsia="zh-CN"/>
          <w14:textFill>
            <w14:solidFill>
              <w14:schemeClr w14:val="tx1"/>
            </w14:solidFill>
          </w14:textFill>
        </w:rPr>
        <w:t>彩色扫描件</w:t>
      </w:r>
      <w:r>
        <w:rPr>
          <w:rFonts w:hint="eastAsia" w:asciiTheme="minorEastAsia" w:hAnsiTheme="minorEastAsia" w:eastAsiaTheme="minorEastAsia" w:cstheme="minorEastAsia"/>
          <w:snapToGrid w:val="0"/>
          <w:color w:val="000000" w:themeColor="text1"/>
          <w:kern w:val="0"/>
          <w:szCs w:val="18"/>
          <w:highlight w:val="none"/>
          <w14:textFill>
            <w14:solidFill>
              <w14:schemeClr w14:val="tx1"/>
            </w14:solidFill>
          </w14:textFill>
        </w:rPr>
        <w:t>；采用投标保证保险的，附电子保单和</w:t>
      </w:r>
      <w:r>
        <w:rPr>
          <w:rFonts w:hint="eastAsia" w:asciiTheme="minorEastAsia" w:hAnsiTheme="minorEastAsia" w:eastAsiaTheme="minorEastAsia" w:cstheme="minorEastAsia"/>
          <w:b w:val="0"/>
          <w:bCs w:val="0"/>
          <w:color w:val="000000" w:themeColor="text1"/>
          <w:szCs w:val="24"/>
          <w:highlight w:val="none"/>
          <w14:textFill>
            <w14:solidFill>
              <w14:schemeClr w14:val="tx1"/>
            </w14:solidFill>
          </w14:textFill>
        </w:rPr>
        <w:t>《韶关市公共资源交易一体化平台保证金缴纳信息》</w:t>
      </w:r>
      <w:r>
        <w:rPr>
          <w:rFonts w:hint="eastAsia" w:asciiTheme="minorEastAsia" w:hAnsiTheme="minorEastAsia" w:eastAsiaTheme="minorEastAsia" w:cstheme="minorEastAsia"/>
          <w:b w:val="0"/>
          <w:bCs w:val="0"/>
          <w:snapToGrid w:val="0"/>
          <w:color w:val="000000" w:themeColor="text1"/>
          <w:kern w:val="0"/>
          <w:szCs w:val="18"/>
          <w:highlight w:val="none"/>
          <w14:textFill>
            <w14:solidFill>
              <w14:schemeClr w14:val="tx1"/>
            </w14:solidFill>
          </w14:textFill>
        </w:rPr>
        <w:t>页面截图</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p w14:paraId="209ACE12">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（9）《投标人基本情况表》（格式七）及所附资料；</w:t>
      </w:r>
    </w:p>
    <w:p w14:paraId="46EE9D72">
      <w:pPr>
        <w:wordWrap w:val="0"/>
        <w:adjustRightInd w:val="0"/>
        <w:snapToGrid w:val="0"/>
        <w:spacing w:line="360" w:lineRule="auto"/>
        <w:ind w:firstLine="480" w:firstLineChars="200"/>
        <w:rPr>
          <w:rFonts w:hint="eastAsia" w:asciiTheme="minorEastAsia" w:hAnsiTheme="minorEastAsia" w:eastAsiaTheme="minorEastAsia" w:cstheme="minorEastAsia"/>
          <w:strike/>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（10）《项目经理简历表》（格式八）及所附资料；</w:t>
      </w:r>
    </w:p>
    <w:p w14:paraId="5BA3EC6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（11）《项目经理任职声明》（格式九）；</w:t>
      </w:r>
    </w:p>
    <w:p w14:paraId="6BAD79D1">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（12）《项目技术负责人简历表》（格式十）及所附资料；</w:t>
      </w:r>
    </w:p>
    <w:p w14:paraId="798E521F">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（13）《项目设计负责人简历表》（格式十一）及所附资料；</w:t>
      </w:r>
    </w:p>
    <w:p w14:paraId="13704F88">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）《项目管理机构组成表》（格式十</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二</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）及所附资料；</w:t>
      </w:r>
    </w:p>
    <w:p w14:paraId="14453957">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）本章第14.2目“评标方法”要求提供的评审资料（如有）；</w:t>
      </w:r>
    </w:p>
    <w:p w14:paraId="0FE86B70">
      <w:pPr>
        <w:pStyle w:val="36"/>
        <w:ind w:firstLine="480" w:firstLineChars="200"/>
        <w:rPr>
          <w:rFonts w:hint="eastAsia" w:asciiTheme="minorEastAsia" w:hAnsiTheme="minorEastAsia" w:eastAsiaTheme="minorEastAsia" w:cstheme="minorEastAsia"/>
          <w:color w:val="000000" w:themeColor="text1"/>
          <w:szCs w:val="18"/>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认为有必要补充的其他资料。（例如投标人已经工商变更，但其企业资质证书、安全生产许可证或其员工执业资格注册证书上的企业名称未能在投标期间完成变更的书面说明和佐证材料；外省企业所在省、地级市</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住房和城乡建设部</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门或其授权的组织（机构）关于企业资质、人员资格有效期自动顺延或延期办理的相关文件等；关于投标总价下浮率超过15%的书面说明和佐证材料）。</w:t>
      </w:r>
    </w:p>
    <w:p w14:paraId="2091977C">
      <w:pPr>
        <w:wordWrap w:val="0"/>
        <w:adjustRightInd w:val="0"/>
        <w:snapToGrid w:val="0"/>
        <w:spacing w:line="360" w:lineRule="auto"/>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11.2.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 本章第</w:t>
      </w: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11.2.1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目中所列出的投标标书组成内容中，第（1）至第（1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）项所有投标人均应提供，</w:t>
      </w: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但非联合体投标的，无需提供第（7）项内容。</w:t>
      </w:r>
    </w:p>
    <w:p w14:paraId="7154588F">
      <w:pPr>
        <w:wordWrap w:val="0"/>
        <w:adjustRightInd w:val="0"/>
        <w:snapToGrid w:val="0"/>
        <w:spacing w:line="360" w:lineRule="auto"/>
        <w:ind w:firstLine="480" w:firstLineChars="2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11.2.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 投标标书的组成内容按本章第</w:t>
      </w: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11.2.1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目规定的顺序整理、编排后，逐页连续标记页码。</w:t>
      </w:r>
    </w:p>
    <w:p w14:paraId="587FF5A5">
      <w:pPr>
        <w:pStyle w:val="49"/>
        <w:ind w:firstLine="482" w:firstLineChars="200"/>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t>特别说明：</w:t>
      </w:r>
    </w:p>
    <w:p w14:paraId="61BE12F5">
      <w:pPr>
        <w:pStyle w:val="49"/>
        <w:ind w:firstLine="482" w:firstLineChars="200"/>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t>1、本次招标投标时不要求编制施工组织设计。中标人中标后先按有关规定及要求提供设计成果文件，中标人设计成果确认经有关部门的审查及经有资质的审图机构审查合格通过，中标人还应编制施工组织设计及专项施工方案报监理及招标人审批，然后依据审图合格后的设计施工图编写施工组织设计，报有关部门审查批准后方可实施；中标人须向招标人提供经批准的施工组织设计一式五份。</w:t>
      </w:r>
    </w:p>
    <w:p w14:paraId="732088F0">
      <w:pPr>
        <w:pStyle w:val="49"/>
        <w:ind w:firstLine="482" w:firstLineChars="200"/>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highlight w:val="none"/>
          <w:u w:val="single"/>
          <w14:textFill>
            <w14:solidFill>
              <w14:schemeClr w14:val="tx1"/>
            </w14:solidFill>
          </w14:textFill>
        </w:rPr>
        <w:t>2、本次招标投标时不要求按编制工程量清单计价模式进行投标报价。</w:t>
      </w:r>
      <w:bookmarkStart w:id="190" w:name="_Toc1583"/>
      <w:bookmarkStart w:id="191" w:name="_Toc17812"/>
      <w:bookmarkStart w:id="192" w:name="_Toc17459"/>
      <w:bookmarkStart w:id="193" w:name="_Toc11313"/>
      <w:bookmarkStart w:id="194" w:name="_Toc13003"/>
      <w:bookmarkStart w:id="195" w:name="_Toc11926"/>
      <w:bookmarkStart w:id="196" w:name="_Toc27175"/>
      <w:bookmarkStart w:id="197" w:name="_Toc14130"/>
    </w:p>
    <w:p w14:paraId="078C7FCC">
      <w:pPr>
        <w:pStyle w:val="49"/>
        <w:ind w:firstLine="482" w:firstLineChars="200"/>
        <w:rPr>
          <w:rFonts w:hint="eastAsia" w:asciiTheme="minorEastAsia" w:hAnsiTheme="minorEastAsia" w:eastAsiaTheme="minorEastAsia" w:cstheme="minorEastAsia"/>
          <w:b/>
          <w:snapToGrid w:val="0"/>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11.3</w:t>
      </w:r>
      <w:bookmarkEnd w:id="190"/>
      <w:bookmarkEnd w:id="191"/>
      <w:bookmarkEnd w:id="192"/>
      <w:bookmarkEnd w:id="193"/>
      <w:bookmarkEnd w:id="194"/>
      <w:bookmarkEnd w:id="195"/>
      <w:bookmarkEnd w:id="196"/>
      <w:bookmarkEnd w:id="197"/>
      <w:r>
        <w:rPr>
          <w:rFonts w:hint="eastAsia" w:asciiTheme="minorEastAsia" w:hAnsiTheme="minorEastAsia" w:eastAsiaTheme="minorEastAsia" w:cstheme="minorEastAsia"/>
          <w:b/>
          <w:snapToGrid w:val="0"/>
          <w:color w:val="000000" w:themeColor="text1"/>
          <w:highlight w:val="none"/>
          <w14:textFill>
            <w14:solidFill>
              <w14:schemeClr w14:val="tx1"/>
            </w14:solidFill>
          </w14:textFill>
        </w:rPr>
        <w:t>电子投标</w:t>
      </w:r>
      <w:bookmarkStart w:id="198" w:name="_Hlt88627590"/>
      <w:bookmarkEnd w:id="198"/>
      <w:bookmarkStart w:id="199" w:name="_Hlt66511038"/>
      <w:bookmarkEnd w:id="199"/>
      <w:bookmarkStart w:id="200" w:name="_Hlt66200498"/>
      <w:bookmarkEnd w:id="200"/>
      <w:bookmarkStart w:id="201" w:name="_Toc27961"/>
    </w:p>
    <w:p w14:paraId="57F688F3">
      <w:pPr>
        <w:pStyle w:val="49"/>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11.3.1、在交易平台上传加盖了电子印章的投标文件、录入相关信息及标书页码信息，并提交投标标书（页码起始从封面开始）。提交标书为已加密投标文件。具体操作参照《韶关市公共资源建设工程交易系统-投标人操作指南（电子评标）》。</w:t>
      </w:r>
    </w:p>
    <w:p w14:paraId="77A4A8F3">
      <w:pPr>
        <w:pStyle w:val="49"/>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本项目评标采用全流程电子化进行招标投标（投标人应在交易平台进行编辑投标相关内容、按招标文件电子投标要求上传已加盖电子印章的投标文件，否则将自行承担不利后果）。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5E5D50F7">
      <w:pPr>
        <w:pStyle w:val="49"/>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投标文件完成上传后，投标人应使用 CA 数字证书对投标文件进行文件加密，形成加密的投标文件并提交标书。</w:t>
      </w:r>
    </w:p>
    <w:p w14:paraId="230FCD87">
      <w:pPr>
        <w:pStyle w:val="49"/>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11.3.2电子投标文件的修改、撤回：在提交投标文件截止时间前，投标人可以修改或撤回未解密的电子投标文件，并于提交投标文件截止时间前将重新上传修改后的电子投标文件至交易平台，到达投标文件提交截止时间后投标人不得撤回、补充、修改和更换投标文件。</w:t>
      </w:r>
    </w:p>
    <w:p w14:paraId="0CE1FF3D">
      <w:pPr>
        <w:pStyle w:val="49"/>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11.3.3电子投标及投标解密失败及突发情况的补救方案</w:t>
      </w:r>
    </w:p>
    <w:p w14:paraId="585877D1">
      <w:pPr>
        <w:pStyle w:val="49"/>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11.3.3.1按照交易平台关于全流程电子化项目的相关指南进行操作。详见：全国公共资源交易平台（广东省·韶关市）发布的最新版操作指南。</w:t>
      </w:r>
    </w:p>
    <w:p w14:paraId="42F09261">
      <w:pPr>
        <w:pStyle w:val="49"/>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11.3.3.2补救方案</w:t>
      </w:r>
    </w:p>
    <w:p w14:paraId="2E9342F6">
      <w:pPr>
        <w:pStyle w:val="49"/>
        <w:numPr>
          <w:ilvl w:val="0"/>
          <w:numId w:val="2"/>
        </w:numPr>
        <w:ind w:firstLine="480" w:firstLine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投标文件解密失败的补救方案：</w:t>
      </w:r>
      <w:bookmarkStart w:id="202" w:name="_Toc28927"/>
    </w:p>
    <w:p w14:paraId="5CD5D936">
      <w:pPr>
        <w:pStyle w:val="49"/>
        <w:numPr>
          <w:ilvl w:val="0"/>
          <w:numId w:val="0"/>
        </w:numPr>
        <w:ind w:firstLine="480" w:firstLine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电子投标文件解密失败且未在规定的时限内按要求成功上传未加密的备用投标文件的，视为无效投标。</w:t>
      </w:r>
      <w:bookmarkEnd w:id="202"/>
      <w:bookmarkStart w:id="203" w:name="_Toc9612"/>
    </w:p>
    <w:p w14:paraId="4A9AE2A5">
      <w:pPr>
        <w:pStyle w:val="49"/>
        <w:numPr>
          <w:ilvl w:val="0"/>
          <w:numId w:val="2"/>
        </w:numPr>
        <w:ind w:left="0" w:leftChars="0" w:firstLine="480" w:firstLine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评标时突发情况的补救方案</w:t>
      </w:r>
      <w:bookmarkEnd w:id="203"/>
      <w:bookmarkStart w:id="204" w:name="_Toc6314"/>
      <w:r>
        <w:rPr>
          <w:rFonts w:hint="eastAsia" w:asciiTheme="minorEastAsia" w:hAnsiTheme="minorEastAsia" w:eastAsiaTheme="minorEastAsia" w:cstheme="minorEastAsia"/>
          <w:bCs/>
          <w:color w:val="000000" w:themeColor="text1"/>
          <w:kern w:val="2"/>
          <w:highlight w:val="none"/>
          <w:lang w:eastAsia="zh-CN"/>
          <w14:textFill>
            <w14:solidFill>
              <w14:schemeClr w14:val="tx1"/>
            </w14:solidFill>
          </w14:textFill>
        </w:rPr>
        <w:t>：</w:t>
      </w:r>
    </w:p>
    <w:p w14:paraId="370AF792">
      <w:pPr>
        <w:pStyle w:val="49"/>
        <w:numPr>
          <w:ilvl w:val="0"/>
          <w:numId w:val="0"/>
        </w:numPr>
        <w:ind w:firstLine="480" w:firstLine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bookmarkEnd w:id="204"/>
      <w:bookmarkStart w:id="205" w:name="_Toc10157"/>
    </w:p>
    <w:p w14:paraId="1A3A30C4">
      <w:pPr>
        <w:pStyle w:val="49"/>
        <w:numPr>
          <w:ilvl w:val="0"/>
          <w:numId w:val="2"/>
        </w:numPr>
        <w:ind w:left="0" w:leftChars="0" w:firstLine="480" w:firstLine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除发生上述情况外，开标评标均以投标人通过交易平台网上递交的电子投标文件为准。</w:t>
      </w:r>
      <w:bookmarkEnd w:id="205"/>
      <w:bookmarkStart w:id="206" w:name="_Toc12675"/>
    </w:p>
    <w:p w14:paraId="1B7B6ECD">
      <w:pPr>
        <w:pStyle w:val="49"/>
        <w:numPr>
          <w:ilvl w:val="0"/>
          <w:numId w:val="0"/>
        </w:numPr>
        <w:ind w:leftChars="200"/>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11.4 投标文件的提交、修改和撤回</w:t>
      </w:r>
      <w:bookmarkEnd w:id="201"/>
      <w:bookmarkEnd w:id="206"/>
      <w:bookmarkStart w:id="207" w:name="_Hlt66608380"/>
      <w:bookmarkEnd w:id="207"/>
      <w:bookmarkStart w:id="208" w:name="_Hlt69699424"/>
      <w:bookmarkEnd w:id="208"/>
      <w:bookmarkStart w:id="209" w:name="_Hlt92512875"/>
      <w:bookmarkEnd w:id="209"/>
      <w:bookmarkStart w:id="210" w:name="_Hlt75685366"/>
      <w:bookmarkEnd w:id="210"/>
      <w:bookmarkStart w:id="211" w:name="_Hlt74494779"/>
      <w:bookmarkEnd w:id="211"/>
      <w:bookmarkStart w:id="212" w:name="_Toc24469"/>
      <w:bookmarkStart w:id="213" w:name="_Toc30635"/>
      <w:bookmarkStart w:id="214" w:name="_Toc106418820"/>
      <w:bookmarkStart w:id="215" w:name="_Toc4483"/>
      <w:bookmarkStart w:id="216" w:name="_Toc22741"/>
      <w:bookmarkStart w:id="217" w:name="_Toc104711075"/>
      <w:bookmarkStart w:id="218" w:name="_Toc9838"/>
      <w:bookmarkStart w:id="219" w:name="_Toc28454"/>
      <w:bookmarkStart w:id="220" w:name="_Toc24322"/>
      <w:bookmarkStart w:id="221" w:name="_Toc3050"/>
      <w:bookmarkStart w:id="222" w:name="_Toc7631"/>
    </w:p>
    <w:p w14:paraId="012D5A77">
      <w:pPr>
        <w:pStyle w:val="49"/>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11.4.1在投标文件提交截止时间前，投标人通过交易平台提交已加密投标文件。逾期提交的电子投标文件，交易平台将予以拒收。</w:t>
      </w:r>
      <w:bookmarkEnd w:id="212"/>
      <w:bookmarkStart w:id="223" w:name="_Toc25103"/>
    </w:p>
    <w:p w14:paraId="19A13F2B">
      <w:pPr>
        <w:pStyle w:val="49"/>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11.4.2提交时间：见本章第二节“重要事项时间地点一览表”。</w:t>
      </w:r>
      <w:bookmarkEnd w:id="223"/>
      <w:bookmarkStart w:id="224" w:name="_Toc9791"/>
    </w:p>
    <w:p w14:paraId="5D5E2591">
      <w:pPr>
        <w:pStyle w:val="49"/>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11.4.3投标人无须进行现场签到，如有招标文件要求提交的用于评审的证书、证件、证明原件等投标相关资料，投标人可在规定的地点、时间内递交至开标现场（附一式两份清单），无原件的不作要求。</w:t>
      </w:r>
      <w:bookmarkEnd w:id="224"/>
      <w:bookmarkStart w:id="225" w:name="_Toc25029"/>
    </w:p>
    <w:p w14:paraId="66D42C80">
      <w:pPr>
        <w:pStyle w:val="49"/>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11.4.4 递交时间和地点：见本章第二节“重要事项时间地点一览表”。</w:t>
      </w:r>
      <w:bookmarkEnd w:id="225"/>
      <w:bookmarkStart w:id="226" w:name="_Toc5665"/>
    </w:p>
    <w:p w14:paraId="0B2460FC">
      <w:pPr>
        <w:pStyle w:val="49"/>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11.4.5 投标人代表到达现场后，应出示以下身份证明材料：</w:t>
      </w:r>
      <w:bookmarkEnd w:id="226"/>
      <w:bookmarkStart w:id="227" w:name="_Toc1714"/>
    </w:p>
    <w:p w14:paraId="1D0EAFB6">
      <w:pPr>
        <w:pStyle w:val="49"/>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（1）本人有效的第二代居民身份证；</w:t>
      </w:r>
      <w:bookmarkEnd w:id="227"/>
      <w:bookmarkStart w:id="228" w:name="_Toc1212"/>
      <w:bookmarkStart w:id="229" w:name="_Toc22519"/>
      <w:bookmarkStart w:id="230" w:name="_Toc30210"/>
    </w:p>
    <w:p w14:paraId="7D6D8C0E">
      <w:pPr>
        <w:pStyle w:val="49"/>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（2）法定代表人到场的，出示《法定代表人身份证明》（格式五）；委托代理人到场的，应同时出示《授权委托书》（格式四）和《法定代表人身份证明》。</w:t>
      </w:r>
      <w:bookmarkEnd w:id="228"/>
      <w:bookmarkEnd w:id="229"/>
      <w:bookmarkEnd w:id="230"/>
      <w:bookmarkStart w:id="231" w:name="_Toc8927"/>
      <w:bookmarkStart w:id="232" w:name="_Toc29016"/>
      <w:bookmarkStart w:id="233" w:name="_Toc3014"/>
    </w:p>
    <w:p w14:paraId="31CA0B38">
      <w:pPr>
        <w:pStyle w:val="49"/>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11.4.6联合体投标的，由联合体牵头人按以上要求递交投标相关资料。</w:t>
      </w:r>
      <w:bookmarkEnd w:id="231"/>
      <w:bookmarkEnd w:id="232"/>
      <w:bookmarkEnd w:id="233"/>
      <w:bookmarkStart w:id="234" w:name="_Toc16539"/>
      <w:bookmarkStart w:id="235" w:name="_Toc13697"/>
      <w:bookmarkStart w:id="236" w:name="_Toc13703"/>
    </w:p>
    <w:p w14:paraId="3B5C6ACD">
      <w:pPr>
        <w:pStyle w:val="49"/>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11.4.7招标人或其授权的招标代理机构核对、接收投标人递交的投标相关资料后，应并妥善保管。</w:t>
      </w:r>
      <w:bookmarkEnd w:id="234"/>
      <w:bookmarkEnd w:id="235"/>
      <w:bookmarkEnd w:id="236"/>
      <w:bookmarkStart w:id="237" w:name="_Toc20579"/>
      <w:bookmarkStart w:id="238" w:name="_Toc6708"/>
      <w:bookmarkStart w:id="239" w:name="_Toc5287"/>
    </w:p>
    <w:p w14:paraId="2B4D9868">
      <w:pPr>
        <w:pStyle w:val="49"/>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11.4.8 投标人发生以下情形的，其投标相关资料招标人不予接收：</w:t>
      </w:r>
      <w:bookmarkEnd w:id="237"/>
      <w:bookmarkEnd w:id="238"/>
      <w:bookmarkEnd w:id="239"/>
      <w:bookmarkStart w:id="240" w:name="_Toc18916"/>
      <w:bookmarkStart w:id="241" w:name="_Toc31045"/>
      <w:bookmarkStart w:id="242" w:name="_Toc32603"/>
    </w:p>
    <w:p w14:paraId="67FFA51A">
      <w:pPr>
        <w:pStyle w:val="49"/>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（1）未在指定的时间和地点递交的；</w:t>
      </w:r>
      <w:bookmarkEnd w:id="240"/>
      <w:bookmarkEnd w:id="241"/>
      <w:bookmarkEnd w:id="242"/>
      <w:bookmarkStart w:id="243" w:name="_Toc17194"/>
      <w:bookmarkStart w:id="244" w:name="_Toc15124"/>
      <w:bookmarkStart w:id="245" w:name="_Toc15823"/>
    </w:p>
    <w:p w14:paraId="4CB70762">
      <w:pPr>
        <w:pStyle w:val="49"/>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（2）到场人员未出示身份证明材料的。</w:t>
      </w:r>
      <w:bookmarkEnd w:id="243"/>
      <w:bookmarkEnd w:id="244"/>
      <w:bookmarkEnd w:id="245"/>
      <w:bookmarkStart w:id="246" w:name="_Toc23037"/>
      <w:bookmarkStart w:id="247" w:name="_Toc2022"/>
      <w:bookmarkStart w:id="248" w:name="_Toc17679"/>
    </w:p>
    <w:p w14:paraId="6966CCDE">
      <w:pPr>
        <w:pStyle w:val="49"/>
        <w:numPr>
          <w:ilvl w:val="0"/>
          <w:numId w:val="0"/>
        </w:numPr>
        <w:ind w:leftChars="200"/>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11.4.9出现下述情形之一，属于未成功提交投标文件，按无效投标处理：</w:t>
      </w:r>
      <w:bookmarkEnd w:id="246"/>
      <w:bookmarkEnd w:id="247"/>
      <w:bookmarkEnd w:id="248"/>
      <w:bookmarkStart w:id="249" w:name="_Toc30279"/>
      <w:bookmarkStart w:id="250" w:name="_Toc27579"/>
      <w:bookmarkStart w:id="251" w:name="_Toc22805"/>
    </w:p>
    <w:p w14:paraId="3AA61B1E">
      <w:pPr>
        <w:pStyle w:val="36"/>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（1）至提交投标文件截止时，投标文件未完整上传或未提交投标；</w:t>
      </w:r>
      <w:bookmarkEnd w:id="249"/>
      <w:bookmarkEnd w:id="250"/>
      <w:bookmarkEnd w:id="251"/>
      <w:bookmarkStart w:id="252" w:name="_Toc26257"/>
      <w:bookmarkStart w:id="253" w:name="_Toc1293"/>
      <w:bookmarkStart w:id="254" w:name="_Toc17052"/>
    </w:p>
    <w:p w14:paraId="453F948A">
      <w:pPr>
        <w:pStyle w:val="36"/>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（2）投标文件未按投标格式中注明需签字盖章的要求进行签名（含电子签名）和加盖电子印章，或签名（含电子签名）或电子印章不完整的；</w:t>
      </w:r>
      <w:bookmarkEnd w:id="252"/>
      <w:bookmarkEnd w:id="253"/>
      <w:bookmarkEnd w:id="254"/>
    </w:p>
    <w:p w14:paraId="3B470C9B">
      <w:pPr>
        <w:pStyle w:val="36"/>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255" w:name="_Toc23907"/>
      <w:bookmarkStart w:id="256" w:name="_Toc444"/>
      <w:bookmarkStart w:id="257" w:name="_Toc7367"/>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（3）解密失败且在规定时间内未重新提交投标文件的；</w:t>
      </w:r>
      <w:bookmarkEnd w:id="255"/>
      <w:bookmarkEnd w:id="256"/>
      <w:bookmarkEnd w:id="257"/>
    </w:p>
    <w:p w14:paraId="1B20CC6E">
      <w:pPr>
        <w:pStyle w:val="36"/>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258" w:name="_Toc13"/>
      <w:bookmarkStart w:id="259" w:name="_Toc26444"/>
      <w:bookmarkStart w:id="260" w:name="_Toc21719"/>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（4）投标文件损坏或格式不正确的。</w:t>
      </w:r>
      <w:bookmarkEnd w:id="258"/>
      <w:bookmarkEnd w:id="259"/>
      <w:bookmarkEnd w:id="260"/>
    </w:p>
    <w:p w14:paraId="67B53C5C">
      <w:pPr>
        <w:pStyle w:val="38"/>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61" w:name="_Toc23010"/>
      <w:bookmarkStart w:id="262" w:name="_Toc32089"/>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12、 投标有效期及对投标人的其他要求</w:t>
      </w:r>
      <w:bookmarkEnd w:id="213"/>
      <w:bookmarkEnd w:id="214"/>
      <w:bookmarkEnd w:id="215"/>
      <w:bookmarkEnd w:id="216"/>
      <w:bookmarkEnd w:id="217"/>
      <w:bookmarkEnd w:id="218"/>
      <w:bookmarkEnd w:id="219"/>
      <w:bookmarkEnd w:id="220"/>
      <w:bookmarkEnd w:id="221"/>
      <w:bookmarkEnd w:id="222"/>
      <w:bookmarkEnd w:id="261"/>
      <w:bookmarkEnd w:id="262"/>
    </w:p>
    <w:p w14:paraId="22E1045D">
      <w:pPr>
        <w:pStyle w:val="36"/>
        <w:ind w:firstLine="480" w:firstLineChars="200"/>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本次招标投标有效期为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u w:val="single"/>
          <w:lang w:val="en-US" w:eastAsia="zh-CN"/>
          <w14:textFill>
            <w14:solidFill>
              <w14:schemeClr w14:val="tx1"/>
            </w14:solidFill>
          </w14:textFill>
        </w:rPr>
        <w:t>90</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个日历天，投标有效期从提交投标文件的截止之日起计算。在此期间，投标人不得撤销或修改其投标文件，否则其投标保证不予退还。</w:t>
      </w:r>
    </w:p>
    <w:bookmarkEnd w:id="142"/>
    <w:p w14:paraId="74CE96D9">
      <w:pPr>
        <w:pStyle w:val="38"/>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63" w:name="_Hlt111081624"/>
      <w:bookmarkEnd w:id="263"/>
      <w:bookmarkStart w:id="264" w:name="_Toc31459"/>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13</w:t>
      </w:r>
      <w:r>
        <w:rPr>
          <w:rFonts w:hint="eastAsia" w:asciiTheme="minorEastAsia" w:hAnsiTheme="minorEastAsia" w:eastAsiaTheme="minorEastAsia" w:cstheme="minorEastAsia"/>
          <w:b/>
          <w:color w:val="000000" w:themeColor="text1"/>
          <w:kern w:val="2"/>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开标</w:t>
      </w:r>
      <w:bookmarkEnd w:id="264"/>
    </w:p>
    <w:p w14:paraId="2802C55F">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13.1 招标人邀请所有正确完成了网上获取招标文件、电子投标、缴纳投标保证、递交投标文件的投标人参加开标，投标人可自主决定是否参加。投标人不参加开标的，视其默认开标结果，以及放弃在开标期间见证、监督、投诉、申辩的权利。</w:t>
      </w:r>
    </w:p>
    <w:p w14:paraId="779F69ED">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13.1.1 开标时间和地点：见本章第二节“重要事项时间地点一览表”。</w:t>
      </w:r>
    </w:p>
    <w:p w14:paraId="207269D7">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13.1.2 开标前24小时，若交易平台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61F07286">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363FEF86">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13.2 开标程序</w:t>
      </w:r>
    </w:p>
    <w:p w14:paraId="0B856965">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（1）主持人（招标人代表或招标人授权的招标代理机构人员）宣读开标纪律。</w:t>
      </w:r>
    </w:p>
    <w:p w14:paraId="4ADB381C">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（2）主持人宣布唱标人、记录人、见证人、监督人等有关人员姓名。</w:t>
      </w:r>
    </w:p>
    <w:p w14:paraId="7CD8EBDF">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（3）唱标人公布在投标截止时间前进行投标文件的投标人数量和名称</w:t>
      </w:r>
    </w:p>
    <w:p w14:paraId="2ECE91B0">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（4）招标代理机构会同交易场所工作人员对投标人的电子投标信息进行解密，建设工程交易系统自动生成《投标保证缴纳情况表》和《开标一览表》。</w:t>
      </w:r>
    </w:p>
    <w:p w14:paraId="47B6CFEB">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温馨提示：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76C7969B">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因本工程采用全流程电子招标投标方式进行招标，投标人在唱标环节为解密唱标时，以网上电子解密唱标信息为准。全流程电子招标投标采用线上评审，以电子投标文件为准。如果两者报价不一致的，视为报价不唯一，其响应性评审不通过。</w:t>
      </w:r>
    </w:p>
    <w:p w14:paraId="778C59D1">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13.3 投标人对开标相关事项（如开标程序等）有异议的，必须在开标期间及时提出，招标人或其授权的招标代理机构应当场作出答复，并记录在案。对开标事项的异议未在开标期间及时提出的，招标人不予受理。</w:t>
      </w:r>
    </w:p>
    <w:p w14:paraId="3EF6B83F">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13.4 招标代理机构将资料原件（若有）、《开标一览表》以及其他有关资料移交评标委员会。</w:t>
      </w:r>
    </w:p>
    <w:p w14:paraId="1B0DB037">
      <w:pPr>
        <w:pStyle w:val="38"/>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65" w:name="_Toc6038"/>
      <w:bookmarkStart w:id="266" w:name="_Toc21041"/>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14</w:t>
      </w:r>
      <w:bookmarkStart w:id="267" w:name="_Hlt127093805"/>
      <w:bookmarkEnd w:id="267"/>
      <w:r>
        <w:rPr>
          <w:rFonts w:hint="eastAsia" w:asciiTheme="minorEastAsia" w:hAnsiTheme="minorEastAsia" w:eastAsiaTheme="minorEastAsia" w:cstheme="minorEastAsia"/>
          <w:b/>
          <w:color w:val="000000" w:themeColor="text1"/>
          <w:kern w:val="2"/>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评标的方法和标准</w:t>
      </w:r>
      <w:bookmarkEnd w:id="265"/>
      <w:bookmarkEnd w:id="266"/>
    </w:p>
    <w:p w14:paraId="354F25F3">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评标分为初步评审和详细评审两个阶段，由评标委员会在有关部门的监督下，严格按照本招标文件指定的评标方法，对投标人的投标文件进行审查、评审。评标委员会完成评标后，向招标人推荐 3 个中标候选人，并向招标人提交由全体评标委员会成员签字的评标报告。</w:t>
      </w:r>
    </w:p>
    <w:p w14:paraId="1B3E43C8">
      <w:pPr>
        <w:pStyle w:val="36"/>
        <w:autoSpaceDE w:val="0"/>
        <w:autoSpaceDN w:val="0"/>
        <w:adjustRightInd w:val="0"/>
        <w:ind w:firstLine="482"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bookmarkStart w:id="268" w:name="_Toc32313"/>
      <w:r>
        <w:rPr>
          <w:rFonts w:hint="eastAsia" w:asciiTheme="minorEastAsia" w:hAnsiTheme="minorEastAsia" w:eastAsiaTheme="minorEastAsia" w:cstheme="minorEastAsia"/>
          <w:b/>
          <w:color w:val="000000" w:themeColor="text1"/>
          <w:highlight w:val="none"/>
          <w14:textFill>
            <w14:solidFill>
              <w14:schemeClr w14:val="tx1"/>
            </w14:solidFill>
          </w14:textFill>
        </w:rPr>
        <w:t>14.1 评标</w:t>
      </w:r>
      <w:bookmarkStart w:id="269" w:name="_Hlt69208274"/>
      <w:bookmarkEnd w:id="269"/>
      <w:r>
        <w:rPr>
          <w:rFonts w:hint="eastAsia" w:asciiTheme="minorEastAsia" w:hAnsiTheme="minorEastAsia" w:eastAsiaTheme="minorEastAsia" w:cstheme="minorEastAsia"/>
          <w:b/>
          <w:color w:val="000000" w:themeColor="text1"/>
          <w:highlight w:val="none"/>
          <w14:textFill>
            <w14:solidFill>
              <w14:schemeClr w14:val="tx1"/>
            </w14:solidFill>
          </w14:textFill>
        </w:rPr>
        <w:t>委员会</w:t>
      </w:r>
      <w:bookmarkEnd w:id="268"/>
      <w:bookmarkStart w:id="270" w:name="_Hlt69338169"/>
      <w:bookmarkEnd w:id="270"/>
    </w:p>
    <w:p w14:paraId="0F5EF10D">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14.1.1 评标委员会由5人组成。专家从广东省综合评标评审专家库-韶关区域中随机抽取，其中技术类专家3人，经济类专家2人。评标委员会的负责人在评委中民主选出，负责人的权力与评委成员相等。</w:t>
      </w:r>
    </w:p>
    <w:p w14:paraId="246730F3">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14.1.2 评标委员会应认真、公正、诚实、廉洁地履行职责。有下列情形之一的，不得担任评标委员会成员：</w:t>
      </w:r>
    </w:p>
    <w:p w14:paraId="08194B7F">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14.1.2.1 投标人或者投标人主要负责人的近亲属；</w:t>
      </w:r>
    </w:p>
    <w:p w14:paraId="361CDB8D">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14.1.2.2 项目主管部门或者行政监督部门的人员；</w:t>
      </w:r>
    </w:p>
    <w:p w14:paraId="2724129D">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14.1.2.3 与投标人有经济利益关系，可能影响对投标公正评审的；</w:t>
      </w:r>
    </w:p>
    <w:p w14:paraId="4A670AE9">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14.1.2.4 曾因在</w:t>
      </w:r>
      <w:bookmarkStart w:id="271" w:name="_Hlt69700387"/>
      <w:bookmarkEnd w:id="271"/>
      <w:r>
        <w:rPr>
          <w:rFonts w:hint="eastAsia" w:asciiTheme="minorEastAsia" w:hAnsiTheme="minorEastAsia" w:eastAsiaTheme="minorEastAsia" w:cstheme="minorEastAsia"/>
          <w:bCs/>
          <w:color w:val="000000" w:themeColor="text1"/>
          <w:highlight w:val="none"/>
          <w14:textFill>
            <w14:solidFill>
              <w14:schemeClr w14:val="tx1"/>
            </w14:solidFill>
          </w14:textFill>
        </w:rPr>
        <w:t>招标、评标以及其他与招标投标有关活动中从事违法行为而受过行政处罚或刑事处罚的。</w:t>
      </w:r>
    </w:p>
    <w:p w14:paraId="48BBEE64">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14.1.3 评标委员会成员有前款规定情形之一的，应主动提出回避。</w:t>
      </w:r>
    </w:p>
    <w:p w14:paraId="37A18F78">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14.1.4 评标全过程实行封闭式管理，在中标结果公布前，禁止评标委员会成员以任何方式私下接触投标人。</w:t>
      </w:r>
    </w:p>
    <w:p w14:paraId="36DE5152">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14.1.5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248EF759">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14.1.6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285C75E0">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p>
    <w:p w14:paraId="17BE0C71">
      <w:pPr>
        <w:pStyle w:val="36"/>
        <w:autoSpaceDE w:val="0"/>
        <w:autoSpaceDN w:val="0"/>
        <w:adjustRightInd w:val="0"/>
        <w:ind w:firstLine="482" w:firstLineChars="200"/>
        <w:rPr>
          <w:rFonts w:hint="eastAsia" w:asciiTheme="minorEastAsia" w:hAnsiTheme="minorEastAsia" w:eastAsiaTheme="minorEastAsia" w:cstheme="minorEastAsia"/>
          <w:b/>
          <w:color w:val="000000" w:themeColor="text1"/>
          <w:highlight w:val="none"/>
          <w14:textFill>
            <w14:solidFill>
              <w14:schemeClr w14:val="tx1"/>
            </w14:solidFill>
          </w14:textFill>
        </w:rPr>
      </w:pPr>
      <w:bookmarkStart w:id="272" w:name="_Toc104711078"/>
      <w:bookmarkStart w:id="273" w:name="_Toc106418823"/>
      <w:bookmarkStart w:id="274" w:name="_Toc17385"/>
      <w:r>
        <w:rPr>
          <w:rFonts w:hint="eastAsia" w:asciiTheme="minorEastAsia" w:hAnsiTheme="minorEastAsia" w:eastAsiaTheme="minorEastAsia" w:cstheme="minorEastAsia"/>
          <w:b/>
          <w:color w:val="000000" w:themeColor="text1"/>
          <w:highlight w:val="none"/>
          <w14:textFill>
            <w14:solidFill>
              <w14:schemeClr w14:val="tx1"/>
            </w14:solidFill>
          </w14:textFill>
        </w:rPr>
        <w:t>14.2</w:t>
      </w:r>
      <w:bookmarkEnd w:id="272"/>
      <w:bookmarkEnd w:id="273"/>
      <w:r>
        <w:rPr>
          <w:rFonts w:hint="eastAsia" w:asciiTheme="minorEastAsia" w:hAnsiTheme="minorEastAsia" w:eastAsiaTheme="minorEastAsia" w:cstheme="minorEastAsia"/>
          <w:b/>
          <w:color w:val="000000" w:themeColor="text1"/>
          <w:highlight w:val="none"/>
          <w14:textFill>
            <w14:solidFill>
              <w14:schemeClr w14:val="tx1"/>
            </w14:solidFill>
          </w14:textFill>
        </w:rPr>
        <w:t>评标方法</w:t>
      </w:r>
      <w:bookmarkEnd w:id="274"/>
    </w:p>
    <w:p w14:paraId="46B94855">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bookmarkStart w:id="275" w:name="_Hlt66591657"/>
      <w:bookmarkEnd w:id="275"/>
      <w:r>
        <w:rPr>
          <w:rFonts w:hint="eastAsia" w:asciiTheme="minorEastAsia" w:hAnsiTheme="minorEastAsia" w:eastAsiaTheme="minorEastAsia" w:cstheme="minorEastAsia"/>
          <w:bCs/>
          <w:color w:val="000000" w:themeColor="text1"/>
          <w:highlight w:val="none"/>
          <w14:textFill>
            <w14:solidFill>
              <w14:schemeClr w14:val="tx1"/>
            </w14:solidFill>
          </w14:textFill>
        </w:rPr>
        <w:t>根据有关法律、法规的相关规定，结合本招标项目资金来源和规模特点，本次招标采用综合评估法进行评标。</w:t>
      </w:r>
    </w:p>
    <w:p w14:paraId="336B55D1">
      <w:pPr>
        <w:pStyle w:val="36"/>
        <w:autoSpaceDE w:val="0"/>
        <w:autoSpaceDN w:val="0"/>
        <w:adjustRightInd w:val="0"/>
        <w:ind w:firstLine="482"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highlight w:val="none"/>
          <w14:textFill>
            <w14:solidFill>
              <w14:schemeClr w14:val="tx1"/>
            </w14:solidFill>
          </w14:textFill>
        </w:rPr>
        <w:t>14.</w:t>
      </w:r>
      <w:r>
        <w:rPr>
          <w:rFonts w:hint="eastAsia" w:asciiTheme="minorEastAsia" w:hAnsiTheme="minorEastAsia" w:eastAsiaTheme="minorEastAsia" w:cstheme="minorEastAsia"/>
          <w:b/>
          <w:bCs w:val="0"/>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highlight w:val="none"/>
          <w14:textFill>
            <w14:solidFill>
              <w14:schemeClr w14:val="tx1"/>
            </w14:solidFill>
          </w14:textFill>
        </w:rPr>
        <w:t>评审范围：评标委员会应对所有投标人的投标文件进行评审。</w:t>
      </w:r>
    </w:p>
    <w:p w14:paraId="33F2CCB7">
      <w:pPr>
        <w:pStyle w:val="36"/>
        <w:autoSpaceDE w:val="0"/>
        <w:autoSpaceDN w:val="0"/>
        <w:adjustRightInd w:val="0"/>
        <w:ind w:firstLine="482"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highlight w:val="none"/>
          <w14:textFill>
            <w14:solidFill>
              <w14:schemeClr w14:val="tx1"/>
            </w14:solidFill>
          </w14:textFill>
        </w:rPr>
        <w:t>14.</w:t>
      </w:r>
      <w:r>
        <w:rPr>
          <w:rFonts w:hint="eastAsia" w:asciiTheme="minorEastAsia" w:hAnsiTheme="minorEastAsia" w:eastAsiaTheme="minorEastAsia" w:cstheme="minorEastAsia"/>
          <w:b/>
          <w:bCs w:val="0"/>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b/>
          <w:bCs w:val="0"/>
          <w:color w:val="000000" w:themeColor="text1"/>
          <w:highlight w:val="none"/>
          <w14:textFill>
            <w14:solidFill>
              <w14:schemeClr w14:val="tx1"/>
            </w14:solidFill>
          </w14:textFill>
        </w:rPr>
        <w:t xml:space="preserve"> </w:t>
      </w:r>
      <w:r>
        <w:rPr>
          <w:rFonts w:hint="eastAsia" w:asciiTheme="minorEastAsia" w:hAnsiTheme="minorEastAsia" w:eastAsiaTheme="minorEastAsia" w:cstheme="minorEastAsia"/>
          <w:bCs/>
          <w:color w:val="000000" w:themeColor="text1"/>
          <w:highlight w:val="none"/>
          <w14:textFill>
            <w14:solidFill>
              <w14:schemeClr w14:val="tx1"/>
            </w14:solidFill>
          </w14:textFill>
        </w:rPr>
        <w:t>初步评审阶段</w:t>
      </w:r>
    </w:p>
    <w:p w14:paraId="7A48C448">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初步评审阶段分为资格评审、形式评审和响应性评审三个环节。</w:t>
      </w:r>
    </w:p>
    <w:p w14:paraId="64ADCB47">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4.1</w:t>
      </w:r>
      <w:r>
        <w:rPr>
          <w:rFonts w:hint="eastAsia" w:asciiTheme="minorEastAsia" w:hAnsiTheme="minorEastAsia" w:eastAsiaTheme="minorEastAsia" w:cstheme="minorEastAsia"/>
          <w:bCs/>
          <w:color w:val="000000" w:themeColor="text1"/>
          <w:highlight w:val="none"/>
          <w14:textFill>
            <w14:solidFill>
              <w14:schemeClr w14:val="tx1"/>
            </w14:solidFill>
          </w14:textFill>
        </w:rPr>
        <w:t>资格评审环节</w:t>
      </w:r>
    </w:p>
    <w:p w14:paraId="19A97792">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资格评审事项包括：</w:t>
      </w:r>
    </w:p>
    <w:p w14:paraId="7E7F5972">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（1）投标人是否符合本章第三节第 4.4条“禁止投标条款”规定。</w:t>
      </w:r>
    </w:p>
    <w:p w14:paraId="40095529">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（2）投标人名称是否与营业执照、资质证书、安全生产许可证一致。</w:t>
      </w:r>
    </w:p>
    <w:p w14:paraId="3EB53AA3">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（3）投标人的资质是否符合招标文件规定；其营业执照、资质证书、安全生产许可证是否合法、有效、准确。</w:t>
      </w:r>
    </w:p>
    <w:p w14:paraId="1854720B">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（4）《项目经理简历表》中拟派项目经理是否与《开标一览表》一致。</w:t>
      </w:r>
    </w:p>
    <w:p w14:paraId="2B305B71">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5）拟派项目经理、项目技术负责人、专职安全员、设计负责人的条件是否符合招标文件规定；项目管理机构组成人员的各类证书、证件、证明是否合法、有效、准确；是否擅自修改、遗漏《项目经理任职声明》的实质性内容。</w:t>
      </w:r>
    </w:p>
    <w:p w14:paraId="0D85F41D">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6）联合体投标的，是否提交《联合体协议书》；是否擅自修改、遗漏《联合体协议书》的实质性内容；联合体成员的数量、资质是否符合招标文件规定；联合体成员是否以自己名义单独或者参加其他联合体参与本招标工程投标。</w:t>
      </w:r>
    </w:p>
    <w:p w14:paraId="6CAE2E4E">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（7）投标人为外省建筑企业的，是否按规定在“进粤企业和人员诚信信息登记平台”录入企业及其拟派人员有关信息并通过数据规范检查。</w:t>
      </w:r>
    </w:p>
    <w:p w14:paraId="1CD4D761">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注：如果“禁止投标条款”包括失信惩戒的，投标人信用信息的获取采用现场实时查询的方式实施。由招标代理机构工作人员在交易场所工作人员共同见证下，登录信用中国网站（https://www.creditchina.gov.cn），在企业查询界面下载和打印《法人和非法人组织公共信用信息报告》，作为评审依据移交评标委员会。</w:t>
      </w:r>
    </w:p>
    <w:p w14:paraId="75B20E25">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形式评审环节</w:t>
      </w:r>
    </w:p>
    <w:p w14:paraId="056BB61C">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形式评审事项包括：</w:t>
      </w:r>
    </w:p>
    <w:p w14:paraId="15DF92F8">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14:textFill>
            <w14:solidFill>
              <w14:schemeClr w14:val="tx1"/>
            </w14:solidFill>
          </w14:textFill>
        </w:rPr>
        <w:t>投标文件是否按招标文件规定加盖电子印章。</w:t>
      </w:r>
    </w:p>
    <w:p w14:paraId="2080954B">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14:textFill>
            <w14:solidFill>
              <w14:schemeClr w14:val="tx1"/>
            </w14:solidFill>
          </w14:textFill>
        </w:rPr>
        <w:t>本节第11.2.2目中规定的“所有投标人均应提供”的组成内容（包括该组成内容的所附资料）是否完整、齐全。</w:t>
      </w:r>
    </w:p>
    <w:p w14:paraId="3FD1877A">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响应性评审环节</w:t>
      </w:r>
    </w:p>
    <w:p w14:paraId="6771CE76">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响应性评审事项包括：</w:t>
      </w:r>
    </w:p>
    <w:p w14:paraId="04FB26F9">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（1）投标有效期、质量标准、工期等是否响应招标文件实质性要求；是否擅自修改、遗漏《投标函》《各项承诺一览表》的实质性内容。</w:t>
      </w:r>
    </w:p>
    <w:p w14:paraId="42C032E1">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（2）编投标总价是否唯一；投标总价是否超出最高投标限价；投标人是否以低于成本的价格竞标。</w:t>
      </w:r>
    </w:p>
    <w:p w14:paraId="601591BE">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注：如果某投标人的投标总价下浮率（投标总价下浮率＝100%－投标总价÷</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最高投标限价</w:t>
      </w:r>
      <w:r>
        <w:rPr>
          <w:rFonts w:hint="eastAsia" w:asciiTheme="minorEastAsia" w:hAnsiTheme="minorEastAsia" w:eastAsiaTheme="minorEastAsia" w:cstheme="minorEastAsia"/>
          <w:bCs/>
          <w:color w:val="000000" w:themeColor="text1"/>
          <w:highlight w:val="none"/>
          <w14:textFill>
            <w14:solidFill>
              <w14:schemeClr w14:val="tx1"/>
            </w14:solidFill>
          </w14:textFill>
        </w:rPr>
        <w:t>×100%）超过15%，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4EA572DE">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14.</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highlight w:val="none"/>
          <w14:textFill>
            <w14:solidFill>
              <w14:schemeClr w14:val="tx1"/>
            </w14:solidFill>
          </w14:textFill>
        </w:rPr>
        <w:t>否决投标说明</w:t>
      </w:r>
    </w:p>
    <w:p w14:paraId="09CB7FDB">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初步评审阶段各个环节否决投标的全部条件，在本章第四节“否决投标条件”第1条至第4条中集中列示。投标人有其中所列任何一种情形的，由评标委员会否决其投标。在初步评审阶段任何环节被否决的投标人，不进入下一环节（或阶段）评审。在初步评审阶段任何环节，有效投标人数量不足3个时，招标人应依法重新组织招标。</w:t>
      </w:r>
    </w:p>
    <w:p w14:paraId="47761881">
      <w:pPr>
        <w:pStyle w:val="36"/>
        <w:autoSpaceDE w:val="0"/>
        <w:autoSpaceDN w:val="0"/>
        <w:adjustRightInd w:val="0"/>
        <w:ind w:firstLine="482"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bookmarkStart w:id="276" w:name="_Toc18413"/>
      <w:r>
        <w:rPr>
          <w:rFonts w:hint="eastAsia" w:asciiTheme="minorEastAsia" w:hAnsiTheme="minorEastAsia" w:eastAsiaTheme="minorEastAsia" w:cstheme="minorEastAsia"/>
          <w:b/>
          <w:color w:val="000000" w:themeColor="text1"/>
          <w:highlight w:val="none"/>
          <w14:textFill>
            <w14:solidFill>
              <w14:schemeClr w14:val="tx1"/>
            </w14:solidFill>
          </w14:textFill>
        </w:rPr>
        <w:t>14.</w:t>
      </w:r>
      <w:r>
        <w:rPr>
          <w:rFonts w:hint="eastAsia" w:asciiTheme="minorEastAsia" w:hAnsiTheme="minorEastAsia" w:eastAsiaTheme="minorEastAsia" w:cstheme="minorEastAsia"/>
          <w:b/>
          <w:color w:val="000000" w:themeColor="text1"/>
          <w:highlight w:val="none"/>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highlight w:val="none"/>
          <w14:textFill>
            <w14:solidFill>
              <w14:schemeClr w14:val="tx1"/>
            </w14:solidFill>
          </w14:textFill>
        </w:rPr>
        <w:t xml:space="preserve"> 详细评审阶段</w:t>
      </w:r>
      <w:bookmarkEnd w:id="276"/>
    </w:p>
    <w:p w14:paraId="1BF2C010">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 xml:space="preserve"> 14.</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highlight w:val="none"/>
          <w14:textFill>
            <w14:solidFill>
              <w14:schemeClr w14:val="tx1"/>
            </w14:solidFill>
          </w14:textFill>
        </w:rPr>
        <w:t>.1 “综合评估法”评审程序</w:t>
      </w:r>
    </w:p>
    <w:p w14:paraId="5EB98105">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评审内容分为商务部分</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技术部分</w:t>
      </w:r>
      <w:r>
        <w:rPr>
          <w:rFonts w:hint="eastAsia" w:asciiTheme="minorEastAsia" w:hAnsiTheme="minorEastAsia" w:eastAsiaTheme="minorEastAsia" w:cstheme="minorEastAsia"/>
          <w:bCs/>
          <w:color w:val="000000" w:themeColor="text1"/>
          <w:highlight w:val="none"/>
          <w14:textFill>
            <w14:solidFill>
              <w14:schemeClr w14:val="tx1"/>
            </w14:solidFill>
          </w14:textFill>
        </w:rPr>
        <w:t>和经济部分</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三</w:t>
      </w:r>
      <w:r>
        <w:rPr>
          <w:rFonts w:hint="eastAsia" w:asciiTheme="minorEastAsia" w:hAnsiTheme="minorEastAsia" w:eastAsiaTheme="minorEastAsia" w:cstheme="minorEastAsia"/>
          <w:bCs/>
          <w:color w:val="000000" w:themeColor="text1"/>
          <w:highlight w:val="none"/>
          <w14:textFill>
            <w14:solidFill>
              <w14:schemeClr w14:val="tx1"/>
            </w14:solidFill>
          </w14:textFill>
        </w:rPr>
        <w:t>大部分，实行分项计分，以100分为满分。具体分值详见《综合评分表》。</w:t>
      </w:r>
    </w:p>
    <w:p w14:paraId="2B222D1E">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除特别注明外，综合得分以及商务部分得分</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技术部分</w:t>
      </w:r>
      <w:r>
        <w:rPr>
          <w:rFonts w:hint="eastAsia" w:asciiTheme="minorEastAsia" w:hAnsiTheme="minorEastAsia" w:eastAsiaTheme="minorEastAsia" w:cstheme="minorEastAsia"/>
          <w:bCs/>
          <w:color w:val="000000" w:themeColor="text1"/>
          <w:highlight w:val="none"/>
          <w14:textFill>
            <w14:solidFill>
              <w14:schemeClr w14:val="tx1"/>
            </w14:solidFill>
          </w14:textFill>
        </w:rPr>
        <w:t>、经济部分得分的中间过程计算值和最终值，均按“四舍五入”原则精确到两位小数。</w:t>
      </w:r>
    </w:p>
    <w:p w14:paraId="6677DFA1">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（1）商务部分得分</w:t>
      </w:r>
    </w:p>
    <w:p w14:paraId="63B59F20">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①评标委员会各成员独立按照《综合评分表》商务部分指定的评分标准对各评分因素进行打分。各评分因素得分之和即为某投标人的商务部分得分。</w:t>
      </w:r>
    </w:p>
    <w:p w14:paraId="4209B01D">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②全体评委对该投标人的商务部分总评分取平均值，按“四舍五入”原则精确到两位小数即为该投标人商务部分的最终得分。</w:t>
      </w:r>
    </w:p>
    <w:p w14:paraId="76A359A2">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技术</w:t>
      </w:r>
      <w:r>
        <w:rPr>
          <w:rFonts w:hint="eastAsia" w:asciiTheme="minorEastAsia" w:hAnsiTheme="minorEastAsia" w:eastAsiaTheme="minorEastAsia" w:cstheme="minorEastAsia"/>
          <w:bCs/>
          <w:color w:val="000000" w:themeColor="text1"/>
          <w:highlight w:val="none"/>
          <w14:textFill>
            <w14:solidFill>
              <w14:schemeClr w14:val="tx1"/>
            </w14:solidFill>
          </w14:textFill>
        </w:rPr>
        <w:t>部分得分</w:t>
      </w:r>
    </w:p>
    <w:p w14:paraId="156A89F3">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①评标委员会各成员独立按照《综合评分表》</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技术</w:t>
      </w:r>
      <w:r>
        <w:rPr>
          <w:rFonts w:hint="eastAsia" w:asciiTheme="minorEastAsia" w:hAnsiTheme="minorEastAsia" w:eastAsiaTheme="minorEastAsia" w:cstheme="minorEastAsia"/>
          <w:bCs/>
          <w:color w:val="000000" w:themeColor="text1"/>
          <w:highlight w:val="none"/>
          <w14:textFill>
            <w14:solidFill>
              <w14:schemeClr w14:val="tx1"/>
            </w14:solidFill>
          </w14:textFill>
        </w:rPr>
        <w:t>部分指定的评分标准对各评分因素进行打分。各评分因素得分之和即为某投标人的</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技术</w:t>
      </w:r>
      <w:r>
        <w:rPr>
          <w:rFonts w:hint="eastAsia" w:asciiTheme="minorEastAsia" w:hAnsiTheme="minorEastAsia" w:eastAsiaTheme="minorEastAsia" w:cstheme="minorEastAsia"/>
          <w:bCs/>
          <w:color w:val="000000" w:themeColor="text1"/>
          <w:highlight w:val="none"/>
          <w14:textFill>
            <w14:solidFill>
              <w14:schemeClr w14:val="tx1"/>
            </w14:solidFill>
          </w14:textFill>
        </w:rPr>
        <w:t>部分得分。</w:t>
      </w:r>
    </w:p>
    <w:p w14:paraId="5CEBE3DF">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②全体评委对该投标人的</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技术</w:t>
      </w:r>
      <w:r>
        <w:rPr>
          <w:rFonts w:hint="eastAsia" w:asciiTheme="minorEastAsia" w:hAnsiTheme="minorEastAsia" w:eastAsiaTheme="minorEastAsia" w:cstheme="minorEastAsia"/>
          <w:bCs/>
          <w:color w:val="000000" w:themeColor="text1"/>
          <w:highlight w:val="none"/>
          <w14:textFill>
            <w14:solidFill>
              <w14:schemeClr w14:val="tx1"/>
            </w14:solidFill>
          </w14:textFill>
        </w:rPr>
        <w:t>部分总评分取平均值，按“四舍五入”原则精确到两位小数即为该投标人</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技术</w:t>
      </w:r>
      <w:r>
        <w:rPr>
          <w:rFonts w:hint="eastAsia" w:asciiTheme="minorEastAsia" w:hAnsiTheme="minorEastAsia" w:eastAsiaTheme="minorEastAsia" w:cstheme="minorEastAsia"/>
          <w:bCs/>
          <w:color w:val="000000" w:themeColor="text1"/>
          <w:highlight w:val="none"/>
          <w14:textFill>
            <w14:solidFill>
              <w14:schemeClr w14:val="tx1"/>
            </w14:solidFill>
          </w14:textFill>
        </w:rPr>
        <w:t>部分的最终得分。</w:t>
      </w:r>
    </w:p>
    <w:p w14:paraId="0794734A">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highlight w:val="none"/>
          <w14:textFill>
            <w14:solidFill>
              <w14:schemeClr w14:val="tx1"/>
            </w14:solidFill>
          </w14:textFill>
        </w:rPr>
        <w:t>）经济部分得分</w:t>
      </w:r>
    </w:p>
    <w:p w14:paraId="1B6DD527">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经济部分评分方法详见《综合评分表》。</w:t>
      </w:r>
    </w:p>
    <w:p w14:paraId="11ADE137">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highlight w:val="none"/>
          <w14:textFill>
            <w14:solidFill>
              <w14:schemeClr w14:val="tx1"/>
            </w14:solidFill>
          </w14:textFill>
        </w:rPr>
        <w:t>）综合得分</w:t>
      </w:r>
    </w:p>
    <w:p w14:paraId="232BC4DF">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综合得分=商务部分得分+</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技术</w:t>
      </w:r>
      <w:r>
        <w:rPr>
          <w:rFonts w:hint="eastAsia" w:asciiTheme="minorEastAsia" w:hAnsiTheme="minorEastAsia" w:eastAsiaTheme="minorEastAsia" w:cstheme="minorEastAsia"/>
          <w:bCs/>
          <w:color w:val="000000" w:themeColor="text1"/>
          <w:highlight w:val="none"/>
          <w14:textFill>
            <w14:solidFill>
              <w14:schemeClr w14:val="tx1"/>
            </w14:solidFill>
          </w14:textFill>
        </w:rPr>
        <w:t>部分得分+经济部分得分</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p>
    <w:p w14:paraId="169A5B0D">
      <w:pPr>
        <w:pStyle w:val="36"/>
        <w:autoSpaceDE w:val="0"/>
        <w:autoSpaceDN w:val="0"/>
        <w:adjustRightInd w:val="0"/>
        <w:ind w:firstLine="480" w:firstLineChars="200"/>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highlight w:val="none"/>
          <w14:textFill>
            <w14:solidFill>
              <w14:schemeClr w14:val="tx1"/>
            </w14:solidFill>
          </w14:textFill>
        </w:rPr>
        <w:t>）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取</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技术部分得分高</w:t>
      </w:r>
      <w:r>
        <w:rPr>
          <w:rFonts w:hint="eastAsia" w:asciiTheme="minorEastAsia" w:hAnsiTheme="minorEastAsia" w:eastAsiaTheme="minorEastAsia" w:cstheme="minorEastAsia"/>
          <w:bCs/>
          <w:color w:val="000000" w:themeColor="text1"/>
          <w:highlight w:val="none"/>
          <w14:textFill>
            <w14:solidFill>
              <w14:schemeClr w14:val="tx1"/>
            </w14:solidFill>
          </w14:textFill>
        </w:rPr>
        <w:t>者为第一中标候选人，并依此确定第二、第三中标候选人。如果最高综合得分相同，投标总价</w:t>
      </w:r>
      <w:r>
        <w:rPr>
          <w:rFonts w:hint="eastAsia" w:asciiTheme="minorEastAsia" w:hAnsiTheme="minorEastAsia" w:eastAsiaTheme="minorEastAsia" w:cstheme="minorEastAsia"/>
          <w:bCs/>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技术部分得分</w:t>
      </w:r>
      <w:r>
        <w:rPr>
          <w:rFonts w:hint="eastAsia" w:asciiTheme="minorEastAsia" w:hAnsiTheme="minorEastAsia" w:eastAsiaTheme="minorEastAsia" w:cstheme="minorEastAsia"/>
          <w:bCs/>
          <w:color w:val="000000" w:themeColor="text1"/>
          <w:highlight w:val="none"/>
          <w14:textFill>
            <w14:solidFill>
              <w14:schemeClr w14:val="tx1"/>
            </w14:solidFill>
          </w14:textFill>
        </w:rPr>
        <w:t>也相同，由评标委员会</w:t>
      </w:r>
      <w:r>
        <w:rPr>
          <w:rFonts w:hint="eastAsia" w:asciiTheme="minorEastAsia" w:hAnsiTheme="minorEastAsia" w:eastAsiaTheme="minorEastAsia" w:cstheme="minorEastAsia"/>
          <w:bCs/>
          <w:color w:val="000000" w:themeColor="text1"/>
          <w:highlight w:val="none"/>
          <w:lang w:val="en-US" w:eastAsia="zh-CN"/>
          <w14:textFill>
            <w14:solidFill>
              <w14:schemeClr w14:val="tx1"/>
            </w14:solidFill>
          </w14:textFill>
        </w:rPr>
        <w:t>随机抽取</w:t>
      </w:r>
      <w:r>
        <w:rPr>
          <w:rFonts w:hint="eastAsia" w:asciiTheme="minorEastAsia" w:hAnsiTheme="minorEastAsia" w:eastAsiaTheme="minorEastAsia" w:cstheme="minorEastAsia"/>
          <w:bCs/>
          <w:color w:val="000000" w:themeColor="text1"/>
          <w:highlight w:val="none"/>
          <w14:textFill>
            <w14:solidFill>
              <w14:schemeClr w14:val="tx1"/>
            </w14:solidFill>
          </w14:textFill>
        </w:rPr>
        <w:t>确定。</w:t>
      </w:r>
      <w:bookmarkEnd w:id="143"/>
    </w:p>
    <w:p w14:paraId="3DBCE0E5">
      <w:pPr>
        <w:spacing w:line="440" w:lineRule="exact"/>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5492FD46">
      <w:pPr>
        <w:pStyle w:val="36"/>
        <w:autoSpaceDE w:val="0"/>
        <w:autoSpaceDN w:val="0"/>
        <w:adjustRightInd w:val="0"/>
        <w:jc w:val="center"/>
        <w:outlineLvl w:val="2"/>
        <w:rPr>
          <w:rFonts w:hint="eastAsia" w:hAnsi="宋体" w:cs="宋体"/>
          <w:b/>
          <w:bCs/>
          <w:color w:val="000000" w:themeColor="text1"/>
          <w:kern w:val="0"/>
          <w:sz w:val="28"/>
          <w:szCs w:val="30"/>
          <w:highlight w:val="none"/>
          <w14:textFill>
            <w14:solidFill>
              <w14:schemeClr w14:val="tx1"/>
            </w14:solidFill>
          </w14:textFill>
        </w:rPr>
      </w:pPr>
      <w:r>
        <w:rPr>
          <w:rFonts w:hint="eastAsia" w:hAnsi="宋体" w:cs="宋体"/>
          <w:b/>
          <w:bCs/>
          <w:color w:val="000000" w:themeColor="text1"/>
          <w:kern w:val="0"/>
          <w:sz w:val="28"/>
          <w:szCs w:val="30"/>
          <w:highlight w:val="none"/>
          <w14:textFill>
            <w14:solidFill>
              <w14:schemeClr w14:val="tx1"/>
            </w14:solidFill>
          </w14:textFill>
        </w:rPr>
        <w:t>综合评分表</w:t>
      </w:r>
    </w:p>
    <w:tbl>
      <w:tblPr>
        <w:tblStyle w:val="21"/>
        <w:tblpPr w:leftFromText="181" w:rightFromText="181" w:vertAnchor="text" w:horzAnchor="page" w:tblpXSpec="center" w:tblpY="1"/>
        <w:tblOverlap w:val="never"/>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680"/>
        <w:gridCol w:w="595"/>
        <w:gridCol w:w="1221"/>
        <w:gridCol w:w="3042"/>
        <w:gridCol w:w="3972"/>
      </w:tblGrid>
      <w:tr w14:paraId="48B6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Merge w:val="restart"/>
            <w:noWrap w:val="0"/>
            <w:vAlign w:val="center"/>
          </w:tcPr>
          <w:p w14:paraId="6977A6A6">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275" w:type="dxa"/>
            <w:gridSpan w:val="2"/>
            <w:vMerge w:val="restart"/>
            <w:noWrap w:val="0"/>
            <w:vAlign w:val="center"/>
          </w:tcPr>
          <w:p w14:paraId="5340052C">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评标内容</w:t>
            </w:r>
          </w:p>
        </w:tc>
        <w:tc>
          <w:tcPr>
            <w:tcW w:w="8235" w:type="dxa"/>
            <w:gridSpan w:val="3"/>
            <w:noWrap w:val="0"/>
            <w:vAlign w:val="center"/>
          </w:tcPr>
          <w:p w14:paraId="34307101">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w:t>
            </w:r>
          </w:p>
        </w:tc>
      </w:tr>
      <w:tr w14:paraId="1B15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Merge w:val="continue"/>
            <w:noWrap w:val="0"/>
            <w:vAlign w:val="center"/>
          </w:tcPr>
          <w:p w14:paraId="5F2327F8">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275" w:type="dxa"/>
            <w:gridSpan w:val="2"/>
            <w:vMerge w:val="continue"/>
            <w:noWrap w:val="0"/>
            <w:vAlign w:val="center"/>
          </w:tcPr>
          <w:p w14:paraId="33F80F0B">
            <w:pPr>
              <w:keepNext/>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4263" w:type="dxa"/>
            <w:gridSpan w:val="2"/>
            <w:noWrap w:val="0"/>
            <w:vAlign w:val="center"/>
          </w:tcPr>
          <w:p w14:paraId="58B369A8">
            <w:pPr>
              <w:keepNext/>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评分标准</w:t>
            </w:r>
          </w:p>
        </w:tc>
        <w:tc>
          <w:tcPr>
            <w:tcW w:w="3972" w:type="dxa"/>
            <w:noWrap w:val="0"/>
            <w:vAlign w:val="center"/>
          </w:tcPr>
          <w:p w14:paraId="75769692">
            <w:pPr>
              <w:keepNext/>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备注</w:t>
            </w:r>
          </w:p>
        </w:tc>
      </w:tr>
      <w:tr w14:paraId="3F40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Merge w:val="restart"/>
            <w:noWrap w:val="0"/>
            <w:vAlign w:val="center"/>
          </w:tcPr>
          <w:p w14:paraId="7FC59CF9">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680" w:type="dxa"/>
            <w:vMerge w:val="restart"/>
            <w:noWrap w:val="0"/>
            <w:vAlign w:val="center"/>
          </w:tcPr>
          <w:p w14:paraId="5704E097">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商务得分（50分）</w:t>
            </w:r>
          </w:p>
        </w:tc>
        <w:tc>
          <w:tcPr>
            <w:tcW w:w="595" w:type="dxa"/>
            <w:vMerge w:val="restart"/>
            <w:noWrap w:val="0"/>
            <w:vAlign w:val="center"/>
          </w:tcPr>
          <w:p w14:paraId="7EAEBBEE">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施工企业（30分）</w:t>
            </w:r>
          </w:p>
        </w:tc>
        <w:tc>
          <w:tcPr>
            <w:tcW w:w="1221" w:type="dxa"/>
            <w:noWrap w:val="0"/>
            <w:vAlign w:val="center"/>
          </w:tcPr>
          <w:p w14:paraId="74379F56">
            <w:pPr>
              <w:keepNext/>
              <w:keepLines w:val="0"/>
              <w:pageBreakBefore w:val="0"/>
              <w:widowControl/>
              <w:tabs>
                <w:tab w:val="left" w:pos="7020"/>
              </w:tabs>
              <w:kinsoku/>
              <w:wordWrap/>
              <w:overflowPunct/>
              <w:topLinePunct w:val="0"/>
              <w:autoSpaceDE/>
              <w:autoSpaceDN/>
              <w:bidi w:val="0"/>
              <w:spacing w:line="360" w:lineRule="exact"/>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企业奖项</w:t>
            </w:r>
          </w:p>
          <w:p w14:paraId="429BD3EA">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3042" w:type="dxa"/>
            <w:noWrap w:val="0"/>
            <w:vAlign w:val="center"/>
          </w:tcPr>
          <w:p w14:paraId="732BD96C">
            <w:pPr>
              <w:keepNext w:val="0"/>
              <w:keepLines/>
              <w:pageBreakBefore w:val="0"/>
              <w:widowControl w:val="0"/>
              <w:kinsoku/>
              <w:wordWrap w:val="0"/>
              <w:overflowPunct/>
              <w:topLinePunct/>
              <w:autoSpaceDE/>
              <w:autoSpaceDN/>
              <w:bidi w:val="0"/>
              <w:spacing w:beforeLines="0" w:after="0" w:afterLines="0" w:line="360" w:lineRule="exact"/>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企业</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近5年来（</w:t>
            </w:r>
            <w:r>
              <w:rPr>
                <w:rFonts w:hint="eastAsia" w:ascii="宋体" w:hAnsi="宋体" w:eastAsia="宋体" w:cs="宋体"/>
                <w:snapToGrid w:val="0"/>
                <w:color w:val="000000" w:themeColor="text1"/>
                <w:sz w:val="24"/>
                <w:szCs w:val="24"/>
                <w:highlight w:val="none"/>
                <w14:textFill>
                  <w14:solidFill>
                    <w14:schemeClr w14:val="tx1"/>
                  </w14:solidFill>
                </w14:textFill>
              </w:rPr>
              <w:t>20</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snapToGrid w:val="0"/>
                <w:color w:val="000000" w:themeColor="text1"/>
                <w:sz w:val="24"/>
                <w:szCs w:val="24"/>
                <w:highlight w:val="none"/>
                <w14:textFill>
                  <w14:solidFill>
                    <w14:schemeClr w14:val="tx1"/>
                  </w14:solidFill>
                </w14:textFill>
              </w:rPr>
              <w:t>年</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7</w:t>
            </w:r>
            <w:r>
              <w:rPr>
                <w:rFonts w:hint="eastAsia" w:ascii="宋体" w:hAnsi="宋体" w:eastAsia="宋体" w:cs="宋体"/>
                <w:snapToGrid w:val="0"/>
                <w:color w:val="000000" w:themeColor="text1"/>
                <w:sz w:val="24"/>
                <w:szCs w:val="24"/>
                <w:highlight w:val="none"/>
                <w14:textFill>
                  <w14:solidFill>
                    <w14:schemeClr w14:val="tx1"/>
                  </w14:solidFill>
                </w14:textFill>
              </w:rPr>
              <w:t>月1日至今</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获得</w:t>
            </w:r>
            <w:r>
              <w:rPr>
                <w:rFonts w:hint="eastAsia" w:ascii="宋体" w:hAnsi="宋体" w:eastAsia="宋体" w:cs="宋体"/>
                <w:snapToGrid w:val="0"/>
                <w:color w:val="000000" w:themeColor="text1"/>
                <w:sz w:val="24"/>
                <w:szCs w:val="24"/>
                <w:highlight w:val="none"/>
                <w:u w:val="single"/>
                <w:lang w:val="en-US" w:eastAsia="zh-CN"/>
                <w14:textFill>
                  <w14:solidFill>
                    <w14:schemeClr w14:val="tx1"/>
                  </w14:solidFill>
                </w14:textFill>
              </w:rPr>
              <w:t>工程类</w:t>
            </w:r>
            <w:r>
              <w:rPr>
                <w:rFonts w:hint="eastAsia" w:ascii="宋体" w:hAnsi="宋体" w:eastAsia="宋体" w:cs="宋体"/>
                <w:snapToGrid w:val="0"/>
                <w:color w:val="000000" w:themeColor="text1"/>
                <w:sz w:val="24"/>
                <w:szCs w:val="24"/>
                <w:highlight w:val="none"/>
                <w14:textFill>
                  <w14:solidFill>
                    <w14:schemeClr w14:val="tx1"/>
                  </w14:solidFill>
                </w14:textFill>
              </w:rPr>
              <w:t>奖项情况</w:t>
            </w:r>
            <w:r>
              <w:rPr>
                <w:rFonts w:hint="eastAsia" w:ascii="宋体" w:hAnsi="宋体" w:eastAsia="宋体" w:cs="宋体"/>
                <w:snapToGrid w:val="0"/>
                <w:color w:val="000000" w:themeColor="text1"/>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不含参建项目</w:t>
            </w:r>
            <w:r>
              <w:rPr>
                <w:rFonts w:hint="eastAsia" w:ascii="宋体" w:hAnsi="宋体" w:eastAsia="宋体" w:cs="宋体"/>
                <w:snapToGrid w:val="0"/>
                <w:color w:val="000000" w:themeColor="text1"/>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0FC145B6">
            <w:pPr>
              <w:keepNext w:val="0"/>
              <w:keepLines/>
              <w:pageBreakBefore w:val="0"/>
              <w:widowControl w:val="0"/>
              <w:kinsoku/>
              <w:wordWrap w:val="0"/>
              <w:overflowPunct/>
              <w:topLinePunct/>
              <w:autoSpaceDE/>
              <w:autoSpaceDN/>
              <w:bidi w:val="0"/>
              <w:spacing w:beforeLines="0" w:after="0" w:afterLines="0" w:line="360" w:lineRule="exact"/>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14:textFill>
                  <w14:solidFill>
                    <w14:schemeClr w14:val="tx1"/>
                  </w14:solidFill>
                </w14:textFill>
              </w:rPr>
              <w:t>1．获得省级</w:t>
            </w:r>
            <w:r>
              <w:rPr>
                <w:rFonts w:hint="eastAsia" w:hAnsi="宋体" w:eastAsia="宋体" w:cs="宋体"/>
                <w:snapToGrid w:val="0"/>
                <w:color w:val="000000" w:themeColor="text1"/>
                <w:sz w:val="24"/>
                <w:szCs w:val="24"/>
                <w:highlight w:val="none"/>
                <w:lang w:eastAsia="zh-CN"/>
                <w14:textFill>
                  <w14:solidFill>
                    <w14:schemeClr w14:val="tx1"/>
                  </w14:solidFill>
                </w14:textFill>
              </w:rPr>
              <w:t>或省级</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以上</w:t>
            </w:r>
            <w:r>
              <w:rPr>
                <w:rFonts w:hint="eastAsia" w:ascii="宋体" w:hAnsi="宋体" w:eastAsia="宋体" w:cs="宋体"/>
                <w:snapToGrid w:val="0"/>
                <w:color w:val="000000" w:themeColor="text1"/>
                <w:sz w:val="24"/>
                <w:szCs w:val="24"/>
                <w:highlight w:val="none"/>
                <w14:textFill>
                  <w14:solidFill>
                    <w14:schemeClr w14:val="tx1"/>
                  </w14:solidFill>
                </w14:textFill>
              </w:rPr>
              <w:t>奖项的，</w:t>
            </w:r>
            <w:r>
              <w:rPr>
                <w:rFonts w:hint="eastAsia" w:hAnsi="宋体" w:eastAsia="宋体" w:cs="宋体"/>
                <w:snapToGrid w:val="0"/>
                <w:color w:val="000000" w:themeColor="text1"/>
                <w:sz w:val="24"/>
                <w:szCs w:val="24"/>
                <w:highlight w:val="none"/>
                <w:lang w:eastAsia="zh-CN"/>
                <w14:textFill>
                  <w14:solidFill>
                    <w14:schemeClr w14:val="tx1"/>
                  </w14:solidFill>
                </w14:textFill>
              </w:rPr>
              <w:t>每个</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得</w:t>
            </w:r>
            <w:r>
              <w:rPr>
                <w:rFonts w:hint="eastAsia" w:hAnsi="宋体" w:eastAsia="宋体" w:cs="宋体"/>
                <w:snapToGrid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snapToGrid w:val="0"/>
                <w:color w:val="000000" w:themeColor="text1"/>
                <w:sz w:val="24"/>
                <w:szCs w:val="24"/>
                <w:highlight w:val="none"/>
                <w14:textFill>
                  <w14:solidFill>
                    <w14:schemeClr w14:val="tx1"/>
                  </w14:solidFill>
                </w14:textFill>
              </w:rPr>
              <w:t>。</w:t>
            </w:r>
          </w:p>
          <w:p w14:paraId="2939BC4E">
            <w:pPr>
              <w:keepNext w:val="0"/>
              <w:keepLines/>
              <w:pageBreakBefore w:val="0"/>
              <w:widowControl w:val="0"/>
              <w:kinsoku/>
              <w:wordWrap w:val="0"/>
              <w:overflowPunct/>
              <w:topLinePunct/>
              <w:autoSpaceDE/>
              <w:autoSpaceDN/>
              <w:bidi w:val="0"/>
              <w:spacing w:beforeLines="0" w:after="0" w:afterLines="0" w:line="360" w:lineRule="exact"/>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snapToGrid w:val="0"/>
                <w:color w:val="000000" w:themeColor="text1"/>
                <w:sz w:val="24"/>
                <w:szCs w:val="24"/>
                <w:highlight w:val="none"/>
                <w14:textFill>
                  <w14:solidFill>
                    <w14:schemeClr w14:val="tx1"/>
                  </w14:solidFill>
                </w14:textFill>
              </w:rPr>
              <w:t>．获得地市级奖项的，每个得</w:t>
            </w:r>
            <w:r>
              <w:rPr>
                <w:rFonts w:hint="eastAsia" w:hAnsi="宋体" w:eastAsia="宋体" w:cs="宋体"/>
                <w:snapToGrid w:val="0"/>
                <w:color w:val="000000" w:themeColor="text1"/>
                <w:sz w:val="24"/>
                <w:szCs w:val="24"/>
                <w:highlight w:val="none"/>
                <w:u w:val="none"/>
                <w:lang w:val="en-US" w:eastAsia="zh-CN"/>
                <w14:textFill>
                  <w14:solidFill>
                    <w14:schemeClr w14:val="tx1"/>
                  </w14:solidFill>
                </w14:textFill>
              </w:rPr>
              <w:t>2</w:t>
            </w:r>
            <w:r>
              <w:rPr>
                <w:rFonts w:hint="eastAsia" w:ascii="宋体" w:hAnsi="宋体" w:eastAsia="宋体" w:cs="宋体"/>
                <w:snapToGrid w:val="0"/>
                <w:color w:val="000000" w:themeColor="text1"/>
                <w:sz w:val="24"/>
                <w:szCs w:val="24"/>
                <w:highlight w:val="none"/>
                <w:u w:val="none"/>
                <w14:textFill>
                  <w14:solidFill>
                    <w14:schemeClr w14:val="tx1"/>
                  </w14:solidFill>
                </w14:textFill>
              </w:rPr>
              <w:t>分。</w:t>
            </w:r>
          </w:p>
          <w:p w14:paraId="5EB6F7C7">
            <w:pPr>
              <w:keepNext w:val="0"/>
              <w:keepLines/>
              <w:pageBreakBefore w:val="0"/>
              <w:widowControl w:val="0"/>
              <w:kinsoku/>
              <w:wordWrap w:val="0"/>
              <w:overflowPunct/>
              <w:topLinePunct/>
              <w:autoSpaceDE/>
              <w:autoSpaceDN/>
              <w:bidi w:val="0"/>
              <w:spacing w:beforeLines="0" w:after="0" w:afterLines="0" w:line="360" w:lineRule="exact"/>
              <w:jc w:val="both"/>
              <w:textAlignment w:val="auto"/>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snapToGrid w:val="0"/>
                <w:color w:val="000000" w:themeColor="text1"/>
                <w:sz w:val="24"/>
                <w:szCs w:val="24"/>
                <w:highlight w:val="none"/>
                <w14:textFill>
                  <w14:solidFill>
                    <w14:schemeClr w14:val="tx1"/>
                  </w14:solidFill>
                </w14:textFill>
              </w:rPr>
              <w:t>．以上奖项均未获得的，不予计分。</w:t>
            </w:r>
          </w:p>
          <w:p w14:paraId="718A188B">
            <w:pPr>
              <w:pStyle w:val="5"/>
              <w:rPr>
                <w:rFonts w:hint="default" w:eastAsia="宋体"/>
                <w:b w:val="0"/>
                <w:bCs/>
                <w:color w:val="000000" w:themeColor="text1"/>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sz w:val="24"/>
                <w:szCs w:val="24"/>
                <w:highlight w:val="none"/>
                <w:lang w:val="en-US" w:eastAsia="zh-CN"/>
                <w14:textFill>
                  <w14:solidFill>
                    <w14:schemeClr w14:val="tx1"/>
                  </w14:solidFill>
                </w14:textFill>
              </w:rPr>
              <w:t>4.本项最高得4分。</w:t>
            </w:r>
          </w:p>
          <w:p w14:paraId="4A060B85">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3972" w:type="dxa"/>
            <w:noWrap w:val="0"/>
            <w:vAlign w:val="center"/>
          </w:tcPr>
          <w:p w14:paraId="4DA088A4">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trike/>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1．允许投标人提交多个业绩，但同一业绩只按最高级别奖项计分一次。</w:t>
            </w:r>
          </w:p>
          <w:p w14:paraId="2C080FA6">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2．需附有关奖项证明</w:t>
            </w: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彩色</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扫描件。</w:t>
            </w:r>
          </w:p>
          <w:p w14:paraId="6EDC665E">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3．颁发机构限定以下范围：</w:t>
            </w:r>
          </w:p>
          <w:p w14:paraId="37BC61A2">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b/>
                <w:bCs/>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①国家级奖项：</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国务院、住建部、国家级行业协会</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w:t>
            </w:r>
            <w:r>
              <w:rPr>
                <w:rFonts w:hint="eastAsia" w:ascii="宋体" w:hAnsi="宋体" w:eastAsia="宋体" w:cs="宋体"/>
                <w:b/>
                <w:bCs/>
                <w:snapToGrid w:val="0"/>
                <w:color w:val="000000" w:themeColor="text1"/>
                <w:kern w:val="0"/>
                <w:sz w:val="24"/>
                <w:szCs w:val="24"/>
                <w:highlight w:val="none"/>
                <w:lang w:val="en-US" w:eastAsia="zh-CN" w:bidi="ar-SA"/>
                <w14:textFill>
                  <w14:solidFill>
                    <w14:schemeClr w14:val="tx1"/>
                  </w14:solidFill>
                </w14:textFill>
              </w:rPr>
              <w:t>（相关协会需经民政部门备案）</w:t>
            </w:r>
          </w:p>
          <w:p w14:paraId="0768EB42">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②省级奖项：</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省级人民政府、省级住建部门、省级行业协会</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w:t>
            </w:r>
            <w:r>
              <w:rPr>
                <w:rFonts w:hint="eastAsia" w:ascii="宋体" w:hAnsi="宋体" w:eastAsia="宋体" w:cs="宋体"/>
                <w:b/>
                <w:bCs/>
                <w:snapToGrid w:val="0"/>
                <w:color w:val="000000" w:themeColor="text1"/>
                <w:kern w:val="0"/>
                <w:sz w:val="24"/>
                <w:szCs w:val="24"/>
                <w:highlight w:val="none"/>
                <w:lang w:val="en-US" w:eastAsia="zh-CN" w:bidi="ar-SA"/>
                <w14:textFill>
                  <w14:solidFill>
                    <w14:schemeClr w14:val="tx1"/>
                  </w14:solidFill>
                </w14:textFill>
              </w:rPr>
              <w:t>（相关协会需经民政部门备案）</w:t>
            </w:r>
          </w:p>
          <w:p w14:paraId="1D2AB6F4">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③地市级奖项：</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地市级人民政府、地市级住建部门、</w:t>
            </w:r>
            <w:r>
              <w:rPr>
                <w:rFonts w:hint="eastAsia" w:hAnsi="宋体" w:eastAsia="宋体" w:cs="宋体"/>
                <w:color w:val="000000" w:themeColor="text1"/>
                <w:kern w:val="2"/>
                <w:sz w:val="24"/>
                <w:szCs w:val="24"/>
                <w:highlight w:val="none"/>
                <w:lang w:val="en-US" w:eastAsia="zh-CN" w:bidi="ar-SA"/>
                <w14:textFill>
                  <w14:solidFill>
                    <w14:schemeClr w14:val="tx1"/>
                  </w14:solidFill>
                </w14:textFill>
              </w:rPr>
              <w:t>地</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市级行业协会。</w:t>
            </w:r>
            <w:r>
              <w:rPr>
                <w:rFonts w:hint="eastAsia" w:ascii="宋体" w:hAnsi="宋体" w:eastAsia="宋体" w:cs="宋体"/>
                <w:b/>
                <w:bCs/>
                <w:snapToGrid w:val="0"/>
                <w:color w:val="000000" w:themeColor="text1"/>
                <w:kern w:val="0"/>
                <w:sz w:val="24"/>
                <w:szCs w:val="24"/>
                <w:highlight w:val="none"/>
                <w:lang w:val="en-US" w:eastAsia="zh-CN" w:bidi="ar-SA"/>
                <w14:textFill>
                  <w14:solidFill>
                    <w14:schemeClr w14:val="tx1"/>
                  </w14:solidFill>
                </w14:textFill>
              </w:rPr>
              <w:t>（相关协会需经民政部门备案）</w:t>
            </w:r>
          </w:p>
          <w:p w14:paraId="2571F8F3">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4．获奖时间以奖项证明的落款日期为准。</w:t>
            </w:r>
          </w:p>
          <w:p w14:paraId="59D70F2F">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5．任一奖项有以下情形之一的，该奖项视为无效，不予计分：</w:t>
            </w:r>
          </w:p>
          <w:p w14:paraId="7581906A">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①奖项不属于指定类别的；</w:t>
            </w:r>
          </w:p>
          <w:p w14:paraId="4622F22D">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②颁发机构不符合要求的；</w:t>
            </w:r>
          </w:p>
          <w:p w14:paraId="49906069">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③获奖时间不符合要求的；</w:t>
            </w:r>
          </w:p>
          <w:p w14:paraId="187F6664">
            <w:pPr>
              <w:keepNext/>
              <w:keepLines w:val="0"/>
              <w:pageBreakBefore w:val="0"/>
              <w:widowControl/>
              <w:kinsoku/>
              <w:wordWrap/>
              <w:overflowPunct/>
              <w:topLinePunct w:val="0"/>
              <w:autoSpaceDE/>
              <w:autoSpaceDN/>
              <w:bidi w:val="0"/>
              <w:snapToGrid w:val="0"/>
              <w:spacing w:line="360" w:lineRule="exact"/>
              <w:textAlignment w:val="baseline"/>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6.组成联合体的,由牵头单位提供。</w:t>
            </w:r>
          </w:p>
          <w:p w14:paraId="364AB41B">
            <w:pPr>
              <w:keepNext/>
              <w:keepLines w:val="0"/>
              <w:pageBreakBefore w:val="0"/>
              <w:widowControl/>
              <w:kinsoku/>
              <w:wordWrap/>
              <w:overflowPunct/>
              <w:topLinePunct w:val="0"/>
              <w:autoSpaceDE/>
              <w:autoSpaceDN/>
              <w:bidi w:val="0"/>
              <w:snapToGrid w:val="0"/>
              <w:spacing w:line="360" w:lineRule="exact"/>
              <w:textAlignment w:val="baseline"/>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bidi="ar-SA"/>
                <w14:textFill>
                  <w14:solidFill>
                    <w14:schemeClr w14:val="tx1"/>
                  </w14:solidFill>
                </w14:textFill>
              </w:rPr>
              <w:t>说明：以上所称“要求”均指本表评分标准及备注的要求，下同。</w:t>
            </w:r>
          </w:p>
        </w:tc>
      </w:tr>
      <w:tr w14:paraId="036F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Merge w:val="continue"/>
            <w:noWrap w:val="0"/>
            <w:vAlign w:val="center"/>
          </w:tcPr>
          <w:p w14:paraId="3912F86A">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80" w:type="dxa"/>
            <w:vMerge w:val="continue"/>
            <w:noWrap w:val="0"/>
            <w:vAlign w:val="center"/>
          </w:tcPr>
          <w:p w14:paraId="7A254CFC">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595" w:type="dxa"/>
            <w:vMerge w:val="continue"/>
            <w:noWrap w:val="0"/>
            <w:vAlign w:val="center"/>
          </w:tcPr>
          <w:p w14:paraId="570F1951">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221" w:type="dxa"/>
            <w:noWrap w:val="0"/>
            <w:vAlign w:val="center"/>
          </w:tcPr>
          <w:p w14:paraId="6978486D">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企业业绩（4分）</w:t>
            </w:r>
          </w:p>
        </w:tc>
        <w:tc>
          <w:tcPr>
            <w:tcW w:w="3042" w:type="dxa"/>
            <w:noWrap w:val="0"/>
            <w:vAlign w:val="center"/>
          </w:tcPr>
          <w:p w14:paraId="77D5BC86">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企业近</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年来（2020年7月1日至今）业绩情况：</w:t>
            </w:r>
          </w:p>
          <w:p w14:paraId="066B317F">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u w:val="single"/>
                <w:lang w:val="en-US" w:eastAsia="zh-CN" w:bidi="ar-SA"/>
                <w14:textFill>
                  <w14:solidFill>
                    <w14:schemeClr w14:val="tx1"/>
                  </w14:solidFill>
                </w14:textFill>
              </w:rPr>
              <w:t xml:space="preserve"> 承接</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过类似工程的，每个得</w:t>
            </w:r>
            <w:r>
              <w:rPr>
                <w:rFonts w:hint="eastAsia" w:ascii="宋体" w:hAnsi="宋体" w:eastAsia="宋体" w:cs="宋体"/>
                <w:snapToGrid w:val="0"/>
                <w:color w:val="000000" w:themeColor="text1"/>
                <w:kern w:val="0"/>
                <w:sz w:val="24"/>
                <w:szCs w:val="24"/>
                <w:highlight w:val="none"/>
                <w:u w:val="single"/>
                <w:lang w:val="en-US" w:eastAsia="zh-CN" w:bidi="ar-SA"/>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分。</w:t>
            </w:r>
          </w:p>
          <w:p w14:paraId="018BCD30">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2．未</w:t>
            </w:r>
            <w:r>
              <w:rPr>
                <w:rFonts w:hint="eastAsia" w:ascii="宋体" w:hAnsi="宋体" w:eastAsia="宋体" w:cs="宋体"/>
                <w:snapToGrid w:val="0"/>
                <w:color w:val="000000" w:themeColor="text1"/>
                <w:kern w:val="0"/>
                <w:sz w:val="24"/>
                <w:szCs w:val="24"/>
                <w:highlight w:val="none"/>
                <w:u w:val="single"/>
                <w:lang w:val="en-US" w:eastAsia="zh-CN" w:bidi="ar-SA"/>
                <w14:textFill>
                  <w14:solidFill>
                    <w14:schemeClr w14:val="tx1"/>
                  </w14:solidFill>
                </w14:textFill>
              </w:rPr>
              <w:t xml:space="preserve"> 承接  </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过类似工程的，不予计分。</w:t>
            </w:r>
          </w:p>
          <w:p w14:paraId="40D1C87B">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3．本项最高得4分。</w:t>
            </w:r>
          </w:p>
        </w:tc>
        <w:tc>
          <w:tcPr>
            <w:tcW w:w="3972" w:type="dxa"/>
            <w:noWrap w:val="0"/>
            <w:vAlign w:val="center"/>
          </w:tcPr>
          <w:p w14:paraId="69E3D56E">
            <w:pPr>
              <w:keepNext/>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1．类似工程指：</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单项合同金额≥1500万元的房屋建筑</w:t>
            </w:r>
            <w:r>
              <w:rPr>
                <w:rFonts w:hint="eastAsia" w:ascii="宋体" w:hAnsi="宋体" w:eastAsia="宋体" w:cs="宋体"/>
                <w:snapToGrid w:val="0"/>
                <w:color w:val="000000" w:themeColor="text1"/>
                <w:kern w:val="0"/>
                <w:sz w:val="24"/>
                <w:szCs w:val="24"/>
                <w:highlight w:val="none"/>
                <w:u w:val="single"/>
                <w:lang w:val="en-US" w:eastAsia="zh-CN" w:bidi="ar-SA"/>
                <w14:textFill>
                  <w14:solidFill>
                    <w14:schemeClr w14:val="tx1"/>
                  </w14:solidFill>
                </w14:textFill>
              </w:rPr>
              <w:t>或市政</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工程</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w:t>
            </w:r>
          </w:p>
          <w:p w14:paraId="584AB5C9">
            <w:pPr>
              <w:keepNext/>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宋体" w:hAnsi="宋体" w:eastAsia="宋体" w:cs="宋体"/>
                <w:i/>
                <w:iCs/>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2．需</w:t>
            </w: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同时</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附有关业绩（施工</w:t>
            </w:r>
            <w:r>
              <w:rPr>
                <w:rFonts w:hint="eastAsia" w:ascii="宋体" w:hAnsi="宋体" w:eastAsia="宋体" w:cs="宋体"/>
                <w:snapToGrid w:val="0"/>
                <w:color w:val="000000" w:themeColor="text1"/>
                <w:kern w:val="0"/>
                <w:sz w:val="24"/>
                <w:szCs w:val="24"/>
                <w:highlight w:val="none"/>
                <w:u w:val="single"/>
                <w:lang w:val="en-US" w:eastAsia="zh-CN" w:bidi="ar-SA"/>
                <w14:textFill>
                  <w14:solidFill>
                    <w14:schemeClr w14:val="tx1"/>
                  </w14:solidFill>
                </w14:textFill>
              </w:rPr>
              <w:t xml:space="preserve"> 总承包</w:t>
            </w:r>
            <w:r>
              <w:rPr>
                <w:rFonts w:hint="eastAsia" w:hAnsi="宋体" w:eastAsia="宋体" w:cs="宋体"/>
                <w:snapToGrid w:val="0"/>
                <w:color w:val="000000" w:themeColor="text1"/>
                <w:kern w:val="0"/>
                <w:sz w:val="24"/>
                <w:szCs w:val="24"/>
                <w:highlight w:val="none"/>
                <w:u w:val="single"/>
                <w:lang w:val="en-US" w:eastAsia="zh-CN" w:bidi="ar-SA"/>
                <w14:textFill>
                  <w14:solidFill>
                    <w14:schemeClr w14:val="tx1"/>
                  </w14:solidFill>
                </w14:textFill>
              </w:rPr>
              <w:t>项目</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或设计施工总承包项目）合同协议书关键页</w:t>
            </w: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、中标通知书、验收报告的彩色</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扫描件</w:t>
            </w:r>
          </w:p>
          <w:p w14:paraId="2F40E17A">
            <w:pPr>
              <w:keepNext/>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3．业绩时间以合同协议书日期为准。</w:t>
            </w:r>
          </w:p>
          <w:p w14:paraId="2A27C559">
            <w:pPr>
              <w:keepNext/>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4．任一业绩有以下情形之一的，该业绩视为无效，不予计分：</w:t>
            </w:r>
          </w:p>
          <w:p w14:paraId="4C1CE120">
            <w:pPr>
              <w:keepNext/>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①业绩不属于类似工程的；</w:t>
            </w:r>
          </w:p>
          <w:p w14:paraId="2839A424">
            <w:pPr>
              <w:keepNext/>
              <w:keepLines w:val="0"/>
              <w:pageBreakBefore w:val="0"/>
              <w:widowControl/>
              <w:kinsoku/>
              <w:wordWrap/>
              <w:overflowPunct/>
              <w:topLinePunct w:val="0"/>
              <w:autoSpaceDE/>
              <w:autoSpaceDN/>
              <w:bidi w:val="0"/>
              <w:adjustRightInd w:val="0"/>
              <w:snapToGrid w:val="0"/>
              <w:spacing w:after="0" w:line="360" w:lineRule="exact"/>
              <w:jc w:val="both"/>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②业绩时间和金额不符合要求的。</w:t>
            </w:r>
          </w:p>
          <w:p w14:paraId="551BA961">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bidi="ar-SA"/>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组成联合体的,由牵头单位提供。</w:t>
            </w:r>
          </w:p>
        </w:tc>
      </w:tr>
      <w:tr w14:paraId="7BA7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0" w:hRule="atLeast"/>
          <w:jc w:val="center"/>
        </w:trPr>
        <w:tc>
          <w:tcPr>
            <w:tcW w:w="576" w:type="dxa"/>
            <w:vMerge w:val="continue"/>
            <w:noWrap w:val="0"/>
            <w:vAlign w:val="center"/>
          </w:tcPr>
          <w:p w14:paraId="0CE5F1AF">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80" w:type="dxa"/>
            <w:vMerge w:val="continue"/>
            <w:noWrap w:val="0"/>
            <w:vAlign w:val="center"/>
          </w:tcPr>
          <w:p w14:paraId="3B637D65">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595" w:type="dxa"/>
            <w:vMerge w:val="continue"/>
            <w:noWrap w:val="0"/>
            <w:vAlign w:val="center"/>
          </w:tcPr>
          <w:p w14:paraId="3392C2A4">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221" w:type="dxa"/>
            <w:noWrap w:val="0"/>
            <w:vAlign w:val="center"/>
          </w:tcPr>
          <w:p w14:paraId="68BAA8F4">
            <w:pPr>
              <w:keepNext/>
              <w:keepLines w:val="0"/>
              <w:pageBreakBefore w:val="0"/>
              <w:widowControl/>
              <w:kinsoku/>
              <w:wordWrap/>
              <w:overflowPunct/>
              <w:topLinePunct w:val="0"/>
              <w:autoSpaceDE/>
              <w:autoSpaceDN/>
              <w:bidi w:val="0"/>
              <w:adjustRightInd w:val="0"/>
              <w:snapToGrid w:val="0"/>
              <w:spacing w:after="0" w:line="360" w:lineRule="exact"/>
              <w:jc w:val="cente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项目经理 综合素质（</w:t>
            </w: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分）</w:t>
            </w:r>
          </w:p>
        </w:tc>
        <w:tc>
          <w:tcPr>
            <w:tcW w:w="3042" w:type="dxa"/>
            <w:noWrap w:val="0"/>
            <w:vAlign w:val="center"/>
          </w:tcPr>
          <w:p w14:paraId="673ACF62">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项目经理工程类技术职称情况：</w:t>
            </w:r>
          </w:p>
          <w:p w14:paraId="3CC00E8F">
            <w:pPr>
              <w:keepNext/>
              <w:keepLines w:val="0"/>
              <w:pageBreakBefore w:val="0"/>
              <w:widowControl/>
              <w:numPr>
                <w:ilvl w:val="0"/>
                <w:numId w:val="3"/>
              </w:numPr>
              <w:kinsoku/>
              <w:wordWrap/>
              <w:overflowPunct/>
              <w:topLinePunct w:val="0"/>
              <w:autoSpaceDE/>
              <w:autoSpaceDN/>
              <w:bidi w:val="0"/>
              <w:adjustRightInd w:val="0"/>
              <w:snapToGrid w:val="0"/>
              <w:spacing w:after="0" w:line="360" w:lineRule="exact"/>
              <w:jc w:val="both"/>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具备工程师或以上职称的，得</w:t>
            </w: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分</w:t>
            </w: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w:t>
            </w:r>
          </w:p>
          <w:p w14:paraId="6C1A95A7">
            <w:pPr>
              <w:keepNext/>
              <w:keepLines w:val="0"/>
              <w:pageBreakBefore w:val="0"/>
              <w:widowControl/>
              <w:numPr>
                <w:ilvl w:val="0"/>
                <w:numId w:val="0"/>
              </w:numPr>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具备助理工程师职称的，得 </w:t>
            </w: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 xml:space="preserve"> 分</w:t>
            </w: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w:t>
            </w:r>
          </w:p>
          <w:p w14:paraId="156B58D9">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3.同时具备一级注册造价工程师</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职称的，加</w:t>
            </w: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分；</w:t>
            </w:r>
          </w:p>
          <w:p w14:paraId="166ADD7A">
            <w:pPr>
              <w:keepNext/>
              <w:keepLines w:val="0"/>
              <w:pageBreakBefore w:val="0"/>
              <w:widowControl/>
              <w:numPr>
                <w:ilvl w:val="0"/>
                <w:numId w:val="0"/>
              </w:numPr>
              <w:kinsoku/>
              <w:wordWrap/>
              <w:overflowPunct/>
              <w:topLinePunct w:val="0"/>
              <w:autoSpaceDE/>
              <w:autoSpaceDN/>
              <w:bidi w:val="0"/>
              <w:adjustRightInd w:val="0"/>
              <w:snapToGrid w:val="0"/>
              <w:spacing w:after="0" w:line="360" w:lineRule="exact"/>
              <w:jc w:val="both"/>
              <w:rPr>
                <w:rFonts w:hint="default"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4.同时具备二级注册造价工程师</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职称的，加</w:t>
            </w: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分；</w:t>
            </w:r>
          </w:p>
          <w:p w14:paraId="549F9775">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不具备以上职称的，不予计分。</w:t>
            </w:r>
          </w:p>
          <w:p w14:paraId="2B1ACAB4">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．本项最高得</w:t>
            </w: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分。</w:t>
            </w:r>
          </w:p>
        </w:tc>
        <w:tc>
          <w:tcPr>
            <w:tcW w:w="3972" w:type="dxa"/>
            <w:noWrap w:val="0"/>
            <w:vAlign w:val="center"/>
          </w:tcPr>
          <w:p w14:paraId="64250C49">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1.需附职称证彩色扫描件（或打印件）。</w:t>
            </w:r>
          </w:p>
          <w:p w14:paraId="58979104">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组成联合体的,由牵头单位提供。</w:t>
            </w:r>
          </w:p>
        </w:tc>
      </w:tr>
      <w:tr w14:paraId="14A0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6" w:hRule="atLeast"/>
          <w:jc w:val="center"/>
        </w:trPr>
        <w:tc>
          <w:tcPr>
            <w:tcW w:w="576" w:type="dxa"/>
            <w:vMerge w:val="continue"/>
            <w:noWrap w:val="0"/>
            <w:vAlign w:val="center"/>
          </w:tcPr>
          <w:p w14:paraId="12B5DEC7">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80" w:type="dxa"/>
            <w:vMerge w:val="continue"/>
            <w:noWrap w:val="0"/>
            <w:vAlign w:val="center"/>
          </w:tcPr>
          <w:p w14:paraId="39A13075">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595" w:type="dxa"/>
            <w:vMerge w:val="continue"/>
            <w:noWrap w:val="0"/>
            <w:vAlign w:val="center"/>
          </w:tcPr>
          <w:p w14:paraId="6F21652B">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221" w:type="dxa"/>
            <w:noWrap w:val="0"/>
            <w:vAlign w:val="center"/>
          </w:tcPr>
          <w:p w14:paraId="3EB3EE7D">
            <w:pPr>
              <w:keepNext/>
              <w:keepLines w:val="0"/>
              <w:pageBreakBefore w:val="0"/>
              <w:widowControl/>
              <w:kinsoku/>
              <w:wordWrap/>
              <w:overflowPunct/>
              <w:topLinePunct w:val="0"/>
              <w:autoSpaceDE/>
              <w:autoSpaceDN/>
              <w:bidi w:val="0"/>
              <w:adjustRightInd w:val="0"/>
              <w:snapToGrid w:val="0"/>
              <w:spacing w:after="0" w:line="360" w:lineRule="exact"/>
              <w:jc w:val="cente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企业银行</w:t>
            </w:r>
          </w:p>
          <w:p w14:paraId="44132F50">
            <w:pPr>
              <w:keepNext/>
              <w:keepLines w:val="0"/>
              <w:pageBreakBefore w:val="0"/>
              <w:widowControl/>
              <w:kinsoku/>
              <w:wordWrap/>
              <w:overflowPunct/>
              <w:topLinePunct w:val="0"/>
              <w:autoSpaceDE/>
              <w:autoSpaceDN/>
              <w:bidi w:val="0"/>
              <w:adjustRightInd w:val="0"/>
              <w:snapToGrid w:val="0"/>
              <w:spacing w:after="0" w:line="360" w:lineRule="exact"/>
              <w:jc w:val="cente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资信评级</w:t>
            </w:r>
          </w:p>
          <w:p w14:paraId="49C09506">
            <w:pPr>
              <w:keepNext/>
              <w:keepLines w:val="0"/>
              <w:pageBreakBefore w:val="0"/>
              <w:widowControl/>
              <w:kinsoku/>
              <w:wordWrap/>
              <w:overflowPunct/>
              <w:topLinePunct w:val="0"/>
              <w:autoSpaceDE/>
              <w:autoSpaceDN/>
              <w:bidi w:val="0"/>
              <w:adjustRightInd w:val="0"/>
              <w:snapToGrid w:val="0"/>
              <w:spacing w:after="0" w:line="360" w:lineRule="exact"/>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w:t>
            </w: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分）</w:t>
            </w:r>
          </w:p>
        </w:tc>
        <w:tc>
          <w:tcPr>
            <w:tcW w:w="3042" w:type="dxa"/>
            <w:noWrap w:val="0"/>
            <w:vAlign w:val="center"/>
          </w:tcPr>
          <w:p w14:paraId="50F82093">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1．银行资信评级A（含A＋、A－）</w:t>
            </w: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或以上</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的，得</w:t>
            </w:r>
            <w:r>
              <w:rPr>
                <w:rFonts w:hint="eastAsia" w:hAnsi="宋体" w:eastAsia="宋体" w:cs="宋体"/>
                <w:snapToGrid w:val="0"/>
                <w:color w:val="000000" w:themeColor="text1"/>
                <w:kern w:val="0"/>
                <w:sz w:val="24"/>
                <w:szCs w:val="24"/>
                <w:highlight w:val="none"/>
                <w:u w:val="single"/>
                <w:lang w:val="en-US" w:eastAsia="zh-CN" w:bidi="ar-SA"/>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分。</w:t>
            </w:r>
          </w:p>
          <w:p w14:paraId="36785072">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2．未获得过以上评级的，或评级证书无效的，不予计分。</w:t>
            </w:r>
          </w:p>
          <w:p w14:paraId="5B39B73E">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．本项最高得</w:t>
            </w: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分。</w:t>
            </w:r>
          </w:p>
        </w:tc>
        <w:tc>
          <w:tcPr>
            <w:tcW w:w="3972" w:type="dxa"/>
            <w:noWrap w:val="0"/>
            <w:vAlign w:val="center"/>
          </w:tcPr>
          <w:p w14:paraId="569BAB1B">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1．需附在有效期内的资信评级证书（证明）</w:t>
            </w: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彩色</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扫描件</w:t>
            </w:r>
          </w:p>
          <w:p w14:paraId="203FD9FE">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2．评级证书（证明）须由</w:t>
            </w:r>
            <w:r>
              <w:rPr>
                <w:rFonts w:hint="eastAsia" w:ascii="宋体" w:hAnsi="宋体" w:eastAsia="宋体" w:cs="宋体"/>
                <w:snapToGrid w:val="0"/>
                <w:color w:val="000000" w:themeColor="text1"/>
                <w:kern w:val="0"/>
                <w:sz w:val="24"/>
                <w:szCs w:val="24"/>
                <w:highlight w:val="none"/>
                <w:u w:val="single"/>
                <w:lang w:val="en-US" w:eastAsia="zh-CN" w:bidi="ar-SA"/>
                <w14:textFill>
                  <w14:solidFill>
                    <w14:schemeClr w14:val="tx1"/>
                  </w14:solidFill>
                </w14:textFill>
              </w:rPr>
              <w:t xml:space="preserve"> 金融机构 </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出具。</w:t>
            </w:r>
          </w:p>
          <w:p w14:paraId="05437EC2">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3．评级证书（证明）有以下情形之一的，视为无效：</w:t>
            </w:r>
          </w:p>
          <w:p w14:paraId="2E01B7D8">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①评级证书（证明）不在有效期内的；</w:t>
            </w:r>
          </w:p>
          <w:p w14:paraId="004E2177">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②出具机构不符合要求的。</w:t>
            </w:r>
          </w:p>
          <w:p w14:paraId="16B76990">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b/>
                <w:bCs/>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4.组成联合体的,由牵头单位提供。</w:t>
            </w:r>
          </w:p>
        </w:tc>
      </w:tr>
      <w:tr w14:paraId="3A2C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7" w:hRule="atLeast"/>
          <w:jc w:val="center"/>
        </w:trPr>
        <w:tc>
          <w:tcPr>
            <w:tcW w:w="576" w:type="dxa"/>
            <w:vMerge w:val="continue"/>
            <w:noWrap w:val="0"/>
            <w:vAlign w:val="center"/>
          </w:tcPr>
          <w:p w14:paraId="28750005">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80" w:type="dxa"/>
            <w:vMerge w:val="continue"/>
            <w:noWrap w:val="0"/>
            <w:vAlign w:val="center"/>
          </w:tcPr>
          <w:p w14:paraId="00CBFABC">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595" w:type="dxa"/>
            <w:vMerge w:val="continue"/>
            <w:noWrap w:val="0"/>
            <w:vAlign w:val="center"/>
          </w:tcPr>
          <w:p w14:paraId="5F0D3E8D">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221" w:type="dxa"/>
            <w:noWrap w:val="0"/>
            <w:vAlign w:val="center"/>
          </w:tcPr>
          <w:p w14:paraId="36FF21FF">
            <w:pPr>
              <w:keepNext/>
              <w:keepLines w:val="0"/>
              <w:pageBreakBefore w:val="0"/>
              <w:widowControl/>
              <w:kinsoku/>
              <w:wordWrap/>
              <w:overflowPunct/>
              <w:topLinePunct w:val="0"/>
              <w:autoSpaceDE/>
              <w:autoSpaceDN/>
              <w:bidi w:val="0"/>
              <w:adjustRightInd w:val="0"/>
              <w:snapToGrid w:val="0"/>
              <w:spacing w:after="0" w:line="360" w:lineRule="exact"/>
              <w:jc w:val="cente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企业管理</w:t>
            </w:r>
          </w:p>
          <w:p w14:paraId="52750323">
            <w:pPr>
              <w:keepNext/>
              <w:keepLines w:val="0"/>
              <w:pageBreakBefore w:val="0"/>
              <w:widowControl/>
              <w:kinsoku/>
              <w:wordWrap/>
              <w:overflowPunct/>
              <w:topLinePunct w:val="0"/>
              <w:autoSpaceDE/>
              <w:autoSpaceDN/>
              <w:bidi w:val="0"/>
              <w:adjustRightInd w:val="0"/>
              <w:snapToGrid w:val="0"/>
              <w:spacing w:after="0" w:line="360" w:lineRule="exact"/>
              <w:jc w:val="cente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体系认证</w:t>
            </w:r>
          </w:p>
          <w:p w14:paraId="3F94DB00">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w:t>
            </w: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分）</w:t>
            </w:r>
          </w:p>
        </w:tc>
        <w:tc>
          <w:tcPr>
            <w:tcW w:w="3042" w:type="dxa"/>
            <w:noWrap w:val="0"/>
            <w:vAlign w:val="center"/>
          </w:tcPr>
          <w:p w14:paraId="13F57AE3">
            <w:pPr>
              <w:keepNext/>
              <w:keepLines w:val="0"/>
              <w:pageBreakBefore w:val="0"/>
              <w:widowControl/>
              <w:numPr>
                <w:ilvl w:val="0"/>
                <w:numId w:val="0"/>
              </w:numPr>
              <w:kinsoku/>
              <w:wordWrap/>
              <w:overflowPunct/>
              <w:topLinePunct w:val="0"/>
              <w:autoSpaceDE/>
              <w:autoSpaceDN/>
              <w:bidi w:val="0"/>
              <w:adjustRightInd/>
              <w:snapToGrid w:val="0"/>
              <w:spacing w:line="360" w:lineRule="exact"/>
              <w:jc w:val="left"/>
              <w:textAlignment w:val="baseline"/>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投标人在招标公告发布前</w:t>
            </w: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获得</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：质量管理体系认证、职业健康安全管理体系认证、环境管理体系认证中：</w:t>
            </w:r>
          </w:p>
          <w:p w14:paraId="2CBA120D">
            <w:pPr>
              <w:pStyle w:val="8"/>
              <w:keepNext w:val="0"/>
              <w:keepLines w:val="0"/>
              <w:pageBreakBefore w:val="0"/>
              <w:numPr>
                <w:ilvl w:val="0"/>
                <w:numId w:val="0"/>
              </w:numPr>
              <w:kinsoku/>
              <w:wordWrap w:val="0"/>
              <w:overflowPunct/>
              <w:topLinePunct w:val="0"/>
              <w:bidi w:val="0"/>
              <w:adjustRightInd w:val="0"/>
              <w:snapToGrid w:val="0"/>
              <w:spacing w:after="0" w:afterLines="0" w:line="400" w:lineRule="exac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获得1项认证得</w:t>
            </w:r>
            <w:r>
              <w:rPr>
                <w:rFonts w:hint="eastAsia"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分</w:t>
            </w:r>
            <w:r>
              <w:rPr>
                <w:rFonts w:hint="eastAsia" w:hAnsi="宋体" w:eastAsia="宋体" w:cs="宋体"/>
                <w:color w:val="000000" w:themeColor="text1"/>
                <w:kern w:val="0"/>
                <w:sz w:val="24"/>
                <w:szCs w:val="24"/>
                <w:highlight w:val="none"/>
                <w:lang w:val="en-US" w:eastAsia="zh-CN"/>
                <w14:textFill>
                  <w14:solidFill>
                    <w14:schemeClr w14:val="tx1"/>
                  </w14:solidFill>
                </w14:textFill>
              </w:rPr>
              <w:t>；</w:t>
            </w:r>
          </w:p>
          <w:p w14:paraId="1BE69846">
            <w:pPr>
              <w:pStyle w:val="8"/>
              <w:keepNext w:val="0"/>
              <w:keepLines w:val="0"/>
              <w:pageBreakBefore w:val="0"/>
              <w:numPr>
                <w:ilvl w:val="0"/>
                <w:numId w:val="0"/>
              </w:numPr>
              <w:kinsoku/>
              <w:wordWrap w:val="0"/>
              <w:overflowPunct/>
              <w:topLinePunct w:val="0"/>
              <w:bidi w:val="0"/>
              <w:adjustRightInd w:val="0"/>
              <w:snapToGrid w:val="0"/>
              <w:spacing w:after="0" w:afterLines="0" w:line="400" w:lineRule="exac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获得</w:t>
            </w:r>
            <w:r>
              <w:rPr>
                <w:rFonts w:hint="eastAsia"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项认证得</w:t>
            </w:r>
            <w:r>
              <w:rPr>
                <w:rFonts w:hint="eastAsia"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分</w:t>
            </w:r>
            <w:r>
              <w:rPr>
                <w:rFonts w:hint="eastAsia" w:hAnsi="宋体" w:eastAsia="宋体" w:cs="宋体"/>
                <w:color w:val="000000" w:themeColor="text1"/>
                <w:kern w:val="0"/>
                <w:sz w:val="24"/>
                <w:szCs w:val="24"/>
                <w:highlight w:val="none"/>
                <w:lang w:val="en-US" w:eastAsia="zh-CN"/>
                <w14:textFill>
                  <w14:solidFill>
                    <w14:schemeClr w14:val="tx1"/>
                  </w14:solidFill>
                </w14:textFill>
              </w:rPr>
              <w:t>；</w:t>
            </w:r>
          </w:p>
          <w:p w14:paraId="055F425E">
            <w:pPr>
              <w:pStyle w:val="8"/>
              <w:keepNext w:val="0"/>
              <w:keepLines w:val="0"/>
              <w:pageBreakBefore w:val="0"/>
              <w:numPr>
                <w:ilvl w:val="0"/>
                <w:numId w:val="0"/>
              </w:numPr>
              <w:kinsoku/>
              <w:wordWrap w:val="0"/>
              <w:overflowPunct/>
              <w:topLinePunct w:val="0"/>
              <w:bidi w:val="0"/>
              <w:adjustRightInd w:val="0"/>
              <w:snapToGrid w:val="0"/>
              <w:spacing w:after="0" w:afterLines="0" w:line="400" w:lineRule="exac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获得</w:t>
            </w:r>
            <w:r>
              <w:rPr>
                <w:rFonts w:hint="eastAsia"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项认证得</w:t>
            </w:r>
            <w:r>
              <w:rPr>
                <w:rFonts w:hint="eastAsia"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分</w:t>
            </w:r>
            <w:r>
              <w:rPr>
                <w:rFonts w:hint="eastAsia" w:hAnsi="宋体" w:eastAsia="宋体" w:cs="宋体"/>
                <w:color w:val="000000" w:themeColor="text1"/>
                <w:kern w:val="0"/>
                <w:sz w:val="24"/>
                <w:szCs w:val="24"/>
                <w:highlight w:val="none"/>
                <w:lang w:val="en-US" w:eastAsia="zh-CN"/>
                <w14:textFill>
                  <w14:solidFill>
                    <w14:schemeClr w14:val="tx1"/>
                  </w14:solidFill>
                </w14:textFill>
              </w:rPr>
              <w:t>；</w:t>
            </w:r>
          </w:p>
          <w:p w14:paraId="54124E06">
            <w:pPr>
              <w:keepNext/>
              <w:keepLines w:val="0"/>
              <w:pageBreakBefore w:val="0"/>
              <w:widowControl/>
              <w:numPr>
                <w:ilvl w:val="0"/>
                <w:numId w:val="0"/>
              </w:numPr>
              <w:kinsoku/>
              <w:wordWrap/>
              <w:overflowPunct/>
              <w:topLinePunct w:val="0"/>
              <w:autoSpaceDE/>
              <w:autoSpaceDN/>
              <w:bidi w:val="0"/>
              <w:snapToGrid w:val="0"/>
              <w:spacing w:line="360" w:lineRule="exact"/>
              <w:ind w:leftChars="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hAnsi="宋体" w:eastAsia="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未获得以上认证的，不予计分。</w:t>
            </w:r>
          </w:p>
          <w:p w14:paraId="22A5DEAE">
            <w:pPr>
              <w:keepNext/>
              <w:keepLines w:val="0"/>
              <w:pageBreakBefore w:val="0"/>
              <w:widowControl/>
              <w:numPr>
                <w:ilvl w:val="0"/>
                <w:numId w:val="0"/>
              </w:numPr>
              <w:kinsoku/>
              <w:wordWrap/>
              <w:overflowPunct/>
              <w:topLinePunct w:val="0"/>
              <w:autoSpaceDE/>
              <w:autoSpaceDN/>
              <w:bidi w:val="0"/>
              <w:snapToGrid w:val="0"/>
              <w:spacing w:line="360" w:lineRule="exact"/>
              <w:ind w:leftChars="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本项最高得</w:t>
            </w: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分。</w:t>
            </w:r>
          </w:p>
        </w:tc>
        <w:tc>
          <w:tcPr>
            <w:tcW w:w="3972" w:type="dxa"/>
            <w:noWrap w:val="0"/>
            <w:vAlign w:val="center"/>
          </w:tcPr>
          <w:p w14:paraId="6729FF37">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1．需附在有效期内的认证证书</w:t>
            </w: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彩色</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扫描件。</w:t>
            </w:r>
          </w:p>
          <w:p w14:paraId="033D2460">
            <w:pPr>
              <w:keepNext/>
              <w:keepLines w:val="0"/>
              <w:pageBreakBefore w:val="0"/>
              <w:widowControl/>
              <w:numPr>
                <w:ilvl w:val="0"/>
                <w:numId w:val="0"/>
              </w:numPr>
              <w:kinsoku/>
              <w:wordWrap/>
              <w:overflowPunct/>
              <w:topLinePunct w:val="0"/>
              <w:autoSpaceDE/>
              <w:autoSpaceDN/>
              <w:bidi w:val="0"/>
              <w:adjustRightInd w:val="0"/>
              <w:snapToGrid w:val="0"/>
              <w:spacing w:after="0" w:line="360" w:lineRule="exact"/>
              <w:jc w:val="both"/>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2．</w:t>
            </w:r>
            <w: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t>需提供</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国家认证认可监督管理委员会官网网页截图,否则不得分。</w:t>
            </w:r>
          </w:p>
          <w:p w14:paraId="7C40689F">
            <w:pPr>
              <w:keepNext/>
              <w:keepLines w:val="0"/>
              <w:pageBreakBefore w:val="0"/>
              <w:widowControl/>
              <w:numPr>
                <w:ilvl w:val="0"/>
                <w:numId w:val="0"/>
              </w:numPr>
              <w:kinsoku/>
              <w:wordWrap/>
              <w:overflowPunct/>
              <w:topLinePunct w:val="0"/>
              <w:autoSpaceDE/>
              <w:autoSpaceDN/>
              <w:bidi w:val="0"/>
              <w:adjustRightInd w:val="0"/>
              <w:snapToGrid w:val="0"/>
              <w:spacing w:after="0" w:line="360" w:lineRule="exact"/>
              <w:jc w:val="both"/>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t>3．</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证书有效性在国家认证认可监督</w:t>
            </w:r>
            <w: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t>管理委员会官网（http://www.cnca.gov.cn/)可查。</w:t>
            </w:r>
          </w:p>
          <w:p w14:paraId="39D71892">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4．任一认证证书认证证书不在有效期内的，该认证证书视为无效，不予计分；</w:t>
            </w:r>
          </w:p>
          <w:p w14:paraId="451D6E05">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kern w:val="0"/>
                <w:sz w:val="24"/>
                <w:szCs w:val="24"/>
                <w:highlight w:val="none"/>
                <w:lang w:val="en-US" w:eastAsia="zh-CN" w:bidi="ar-SA"/>
                <w14:textFill>
                  <w14:solidFill>
                    <w14:schemeClr w14:val="tx1"/>
                  </w14:solidFill>
                </w14:textFill>
              </w:rPr>
              <w:t>5.</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组成联合体的,由牵头单位提供。</w:t>
            </w:r>
          </w:p>
        </w:tc>
      </w:tr>
      <w:tr w14:paraId="2115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Merge w:val="continue"/>
            <w:noWrap w:val="0"/>
            <w:vAlign w:val="center"/>
          </w:tcPr>
          <w:p w14:paraId="7A54AA9D">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680" w:type="dxa"/>
            <w:vMerge w:val="continue"/>
            <w:noWrap w:val="0"/>
            <w:vAlign w:val="center"/>
          </w:tcPr>
          <w:p w14:paraId="3637DAFE">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595" w:type="dxa"/>
            <w:vMerge w:val="continue"/>
            <w:noWrap w:val="0"/>
            <w:vAlign w:val="center"/>
          </w:tcPr>
          <w:p w14:paraId="4AF9F294">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221" w:type="dxa"/>
            <w:vMerge w:val="restart"/>
            <w:noWrap w:val="0"/>
            <w:vAlign w:val="center"/>
          </w:tcPr>
          <w:p w14:paraId="00E701C9">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企业荣誉</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hAnsi="宋体" w:eastAsia="宋体" w:cs="宋体"/>
                <w:color w:val="000000" w:themeColor="text1"/>
                <w:kern w:val="2"/>
                <w:sz w:val="24"/>
                <w:szCs w:val="24"/>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w:t>
            </w:r>
          </w:p>
          <w:p w14:paraId="0858EB47">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3042" w:type="dxa"/>
            <w:noWrap w:val="0"/>
            <w:vAlign w:val="center"/>
          </w:tcPr>
          <w:p w14:paraId="1ED89951">
            <w:pPr>
              <w:keepNext w:val="0"/>
              <w:keepLines w:val="0"/>
              <w:pageBreakBefore w:val="0"/>
              <w:widowControl/>
              <w:kinsoku/>
              <w:wordWrap/>
              <w:overflowPunct/>
              <w:topLinePunct w:val="0"/>
              <w:autoSpaceDE/>
              <w:autoSpaceDN/>
              <w:bidi w:val="0"/>
              <w:adjustRightInd/>
              <w:snapToGrid w:val="0"/>
              <w:spacing w:line="340" w:lineRule="exact"/>
              <w:textAlignment w:val="baseline"/>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1.企业近</w:t>
            </w:r>
            <w:r>
              <w:rPr>
                <w:rFonts w:hint="eastAsia" w:hAnsi="宋体" w:eastAsia="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年</w:t>
            </w:r>
            <w:r>
              <w:rPr>
                <w:rFonts w:hint="eastAsia" w:hAnsi="宋体" w:eastAsia="宋体" w:cs="宋体"/>
                <w:b w:val="0"/>
                <w:bCs w:val="0"/>
                <w:color w:val="000000" w:themeColor="text1"/>
                <w:sz w:val="24"/>
                <w:szCs w:val="24"/>
                <w:highlight w:val="none"/>
                <w:lang w:val="en-US" w:eastAsia="zh-CN"/>
                <w14:textFill>
                  <w14:solidFill>
                    <w14:schemeClr w14:val="tx1"/>
                  </w14:solidFill>
                </w14:textFill>
              </w:rPr>
              <w:t>来</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（2020年7月1日至今）</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获得</w:t>
            </w:r>
            <w:r>
              <w:rPr>
                <w:rFonts w:hint="eastAsia" w:hAnsi="宋体" w:eastAsia="宋体" w:cs="宋体"/>
                <w:b w:val="0"/>
                <w:bCs w:val="0"/>
                <w:color w:val="000000" w:themeColor="text1"/>
                <w:sz w:val="24"/>
                <w:szCs w:val="24"/>
                <w:highlight w:val="none"/>
                <w:lang w:val="en-US" w:eastAsia="zh-CN"/>
                <w14:textFill>
                  <w14:solidFill>
                    <w14:schemeClr w14:val="tx1"/>
                  </w14:solidFill>
                </w14:textFill>
              </w:rPr>
              <w:t>过</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高新技术企业</w:t>
            </w:r>
            <w:r>
              <w:rPr>
                <w:rFonts w:hint="eastAsia" w:hAnsi="宋体" w:eastAsia="宋体" w:cs="宋体"/>
                <w:b w:val="0"/>
                <w:bCs w:val="0"/>
                <w:color w:val="000000" w:themeColor="text1"/>
                <w:sz w:val="24"/>
                <w:szCs w:val="24"/>
                <w:highlight w:val="none"/>
                <w:lang w:val="en-US" w:eastAsia="zh-CN"/>
                <w14:textFill>
                  <w14:solidFill>
                    <w14:schemeClr w14:val="tx1"/>
                  </w14:solidFill>
                </w14:textFill>
              </w:rPr>
              <w:t>且在有限期内</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的得</w:t>
            </w:r>
            <w:r>
              <w:rPr>
                <w:rFonts w:hint="eastAsia" w:hAnsi="宋体" w:eastAsia="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p>
          <w:p w14:paraId="24EF310A">
            <w:pPr>
              <w:keepNext w:val="0"/>
              <w:keepLines w:val="0"/>
              <w:pageBreakBefore w:val="0"/>
              <w:widowControl/>
              <w:kinsoku/>
              <w:wordWrap/>
              <w:overflowPunct/>
              <w:topLinePunct w:val="0"/>
              <w:autoSpaceDE/>
              <w:autoSpaceDN/>
              <w:bidi w:val="0"/>
              <w:adjustRightInd/>
              <w:snapToGrid w:val="0"/>
              <w:spacing w:line="340" w:lineRule="exact"/>
              <w:textAlignment w:val="baseline"/>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2.其他情形的，不予计分。</w:t>
            </w:r>
          </w:p>
          <w:p w14:paraId="680E8995">
            <w:pPr>
              <w:keepNext w:val="0"/>
              <w:keepLines w:val="0"/>
              <w:pageBreakBefore w:val="0"/>
              <w:widowControl/>
              <w:kinsoku/>
              <w:wordWrap/>
              <w:overflowPunct/>
              <w:topLinePunct w:val="0"/>
              <w:autoSpaceDE/>
              <w:autoSpaceDN/>
              <w:bidi w:val="0"/>
              <w:adjustRightInd/>
              <w:snapToGrid w:val="0"/>
              <w:spacing w:line="340" w:lineRule="exact"/>
              <w:textAlignment w:val="baseline"/>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本</w:t>
            </w: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小</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项最高得</w:t>
            </w: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分。</w:t>
            </w:r>
          </w:p>
        </w:tc>
        <w:tc>
          <w:tcPr>
            <w:tcW w:w="3972" w:type="dxa"/>
            <w:noWrap w:val="0"/>
            <w:vAlign w:val="center"/>
          </w:tcPr>
          <w:p w14:paraId="4F4CBAFE">
            <w:pPr>
              <w:keepNext w:val="0"/>
              <w:keepLines w:val="0"/>
              <w:pageBreakBefore w:val="0"/>
              <w:widowControl/>
              <w:kinsoku/>
              <w:wordWrap/>
              <w:overflowPunct/>
              <w:topLinePunct w:val="0"/>
              <w:autoSpaceDE/>
              <w:autoSpaceDN/>
              <w:bidi w:val="0"/>
              <w:adjustRightInd/>
              <w:snapToGrid w:val="0"/>
              <w:spacing w:line="340" w:lineRule="exact"/>
              <w:textAlignment w:val="baseline"/>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14:textFill>
                  <w14:solidFill>
                    <w14:schemeClr w14:val="tx1"/>
                  </w14:solidFill>
                </w14:textFill>
              </w:rPr>
              <w:t>需提供证书</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彩色扫描件</w:t>
            </w:r>
            <w:r>
              <w:rPr>
                <w:rFonts w:hint="eastAsia" w:hAnsi="宋体" w:eastAsia="宋体" w:cs="宋体"/>
                <w:b w:val="0"/>
                <w:bCs w:val="0"/>
                <w:color w:val="000000" w:themeColor="text1"/>
                <w:sz w:val="24"/>
                <w:szCs w:val="24"/>
                <w:highlight w:val="none"/>
                <w:lang w:val="en-US" w:eastAsia="zh-CN"/>
                <w14:textFill>
                  <w14:solidFill>
                    <w14:schemeClr w14:val="tx1"/>
                  </w14:solidFill>
                </w14:textFill>
              </w:rPr>
              <w:t>或</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打印件</w:t>
            </w: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hAnsi="宋体" w:eastAsia="宋体" w:cs="宋体"/>
                <w:b w:val="0"/>
                <w:bCs w:val="0"/>
                <w:strike w:val="0"/>
                <w:dstrike w:val="0"/>
                <w:color w:val="000000" w:themeColor="text1"/>
                <w:sz w:val="24"/>
                <w:szCs w:val="24"/>
                <w:highlight w:val="none"/>
                <w:lang w:eastAsia="zh-CN"/>
                <w14:textFill>
                  <w14:solidFill>
                    <w14:schemeClr w14:val="tx1"/>
                  </w14:solidFill>
                </w14:textFill>
              </w:rPr>
              <w:t>同时</w:t>
            </w:r>
            <w:r>
              <w:rPr>
                <w:rFonts w:hint="eastAsia" w:hAnsi="宋体" w:eastAsia="宋体" w:cs="宋体"/>
                <w:b w:val="0"/>
                <w:bCs w:val="0"/>
                <w:strike w:val="0"/>
                <w:color w:val="000000" w:themeColor="text1"/>
                <w:sz w:val="24"/>
                <w:szCs w:val="24"/>
                <w:highlight w:val="none"/>
                <w:lang w:eastAsia="zh-CN"/>
                <w14:textFill>
                  <w14:solidFill>
                    <w14:schemeClr w14:val="tx1"/>
                  </w14:solidFill>
                </w14:textFill>
              </w:rPr>
              <w:t>需</w:t>
            </w:r>
            <w:r>
              <w:rPr>
                <w:rFonts w:hint="eastAsia" w:hAnsi="宋体" w:eastAsia="宋体" w:cs="宋体"/>
                <w:b w:val="0"/>
                <w:bCs w:val="0"/>
                <w:color w:val="000000" w:themeColor="text1"/>
                <w:sz w:val="24"/>
                <w:szCs w:val="24"/>
                <w:highlight w:val="none"/>
                <w:lang w:eastAsia="zh-CN"/>
                <w14:textFill>
                  <w14:solidFill>
                    <w14:schemeClr w14:val="tx1"/>
                  </w14:solidFill>
                </w14:textFill>
              </w:rPr>
              <w:t>提供国家认证认可的官网网页截图，否则不得分。</w:t>
            </w:r>
          </w:p>
          <w:p w14:paraId="793E1633">
            <w:pPr>
              <w:keepNext w:val="0"/>
              <w:keepLines w:val="0"/>
              <w:pageBreakBefore w:val="0"/>
              <w:widowControl/>
              <w:kinsoku/>
              <w:wordWrap/>
              <w:overflowPunct/>
              <w:topLinePunct w:val="0"/>
              <w:autoSpaceDE/>
              <w:autoSpaceDN/>
              <w:bidi w:val="0"/>
              <w:adjustRightInd/>
              <w:snapToGrid w:val="0"/>
              <w:spacing w:line="340" w:lineRule="exact"/>
              <w:textAlignment w:val="baseline"/>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组成联合体的,由牵头单位提供。</w:t>
            </w:r>
          </w:p>
        </w:tc>
      </w:tr>
      <w:tr w14:paraId="5E29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Merge w:val="continue"/>
            <w:noWrap w:val="0"/>
            <w:vAlign w:val="center"/>
          </w:tcPr>
          <w:p w14:paraId="53FA4A7D">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680" w:type="dxa"/>
            <w:vMerge w:val="continue"/>
            <w:noWrap w:val="0"/>
            <w:vAlign w:val="center"/>
          </w:tcPr>
          <w:p w14:paraId="398DCBE6">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595" w:type="dxa"/>
            <w:vMerge w:val="continue"/>
            <w:noWrap w:val="0"/>
            <w:vAlign w:val="center"/>
          </w:tcPr>
          <w:p w14:paraId="6269728D">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221" w:type="dxa"/>
            <w:vMerge w:val="continue"/>
            <w:noWrap w:val="0"/>
            <w:vAlign w:val="center"/>
          </w:tcPr>
          <w:p w14:paraId="4B1DA0D7">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3042" w:type="dxa"/>
            <w:noWrap w:val="0"/>
            <w:vAlign w:val="center"/>
          </w:tcPr>
          <w:p w14:paraId="25E082F1">
            <w:pPr>
              <w:keepNext w:val="0"/>
              <w:keepLines w:val="0"/>
              <w:pageBreakBefore w:val="0"/>
              <w:widowControl/>
              <w:numPr>
                <w:ilvl w:val="0"/>
                <w:numId w:val="4"/>
              </w:numPr>
              <w:kinsoku/>
              <w:wordWrap/>
              <w:overflowPunct/>
              <w:topLinePunct w:val="0"/>
              <w:autoSpaceDE/>
              <w:autoSpaceDN/>
              <w:bidi w:val="0"/>
              <w:adjustRightInd/>
              <w:snapToGrid w:val="0"/>
              <w:spacing w:line="340" w:lineRule="exact"/>
              <w:textAlignment w:val="baseline"/>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投标人近5年来</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（2020年7月1日至今）</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因投身“百县千镇万村高质量发展工程”获得过本项目所在县级行政区域的建设主管部门出具的“感谢信”或相关表彰材料的得</w:t>
            </w:r>
            <w:r>
              <w:rPr>
                <w:rFonts w:hint="eastAsia" w:hAnsi="宋体" w:eastAsia="宋体"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p>
          <w:p w14:paraId="4DA6B893">
            <w:pPr>
              <w:keepNext w:val="0"/>
              <w:keepLines w:val="0"/>
              <w:pageBreakBefore w:val="0"/>
              <w:widowControl/>
              <w:numPr>
                <w:ilvl w:val="0"/>
                <w:numId w:val="4"/>
              </w:numPr>
              <w:kinsoku/>
              <w:wordWrap/>
              <w:overflowPunct/>
              <w:topLinePunct w:val="0"/>
              <w:autoSpaceDE/>
              <w:autoSpaceDN/>
              <w:bidi w:val="0"/>
              <w:adjustRightInd/>
              <w:snapToGrid w:val="0"/>
              <w:spacing w:line="340" w:lineRule="exact"/>
              <w:textAlignment w:val="baseline"/>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本</w:t>
            </w: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小</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项最高得</w:t>
            </w: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4</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分。</w:t>
            </w:r>
          </w:p>
        </w:tc>
        <w:tc>
          <w:tcPr>
            <w:tcW w:w="3972" w:type="dxa"/>
            <w:noWrap w:val="0"/>
            <w:vAlign w:val="center"/>
          </w:tcPr>
          <w:p w14:paraId="7E8128BD">
            <w:pPr>
              <w:keepNext w:val="0"/>
              <w:keepLines w:val="0"/>
              <w:pageBreakBefore w:val="0"/>
              <w:widowControl/>
              <w:kinsoku/>
              <w:wordWrap/>
              <w:overflowPunct/>
              <w:topLinePunct w:val="0"/>
              <w:autoSpaceDE/>
              <w:autoSpaceDN/>
              <w:bidi w:val="0"/>
              <w:adjustRightInd/>
              <w:snapToGrid w:val="0"/>
              <w:spacing w:line="340" w:lineRule="exact"/>
              <w:textAlignment w:val="baseline"/>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1.需附相关证书彩色扫描件。</w:t>
            </w:r>
          </w:p>
          <w:p w14:paraId="393948A9">
            <w:pPr>
              <w:keepNext w:val="0"/>
              <w:keepLines w:val="0"/>
              <w:pageBreakBefore w:val="0"/>
              <w:widowControl/>
              <w:kinsoku/>
              <w:wordWrap/>
              <w:overflowPunct/>
              <w:topLinePunct w:val="0"/>
              <w:autoSpaceDE/>
              <w:autoSpaceDN/>
              <w:bidi w:val="0"/>
              <w:adjustRightInd/>
              <w:snapToGrid w:val="0"/>
              <w:spacing w:line="340" w:lineRule="exact"/>
              <w:textAlignment w:val="baseline"/>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2.颁发机构不符合评分标准和备注规定的，不计分。</w:t>
            </w:r>
          </w:p>
          <w:p w14:paraId="23708F2C">
            <w:pPr>
              <w:keepNext w:val="0"/>
              <w:keepLines w:val="0"/>
              <w:pageBreakBefore w:val="0"/>
              <w:widowControl/>
              <w:kinsoku/>
              <w:wordWrap/>
              <w:overflowPunct/>
              <w:topLinePunct w:val="0"/>
              <w:autoSpaceDE/>
              <w:autoSpaceDN/>
              <w:bidi w:val="0"/>
              <w:adjustRightInd/>
              <w:snapToGrid w:val="0"/>
              <w:spacing w:line="340" w:lineRule="exact"/>
              <w:textAlignment w:val="baseline"/>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组成联合体的,由牵头单位提供。</w:t>
            </w:r>
          </w:p>
        </w:tc>
      </w:tr>
      <w:tr w14:paraId="02DF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Merge w:val="continue"/>
            <w:noWrap w:val="0"/>
            <w:vAlign w:val="center"/>
          </w:tcPr>
          <w:p w14:paraId="0A4E3624">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680" w:type="dxa"/>
            <w:vMerge w:val="continue"/>
            <w:noWrap w:val="0"/>
            <w:vAlign w:val="center"/>
          </w:tcPr>
          <w:p w14:paraId="78FEA9EC">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595" w:type="dxa"/>
            <w:vMerge w:val="restart"/>
            <w:noWrap w:val="0"/>
            <w:vAlign w:val="center"/>
          </w:tcPr>
          <w:p w14:paraId="01B65B2A">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设计企业（20分）</w:t>
            </w:r>
          </w:p>
        </w:tc>
        <w:tc>
          <w:tcPr>
            <w:tcW w:w="1221" w:type="dxa"/>
            <w:shd w:val="clear" w:color="auto" w:fill="auto"/>
            <w:noWrap w:val="0"/>
            <w:vAlign w:val="center"/>
          </w:tcPr>
          <w:p w14:paraId="0136D1B8">
            <w:pPr>
              <w:pStyle w:val="8"/>
              <w:keepNext w:val="0"/>
              <w:keepLines w:val="0"/>
              <w:pageBreakBefore w:val="0"/>
              <w:kinsoku/>
              <w:wordWrap w:val="0"/>
              <w:overflowPunct/>
              <w:topLinePunct w:val="0"/>
              <w:bidi w:val="0"/>
              <w:adjustRightInd w:val="0"/>
              <w:snapToGrid w:val="0"/>
              <w:spacing w:after="0" w:afterLines="0" w:line="400" w:lineRule="exac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设计企业业绩（</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9分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c>
          <w:tcPr>
            <w:tcW w:w="3042" w:type="dxa"/>
            <w:shd w:val="clear" w:color="auto" w:fill="auto"/>
            <w:noWrap w:val="0"/>
            <w:vAlign w:val="center"/>
          </w:tcPr>
          <w:p w14:paraId="61881BB3">
            <w:pPr>
              <w:pStyle w:val="8"/>
              <w:keepNext w:val="0"/>
              <w:keepLines w:val="0"/>
              <w:pageBreakBefore w:val="0"/>
              <w:kinsoku/>
              <w:wordWrap w:val="0"/>
              <w:overflowPunct/>
              <w:topLinePunct w:val="0"/>
              <w:bidi w:val="0"/>
              <w:adjustRightInd w:val="0"/>
              <w:snapToGrid w:val="0"/>
              <w:spacing w:after="0" w:afterLines="0"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企业近</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年来（</w:t>
            </w:r>
            <w:r>
              <w:rPr>
                <w:rFonts w:hint="eastAsia" w:ascii="宋体" w:hAnsi="宋体" w:eastAsia="宋体" w:cs="宋体"/>
                <w:snapToGrid w:val="0"/>
                <w:color w:val="000000" w:themeColor="text1"/>
                <w:sz w:val="24"/>
                <w:szCs w:val="24"/>
                <w:highlight w:val="none"/>
                <w14:textFill>
                  <w14:solidFill>
                    <w14:schemeClr w14:val="tx1"/>
                  </w14:solidFill>
                </w14:textFill>
              </w:rPr>
              <w:t>20</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snapToGrid w:val="0"/>
                <w:color w:val="000000" w:themeColor="text1"/>
                <w:sz w:val="24"/>
                <w:szCs w:val="24"/>
                <w:highlight w:val="none"/>
                <w14:textFill>
                  <w14:solidFill>
                    <w14:schemeClr w14:val="tx1"/>
                  </w14:solidFill>
                </w14:textFill>
              </w:rPr>
              <w:t>年</w:t>
            </w: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7</w:t>
            </w:r>
            <w:r>
              <w:rPr>
                <w:rFonts w:hint="eastAsia" w:ascii="宋体" w:hAnsi="宋体" w:eastAsia="宋体" w:cs="宋体"/>
                <w:snapToGrid w:val="0"/>
                <w:color w:val="000000" w:themeColor="text1"/>
                <w:sz w:val="24"/>
                <w:szCs w:val="24"/>
                <w:highlight w:val="none"/>
                <w14:textFill>
                  <w14:solidFill>
                    <w14:schemeClr w14:val="tx1"/>
                  </w14:solidFill>
                </w14:textFill>
              </w:rPr>
              <w:t>月1日至今</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承接类似</w:t>
            </w:r>
            <w:r>
              <w:rPr>
                <w:rFonts w:hint="eastAsia" w:ascii="宋体" w:hAnsi="宋体" w:eastAsia="宋体" w:cs="宋体"/>
                <w:color w:val="000000" w:themeColor="text1"/>
                <w:kern w:val="0"/>
                <w:sz w:val="24"/>
                <w:szCs w:val="24"/>
                <w:highlight w:val="none"/>
                <w14:textFill>
                  <w14:solidFill>
                    <w14:schemeClr w14:val="tx1"/>
                  </w14:solidFill>
                </w14:textFill>
              </w:rPr>
              <w:t>业绩情况：</w:t>
            </w:r>
          </w:p>
          <w:p w14:paraId="6AFD3FFB">
            <w:pPr>
              <w:pStyle w:val="8"/>
              <w:keepNext w:val="0"/>
              <w:keepLines w:val="0"/>
              <w:pageBreakBefore w:val="0"/>
              <w:kinsoku/>
              <w:wordWrap w:val="0"/>
              <w:overflowPunct/>
              <w:topLinePunct w:val="0"/>
              <w:bidi w:val="0"/>
              <w:adjustRightInd w:val="0"/>
              <w:snapToGrid w:val="0"/>
              <w:spacing w:after="0" w:afterLines="0"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1．承接过类似工程的，每个得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分。</w:t>
            </w:r>
          </w:p>
          <w:p w14:paraId="63F28D4C">
            <w:pPr>
              <w:pStyle w:val="8"/>
              <w:keepNext w:val="0"/>
              <w:keepLines w:val="0"/>
              <w:pageBreakBefore w:val="0"/>
              <w:kinsoku/>
              <w:wordWrap w:val="0"/>
              <w:overflowPunct/>
              <w:topLinePunct w:val="0"/>
              <w:bidi w:val="0"/>
              <w:adjustRightInd w:val="0"/>
              <w:snapToGrid w:val="0"/>
              <w:spacing w:after="0" w:afterLines="0"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2．未承接过类似工程的，不予计分。</w:t>
            </w:r>
          </w:p>
          <w:p w14:paraId="44E3007C">
            <w:pPr>
              <w:pStyle w:val="8"/>
              <w:keepNext w:val="0"/>
              <w:keepLines w:val="0"/>
              <w:pageBreakBefore w:val="0"/>
              <w:kinsoku/>
              <w:wordWrap w:val="0"/>
              <w:overflowPunct/>
              <w:topLinePunct w:val="0"/>
              <w:bidi w:val="0"/>
              <w:adjustRightInd w:val="0"/>
              <w:snapToGrid w:val="0"/>
              <w:spacing w:after="0" w:afterLines="0" w:line="400" w:lineRule="exac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3．本项最高得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3972" w:type="dxa"/>
            <w:shd w:val="clear" w:color="auto" w:fill="auto"/>
            <w:noWrap w:val="0"/>
            <w:vAlign w:val="center"/>
          </w:tcPr>
          <w:p w14:paraId="09D27ED4">
            <w:pPr>
              <w:pStyle w:val="8"/>
              <w:keepNext w:val="0"/>
              <w:keepLines w:val="0"/>
              <w:pageBreakBefore w:val="0"/>
              <w:kinsoku/>
              <w:wordWrap w:val="0"/>
              <w:overflowPunct/>
              <w:topLinePunct w:val="0"/>
              <w:bidi w:val="0"/>
              <w:adjustRightInd w:val="0"/>
              <w:snapToGrid w:val="0"/>
              <w:spacing w:after="0" w:afterLines="0"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1．类似工程指：</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市政</w:t>
            </w:r>
            <w:r>
              <w:rPr>
                <w:rFonts w:hint="eastAsia" w:ascii="宋体" w:hAnsi="宋体" w:eastAsia="宋体" w:cs="宋体"/>
                <w:color w:val="000000" w:themeColor="text1"/>
                <w:kern w:val="0"/>
                <w:sz w:val="24"/>
                <w:szCs w:val="24"/>
                <w:highlight w:val="none"/>
                <w14:textFill>
                  <w14:solidFill>
                    <w14:schemeClr w14:val="tx1"/>
                  </w14:solidFill>
                </w14:textFill>
              </w:rPr>
              <w:t>类</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或建筑类</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工程设计项目（含设计、勘察设计、勘察设计施工总承包项目）</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0746B834">
            <w:pPr>
              <w:pStyle w:val="8"/>
              <w:keepNext w:val="0"/>
              <w:keepLines w:val="0"/>
              <w:pageBreakBefore w:val="0"/>
              <w:kinsoku/>
              <w:wordWrap w:val="0"/>
              <w:overflowPunct/>
              <w:topLinePunct w:val="0"/>
              <w:bidi w:val="0"/>
              <w:adjustRightInd w:val="0"/>
              <w:snapToGrid w:val="0"/>
              <w:spacing w:after="0" w:afterLines="0"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证明材料需提供设计中标通知书或设计合同关键页彩色扫描件</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6F0FF8B8">
            <w:pPr>
              <w:pStyle w:val="8"/>
              <w:keepNext w:val="0"/>
              <w:keepLines w:val="0"/>
              <w:pageBreakBefore w:val="0"/>
              <w:kinsoku/>
              <w:wordWrap w:val="0"/>
              <w:overflowPunct/>
              <w:topLinePunct w:val="0"/>
              <w:bidi w:val="0"/>
              <w:adjustRightInd w:val="0"/>
              <w:snapToGrid w:val="0"/>
              <w:spacing w:after="0" w:afterLines="0"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3．业绩时间以合同协议书日期</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或中标通知书日期</w:t>
            </w:r>
            <w:r>
              <w:rPr>
                <w:rFonts w:hint="eastAsia" w:ascii="宋体" w:hAnsi="宋体" w:eastAsia="宋体" w:cs="宋体"/>
                <w:color w:val="000000" w:themeColor="text1"/>
                <w:kern w:val="0"/>
                <w:sz w:val="24"/>
                <w:szCs w:val="24"/>
                <w:highlight w:val="none"/>
                <w14:textFill>
                  <w14:solidFill>
                    <w14:schemeClr w14:val="tx1"/>
                  </w14:solidFill>
                </w14:textFill>
              </w:rPr>
              <w:t>为准。</w:t>
            </w:r>
          </w:p>
          <w:p w14:paraId="655F5887">
            <w:pPr>
              <w:pStyle w:val="8"/>
              <w:keepNext w:val="0"/>
              <w:keepLines w:val="0"/>
              <w:pageBreakBefore w:val="0"/>
              <w:kinsoku/>
              <w:wordWrap w:val="0"/>
              <w:overflowPunct/>
              <w:topLinePunct w:val="0"/>
              <w:bidi w:val="0"/>
              <w:adjustRightInd w:val="0"/>
              <w:snapToGrid w:val="0"/>
              <w:spacing w:after="0" w:afterLines="0"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4．任一业绩有以下情形之一的，该业绩视为无效，不予计分：</w:t>
            </w:r>
          </w:p>
          <w:p w14:paraId="51502F93">
            <w:pPr>
              <w:pStyle w:val="8"/>
              <w:keepNext w:val="0"/>
              <w:keepLines w:val="0"/>
              <w:pageBreakBefore w:val="0"/>
              <w:kinsoku/>
              <w:wordWrap w:val="0"/>
              <w:overflowPunct/>
              <w:topLinePunct w:val="0"/>
              <w:bidi w:val="0"/>
              <w:adjustRightInd w:val="0"/>
              <w:snapToGrid w:val="0"/>
              <w:spacing w:after="0" w:afterLines="0"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①业绩不属于类似工程的；</w:t>
            </w:r>
          </w:p>
          <w:p w14:paraId="7EEE6149">
            <w:pPr>
              <w:pStyle w:val="8"/>
              <w:keepNext w:val="0"/>
              <w:keepLines w:val="0"/>
              <w:pageBreakBefore w:val="0"/>
              <w:kinsoku/>
              <w:wordWrap w:val="0"/>
              <w:overflowPunct/>
              <w:topLinePunct w:val="0"/>
              <w:bidi w:val="0"/>
              <w:adjustRightInd w:val="0"/>
              <w:snapToGrid w:val="0"/>
              <w:spacing w:after="0" w:afterLines="0"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②业绩时间不符合要求的。</w:t>
            </w:r>
          </w:p>
          <w:p w14:paraId="7C4AF396">
            <w:pPr>
              <w:pStyle w:val="8"/>
              <w:keepNext w:val="0"/>
              <w:keepLines w:val="0"/>
              <w:pageBreakBefore w:val="0"/>
              <w:kinsoku/>
              <w:wordWrap w:val="0"/>
              <w:overflowPunct/>
              <w:topLinePunct w:val="0"/>
              <w:bidi w:val="0"/>
              <w:adjustRightInd w:val="0"/>
              <w:snapToGrid w:val="0"/>
              <w:spacing w:after="0" w:afterLines="0" w:line="400" w:lineRule="exac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组成联合体时由联合体设计单位提供。</w:t>
            </w:r>
          </w:p>
        </w:tc>
      </w:tr>
      <w:tr w14:paraId="5A3D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Merge w:val="continue"/>
            <w:noWrap w:val="0"/>
            <w:vAlign w:val="center"/>
          </w:tcPr>
          <w:p w14:paraId="4997C1DC">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680" w:type="dxa"/>
            <w:vMerge w:val="continue"/>
            <w:noWrap w:val="0"/>
            <w:vAlign w:val="center"/>
          </w:tcPr>
          <w:p w14:paraId="776FC491">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595" w:type="dxa"/>
            <w:vMerge w:val="continue"/>
            <w:noWrap w:val="0"/>
            <w:vAlign w:val="center"/>
          </w:tcPr>
          <w:p w14:paraId="175A3C66">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221" w:type="dxa"/>
            <w:shd w:val="clear" w:color="auto" w:fill="auto"/>
            <w:noWrap w:val="0"/>
            <w:vAlign w:val="center"/>
          </w:tcPr>
          <w:p w14:paraId="0D972A90">
            <w:pPr>
              <w:pStyle w:val="8"/>
              <w:keepNext w:val="0"/>
              <w:keepLines w:val="0"/>
              <w:pageBreakBefore w:val="0"/>
              <w:kinsoku/>
              <w:wordWrap w:val="0"/>
              <w:overflowPunct/>
              <w:topLinePunct w:val="0"/>
              <w:bidi w:val="0"/>
              <w:adjustRightInd w:val="0"/>
              <w:snapToGrid w:val="0"/>
              <w:spacing w:after="0" w:afterLines="0"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设计负责人</w:t>
            </w:r>
            <w:r>
              <w:rPr>
                <w:rFonts w:hint="eastAsia" w:ascii="宋体" w:hAnsi="宋体" w:eastAsia="宋体" w:cs="宋体"/>
                <w:color w:val="000000" w:themeColor="text1"/>
                <w:kern w:val="0"/>
                <w:sz w:val="24"/>
                <w:szCs w:val="24"/>
                <w:highlight w:val="none"/>
                <w14:textFill>
                  <w14:solidFill>
                    <w14:schemeClr w14:val="tx1"/>
                  </w14:solidFill>
                </w14:textFill>
              </w:rPr>
              <w:t>综合素质</w:t>
            </w:r>
          </w:p>
          <w:p w14:paraId="509C4666">
            <w:pPr>
              <w:pStyle w:val="8"/>
              <w:keepNext w:val="0"/>
              <w:keepLines w:val="0"/>
              <w:pageBreakBefore w:val="0"/>
              <w:kinsoku/>
              <w:wordWrap w:val="0"/>
              <w:overflowPunct/>
              <w:topLinePunct w:val="0"/>
              <w:bidi w:val="0"/>
              <w:adjustRightInd w:val="0"/>
              <w:snapToGrid w:val="0"/>
              <w:spacing w:after="0" w:afterLines="0" w:line="400" w:lineRule="exac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hAnsi="宋体" w:eastAsia="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3042" w:type="dxa"/>
            <w:shd w:val="clear" w:color="auto" w:fill="auto"/>
            <w:noWrap w:val="0"/>
            <w:vAlign w:val="center"/>
          </w:tcPr>
          <w:p w14:paraId="1194C8EF">
            <w:pPr>
              <w:pStyle w:val="8"/>
              <w:keepNext w:val="0"/>
              <w:keepLines w:val="0"/>
              <w:pageBreakBefore w:val="0"/>
              <w:kinsoku/>
              <w:wordWrap w:val="0"/>
              <w:overflowPunct/>
              <w:topLinePunct w:val="0"/>
              <w:bidi w:val="0"/>
              <w:adjustRightInd w:val="0"/>
              <w:snapToGrid w:val="0"/>
              <w:spacing w:after="0" w:afterLines="0"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拟委派</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的设计负责人</w:t>
            </w:r>
            <w:r>
              <w:rPr>
                <w:rFonts w:hint="eastAsia" w:ascii="宋体" w:hAnsi="宋体" w:eastAsia="宋体" w:cs="宋体"/>
                <w:color w:val="000000" w:themeColor="text1"/>
                <w:kern w:val="0"/>
                <w:sz w:val="24"/>
                <w:szCs w:val="24"/>
                <w:highlight w:val="none"/>
                <w14:textFill>
                  <w14:solidFill>
                    <w14:schemeClr w14:val="tx1"/>
                  </w14:solidFill>
                </w14:textFill>
              </w:rPr>
              <w:t>工程类技术职称情况</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p w14:paraId="0C8464B4">
            <w:pPr>
              <w:pStyle w:val="8"/>
              <w:keepNext w:val="0"/>
              <w:keepLines w:val="0"/>
              <w:pageBreakBefore w:val="0"/>
              <w:kinsoku/>
              <w:wordWrap w:val="0"/>
              <w:overflowPunct/>
              <w:topLinePunct w:val="0"/>
              <w:bidi w:val="0"/>
              <w:adjustRightInd w:val="0"/>
              <w:snapToGrid w:val="0"/>
              <w:spacing w:after="0" w:afterLines="0" w:line="400" w:lineRule="exac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具备高级工程师职称的，得</w:t>
            </w:r>
            <w:r>
              <w:rPr>
                <w:rFonts w:hint="eastAsia" w:hAnsi="宋体" w:eastAsia="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p w14:paraId="3E098EAE">
            <w:pPr>
              <w:pStyle w:val="8"/>
              <w:keepNext w:val="0"/>
              <w:keepLines w:val="0"/>
              <w:pageBreakBefore w:val="0"/>
              <w:kinsoku/>
              <w:wordWrap w:val="0"/>
              <w:overflowPunct/>
              <w:topLinePunct w:val="0"/>
              <w:bidi w:val="0"/>
              <w:adjustRightInd w:val="0"/>
              <w:snapToGrid w:val="0"/>
              <w:spacing w:after="0" w:afterLines="0" w:line="400" w:lineRule="exac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具备工程师职称的，得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p w14:paraId="459E8051">
            <w:pPr>
              <w:pStyle w:val="8"/>
              <w:keepNext w:val="0"/>
              <w:keepLines w:val="0"/>
              <w:pageBreakBefore w:val="0"/>
              <w:kinsoku/>
              <w:wordWrap w:val="0"/>
              <w:overflowPunct/>
              <w:topLinePunct w:val="0"/>
              <w:bidi w:val="0"/>
              <w:adjustRightInd w:val="0"/>
              <w:snapToGrid w:val="0"/>
              <w:spacing w:after="0" w:afterLines="0" w:line="400" w:lineRule="exac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具备助理工程师职称的</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p w14:paraId="1384B31D">
            <w:pPr>
              <w:pStyle w:val="8"/>
              <w:keepNext w:val="0"/>
              <w:keepLines w:val="0"/>
              <w:pageBreakBefore w:val="0"/>
              <w:kinsoku/>
              <w:wordWrap w:val="0"/>
              <w:overflowPunct/>
              <w:topLinePunct w:val="0"/>
              <w:bidi w:val="0"/>
              <w:adjustRightInd w:val="0"/>
              <w:snapToGrid w:val="0"/>
              <w:spacing w:after="0" w:afterLines="0"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不具备以上职称的，不予计分。</w:t>
            </w:r>
          </w:p>
          <w:p w14:paraId="1F20D472">
            <w:pPr>
              <w:pStyle w:val="8"/>
              <w:keepNext w:val="0"/>
              <w:keepLines w:val="0"/>
              <w:pageBreakBefore w:val="0"/>
              <w:kinsoku/>
              <w:wordWrap w:val="0"/>
              <w:overflowPunct/>
              <w:topLinePunct w:val="0"/>
              <w:bidi w:val="0"/>
              <w:adjustRightInd w:val="0"/>
              <w:snapToGrid w:val="0"/>
              <w:spacing w:after="0" w:afterLines="0" w:line="400" w:lineRule="exac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本项最高得</w:t>
            </w: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6</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分。</w:t>
            </w:r>
          </w:p>
        </w:tc>
        <w:tc>
          <w:tcPr>
            <w:tcW w:w="3972" w:type="dxa"/>
            <w:shd w:val="clear" w:color="auto" w:fill="auto"/>
            <w:noWrap w:val="0"/>
            <w:vAlign w:val="center"/>
          </w:tcPr>
          <w:p w14:paraId="69358EA5">
            <w:pPr>
              <w:pStyle w:val="8"/>
              <w:keepNext w:val="0"/>
              <w:keepLines w:val="0"/>
              <w:pageBreakBefore w:val="0"/>
              <w:kinsoku/>
              <w:wordWrap w:val="0"/>
              <w:overflowPunct/>
              <w:topLinePunct w:val="0"/>
              <w:bidi w:val="0"/>
              <w:adjustRightInd w:val="0"/>
              <w:snapToGrid w:val="0"/>
              <w:spacing w:after="0" w:afterLines="0" w:line="40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需附职称证彩色扫描件</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539D254E">
            <w:pPr>
              <w:pStyle w:val="8"/>
              <w:keepNext w:val="0"/>
              <w:keepLines w:val="0"/>
              <w:pageBreakBefore w:val="0"/>
              <w:kinsoku/>
              <w:wordWrap w:val="0"/>
              <w:overflowPunct/>
              <w:topLinePunct w:val="0"/>
              <w:bidi w:val="0"/>
              <w:adjustRightInd w:val="0"/>
              <w:snapToGrid w:val="0"/>
              <w:spacing w:after="0" w:afterLines="0" w:line="400" w:lineRule="exac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2.组成联合体时由联合体设计单位提供。</w:t>
            </w:r>
          </w:p>
        </w:tc>
      </w:tr>
      <w:tr w14:paraId="5726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Merge w:val="continue"/>
            <w:noWrap w:val="0"/>
            <w:vAlign w:val="center"/>
          </w:tcPr>
          <w:p w14:paraId="63325D6D">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680" w:type="dxa"/>
            <w:vMerge w:val="continue"/>
            <w:noWrap w:val="0"/>
            <w:vAlign w:val="center"/>
          </w:tcPr>
          <w:p w14:paraId="44983502">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595" w:type="dxa"/>
            <w:vMerge w:val="continue"/>
            <w:noWrap w:val="0"/>
            <w:vAlign w:val="center"/>
          </w:tcPr>
          <w:p w14:paraId="6CEB1D6F">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1221" w:type="dxa"/>
            <w:shd w:val="clear" w:color="auto" w:fill="auto"/>
            <w:noWrap w:val="0"/>
            <w:vAlign w:val="center"/>
          </w:tcPr>
          <w:p w14:paraId="30B3C5AF">
            <w:pPr>
              <w:keepNext/>
              <w:keepLines w:val="0"/>
              <w:pageBreakBefore w:val="0"/>
              <w:widowControl/>
              <w:kinsoku/>
              <w:wordWrap/>
              <w:overflowPunct/>
              <w:topLinePunct w:val="0"/>
              <w:autoSpaceDE/>
              <w:autoSpaceDN/>
              <w:bidi w:val="0"/>
              <w:adjustRightInd w:val="0"/>
              <w:snapToGrid w:val="0"/>
              <w:spacing w:after="0" w:line="360" w:lineRule="exact"/>
              <w:jc w:val="cente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企业管理</w:t>
            </w:r>
          </w:p>
          <w:p w14:paraId="5E87E91C">
            <w:pPr>
              <w:keepNext/>
              <w:keepLines w:val="0"/>
              <w:pageBreakBefore w:val="0"/>
              <w:widowControl/>
              <w:kinsoku/>
              <w:wordWrap/>
              <w:overflowPunct/>
              <w:topLinePunct w:val="0"/>
              <w:autoSpaceDE/>
              <w:autoSpaceDN/>
              <w:bidi w:val="0"/>
              <w:adjustRightInd w:val="0"/>
              <w:snapToGrid w:val="0"/>
              <w:spacing w:after="0" w:line="360" w:lineRule="exact"/>
              <w:jc w:val="cente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体系认证</w:t>
            </w:r>
          </w:p>
          <w:p w14:paraId="619FA691">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w:t>
            </w: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分）</w:t>
            </w:r>
          </w:p>
        </w:tc>
        <w:tc>
          <w:tcPr>
            <w:tcW w:w="3042" w:type="dxa"/>
            <w:shd w:val="clear" w:color="auto" w:fill="auto"/>
            <w:noWrap w:val="0"/>
            <w:vAlign w:val="center"/>
          </w:tcPr>
          <w:p w14:paraId="3BFBBB59">
            <w:pPr>
              <w:keepNext/>
              <w:keepLines w:val="0"/>
              <w:pageBreakBefore w:val="0"/>
              <w:widowControl/>
              <w:numPr>
                <w:ilvl w:val="0"/>
                <w:numId w:val="0"/>
              </w:numPr>
              <w:kinsoku/>
              <w:wordWrap/>
              <w:overflowPunct/>
              <w:topLinePunct w:val="0"/>
              <w:autoSpaceDE/>
              <w:autoSpaceDN/>
              <w:bidi w:val="0"/>
              <w:adjustRightInd/>
              <w:snapToGrid w:val="0"/>
              <w:spacing w:line="360" w:lineRule="exact"/>
              <w:jc w:val="left"/>
              <w:textAlignment w:val="baseline"/>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投标人在招标公告发布前</w:t>
            </w: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获得</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：质量管理体系认证、职业健康安全管理体系认证、环境管理体系认证中：</w:t>
            </w:r>
          </w:p>
          <w:p w14:paraId="6900F8AD">
            <w:pPr>
              <w:pStyle w:val="8"/>
              <w:keepNext w:val="0"/>
              <w:keepLines w:val="0"/>
              <w:pageBreakBefore w:val="0"/>
              <w:numPr>
                <w:ilvl w:val="0"/>
                <w:numId w:val="0"/>
              </w:numPr>
              <w:kinsoku/>
              <w:wordWrap w:val="0"/>
              <w:overflowPunct/>
              <w:topLinePunct w:val="0"/>
              <w:bidi w:val="0"/>
              <w:adjustRightInd w:val="0"/>
              <w:snapToGrid w:val="0"/>
              <w:spacing w:after="0" w:afterLines="0" w:line="400" w:lineRule="exac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获得1项认证得</w:t>
            </w:r>
            <w:r>
              <w:rPr>
                <w:rFonts w:hint="eastAsia"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分</w:t>
            </w:r>
            <w:r>
              <w:rPr>
                <w:rFonts w:hint="eastAsia" w:hAnsi="宋体" w:eastAsia="宋体" w:cs="宋体"/>
                <w:color w:val="000000" w:themeColor="text1"/>
                <w:kern w:val="0"/>
                <w:sz w:val="24"/>
                <w:szCs w:val="24"/>
                <w:highlight w:val="none"/>
                <w:lang w:val="en-US" w:eastAsia="zh-CN"/>
                <w14:textFill>
                  <w14:solidFill>
                    <w14:schemeClr w14:val="tx1"/>
                  </w14:solidFill>
                </w14:textFill>
              </w:rPr>
              <w:t>；</w:t>
            </w:r>
          </w:p>
          <w:p w14:paraId="136902F3">
            <w:pPr>
              <w:pStyle w:val="8"/>
              <w:keepNext w:val="0"/>
              <w:keepLines w:val="0"/>
              <w:pageBreakBefore w:val="0"/>
              <w:numPr>
                <w:ilvl w:val="0"/>
                <w:numId w:val="0"/>
              </w:numPr>
              <w:kinsoku/>
              <w:wordWrap w:val="0"/>
              <w:overflowPunct/>
              <w:topLinePunct w:val="0"/>
              <w:bidi w:val="0"/>
              <w:adjustRightInd w:val="0"/>
              <w:snapToGrid w:val="0"/>
              <w:spacing w:after="0" w:afterLines="0" w:line="400" w:lineRule="exac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获得</w:t>
            </w:r>
            <w:r>
              <w:rPr>
                <w:rFonts w:hint="eastAsia"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项认证得</w:t>
            </w:r>
            <w:r>
              <w:rPr>
                <w:rFonts w:hint="eastAsia"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分</w:t>
            </w:r>
            <w:r>
              <w:rPr>
                <w:rFonts w:hint="eastAsia" w:hAnsi="宋体" w:eastAsia="宋体" w:cs="宋体"/>
                <w:color w:val="000000" w:themeColor="text1"/>
                <w:kern w:val="0"/>
                <w:sz w:val="24"/>
                <w:szCs w:val="24"/>
                <w:highlight w:val="none"/>
                <w:lang w:val="en-US" w:eastAsia="zh-CN"/>
                <w14:textFill>
                  <w14:solidFill>
                    <w14:schemeClr w14:val="tx1"/>
                  </w14:solidFill>
                </w14:textFill>
              </w:rPr>
              <w:t>；</w:t>
            </w:r>
          </w:p>
          <w:p w14:paraId="1C10617A">
            <w:pPr>
              <w:pStyle w:val="8"/>
              <w:keepNext w:val="0"/>
              <w:keepLines w:val="0"/>
              <w:pageBreakBefore w:val="0"/>
              <w:numPr>
                <w:ilvl w:val="0"/>
                <w:numId w:val="0"/>
              </w:numPr>
              <w:kinsoku/>
              <w:wordWrap w:val="0"/>
              <w:overflowPunct/>
              <w:topLinePunct w:val="0"/>
              <w:bidi w:val="0"/>
              <w:adjustRightInd w:val="0"/>
              <w:snapToGrid w:val="0"/>
              <w:spacing w:after="0" w:afterLines="0" w:line="400" w:lineRule="exac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获得</w:t>
            </w:r>
            <w:r>
              <w:rPr>
                <w:rFonts w:hint="eastAsia"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项认证得</w:t>
            </w:r>
            <w:r>
              <w:rPr>
                <w:rFonts w:hint="eastAsia"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分</w:t>
            </w:r>
            <w:r>
              <w:rPr>
                <w:rFonts w:hint="eastAsia" w:hAnsi="宋体" w:eastAsia="宋体" w:cs="宋体"/>
                <w:color w:val="000000" w:themeColor="text1"/>
                <w:kern w:val="0"/>
                <w:sz w:val="24"/>
                <w:szCs w:val="24"/>
                <w:highlight w:val="none"/>
                <w:lang w:val="en-US" w:eastAsia="zh-CN"/>
                <w14:textFill>
                  <w14:solidFill>
                    <w14:schemeClr w14:val="tx1"/>
                  </w14:solidFill>
                </w14:textFill>
              </w:rPr>
              <w:t>；</w:t>
            </w:r>
          </w:p>
          <w:p w14:paraId="39402477">
            <w:pPr>
              <w:keepNext/>
              <w:keepLines w:val="0"/>
              <w:pageBreakBefore w:val="0"/>
              <w:widowControl/>
              <w:numPr>
                <w:ilvl w:val="0"/>
                <w:numId w:val="0"/>
              </w:numPr>
              <w:kinsoku/>
              <w:wordWrap/>
              <w:overflowPunct/>
              <w:topLinePunct w:val="0"/>
              <w:autoSpaceDE/>
              <w:autoSpaceDN/>
              <w:bidi w:val="0"/>
              <w:snapToGrid w:val="0"/>
              <w:spacing w:line="360" w:lineRule="exact"/>
              <w:ind w:leftChars="0"/>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hAnsi="宋体" w:eastAsia="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未获得以上认证的，不予计分。</w:t>
            </w:r>
          </w:p>
          <w:p w14:paraId="60CB13A0">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本项最高得</w:t>
            </w: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分。</w:t>
            </w:r>
          </w:p>
        </w:tc>
        <w:tc>
          <w:tcPr>
            <w:tcW w:w="3972" w:type="dxa"/>
            <w:shd w:val="clear" w:color="auto" w:fill="auto"/>
            <w:noWrap w:val="0"/>
            <w:vAlign w:val="center"/>
          </w:tcPr>
          <w:p w14:paraId="35B749C8">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1．需附在有效期内的认证证书</w:t>
            </w:r>
            <w:r>
              <w:rPr>
                <w:rFonts w:hint="eastAsia" w:hAnsi="宋体" w:eastAsia="宋体" w:cs="宋体"/>
                <w:snapToGrid w:val="0"/>
                <w:color w:val="000000" w:themeColor="text1"/>
                <w:kern w:val="0"/>
                <w:sz w:val="24"/>
                <w:szCs w:val="24"/>
                <w:highlight w:val="none"/>
                <w:lang w:val="en-US" w:eastAsia="zh-CN" w:bidi="ar-SA"/>
                <w14:textFill>
                  <w14:solidFill>
                    <w14:schemeClr w14:val="tx1"/>
                  </w14:solidFill>
                </w14:textFill>
              </w:rPr>
              <w:t>彩色</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扫描件。</w:t>
            </w:r>
          </w:p>
          <w:p w14:paraId="622110F1">
            <w:pPr>
              <w:keepNext/>
              <w:keepLines w:val="0"/>
              <w:pageBreakBefore w:val="0"/>
              <w:widowControl/>
              <w:numPr>
                <w:ilvl w:val="0"/>
                <w:numId w:val="0"/>
              </w:numPr>
              <w:kinsoku/>
              <w:wordWrap/>
              <w:overflowPunct/>
              <w:topLinePunct w:val="0"/>
              <w:autoSpaceDE/>
              <w:autoSpaceDN/>
              <w:bidi w:val="0"/>
              <w:adjustRightInd w:val="0"/>
              <w:snapToGrid w:val="0"/>
              <w:spacing w:after="0" w:line="360" w:lineRule="exact"/>
              <w:jc w:val="both"/>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2．</w:t>
            </w:r>
            <w: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t>需提供</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国家认证认可监督管理委员会官网网页截图,否则不得分。</w:t>
            </w:r>
          </w:p>
          <w:p w14:paraId="2F0F97C2">
            <w:pPr>
              <w:keepNext/>
              <w:keepLines w:val="0"/>
              <w:pageBreakBefore w:val="0"/>
              <w:widowControl/>
              <w:numPr>
                <w:ilvl w:val="0"/>
                <w:numId w:val="0"/>
              </w:numPr>
              <w:kinsoku/>
              <w:wordWrap/>
              <w:overflowPunct/>
              <w:topLinePunct w:val="0"/>
              <w:autoSpaceDE/>
              <w:autoSpaceDN/>
              <w:bidi w:val="0"/>
              <w:adjustRightInd w:val="0"/>
              <w:snapToGrid w:val="0"/>
              <w:spacing w:after="0" w:line="360" w:lineRule="exact"/>
              <w:jc w:val="both"/>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t>3．</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证书有效性在国家认证认可监督</w:t>
            </w:r>
            <w: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t>管理委员会官网（http://www.cnca.gov.cn/)可查。</w:t>
            </w:r>
          </w:p>
          <w:p w14:paraId="11A2D6FC">
            <w:pPr>
              <w:keepNext/>
              <w:keepLines w:val="0"/>
              <w:pageBreakBefore w:val="0"/>
              <w:widowControl/>
              <w:kinsoku/>
              <w:wordWrap/>
              <w:overflowPunct/>
              <w:topLinePunct w:val="0"/>
              <w:autoSpaceDE/>
              <w:autoSpaceDN/>
              <w:bidi w:val="0"/>
              <w:adjustRightInd w:val="0"/>
              <w:snapToGrid w:val="0"/>
              <w:spacing w:after="0" w:line="360" w:lineRule="exact"/>
              <w:jc w:val="both"/>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4．任一认证证书认证证书不在有效期内的，该认证证书视为无效，不予计分；</w:t>
            </w:r>
          </w:p>
          <w:p w14:paraId="467B29B4">
            <w:pPr>
              <w:pStyle w:val="8"/>
              <w:keepNext w:val="0"/>
              <w:keepLines w:val="0"/>
              <w:pageBreakBefore w:val="0"/>
              <w:kinsoku/>
              <w:wordWrap w:val="0"/>
              <w:overflowPunct/>
              <w:topLinePunct w:val="0"/>
              <w:bidi w:val="0"/>
              <w:adjustRightInd w:val="0"/>
              <w:snapToGrid w:val="0"/>
              <w:spacing w:after="0" w:afterLines="0" w:line="400" w:lineRule="exac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5.组成联合体时由联合体设计单位提供。</w:t>
            </w:r>
          </w:p>
        </w:tc>
      </w:tr>
      <w:tr w14:paraId="1EC2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Merge w:val="restart"/>
            <w:noWrap w:val="0"/>
            <w:vAlign w:val="center"/>
          </w:tcPr>
          <w:p w14:paraId="60C2FCD4">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680" w:type="dxa"/>
            <w:vMerge w:val="restart"/>
            <w:noWrap w:val="0"/>
            <w:vAlign w:val="center"/>
          </w:tcPr>
          <w:p w14:paraId="50AFABAA">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投标报价得分</w:t>
            </w:r>
          </w:p>
          <w:p w14:paraId="6800DEEA">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（50分）</w:t>
            </w:r>
          </w:p>
        </w:tc>
        <w:tc>
          <w:tcPr>
            <w:tcW w:w="595" w:type="dxa"/>
            <w:noWrap w:val="0"/>
            <w:vAlign w:val="center"/>
          </w:tcPr>
          <w:p w14:paraId="02EE3F97">
            <w:pPr>
              <w:pStyle w:val="5"/>
              <w:keepNext/>
              <w:keepLines w:val="0"/>
              <w:pageBreakBefore w:val="0"/>
              <w:widowControl/>
              <w:kinsoku/>
              <w:wordWrap/>
              <w:overflowPunct/>
              <w:topLinePunct w:val="0"/>
              <w:autoSpaceDE/>
              <w:autoSpaceDN/>
              <w:bidi w:val="0"/>
              <w:spacing w:line="36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评标基准价D</w:t>
            </w:r>
          </w:p>
        </w:tc>
        <w:tc>
          <w:tcPr>
            <w:tcW w:w="8235" w:type="dxa"/>
            <w:gridSpan w:val="3"/>
            <w:noWrap w:val="0"/>
            <w:vAlign w:val="center"/>
          </w:tcPr>
          <w:p w14:paraId="51D0704E">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确定招标控制价下浮系数n：用1～21号球分别代表一个下浮系数，由评委代表从这21个号码中随机抽取3次，每次抽取1个号码，抽出的号球不参与下次抽取。所抽取的3个号码对应下浮系数的算术平均值作为招标控制价下浮系数n。具体号码对应的下浮系数可参考下表。</w:t>
            </w:r>
          </w:p>
          <w:tbl>
            <w:tblPr>
              <w:tblStyle w:val="21"/>
              <w:tblW w:w="7360" w:type="dxa"/>
              <w:tblInd w:w="113" w:type="dxa"/>
              <w:shd w:val="clear" w:color="auto" w:fill="FFFFFF"/>
              <w:tblLayout w:type="fixed"/>
              <w:tblCellMar>
                <w:top w:w="0" w:type="dxa"/>
                <w:left w:w="108" w:type="dxa"/>
                <w:bottom w:w="0" w:type="dxa"/>
                <w:right w:w="108" w:type="dxa"/>
              </w:tblCellMar>
            </w:tblPr>
            <w:tblGrid>
              <w:gridCol w:w="1408"/>
              <w:gridCol w:w="846"/>
              <w:gridCol w:w="760"/>
              <w:gridCol w:w="880"/>
              <w:gridCol w:w="831"/>
              <w:gridCol w:w="969"/>
              <w:gridCol w:w="913"/>
              <w:gridCol w:w="753"/>
            </w:tblGrid>
            <w:tr w14:paraId="5A8A13A9">
              <w:tblPrEx>
                <w:shd w:val="clear" w:color="auto" w:fill="FFFFFF"/>
                <w:tblCellMar>
                  <w:top w:w="0" w:type="dxa"/>
                  <w:left w:w="108" w:type="dxa"/>
                  <w:bottom w:w="0" w:type="dxa"/>
                  <w:right w:w="108" w:type="dxa"/>
                </w:tblCellMar>
              </w:tblPrEx>
              <w:trPr>
                <w:trHeight w:val="396"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D15612">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号球</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5CE412">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7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3F4F22">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E998B7">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91AB3B">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8165B">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21BC88">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67901B">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r>
            <w:tr w14:paraId="5BA8489C">
              <w:tblPrEx>
                <w:tblCellMar>
                  <w:top w:w="0" w:type="dxa"/>
                  <w:left w:w="108" w:type="dxa"/>
                  <w:bottom w:w="0" w:type="dxa"/>
                  <w:right w:w="108" w:type="dxa"/>
                </w:tblCellMar>
              </w:tblPrEx>
              <w:trPr>
                <w:trHeight w:val="408"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F9EB1">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下浮系数（%）</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72D7D0">
                  <w:pPr>
                    <w:keepNext/>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.0</w:t>
                  </w:r>
                </w:p>
              </w:tc>
              <w:tc>
                <w:tcPr>
                  <w:tcW w:w="7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C05831">
                  <w:pPr>
                    <w:keepNext/>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.1</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940693">
                  <w:pPr>
                    <w:keepNext/>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.2</w:t>
                  </w: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EA9D6D">
                  <w:pPr>
                    <w:keepNext/>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.3</w:t>
                  </w:r>
                </w:p>
              </w:tc>
              <w:tc>
                <w:tcPr>
                  <w:tcW w:w="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99A0D2">
                  <w:pPr>
                    <w:keepNext/>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.4</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C07BC">
                  <w:pPr>
                    <w:keepNext/>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.5</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A8D72A">
                  <w:pPr>
                    <w:keepNext/>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.6</w:t>
                  </w:r>
                </w:p>
              </w:tc>
            </w:tr>
            <w:tr w14:paraId="07DD63B6">
              <w:tblPrEx>
                <w:tblCellMar>
                  <w:top w:w="0" w:type="dxa"/>
                  <w:left w:w="108" w:type="dxa"/>
                  <w:bottom w:w="0" w:type="dxa"/>
                  <w:right w:w="108" w:type="dxa"/>
                </w:tblCellMar>
              </w:tblPrEx>
              <w:trPr>
                <w:trHeight w:val="413"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718160">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号球</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6E912">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7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5CF41E">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AE9A52">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B680A">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p>
              </w:tc>
              <w:tc>
                <w:tcPr>
                  <w:tcW w:w="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9C60E2">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CA114E">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737387">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w:t>
                  </w:r>
                </w:p>
              </w:tc>
            </w:tr>
            <w:tr w14:paraId="1D60BDE6">
              <w:tblPrEx>
                <w:tblCellMar>
                  <w:top w:w="0" w:type="dxa"/>
                  <w:left w:w="108" w:type="dxa"/>
                  <w:bottom w:w="0" w:type="dxa"/>
                  <w:right w:w="108" w:type="dxa"/>
                </w:tblCellMar>
              </w:tblPrEx>
              <w:trPr>
                <w:trHeight w:val="408"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F7B27B">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下浮系数（%）</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230CC1">
                  <w:pPr>
                    <w:keepNext/>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.7</w:t>
                  </w:r>
                </w:p>
              </w:tc>
              <w:tc>
                <w:tcPr>
                  <w:tcW w:w="7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0CFC33">
                  <w:pPr>
                    <w:keepNext/>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.8</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39931A">
                  <w:pPr>
                    <w:keepNext/>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.9</w:t>
                  </w: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D66437">
                  <w:pPr>
                    <w:keepNext/>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.0</w:t>
                  </w:r>
                </w:p>
              </w:tc>
              <w:tc>
                <w:tcPr>
                  <w:tcW w:w="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4196C0">
                  <w:pPr>
                    <w:keepNext/>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.1</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55F906">
                  <w:pPr>
                    <w:keepNext/>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.2</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DE80F3">
                  <w:pPr>
                    <w:keepNext/>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.3</w:t>
                  </w:r>
                </w:p>
              </w:tc>
            </w:tr>
            <w:tr w14:paraId="02EC0552">
              <w:tblPrEx>
                <w:tblCellMar>
                  <w:top w:w="0" w:type="dxa"/>
                  <w:left w:w="108" w:type="dxa"/>
                  <w:bottom w:w="0" w:type="dxa"/>
                  <w:right w:w="108" w:type="dxa"/>
                </w:tblCellMar>
              </w:tblPrEx>
              <w:trPr>
                <w:trHeight w:val="396"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E0F674">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号球</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BDFAE1">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w:t>
                  </w:r>
                </w:p>
              </w:tc>
              <w:tc>
                <w:tcPr>
                  <w:tcW w:w="7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FA58AF">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D91D1C">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4BB58B">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w:t>
                  </w:r>
                </w:p>
              </w:tc>
              <w:tc>
                <w:tcPr>
                  <w:tcW w:w="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0846D3">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1B92F9">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51937E">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w:t>
                  </w:r>
                </w:p>
              </w:tc>
            </w:tr>
            <w:tr w14:paraId="151E324E">
              <w:tblPrEx>
                <w:tblCellMar>
                  <w:top w:w="0" w:type="dxa"/>
                  <w:left w:w="108" w:type="dxa"/>
                  <w:bottom w:w="0" w:type="dxa"/>
                  <w:right w:w="108" w:type="dxa"/>
                </w:tblCellMar>
              </w:tblPrEx>
              <w:trPr>
                <w:trHeight w:val="417"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74811B">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下浮系数（%）</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99234">
                  <w:pPr>
                    <w:keepNext/>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.4</w:t>
                  </w:r>
                </w:p>
              </w:tc>
              <w:tc>
                <w:tcPr>
                  <w:tcW w:w="7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D801F1">
                  <w:pPr>
                    <w:keepNext/>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.5</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B3EA8C">
                  <w:pPr>
                    <w:keepNext/>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.6</w:t>
                  </w: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6C1572">
                  <w:pPr>
                    <w:keepNext/>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.7</w:t>
                  </w:r>
                </w:p>
              </w:tc>
              <w:tc>
                <w:tcPr>
                  <w:tcW w:w="9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13B0AE">
                  <w:pPr>
                    <w:keepNext/>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.8</w:t>
                  </w:r>
                </w:p>
              </w:tc>
              <w:tc>
                <w:tcPr>
                  <w:tcW w:w="9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1BC917">
                  <w:pPr>
                    <w:keepNext/>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.9</w:t>
                  </w:r>
                </w:p>
              </w:tc>
              <w:tc>
                <w:tcPr>
                  <w:tcW w:w="7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DD6DCB">
                  <w:pPr>
                    <w:keepNext/>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.0</w:t>
                  </w:r>
                </w:p>
              </w:tc>
            </w:tr>
          </w:tbl>
          <w:p w14:paraId="441A738D">
            <w:pPr>
              <w:keepNext/>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（2）评标基准价D＝招标控制价×（1－n）</w:t>
            </w:r>
          </w:p>
        </w:tc>
      </w:tr>
      <w:tr w14:paraId="1642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dxa"/>
            <w:vMerge w:val="continue"/>
            <w:noWrap w:val="0"/>
            <w:vAlign w:val="center"/>
          </w:tcPr>
          <w:p w14:paraId="3BB3BB02">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680" w:type="dxa"/>
            <w:vMerge w:val="continue"/>
            <w:noWrap w:val="0"/>
            <w:vAlign w:val="center"/>
          </w:tcPr>
          <w:p w14:paraId="32D1A51F">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595" w:type="dxa"/>
            <w:noWrap w:val="0"/>
            <w:vAlign w:val="center"/>
          </w:tcPr>
          <w:p w14:paraId="0BE4B193">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投标报价得分N</w:t>
            </w:r>
          </w:p>
        </w:tc>
        <w:tc>
          <w:tcPr>
            <w:tcW w:w="8235" w:type="dxa"/>
            <w:gridSpan w:val="3"/>
            <w:noWrap w:val="0"/>
            <w:vAlign w:val="center"/>
          </w:tcPr>
          <w:p w14:paraId="7C286C0B">
            <w:pPr>
              <w:keepNext/>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采用内插法计算某投标人的投标报价得分N，即当投标人的投标总价等于评标基准价时得50分，每高于评标基准价一个百分点扣</w:t>
            </w:r>
            <w:r>
              <w:rPr>
                <w:rFonts w:hint="eastAsia" w:ascii="宋体" w:hAnsi="宋体" w:eastAsia="宋体" w:cs="宋体"/>
                <w:color w:val="000000" w:themeColor="text1"/>
                <w:sz w:val="24"/>
                <w:szCs w:val="24"/>
                <w:highlight w:val="none"/>
                <w:lang w:val="en-US" w:eastAsia="zh-CN"/>
                <w14:textFill>
                  <w14:solidFill>
                    <w14:schemeClr w14:val="tx1"/>
                  </w14:solidFill>
                </w14:textFill>
              </w:rPr>
              <w:t>0.5</w:t>
            </w:r>
            <w:r>
              <w:rPr>
                <w:rFonts w:hint="eastAsia" w:ascii="宋体" w:hAnsi="宋体" w:eastAsia="宋体" w:cs="宋体"/>
                <w:color w:val="000000" w:themeColor="text1"/>
                <w:sz w:val="24"/>
                <w:szCs w:val="24"/>
                <w:highlight w:val="none"/>
                <w14:textFill>
                  <w14:solidFill>
                    <w14:schemeClr w14:val="tx1"/>
                  </w14:solidFill>
                </w14:textFill>
              </w:rPr>
              <w:t>分,每低于评标基准价一个百分点扣</w:t>
            </w:r>
            <w:r>
              <w:rPr>
                <w:rFonts w:hint="eastAsia" w:ascii="宋体" w:hAnsi="宋体" w:eastAsia="宋体" w:cs="宋体"/>
                <w:color w:val="000000" w:themeColor="text1"/>
                <w:sz w:val="24"/>
                <w:szCs w:val="24"/>
                <w:highlight w:val="none"/>
                <w:lang w:val="en-US" w:eastAsia="zh-CN"/>
                <w14:textFill>
                  <w14:solidFill>
                    <w14:schemeClr w14:val="tx1"/>
                  </w14:solidFill>
                </w14:textFill>
              </w:rPr>
              <w:t>0.25</w:t>
            </w:r>
            <w:r>
              <w:rPr>
                <w:rFonts w:hint="eastAsia" w:ascii="宋体" w:hAnsi="宋体" w:eastAsia="宋体" w:cs="宋体"/>
                <w:color w:val="000000" w:themeColor="text1"/>
                <w:sz w:val="24"/>
                <w:szCs w:val="24"/>
                <w:highlight w:val="none"/>
                <w14:textFill>
                  <w14:solidFill>
                    <w14:schemeClr w14:val="tx1"/>
                  </w14:solidFill>
                </w14:textFill>
              </w:rPr>
              <w:t>分，扣完为止。公式如下：</w:t>
            </w:r>
          </w:p>
          <w:p w14:paraId="10B26EBF">
            <w:pPr>
              <w:keepNext/>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N＝50－（|Di－D|÷D）×100×E</w:t>
            </w:r>
          </w:p>
          <w:p w14:paraId="6F1B0B2C">
            <w:pPr>
              <w:pStyle w:val="5"/>
              <w:keepNext/>
              <w:keepLines w:val="0"/>
              <w:pageBreakBefore w:val="0"/>
              <w:widowControl/>
              <w:kinsoku/>
              <w:wordWrap/>
              <w:overflowPunct/>
              <w:topLinePunct w:val="0"/>
              <w:autoSpaceDE/>
              <w:autoSpaceDN/>
              <w:bidi w:val="0"/>
              <w:adjustRightInd/>
              <w:snapToGrid/>
              <w:spacing w:before="0" w:beforeLines="0" w:after="0" w:afterLines="0"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式中：D为评标基准价；Di为某投标人的投标总价；E为扣分因子，当Di＞D时，E＝</w:t>
            </w:r>
            <w:r>
              <w:rPr>
                <w:rFonts w:hint="eastAsia" w:ascii="宋体" w:hAnsi="宋体" w:eastAsia="宋体" w:cs="宋体"/>
                <w:color w:val="000000" w:themeColor="text1"/>
                <w:sz w:val="24"/>
                <w:szCs w:val="24"/>
                <w:highlight w:val="none"/>
                <w:lang w:val="en-US" w:eastAsia="zh-CN"/>
                <w14:textFill>
                  <w14:solidFill>
                    <w14:schemeClr w14:val="tx1"/>
                  </w14:solidFill>
                </w14:textFill>
              </w:rPr>
              <w:t>0.5</w:t>
            </w:r>
            <w:r>
              <w:rPr>
                <w:rFonts w:hint="eastAsia" w:ascii="宋体" w:hAnsi="宋体" w:eastAsia="宋体" w:cs="宋体"/>
                <w:color w:val="000000" w:themeColor="text1"/>
                <w:sz w:val="24"/>
                <w:szCs w:val="24"/>
                <w:highlight w:val="none"/>
                <w14:textFill>
                  <w14:solidFill>
                    <w14:schemeClr w14:val="tx1"/>
                  </w14:solidFill>
                </w14:textFill>
              </w:rPr>
              <w:t>；当Di＜D时，E＝0.</w:t>
            </w: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sz w:val="24"/>
                <w:szCs w:val="24"/>
                <w:highlight w:val="none"/>
                <w14:textFill>
                  <w14:solidFill>
                    <w14:schemeClr w14:val="tx1"/>
                  </w14:solidFill>
                </w14:textFill>
              </w:rPr>
              <w:t>。</w:t>
            </w:r>
          </w:p>
        </w:tc>
      </w:tr>
      <w:tr w14:paraId="1049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1" w:type="dxa"/>
            <w:gridSpan w:val="3"/>
            <w:noWrap w:val="0"/>
            <w:vAlign w:val="center"/>
          </w:tcPr>
          <w:p w14:paraId="3A6AA1BC">
            <w:pPr>
              <w:keepNext/>
              <w:keepLines w:val="0"/>
              <w:pageBreakBefore w:val="0"/>
              <w:widowControl/>
              <w:kinsoku/>
              <w:wordWrap/>
              <w:overflowPunct/>
              <w:topLinePunct w:val="0"/>
              <w:autoSpaceDE/>
              <w:autoSpaceDN/>
              <w:bidi w:val="0"/>
              <w:snapToGrid w:val="0"/>
              <w:spacing w:line="36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合计</w:t>
            </w:r>
          </w:p>
        </w:tc>
        <w:tc>
          <w:tcPr>
            <w:tcW w:w="8235" w:type="dxa"/>
            <w:gridSpan w:val="3"/>
            <w:noWrap w:val="0"/>
            <w:vAlign w:val="center"/>
          </w:tcPr>
          <w:p w14:paraId="29A682F9">
            <w:pPr>
              <w:keepNext/>
              <w:keepLines w:val="0"/>
              <w:pageBreakBefore w:val="0"/>
              <w:widowControl/>
              <w:kinsoku/>
              <w:wordWrap/>
              <w:overflowPunct/>
              <w:topLinePunct w:val="0"/>
              <w:autoSpaceDE/>
              <w:autoSpaceDN/>
              <w:bidi w:val="0"/>
              <w:snapToGrid w:val="0"/>
              <w:spacing w:line="3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商务技术得分+投标报价得分=总得分</w:t>
            </w:r>
          </w:p>
        </w:tc>
      </w:tr>
    </w:tbl>
    <w:p w14:paraId="138C0978">
      <w:pPr>
        <w:rPr>
          <w:rFonts w:hint="eastAsia"/>
          <w:color w:val="000000" w:themeColor="text1"/>
          <w:highlight w:val="none"/>
          <w14:textFill>
            <w14:solidFill>
              <w14:schemeClr w14:val="tx1"/>
            </w14:solidFill>
          </w14:textFill>
        </w:rPr>
      </w:pPr>
    </w:p>
    <w:p w14:paraId="652B4D38">
      <w:pPr>
        <w:spacing w:line="440" w:lineRule="exact"/>
        <w:rPr>
          <w:rFonts w:hint="eastAsia" w:asciiTheme="minorEastAsia" w:hAnsiTheme="minorEastAsia" w:eastAsiaTheme="minorEastAsia" w:cstheme="minorEastAsia"/>
          <w:color w:val="000000" w:themeColor="text1"/>
          <w:spacing w:val="10"/>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Cs w:val="24"/>
          <w:highlight w:val="none"/>
          <w14:textFill>
            <w14:solidFill>
              <w14:schemeClr w14:val="tx1"/>
            </w14:solidFill>
          </w14:textFill>
        </w:rPr>
        <w:t>备注：</w:t>
      </w:r>
    </w:p>
    <w:p w14:paraId="4C82F864">
      <w:pPr>
        <w:spacing w:line="440" w:lineRule="exact"/>
        <w:ind w:firstLine="482" w:firstLineChars="200"/>
        <w:rPr>
          <w:rFonts w:hint="eastAsia" w:asciiTheme="minorEastAsia" w:hAnsiTheme="minorEastAsia" w:eastAsiaTheme="minorEastAsia" w:cstheme="minorEastAsia"/>
          <w:b/>
          <w:bCs/>
          <w:color w:val="000000" w:themeColor="text1"/>
          <w:szCs w:val="24"/>
          <w:highlight w:val="none"/>
          <w:u w:val="doubl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szCs w:val="24"/>
          <w:highlight w:val="none"/>
          <w:u w:val="double"/>
          <w14:textFill>
            <w14:solidFill>
              <w14:schemeClr w14:val="tx1"/>
            </w14:solidFill>
          </w14:textFill>
        </w:rPr>
        <w:t>评分如出现小数点，则保留小数点后两位，第三位四舍五入。</w:t>
      </w:r>
    </w:p>
    <w:p w14:paraId="60FF2AA3">
      <w:pPr>
        <w:spacing w:line="440" w:lineRule="exact"/>
        <w:ind w:firstLine="482" w:firstLineChars="200"/>
        <w:rPr>
          <w:rFonts w:hint="eastAsia" w:asciiTheme="minorEastAsia" w:hAnsiTheme="minorEastAsia" w:eastAsiaTheme="minorEastAsia" w:cstheme="minorEastAsia"/>
          <w:b/>
          <w:color w:val="000000" w:themeColor="text1"/>
          <w:kern w:val="1"/>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Cs w:val="24"/>
          <w:highlight w:val="none"/>
          <w:u w:val="double"/>
          <w14:textFill>
            <w14:solidFill>
              <w14:schemeClr w14:val="tx1"/>
            </w14:solidFill>
          </w14:textFill>
        </w:rPr>
        <w:t>如果某投标人的建安工程费下浮率高于15%时，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644408AA">
      <w:pPr>
        <w:wordWrap w:val="0"/>
        <w:adjustRightInd w:val="0"/>
        <w:snapToGrid w:val="0"/>
        <w:spacing w:line="440" w:lineRule="exact"/>
        <w:ind w:firstLine="520" w:firstLineChars="200"/>
        <w:rPr>
          <w:rFonts w:hint="eastAsia" w:asciiTheme="minorEastAsia" w:hAnsiTheme="minorEastAsia" w:eastAsiaTheme="minorEastAsia" w:cstheme="minorEastAsia"/>
          <w:bCs/>
          <w:color w:val="000000" w:themeColor="text1"/>
          <w:spacing w:val="10"/>
          <w:kern w:val="0"/>
          <w:szCs w:val="24"/>
          <w:highlight w:val="none"/>
          <w14:textFill>
            <w14:solidFill>
              <w14:schemeClr w14:val="tx1"/>
            </w14:solidFill>
          </w14:textFill>
        </w:rPr>
      </w:pPr>
    </w:p>
    <w:p w14:paraId="124DC73F">
      <w:pPr>
        <w:wordWrap w:val="0"/>
        <w:adjustRightInd w:val="0"/>
        <w:snapToGrid w:val="0"/>
        <w:spacing w:line="440" w:lineRule="exact"/>
        <w:ind w:firstLine="52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pacing w:val="10"/>
          <w:kern w:val="0"/>
          <w:szCs w:val="24"/>
          <w:highlight w:val="none"/>
          <w14:textFill>
            <w14:solidFill>
              <w14:schemeClr w14:val="tx1"/>
            </w14:solidFill>
          </w14:textFill>
        </w:rPr>
        <w:t>14.</w:t>
      </w:r>
      <w:r>
        <w:rPr>
          <w:rFonts w:hint="eastAsia" w:asciiTheme="minorEastAsia" w:hAnsiTheme="minorEastAsia" w:eastAsiaTheme="minorEastAsia" w:cstheme="minorEastAsia"/>
          <w:bCs/>
          <w:color w:val="000000" w:themeColor="text1"/>
          <w:spacing w:val="10"/>
          <w:kern w:val="0"/>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pacing w:val="10"/>
          <w:kern w:val="0"/>
          <w:szCs w:val="24"/>
          <w:highlight w:val="none"/>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否决投标说明</w:t>
      </w:r>
    </w:p>
    <w:p w14:paraId="2F46DD7E">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详细评审阶段否决投标的全部条件，在本章第四节“否决投标条件”第1条至第4条中集中列示。投标人有其中所列任何一种情形的，由评标委员会否决其投标。经详细评审后，有效投标人数量不足3个时，招标人应依法重新组织招标。</w:t>
      </w:r>
    </w:p>
    <w:p w14:paraId="524E4F43">
      <w:pPr>
        <w:pStyle w:val="36"/>
        <w:spacing w:line="400" w:lineRule="exact"/>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注：投标人在详细评审阶段根据评分方法提供的佐证材料，其合法性、有效性和准确性不符合要求的，有关量化因素（或评分因素）的折算、调整（或评分）按相应量化标准（或评分标准）处理，但不否决投标。</w:t>
      </w:r>
    </w:p>
    <w:p w14:paraId="70091841">
      <w:pPr>
        <w:pStyle w:val="46"/>
        <w:ind w:firstLine="482" w:firstLineChars="200"/>
        <w:jc w:val="both"/>
        <w:outlineLvl w:val="9"/>
        <w:rPr>
          <w:rFonts w:hint="eastAsia" w:asciiTheme="minorEastAsia" w:hAnsiTheme="minorEastAsia" w:eastAsiaTheme="minorEastAsia" w:cstheme="minorEastAsia"/>
          <w:b/>
          <w:color w:val="000000" w:themeColor="text1"/>
          <w:highlight w:val="none"/>
          <w14:textFill>
            <w14:solidFill>
              <w14:schemeClr w14:val="tx1"/>
            </w14:solidFill>
          </w14:textFill>
        </w:rPr>
      </w:pPr>
    </w:p>
    <w:p w14:paraId="13A69B6E">
      <w:pPr>
        <w:pStyle w:val="38"/>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77" w:name="_Toc32481"/>
      <w:bookmarkStart w:id="278" w:name="_Toc8759"/>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15</w:t>
      </w:r>
      <w:r>
        <w:rPr>
          <w:rFonts w:hint="eastAsia" w:asciiTheme="minorEastAsia" w:hAnsiTheme="minorEastAsia" w:eastAsiaTheme="minorEastAsia" w:cstheme="minorEastAsia"/>
          <w:b/>
          <w:color w:val="000000" w:themeColor="text1"/>
          <w:kern w:val="2"/>
          <w:highlight w:val="none"/>
          <w:lang w:val="en-US" w:eastAsia="zh-CN"/>
          <w14:textFill>
            <w14:solidFill>
              <w14:schemeClr w14:val="tx1"/>
            </w14:solidFill>
          </w14:textFill>
        </w:rPr>
        <w:t>、</w:t>
      </w:r>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中标候选人公示</w:t>
      </w:r>
      <w:bookmarkEnd w:id="277"/>
      <w:bookmarkEnd w:id="278"/>
    </w:p>
    <w:p w14:paraId="472398B4">
      <w:pPr>
        <w:pStyle w:val="36"/>
        <w:spacing w:line="400" w:lineRule="exact"/>
        <w:ind w:firstLine="480" w:firstLineChars="200"/>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15.1</w:t>
      </w: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招标人自收到评标委员会提交的书面评标报告和中标候选人名单之日起3日内，将评标结果（即中标候选人名单）、中标候选人投标文件、评标过程（评标专家姓名用代码标记）一并在广东省招标投标监管网（http://zbtb.gd.gov.cn）、全国公共资源交易平台（广东省·韶关市）（https://ygp.gdzwfw.gov.cn/ggzy-portal/#/440200/index）进行公示，公示期不得少于3天。</w:t>
      </w:r>
    </w:p>
    <w:p w14:paraId="698089A6">
      <w:pPr>
        <w:pStyle w:val="36"/>
        <w:spacing w:line="400" w:lineRule="exact"/>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15.2</w:t>
      </w: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号）执行。</w:t>
      </w:r>
    </w:p>
    <w:p w14:paraId="76AC70F7">
      <w:pPr>
        <w:pStyle w:val="36"/>
        <w:spacing w:line="400" w:lineRule="exact"/>
        <w:ind w:firstLine="480" w:firstLineChars="200"/>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15.3 中标候选人公示期满无异议（投诉）后，招标人确定第一中标候选人为中标人，并在中标人确定之日起7日内向中标人发出中标通知书。在中标通知书发出后5个工作日内，韶关市公共资源交易中心将投标保证金退还给中标候选人以外的投标人。</w:t>
      </w:r>
    </w:p>
    <w:p w14:paraId="1FDA3118">
      <w:pPr>
        <w:pStyle w:val="36"/>
        <w:spacing w:line="400" w:lineRule="exact"/>
        <w:ind w:firstLine="480" w:firstLineChars="200"/>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pPr>
    </w:p>
    <w:p w14:paraId="512E32FC">
      <w:pPr>
        <w:pStyle w:val="36"/>
        <w:spacing w:line="400" w:lineRule="exact"/>
        <w:ind w:firstLine="480" w:firstLineChars="200"/>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pPr>
    </w:p>
    <w:p w14:paraId="3A0AA3D2">
      <w:pPr>
        <w:pStyle w:val="36"/>
        <w:spacing w:line="400" w:lineRule="exact"/>
        <w:ind w:firstLine="480" w:firstLineChars="200"/>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pPr>
    </w:p>
    <w:p w14:paraId="28821CF2">
      <w:pPr>
        <w:pStyle w:val="36"/>
        <w:spacing w:line="400" w:lineRule="exact"/>
        <w:ind w:firstLine="480" w:firstLineChars="200"/>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pPr>
    </w:p>
    <w:p w14:paraId="419DA419">
      <w:pPr>
        <w:wordWrap w:val="0"/>
        <w:adjustRightInd w:val="0"/>
        <w:snapToGrid w:val="0"/>
        <w:spacing w:line="440" w:lineRule="exact"/>
        <w:outlineLvl w:val="1"/>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279" w:name="_Hlt112206772"/>
      <w:bookmarkEnd w:id="279"/>
      <w:bookmarkStart w:id="280" w:name="_Hlt69669771"/>
      <w:bookmarkEnd w:id="280"/>
      <w:bookmarkStart w:id="281" w:name="_Toc16300"/>
      <w:bookmarkStart w:id="282" w:name="_Toc11519"/>
      <w:bookmarkStart w:id="283" w:name="_Toc16203"/>
      <w:bookmarkStart w:id="284" w:name="_Toc21045"/>
      <w:bookmarkStart w:id="285" w:name="_Toc16649"/>
      <w:bookmarkStart w:id="286" w:name="_Toc24184"/>
      <w:bookmarkStart w:id="287" w:name="_Toc9083"/>
      <w:bookmarkStart w:id="288" w:name="_Toc13416"/>
      <w:bookmarkStart w:id="289" w:name="_Hlt69698765"/>
      <w:bookmarkStart w:id="290" w:name="_Hlt69698713"/>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第四节 否决投标条件</w:t>
      </w:r>
    </w:p>
    <w:p w14:paraId="37D31EA2">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本节所集中列示的否决投标条件，是本章第三节“投标人须知正文”的组成部分，是对本章第三节所规定的否决投标条件的总结和补充。投标人未有列入本节情形的，评标时一律不得否决其投标。本节所称“规定”均指招标文件的规定。</w:t>
      </w:r>
    </w:p>
    <w:p w14:paraId="057A333B">
      <w:pPr>
        <w:wordWrap w:val="0"/>
        <w:adjustRightInd w:val="0"/>
        <w:snapToGrid w:val="0"/>
        <w:spacing w:line="440" w:lineRule="exact"/>
        <w:outlineLvl w:val="1"/>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bookmarkStart w:id="291" w:name="_Toc25868"/>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1．资格评审环节</w:t>
      </w:r>
      <w:bookmarkEnd w:id="291"/>
    </w:p>
    <w:p w14:paraId="5EBB77B9">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投标人有下列情形之一的，评标委员会应否决其投标。被否决的投标人，不进入形式评审环节。</w:t>
      </w:r>
    </w:p>
    <w:p w14:paraId="42BF76F7">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（1）有本章第三节第4.4条“禁止投标条款”规定的任何一种情形；</w:t>
      </w:r>
    </w:p>
    <w:p w14:paraId="303439CA">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（2）投标人资质不符合规定的；</w:t>
      </w:r>
    </w:p>
    <w:p w14:paraId="6772FD05">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投标人名称与营业执照、资质证书、安全生产许可证上的企业名称相互不一致的；其资质证书、安全生产许可证不是由住房城乡建设主管部门颁发的；营业执照、资质证书、安全生产许可证被吊销、暂扣或不在有效期内的；</w:t>
      </w:r>
    </w:p>
    <w:p w14:paraId="0CA531CE">
      <w:pPr>
        <w:wordWrap w:val="0"/>
        <w:adjustRightInd w:val="0"/>
        <w:snapToGrid w:val="0"/>
        <w:spacing w:line="440" w:lineRule="exact"/>
        <w:ind w:firstLine="723" w:firstLineChars="3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7523EE7F">
      <w:pPr>
        <w:wordWrap w:val="0"/>
        <w:adjustRightInd w:val="0"/>
        <w:snapToGrid w:val="0"/>
        <w:spacing w:line="440" w:lineRule="exact"/>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根据有关文件精神，投标人的企业相关证书到期的，均按该证书的发证机构相关行政主管部门最新文件执行（如自动顺延或推迟办理延期业务的通知等）投标人须提供相关证明材料附在该证书后面，证明在开标日继续有效的。</w:t>
      </w:r>
    </w:p>
    <w:p w14:paraId="11CA74C1">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（4）拟派项目经理、项目技术负责人、专职安全员、设计负责人的条件不符合规定的；拟派专职安全员数量不符合规定的；</w:t>
      </w:r>
    </w:p>
    <w:p w14:paraId="3A8BE00D">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（5）《项目经理简历表》中拟派项目经理与《开标一览表》不一致的；建造师的注册证书不是</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住房和城乡建设部</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门颁发的；建造师</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设计负责人</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的注册单位与投标人不一致的；项目管理班子组成人员的各类证书、证件、证明不在有效期内的（建造师注册证书不在使用有效期内的）；擅自修改、遗漏《项目经理任职声明》实质性内容的；</w:t>
      </w:r>
    </w:p>
    <w:p w14:paraId="5C290081">
      <w:pPr>
        <w:wordWrap w:val="0"/>
        <w:adjustRightInd w:val="0"/>
        <w:snapToGrid w:val="0"/>
        <w:spacing w:line="440" w:lineRule="exact"/>
        <w:ind w:firstLine="723" w:firstLineChars="3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注：投标人已经工商变更，但其员工执业资格注册证书的注册单位名称未完成变更的，不得否决其投标。</w:t>
      </w:r>
    </w:p>
    <w:p w14:paraId="3E6E6AC6">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（6）联合体投标，未提交《联合体协议书》的；擅自修改、遗漏《联合体协议书》实质性内容的；联合体成员的数量、资质不符合规定的；联合体成员同时以自己名义单独投标或者参加其他联合体投标的；</w:t>
      </w:r>
    </w:p>
    <w:p w14:paraId="37BB7948">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（7）投标人为外省建筑企业，但未提供“进粤企业和人员诚信信息登记平台”企业和拟派人员信息情况打印页或网页截图的。</w:t>
      </w:r>
    </w:p>
    <w:p w14:paraId="41D23B3A">
      <w:pPr>
        <w:wordWrap w:val="0"/>
        <w:adjustRightInd w:val="0"/>
        <w:snapToGrid w:val="0"/>
        <w:spacing w:line="440" w:lineRule="exact"/>
        <w:outlineLvl w:val="1"/>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bookmarkStart w:id="292" w:name="_Toc16862"/>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2．形式评审环节</w:t>
      </w:r>
      <w:bookmarkEnd w:id="292"/>
    </w:p>
    <w:p w14:paraId="5BD34366">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投标人有下列情形之一的，评标委员会应否决其投标。被否决的投标人，不进入响应性评审环节。</w:t>
      </w:r>
    </w:p>
    <w:p w14:paraId="2208CC05">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）本章第三节第11.2.2目中规定的“所有投标人均应提供”的组成内容（包括该组成内容的所附资料）中，任何一项有缺漏的；</w:t>
      </w:r>
    </w:p>
    <w:p w14:paraId="3D21ACF1">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关键字迹模糊、无法辨认，且该种过错将导致评标委员会无法判断投标文件是否响应招标文件实质性要求的；出现手工涂改、行间插字或删除，但未加盖单位章或由投标人的法定代表人或其委托代理人签字确认的；</w:t>
      </w:r>
    </w:p>
    <w:p w14:paraId="7414069F">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0</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）投标文件未按规定签字、盖章的；</w:t>
      </w:r>
    </w:p>
    <w:p w14:paraId="290C357F">
      <w:pPr>
        <w:wordWrap w:val="0"/>
        <w:adjustRightInd w:val="0"/>
        <w:snapToGrid w:val="0"/>
        <w:spacing w:line="440" w:lineRule="exact"/>
        <w:outlineLvl w:val="1"/>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bookmarkStart w:id="293" w:name="_Toc11607"/>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3．响应性评审环节</w:t>
      </w:r>
      <w:bookmarkEnd w:id="293"/>
    </w:p>
    <w:p w14:paraId="7F5913C3">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投标人有下列情形之一的，评标委员会应否决其投标。被否决的投标人，不进入详细评审阶段。</w:t>
      </w:r>
    </w:p>
    <w:p w14:paraId="6D3A250A">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）承诺的投标有效期短于规定的；工期超出规定的；擅自修改、遗漏《投标函》《各项承诺一览表》实质性内容的；</w:t>
      </w:r>
    </w:p>
    <w:p w14:paraId="6AF21AAC">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两个或两个以上投标总价的（同一个投标总价大、小写不一致的除外）；投标总价超出最高投标限价的；投标总价下浮率超过15%，又未提供相应书面说明和佐证材料或提供的书面说明和佐证材料不能令人信服，被评标委员会认定以低于成本报价竞标的；</w:t>
      </w:r>
    </w:p>
    <w:p w14:paraId="6118D55F">
      <w:pPr>
        <w:wordWrap w:val="0"/>
        <w:adjustRightInd w:val="0"/>
        <w:snapToGrid w:val="0"/>
        <w:spacing w:line="440" w:lineRule="exact"/>
        <w:outlineLvl w:val="1"/>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bookmarkStart w:id="294" w:name="_Toc29578"/>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4．其他</w:t>
      </w:r>
      <w:bookmarkEnd w:id="294"/>
    </w:p>
    <w:p w14:paraId="29E56635">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在任何评标环节（或阶段），投标人有下列情形之一的，评标委员会应否决其投标。被否决的投标人，不进入下一环节（或阶段）。</w:t>
      </w:r>
    </w:p>
    <w:p w14:paraId="3A2D1E13">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（14）不按评标委员会要求澄清、说明或补正的；</w:t>
      </w:r>
    </w:p>
    <w:p w14:paraId="3E049FB5">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（15）有下列情形之一，被评标委员会认定属于串通投标的：</w:t>
      </w:r>
    </w:p>
    <w:p w14:paraId="7D30B0F8">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①不同投标人的投标文件两处以上（含两处）错、漏一致；</w:t>
      </w:r>
    </w:p>
    <w:p w14:paraId="572F1E6B">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②不同投标人的投标总价相近且各分项报价、综合单价分析表内容混乱不能相互对应、乱调乱压或乱抬的，而在询标时没有合理的解释或者不能提供计算依据和报价依据；</w:t>
      </w:r>
    </w:p>
    <w:p w14:paraId="2D72A873">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③不同投标人的投标各项报价存在异常一致或者呈规律性变化；</w:t>
      </w:r>
    </w:p>
    <w:p w14:paraId="5FBCB267">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④不同投标人的投标文件由同一单位或者同一个人编制；</w:t>
      </w:r>
    </w:p>
    <w:p w14:paraId="2C8B44E2">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⑤不同投标人的投标文件中投标资料（包括电子资料）相互混装或项目班子成员出现同一人；</w:t>
      </w:r>
    </w:p>
    <w:p w14:paraId="530885B0">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⑥不同投标人的投标文件由同一电脑编制或同一台附属设备打印，或投标报价用同一个预算编制软件密码锁制作或出自同一电子文档；</w:t>
      </w:r>
    </w:p>
    <w:p w14:paraId="6A9CD7D9">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⑦不同投标人的投标保证由同一企业或同一账户资金缴纳；</w:t>
      </w:r>
    </w:p>
    <w:p w14:paraId="69D505B6">
      <w:pPr>
        <w:wordWrap w:val="0"/>
        <w:adjustRightInd w:val="0"/>
        <w:snapToGrid w:val="0"/>
        <w:spacing w:line="440" w:lineRule="exact"/>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⑧不同投标人委托同一个人或注册在同一家企业的注册人员或同一家企业为其投标提供投标咨询、商务报价、技术咨询（招标工程本身要求采用专有技术的除外）等服务。</w:t>
      </w:r>
    </w:p>
    <w:p w14:paraId="728F1526">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sectPr>
          <w:footerReference r:id="rId5" w:type="default"/>
          <w:endnotePr>
            <w:numFmt w:val="decimal"/>
          </w:endnotePr>
          <w:pgSz w:w="11906" w:h="16838"/>
          <w:pgMar w:top="1701" w:right="1531" w:bottom="1417" w:left="1531" w:header="850" w:footer="992" w:gutter="0"/>
          <w:pgNumType w:fmt="decimal" w:start="1"/>
          <w:cols w:space="720" w:num="1"/>
          <w:docGrid w:linePitch="327" w:charSpace="0"/>
        </w:sectPr>
      </w:pPr>
    </w:p>
    <w:p w14:paraId="2680555D">
      <w:pPr>
        <w:pStyle w:val="37"/>
        <w:keepNext/>
        <w:keepLines/>
        <w:tabs>
          <w:tab w:val="left" w:pos="885"/>
        </w:tabs>
        <w:spacing w:line="400" w:lineRule="exact"/>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295" w:name="_Toc9442"/>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第二章</w:t>
      </w:r>
      <w:bookmarkStart w:id="296" w:name="_Hlt87793831"/>
      <w:bookmarkEnd w:id="296"/>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 xml:space="preserve"> 拟签订合同的主要条款</w:t>
      </w:r>
      <w:bookmarkEnd w:id="281"/>
      <w:bookmarkEnd w:id="282"/>
      <w:bookmarkEnd w:id="283"/>
      <w:bookmarkEnd w:id="284"/>
      <w:bookmarkEnd w:id="285"/>
      <w:bookmarkEnd w:id="286"/>
      <w:bookmarkEnd w:id="287"/>
      <w:bookmarkEnd w:id="288"/>
      <w:bookmarkEnd w:id="295"/>
    </w:p>
    <w:p w14:paraId="028A984B">
      <w:pPr>
        <w:pStyle w:val="36"/>
        <w:rPr>
          <w:rFonts w:hint="eastAsia" w:asciiTheme="minorEastAsia" w:hAnsiTheme="minorEastAsia" w:eastAsiaTheme="minorEastAsia" w:cstheme="minorEastAsia"/>
          <w:color w:val="000000" w:themeColor="text1"/>
          <w:highlight w:val="none"/>
          <w14:textFill>
            <w14:solidFill>
              <w14:schemeClr w14:val="tx1"/>
            </w14:solidFill>
          </w14:textFill>
        </w:rPr>
      </w:pPr>
    </w:p>
    <w:bookmarkEnd w:id="289"/>
    <w:bookmarkEnd w:id="290"/>
    <w:p w14:paraId="5B0BC685">
      <w:pPr>
        <w:pStyle w:val="38"/>
        <w:keepNext/>
        <w:keepLines/>
        <w:ind w:firstLine="480"/>
        <w:jc w:val="both"/>
        <w:rPr>
          <w:rFonts w:hint="eastAsia" w:asciiTheme="minorEastAsia" w:hAnsiTheme="minorEastAsia" w:eastAsiaTheme="minorEastAsia" w:cstheme="minorEastAsia"/>
          <w:b/>
          <w:color w:val="000000" w:themeColor="text1"/>
          <w:kern w:val="2"/>
          <w:highlight w:val="none"/>
          <w14:textFill>
            <w14:solidFill>
              <w14:schemeClr w14:val="tx1"/>
            </w14:solidFill>
          </w14:textFill>
        </w:rPr>
      </w:pPr>
      <w:bookmarkStart w:id="297" w:name="_Toc18454"/>
      <w:bookmarkStart w:id="298" w:name="_Toc326916629"/>
      <w:bookmarkStart w:id="299" w:name="_Toc21667"/>
      <w:bookmarkStart w:id="300" w:name="_Toc7347"/>
      <w:bookmarkStart w:id="301" w:name="_Toc12651"/>
      <w:bookmarkStart w:id="302" w:name="_Toc322793288"/>
      <w:bookmarkStart w:id="303" w:name="_Toc28378"/>
      <w:bookmarkStart w:id="304" w:name="_Toc26552"/>
      <w:bookmarkStart w:id="305" w:name="_Toc8407"/>
      <w:bookmarkStart w:id="306" w:name="_Toc22879"/>
      <w:bookmarkStart w:id="307" w:name="_Toc19931"/>
      <w:bookmarkStart w:id="308" w:name="_Toc13627"/>
      <w:bookmarkStart w:id="309" w:name="_Hlt69698741"/>
      <w:bookmarkStart w:id="310" w:name="_Hlt69698769"/>
      <w:bookmarkStart w:id="311" w:name="_Hlt69698722"/>
      <w:r>
        <w:rPr>
          <w:rFonts w:hint="eastAsia" w:asciiTheme="minorEastAsia" w:hAnsiTheme="minorEastAsia" w:eastAsiaTheme="minorEastAsia" w:cstheme="minorEastAsia"/>
          <w:b/>
          <w:color w:val="000000" w:themeColor="text1"/>
          <w:kern w:val="2"/>
          <w:highlight w:val="none"/>
          <w14:textFill>
            <w14:solidFill>
              <w14:schemeClr w14:val="tx1"/>
            </w14:solidFill>
          </w14:textFill>
        </w:rPr>
        <w:t>1 工程承包方式</w:t>
      </w:r>
      <w:bookmarkEnd w:id="297"/>
      <w:bookmarkEnd w:id="298"/>
      <w:bookmarkEnd w:id="299"/>
      <w:bookmarkEnd w:id="300"/>
      <w:bookmarkEnd w:id="301"/>
      <w:bookmarkEnd w:id="302"/>
      <w:bookmarkEnd w:id="303"/>
      <w:bookmarkEnd w:id="304"/>
      <w:bookmarkEnd w:id="305"/>
      <w:bookmarkEnd w:id="306"/>
      <w:bookmarkEnd w:id="307"/>
      <w:bookmarkEnd w:id="308"/>
    </w:p>
    <w:p w14:paraId="127D77C7">
      <w:pPr>
        <w:pStyle w:val="36"/>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1.1承包人按中标价以总承包方式在规定的期限内对</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设计、施工</w:t>
      </w:r>
      <w:r>
        <w:rPr>
          <w:rFonts w:hint="eastAsia" w:asciiTheme="minorEastAsia" w:hAnsiTheme="minorEastAsia" w:eastAsiaTheme="minorEastAsia" w:cstheme="minorEastAsia"/>
          <w:color w:val="000000" w:themeColor="text1"/>
          <w:highlight w:val="none"/>
          <w14:textFill>
            <w14:solidFill>
              <w14:schemeClr w14:val="tx1"/>
            </w14:solidFill>
          </w14:textFill>
        </w:rPr>
        <w:t>（包工</w:t>
      </w:r>
      <w:bookmarkStart w:id="312" w:name="_Hlt87948212"/>
      <w:bookmarkEnd w:id="312"/>
      <w:r>
        <w:rPr>
          <w:rFonts w:hint="eastAsia" w:asciiTheme="minorEastAsia" w:hAnsiTheme="minorEastAsia" w:eastAsiaTheme="minorEastAsia" w:cstheme="minorEastAsia"/>
          <w:color w:val="000000" w:themeColor="text1"/>
          <w:highlight w:val="none"/>
          <w14:textFill>
            <w14:solidFill>
              <w14:schemeClr w14:val="tx1"/>
            </w14:solidFill>
          </w14:textFill>
        </w:rPr>
        <w:t>包料、包质量、包机械、包绿色安全文明施工、包工期等）进行总承包，不允许转包和违法分包，如承包人无相应专业资质，确需分包须与发包人协商并得到发包人和监理人同意并报工程主管部门备案。</w:t>
      </w:r>
    </w:p>
    <w:p w14:paraId="610509CE">
      <w:pPr>
        <w:pStyle w:val="36"/>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 包工包料：材料符合招标文件要求</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及合同的相关约定</w:t>
      </w:r>
      <w:r>
        <w:rPr>
          <w:rFonts w:hint="eastAsia" w:asciiTheme="minorEastAsia" w:hAnsiTheme="minorEastAsia" w:eastAsiaTheme="minorEastAsia" w:cstheme="minorEastAsia"/>
          <w:color w:val="000000" w:themeColor="text1"/>
          <w:highlight w:val="none"/>
          <w14:textFill>
            <w14:solidFill>
              <w14:schemeClr w14:val="tx1"/>
            </w14:solidFill>
          </w14:textFill>
        </w:rPr>
        <w:t>，报验使用；办理用工保险。</w:t>
      </w:r>
    </w:p>
    <w:p w14:paraId="6F1A281D">
      <w:pPr>
        <w:pStyle w:val="36"/>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1.1.2 包质量：符合招标文件要求</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及合同有关质量的相关约定</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49CBA812">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1.1.3 包安全包文明施工：符合国家及省、市的相关规定及招标文件、合同的相关约定要求。</w:t>
      </w:r>
    </w:p>
    <w:p w14:paraId="0721E94B">
      <w:pPr>
        <w:pStyle w:val="36"/>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1.1.4 包工期：</w:t>
      </w:r>
      <w:r>
        <w:rPr>
          <w:rFonts w:hint="eastAsia"/>
          <w:snapToGrid w:val="0"/>
          <w:color w:val="000000" w:themeColor="text1"/>
          <w:kern w:val="0"/>
          <w:szCs w:val="21"/>
          <w:highlight w:val="none"/>
          <w14:textFill>
            <w14:solidFill>
              <w14:schemeClr w14:val="tx1"/>
            </w14:solidFill>
          </w14:textFill>
        </w:rPr>
        <w:t>本招标工程</w:t>
      </w:r>
      <w:r>
        <w:rPr>
          <w:rFonts w:hint="eastAsia" w:hAnsi="宋体" w:cs="宋体"/>
          <w:bCs/>
          <w:color w:val="000000" w:themeColor="text1"/>
          <w:szCs w:val="21"/>
          <w:highlight w:val="none"/>
          <w:lang w:eastAsia="zh-CN"/>
          <w14:textFill>
            <w14:solidFill>
              <w14:schemeClr w14:val="tx1"/>
            </w14:solidFill>
          </w14:textFill>
        </w:rPr>
        <w:t>设计、施工</w:t>
      </w:r>
      <w:r>
        <w:rPr>
          <w:rFonts w:hint="eastAsia"/>
          <w:snapToGrid w:val="0"/>
          <w:color w:val="000000" w:themeColor="text1"/>
          <w:kern w:val="0"/>
          <w:szCs w:val="21"/>
          <w:highlight w:val="none"/>
          <w14:textFill>
            <w14:solidFill>
              <w14:schemeClr w14:val="tx1"/>
            </w14:solidFill>
          </w14:textFill>
        </w:rPr>
        <w:t>必须在招标</w:t>
      </w:r>
      <w:r>
        <w:rPr>
          <w:rFonts w:hint="eastAsia"/>
          <w:snapToGrid w:val="0"/>
          <w:color w:val="000000" w:themeColor="text1"/>
          <w:kern w:val="0"/>
          <w:szCs w:val="21"/>
          <w:highlight w:val="none"/>
          <w:lang w:val="en-US" w:eastAsia="zh-CN"/>
          <w14:textFill>
            <w14:solidFill>
              <w14:schemeClr w14:val="tx1"/>
            </w14:solidFill>
          </w14:textFill>
        </w:rPr>
        <w:t>文件</w:t>
      </w:r>
      <w:r>
        <w:rPr>
          <w:rFonts w:hint="eastAsia" w:ascii="宋体" w:hAnsi="宋体" w:eastAsia="宋体" w:cs="宋体"/>
          <w:color w:val="000000" w:themeColor="text1"/>
          <w:highlight w:val="none"/>
          <w14:textFill>
            <w14:solidFill>
              <w14:schemeClr w14:val="tx1"/>
            </w14:solidFill>
          </w14:textFill>
        </w:rPr>
        <w:t>规定</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snapToGrid w:val="0"/>
          <w:color w:val="000000" w:themeColor="text1"/>
          <w:kern w:val="0"/>
          <w:szCs w:val="21"/>
          <w:highlight w:val="none"/>
          <w14:textFill>
            <w14:solidFill>
              <w14:schemeClr w14:val="tx1"/>
            </w14:solidFill>
          </w14:textFill>
        </w:rPr>
        <w:t>工期内完成</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5DC2B73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 xml:space="preserve">1.2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限额设计要求：</w:t>
      </w:r>
    </w:p>
    <w:p w14:paraId="6C5E2BD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1.2.1若造价咨询单位按施工图编制或审核的建安工程费高于</w:t>
      </w:r>
      <w:r>
        <w:rPr>
          <w:rFonts w:hint="eastAsia" w:ascii="宋体" w:hAnsi="宋体" w:eastAsia="宋体" w:cs="宋体"/>
          <w:color w:val="000000" w:themeColor="text1"/>
          <w:sz w:val="24"/>
          <w:szCs w:val="24"/>
          <w:highlight w:val="none"/>
          <w14:textFill>
            <w14:solidFill>
              <w14:schemeClr w14:val="tx1"/>
            </w14:solidFill>
          </w14:textFill>
        </w:rPr>
        <w:t>建安工程费的中标价</w:t>
      </w:r>
      <w:r>
        <w:rPr>
          <w:rFonts w:hint="eastAsia" w:ascii="宋体" w:hAnsi="宋体" w:eastAsia="宋体" w:cs="宋体"/>
          <w:snapToGrid w:val="0"/>
          <w:color w:val="000000" w:themeColor="text1"/>
          <w:kern w:val="0"/>
          <w:sz w:val="24"/>
          <w:szCs w:val="24"/>
          <w:highlight w:val="none"/>
          <w14:textFill>
            <w14:solidFill>
              <w14:schemeClr w14:val="tx1"/>
            </w14:solidFill>
          </w14:textFill>
        </w:rPr>
        <w:t>时</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，承包人必须无条件对施工图进行修改，直至满足限额设计要求，不另行增加设计费，且由此造成发包人委托的造价咨询单位重复编制或审核施工图预算的费用由承包人承担，结算时在设计费中扣除。</w:t>
      </w:r>
    </w:p>
    <w:p w14:paraId="2542D1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1.2.2</w:t>
      </w:r>
      <w:r>
        <w:rPr>
          <w:rFonts w:hint="eastAsia" w:ascii="宋体" w:hAnsi="宋体" w:eastAsia="宋体" w:cs="宋体"/>
          <w:color w:val="000000" w:themeColor="text1"/>
          <w:sz w:val="24"/>
          <w:szCs w:val="24"/>
          <w:highlight w:val="none"/>
          <w14:textFill>
            <w14:solidFill>
              <w14:schemeClr w14:val="tx1"/>
            </w14:solidFill>
          </w14:textFill>
        </w:rPr>
        <w:t>中标人在施工图设计前，要充分进行市场调查，主要材料、设备在满足设计规范及建设标准的情况下，尽量采用造价管理机构发布的信息价中有相应型号、规格的标准材料，若必须采用非标准材料的，必须经招标人同意，否则参照信息价中相近且低于其标准的材料信息价作为该项材料的结算价。</w:t>
      </w:r>
    </w:p>
    <w:p w14:paraId="34CE21CF">
      <w:pPr>
        <w:pStyle w:val="3"/>
        <w:keepNext/>
        <w:keepLines/>
        <w:spacing w:line="360" w:lineRule="auto"/>
        <w:ind w:firstLine="480"/>
        <w:jc w:val="both"/>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pPr>
      <w:bookmarkStart w:id="313" w:name="_Toc2286"/>
      <w:bookmarkStart w:id="314" w:name="_Toc3958"/>
      <w:bookmarkStart w:id="315" w:name="_Toc24837"/>
      <w:bookmarkStart w:id="316" w:name="_Toc6675"/>
      <w:bookmarkStart w:id="317" w:name="_Toc30405"/>
      <w:bookmarkStart w:id="318" w:name="_Toc11307"/>
      <w:bookmarkStart w:id="319" w:name="_Toc466640604"/>
      <w:bookmarkStart w:id="320" w:name="_Toc25565"/>
      <w:bookmarkStart w:id="321" w:name="_Toc28537"/>
      <w:bookmarkStart w:id="322" w:name="_Toc755"/>
      <w:bookmarkStart w:id="323" w:name="_Toc13437"/>
      <w:bookmarkStart w:id="324" w:name="_Hlt87948449"/>
      <w:bookmarkStart w:id="325" w:name="_Hlt87948447"/>
      <w:r>
        <w:rPr>
          <w:rFonts w:hint="eastAsia" w:asciiTheme="minorEastAsia" w:hAnsiTheme="minorEastAsia" w:eastAsiaTheme="minorEastAsia" w:cstheme="minorEastAsia"/>
          <w:b/>
          <w:color w:val="000000" w:themeColor="text1"/>
          <w:kern w:val="2"/>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t xml:space="preserve"> 工程结算原则</w:t>
      </w:r>
      <w:bookmarkEnd w:id="313"/>
      <w:bookmarkEnd w:id="314"/>
      <w:bookmarkEnd w:id="315"/>
      <w:bookmarkEnd w:id="316"/>
      <w:bookmarkEnd w:id="317"/>
      <w:bookmarkEnd w:id="318"/>
      <w:bookmarkEnd w:id="319"/>
      <w:bookmarkEnd w:id="320"/>
      <w:bookmarkEnd w:id="321"/>
      <w:bookmarkEnd w:id="322"/>
      <w:bookmarkEnd w:id="323"/>
    </w:p>
    <w:p w14:paraId="203FD975">
      <w:pPr>
        <w:spacing w:line="360" w:lineRule="auto"/>
        <w:ind w:firstLine="480" w:firstLineChars="20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费结算原则</w:t>
      </w:r>
    </w:p>
    <w:p w14:paraId="6CD3D27F">
      <w:pPr>
        <w:spacing w:line="360" w:lineRule="auto"/>
        <w:ind w:firstLine="480" w:firstLineChars="200"/>
        <w:jc w:val="left"/>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2.1.1</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设计</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费结算价：按经审定的建安工程费招标控制价×设计费中标费率进行结算</w:t>
      </w:r>
      <w:r>
        <w:rPr>
          <w:rFonts w:hint="eastAsia" w:asciiTheme="minorEastAsia" w:hAnsiTheme="minorEastAsia" w:eastAsiaTheme="minorEastAsia" w:cstheme="minorEastAsia"/>
          <w:color w:val="000000" w:themeColor="text1"/>
          <w:kern w:val="1"/>
          <w:szCs w:val="24"/>
          <w:highlight w:val="none"/>
          <w14:textFill>
            <w14:solidFill>
              <w14:schemeClr w14:val="tx1"/>
            </w14:solidFill>
          </w14:textFill>
        </w:rPr>
        <w:t>。</w:t>
      </w:r>
    </w:p>
    <w:p w14:paraId="72E39857">
      <w:pPr>
        <w:spacing w:line="360" w:lineRule="auto"/>
        <w:ind w:firstLine="480" w:firstLineChars="200"/>
        <w:jc w:val="left"/>
        <w:rPr>
          <w:rFonts w:hint="default" w:asciiTheme="minorEastAsia" w:hAnsiTheme="minorEastAsia" w:eastAsiaTheme="minorEastAsia" w:cstheme="minorEastAsia"/>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2.1.2设计费在中标价范围内按实结算，结算价超中标价时按中标价结算。</w:t>
      </w:r>
    </w:p>
    <w:p w14:paraId="732A3D05">
      <w:pPr>
        <w:spacing w:line="360" w:lineRule="auto"/>
        <w:ind w:firstLine="480" w:firstLineChars="200"/>
        <w:jc w:val="left"/>
        <w:rPr>
          <w:rFonts w:hint="eastAsia" w:asciiTheme="minorEastAsia" w:hAnsiTheme="minorEastAsia" w:eastAsiaTheme="minorEastAsia" w:cstheme="minorEastAsia"/>
          <w:strike/>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.2工程费用结算基准价的确定：以经审核后的预算价乘以（1－承包人中标下浮率）作为此工程项目的建安工程结算基准价（不含预备费），其分部分项工程量清单对应的综合单价即为结算基准单价。</w:t>
      </w:r>
    </w:p>
    <w:p w14:paraId="469E3744">
      <w:pPr>
        <w:spacing w:line="360" w:lineRule="auto"/>
        <w:ind w:firstLine="480" w:firstLineChars="200"/>
        <w:jc w:val="left"/>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费用结算原则：发包人在不增减建设规模的情况下，结算价即为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结算基准价</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，但下列情形除外：</w:t>
      </w:r>
    </w:p>
    <w:p w14:paraId="26D1DB1C">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.3.1 国家政策性人工价差调整：</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调整方式按省、市有关规定调整。</w:t>
      </w:r>
    </w:p>
    <w:p w14:paraId="1883FD61">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.3.2 当后继相关法律、法规、规章和政策引起安全文明施工费发生变化时，应当按照省建设行政主管部门或省、韶关市、</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南雄市</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工程造价管理机构据此发布的规定调整；</w:t>
      </w:r>
    </w:p>
    <w:p w14:paraId="665781D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.3.3 当后继相关法律、法规、规章和政策引起规费、税金等发生变化时，应当按照省政府或省、韶关市、</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南雄市</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有关主管部门据此发布的规定调整；</w:t>
      </w:r>
    </w:p>
    <w:p w14:paraId="569FF8D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.3.4 当施工期间市场物价发生涨落，引起工程所在地工程造价管理机构发布的价格信息中材料价格变化，主要建筑材料价格浮动超过±5%（指钢材、商品砼、商品砂浆、水泥、砂、石等主要材料），则双方同意调整5％以外部分价差；</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人工费</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根据国家政策按实调整；机械费浮动超过±10%，双方同意调整10％以外部分价差。其工、料、机消耗量以发包人确认的</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施工图工程量清单预算</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及进度中的消耗量为准。</w:t>
      </w:r>
    </w:p>
    <w:p w14:paraId="443527C1">
      <w:pPr>
        <w:spacing w:line="440" w:lineRule="exact"/>
        <w:ind w:firstLine="482" w:firstLineChars="200"/>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t>注：人工费、材料单价、机械台班的价差调整基数是以施工当季《</w:t>
      </w:r>
      <w:r>
        <w:rPr>
          <w:rFonts w:hint="eastAsia" w:asciiTheme="minorEastAsia" w:hAnsiTheme="minorEastAsia" w:eastAsiaTheme="minorEastAsia" w:cstheme="minorEastAsia"/>
          <w:b/>
          <w:bCs/>
          <w:color w:val="000000" w:themeColor="text1"/>
          <w:kern w:val="0"/>
          <w:szCs w:val="24"/>
          <w:highlight w:val="none"/>
          <w:u w:val="single"/>
          <w:lang w:val="en-US" w:eastAsia="zh-CN"/>
          <w14:textFill>
            <w14:solidFill>
              <w14:schemeClr w14:val="tx1"/>
            </w14:solidFill>
          </w14:textFill>
        </w:rPr>
        <w:t>南雄市</w:t>
      </w:r>
      <w:r>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t>建筑工程造价信息》</w:t>
      </w:r>
      <w:r>
        <w:rPr>
          <w:rFonts w:hint="eastAsia" w:asciiTheme="minorEastAsia" w:hAnsiTheme="minorEastAsia" w:eastAsiaTheme="minorEastAsia" w:cstheme="minorEastAsia"/>
          <w:b/>
          <w:bCs/>
          <w:color w:val="000000" w:themeColor="text1"/>
          <w:szCs w:val="24"/>
          <w:highlight w:val="none"/>
          <w:u w:val="single"/>
          <w14:textFill>
            <w14:solidFill>
              <w14:schemeClr w14:val="tx1"/>
            </w14:solidFill>
          </w14:textFill>
        </w:rPr>
        <w:t>（如信息价没有时参考施工当月&lt;韶关建筑工程造价信息&gt;）</w:t>
      </w:r>
      <w:r>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t>公布的信息价（包括人工费、材料单价、机械台班）为F1与编制施工图工程量清单预算当季</w:t>
      </w:r>
      <w:r>
        <w:rPr>
          <w:rFonts w:hint="eastAsia" w:asciiTheme="minorEastAsia" w:hAnsiTheme="minorEastAsia" w:eastAsiaTheme="minorEastAsia" w:cstheme="minorEastAsia"/>
          <w:b/>
          <w:color w:val="000000" w:themeColor="text1"/>
          <w:kern w:val="0"/>
          <w:szCs w:val="24"/>
          <w:highlight w:val="none"/>
          <w:u w:val="single"/>
          <w14:textFill>
            <w14:solidFill>
              <w14:schemeClr w14:val="tx1"/>
            </w14:solidFill>
          </w14:textFill>
        </w:rPr>
        <w:t>（招标文件所规定的设计预算编制工期内）</w:t>
      </w:r>
      <w:r>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t>《</w:t>
      </w:r>
      <w:r>
        <w:rPr>
          <w:rFonts w:hint="eastAsia" w:asciiTheme="minorEastAsia" w:hAnsiTheme="minorEastAsia" w:eastAsiaTheme="minorEastAsia" w:cstheme="minorEastAsia"/>
          <w:b/>
          <w:bCs/>
          <w:color w:val="000000" w:themeColor="text1"/>
          <w:kern w:val="0"/>
          <w:szCs w:val="24"/>
          <w:highlight w:val="none"/>
          <w:u w:val="single"/>
          <w:lang w:val="en-US" w:eastAsia="zh-CN"/>
          <w14:textFill>
            <w14:solidFill>
              <w14:schemeClr w14:val="tx1"/>
            </w14:solidFill>
          </w14:textFill>
        </w:rPr>
        <w:t>南雄市</w:t>
      </w:r>
      <w:r>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t>建筑工程造价信息》</w:t>
      </w:r>
      <w:r>
        <w:rPr>
          <w:rFonts w:hint="eastAsia" w:asciiTheme="minorEastAsia" w:hAnsiTheme="minorEastAsia" w:eastAsiaTheme="minorEastAsia" w:cstheme="minorEastAsia"/>
          <w:b/>
          <w:bCs/>
          <w:color w:val="000000" w:themeColor="text1"/>
          <w:szCs w:val="24"/>
          <w:highlight w:val="none"/>
          <w:u w:val="single"/>
          <w14:textFill>
            <w14:solidFill>
              <w14:schemeClr w14:val="tx1"/>
            </w14:solidFill>
          </w14:textFill>
        </w:rPr>
        <w:t>（如信息价没有时参考预算编制当月</w:t>
      </w:r>
      <w:r>
        <w:rPr>
          <w:rFonts w:hint="eastAsia" w:asciiTheme="minorEastAsia" w:hAnsiTheme="minorEastAsia" w:eastAsiaTheme="minorEastAsia" w:cstheme="minorEastAsia"/>
          <w:b/>
          <w:color w:val="000000" w:themeColor="text1"/>
          <w:kern w:val="0"/>
          <w:szCs w:val="24"/>
          <w:highlight w:val="none"/>
          <w:u w:val="single"/>
          <w14:textFill>
            <w14:solidFill>
              <w14:schemeClr w14:val="tx1"/>
            </w14:solidFill>
          </w14:textFill>
        </w:rPr>
        <w:t>（招标文件所规定的设计预算编制工期内）</w:t>
      </w:r>
      <w:r>
        <w:rPr>
          <w:rFonts w:hint="eastAsia" w:asciiTheme="minorEastAsia" w:hAnsiTheme="minorEastAsia" w:eastAsiaTheme="minorEastAsia" w:cstheme="minorEastAsia"/>
          <w:b/>
          <w:bCs/>
          <w:color w:val="000000" w:themeColor="text1"/>
          <w:szCs w:val="24"/>
          <w:highlight w:val="none"/>
          <w:u w:val="single"/>
          <w14:textFill>
            <w14:solidFill>
              <w14:schemeClr w14:val="tx1"/>
            </w14:solidFill>
          </w14:textFill>
        </w:rPr>
        <w:t>&lt;韶关建筑工程造价信息&gt;）</w:t>
      </w:r>
      <w:r>
        <w:rPr>
          <w:rFonts w:hint="eastAsia" w:asciiTheme="minorEastAsia" w:hAnsiTheme="minorEastAsia" w:eastAsiaTheme="minorEastAsia" w:cstheme="minorEastAsia"/>
          <w:b/>
          <w:bCs/>
          <w:color w:val="000000" w:themeColor="text1"/>
          <w:kern w:val="0"/>
          <w:szCs w:val="24"/>
          <w:highlight w:val="none"/>
          <w:u w:val="single"/>
          <w14:textFill>
            <w14:solidFill>
              <w14:schemeClr w14:val="tx1"/>
            </w14:solidFill>
          </w14:textFill>
        </w:rPr>
        <w:t>公布的信息价（包括人工费、材料单价、机械台班）F0比较。</w:t>
      </w:r>
    </w:p>
    <w:p w14:paraId="37A3F831">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1）人工费调整方式：按省、市有关规定调整。</w:t>
      </w:r>
    </w:p>
    <w:p w14:paraId="2C0380D6">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2）材料补差方式：</w:t>
      </w:r>
    </w:p>
    <w:p w14:paraId="50240B22">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调价系数A=（F1-F0）÷F0×100%</w:t>
      </w:r>
    </w:p>
    <w:p w14:paraId="22E220CC">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当材料涨价时，材料补差= F0×（A-5%），当材料跌价时，材料补差= F0×（A+5%），材料补差只计算相应的规费和税金。</w:t>
      </w:r>
    </w:p>
    <w:p w14:paraId="2DCF655F">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3）施工机械使用费补差方式：</w:t>
      </w:r>
    </w:p>
    <w:p w14:paraId="0DDF170A">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调价系数A=（F1-F0）÷F0×100%</w:t>
      </w:r>
    </w:p>
    <w:p w14:paraId="24B5ACA7">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当施工机械台班费涨价时，机械台班补差= F0×（A-10%），当施工机械台班费跌价时，机械台班补差= F0×（A+10%）， 施工机械使用费补差只计算相应的规费和税金。</w:t>
      </w:r>
    </w:p>
    <w:p w14:paraId="5FCA901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4）若项目规模、建设标准等发生变化，因变化而发生的措施项目费结算时进行相应增减。</w:t>
      </w:r>
    </w:p>
    <w:p w14:paraId="032C553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5）施工合同履行期间，由于非承包人原因导致工程变更的，发、承包双方应当按照GB50500-2013年《建设工程工程量清单计价规范》和省的有关规定，依据实际变更项目调整工程价款。工程变更引起工程量发生变化，出现本合同价款调整方式第3.3.5款情形的，应当按照其规定调整；其他情形的，按照以下规定调整：</w:t>
      </w:r>
    </w:p>
    <w:p w14:paraId="662934E0">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①结算基准价中有适用于变更工程项目的，按照该项目的单价或合价调整；</w:t>
      </w:r>
    </w:p>
    <w:p w14:paraId="5C96A918">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②结算基准价中没有适用、只有类似于变更工程项目的，可在合理范围内参照类似项目的单价或合价调整；</w:t>
      </w:r>
    </w:p>
    <w:p w14:paraId="10E0BB8E">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③结算基准价中没有适用也没有类似于变更工程项目的，根据变更工程资料、计量规则和计价办法、施工期间工程造价管理机构发布的价格信息，按本结算原则第3.3.5款重新确定综合单价后，相应调整工程价款；</w:t>
      </w:r>
    </w:p>
    <w:p w14:paraId="65DD969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④结算基准价中没有适用也没有类似于变更工程项目，且施工期间工程造价管理机构发布的价格信息缺项的，根据变更工程资料、计量规则、计价办法和通过市场调查等的有合法依据的市场价格，按本原则第3.3.5条提出变更工程项目的单价或合价，经发、承包双方确认后调整；</w:t>
      </w:r>
    </w:p>
    <w:p w14:paraId="03A5169B">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⑤如发包人只调整材料的等级、规格或品牌，则其综合单价按结算基准价中单价＋该项材料的价差（经发包人审定后的材料单价-结算基准价中的材料单价）进行调整，规费、税金按有关规定调整。</w:t>
      </w:r>
    </w:p>
    <w:p w14:paraId="47B400A0">
      <w:pPr>
        <w:spacing w:line="360" w:lineRule="auto"/>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6）建设工程完工后，发、承包双方和受其委托具有相应资质的工程造价咨询企业必须按照GB50500-2013年《建设工程工程量清单计价规范》和省的有关规定办理竣工结算。</w:t>
      </w:r>
    </w:p>
    <w:p w14:paraId="5BBE6D4D">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.3.5 工程造价调整项目若是结算基准价中没有的项目，其造价调整如下：</w:t>
      </w:r>
    </w:p>
    <w:p w14:paraId="253A3E8D">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按（1）GB50500-2013年《建设工程工程量清单计价规范》、（2）2018年广东省建设工程计价依据（包括2018年《广东省市政工程综合定额》、2018年《广东省房屋建筑与装饰工程综合定额》、2018年《广东省通用安装工程综合定额》、2018年《广东省园林绿化工程综合定额》、2018年《广东省建设工程施工机具台班费用编制规则》），工程量按发、承包双方签证确认的、应予计量的实际完成的工程量计算，主要材料价格按施工同期工程所在地工程造价管理机构发布的价格信息中的综合单价计算，工程所在地工程造价管理机构发布的价格信息中参考价没有的材料价由发、承包双方市场询价确定，规费、税金等其它费用则按有关规定计算（费率有上、下限的以下限计算），预算包干费及赶工措施费不予计算。经发包人或其指定的有关单位审核，经审核后的造价按承包人的建安工程费中标下浮率下浮后作为工程结算价。</w:t>
      </w:r>
    </w:p>
    <w:p w14:paraId="65EE150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清单项目如只单独调整人工、材料、机械台班价差的，其人工、材料、机械台班消耗量均以审定施工图预算中的该清单项目的人工、材料、机械台班消耗量为准。</w:t>
      </w:r>
    </w:p>
    <w:p w14:paraId="5A12654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承包人不得以不完全了解现场情况为理由，提出额外付款或延长工期等要求。对此类要求，发包人不作任何考虑及答复。</w:t>
      </w:r>
    </w:p>
    <w:p w14:paraId="0A7AF76E">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合同履行期间，由于承包人原因导致发生设计变更或现场签证的，由此增加的工程造价费用，由承包人自行承担，发包人不予以考虑和补偿，同时按相关违约条款处罚。</w:t>
      </w:r>
    </w:p>
    <w:p w14:paraId="54D8B074">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.4 如发包人减少建设规模，则</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根据</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经发包人确认的预算书</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扣减减少</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部分工程造价。</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最终结算价由</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南雄市</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财政局投资评审中心审定为准</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 xml:space="preserve">。 </w:t>
      </w:r>
    </w:p>
    <w:p w14:paraId="4AC7E498">
      <w:pPr>
        <w:spacing w:line="360" w:lineRule="auto"/>
        <w:rPr>
          <w:rFonts w:hint="eastAsia" w:asciiTheme="minorEastAsia" w:hAnsiTheme="minorEastAsia" w:eastAsiaTheme="minorEastAsia" w:cstheme="minorEastAsia"/>
          <w:strike/>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 预备费：</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由发包人掌握使用，不发生时不计入结算总价。使用范围用于以下情形：</w:t>
      </w:r>
    </w:p>
    <w:p w14:paraId="4D2F6EBF">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（1）由于发包人的要求导致发生设计变更或合同约定调整因素出现时的工程价款调整以及发生的索赔、现场签证等，其工程量按实调整，结算时按实际施工工作量及招标文件、合同约定进行结算，</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不发生时不计入结算总价</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p w14:paraId="60EE5A42">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（2）国家政策变化导致的调整。</w:t>
      </w:r>
    </w:p>
    <w:p w14:paraId="520FB0E5">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（3）施工期间市场物价涨落，引起工程所在地工程造价管理机构发布的价格信息中材料价格变化，主要建筑材料（具体参照第3.3.4条款）价格浮动超过+5%的。</w:t>
      </w:r>
    </w:p>
    <w:p w14:paraId="33EC5932">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（4）施工合同签订时尚未确定或者不可预见的所需材料、设备、服务的采购。结算时按实际发生根据本招标文件的工程结算原则第3.3.5款进行结算。</w:t>
      </w:r>
    </w:p>
    <w:p w14:paraId="791D0F73">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（5）因不可预见的原因施工局部调整或施工技术工艺调整或应急工作需要发生的工程量。</w:t>
      </w:r>
    </w:p>
    <w:p w14:paraId="71947CF9">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（6）土石方工程等相应的投资概算范围之外的及因地质情况引起的基础变更的工程价款调整：其工程量按实调整，结算时按实际施工工作量及招标文件、合同约定进行结算。</w:t>
      </w:r>
    </w:p>
    <w:p w14:paraId="08A75463">
      <w:pPr>
        <w:spacing w:line="50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本工程结算不另行计取高温补贴费用、专业分包总包服务及配合费、设计优化及修改增加的费用。</w:t>
      </w:r>
    </w:p>
    <w:p w14:paraId="5F346420">
      <w:pPr>
        <w:spacing w:line="50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2.7</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本工程暂估价（若有）为发包人用于支付必然发生但暂时不能确定价格的材料、工程设备的单价以及专业工程的金额，其结算原则按本章“2～3 工程结算原则”有关条款进行结算，结算时不得超过预算中所列相应的暂估价。</w:t>
      </w:r>
    </w:p>
    <w:p w14:paraId="72F28E1E">
      <w:pPr>
        <w:spacing w:line="500" w:lineRule="exact"/>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2.8</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因本项目为设计、施工总承包，如果施工图由于设计深度原因导致的设计变更，不另行增加费用。</w:t>
      </w:r>
    </w:p>
    <w:p w14:paraId="00025507">
      <w:pPr>
        <w:spacing w:line="500" w:lineRule="exact"/>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项目工程费用最终结算价以</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南雄市</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财政局投资评审中心的审定意见为准：若最终结算价超过中标价，则按中标价结算；若最终结算价未超过中标价，则按</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南雄市</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财政局投资评审中心审定的结算价进行结算。</w:t>
      </w:r>
    </w:p>
    <w:bookmarkEnd w:id="324"/>
    <w:bookmarkEnd w:id="325"/>
    <w:p w14:paraId="70D6157D">
      <w:pPr>
        <w:pStyle w:val="38"/>
        <w:keepNext/>
        <w:keepLines/>
        <w:spacing w:line="500" w:lineRule="exact"/>
        <w:ind w:firstLine="480"/>
        <w:jc w:val="both"/>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pPr>
      <w:bookmarkStart w:id="326" w:name="_Hlt112206782"/>
      <w:bookmarkEnd w:id="326"/>
      <w:bookmarkStart w:id="327" w:name="_Toc16793"/>
      <w:bookmarkStart w:id="328" w:name="_Toc4915"/>
      <w:bookmarkStart w:id="329" w:name="_Toc322793290"/>
      <w:bookmarkStart w:id="330" w:name="_Toc30894"/>
      <w:bookmarkStart w:id="331" w:name="_Toc326916631"/>
      <w:bookmarkStart w:id="332" w:name="_Toc20983"/>
      <w:bookmarkStart w:id="333" w:name="_Toc24211"/>
      <w:bookmarkStart w:id="334" w:name="_Toc2973"/>
      <w:bookmarkStart w:id="335" w:name="_Toc11208"/>
      <w:bookmarkStart w:id="336" w:name="_Toc29998"/>
      <w:bookmarkStart w:id="337" w:name="_Toc23408"/>
      <w:bookmarkStart w:id="338" w:name="_Toc15300"/>
      <w:bookmarkStart w:id="339" w:name="_Hlt87951777"/>
      <w:r>
        <w:rPr>
          <w:rFonts w:hint="eastAsia" w:asciiTheme="minorEastAsia" w:hAnsiTheme="minorEastAsia" w:eastAsiaTheme="minorEastAsia" w:cstheme="minorEastAsia"/>
          <w:b/>
          <w:color w:val="000000" w:themeColor="text1"/>
          <w:kern w:val="2"/>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kern w:val="2"/>
          <w:szCs w:val="24"/>
          <w:highlight w:val="none"/>
          <w14:textFill>
            <w14:solidFill>
              <w14:schemeClr w14:val="tx1"/>
            </w14:solidFill>
          </w14:textFill>
        </w:rPr>
        <w:t xml:space="preserve"> 工程付款办法</w:t>
      </w:r>
      <w:bookmarkEnd w:id="327"/>
      <w:bookmarkEnd w:id="328"/>
      <w:bookmarkEnd w:id="329"/>
      <w:bookmarkEnd w:id="330"/>
      <w:bookmarkEnd w:id="331"/>
      <w:bookmarkEnd w:id="332"/>
      <w:bookmarkEnd w:id="333"/>
      <w:bookmarkEnd w:id="334"/>
      <w:bookmarkEnd w:id="335"/>
      <w:bookmarkEnd w:id="336"/>
      <w:bookmarkEnd w:id="337"/>
      <w:bookmarkEnd w:id="338"/>
    </w:p>
    <w:bookmarkEnd w:id="339"/>
    <w:p w14:paraId="321EF06C">
      <w:pPr>
        <w:pStyle w:val="36"/>
        <w:spacing w:line="500" w:lineRule="exact"/>
        <w:ind w:firstLine="480"/>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bookmarkStart w:id="340" w:name="_Hlt69700007"/>
      <w:bookmarkEnd w:id="340"/>
      <w:bookmarkStart w:id="341" w:name="_Hlt66591689"/>
      <w:bookmarkEnd w:id="341"/>
      <w:bookmarkStart w:id="342" w:name="_Hlt69669774"/>
      <w:bookmarkEnd w:id="342"/>
      <w:bookmarkStart w:id="343" w:name="_Hlt66593437"/>
      <w:bookmarkEnd w:id="343"/>
      <w:bookmarkStart w:id="344" w:name="_Hlt69114106"/>
      <w:bookmarkEnd w:id="344"/>
      <w:bookmarkStart w:id="345" w:name="_Hlt88976467"/>
      <w:bookmarkEnd w:id="345"/>
      <w:bookmarkStart w:id="346" w:name="_Hlt66608388"/>
      <w:bookmarkEnd w:id="346"/>
      <w:bookmarkStart w:id="347" w:name="_Hlt70150985"/>
      <w:bookmarkEnd w:id="347"/>
      <w:r>
        <w:rPr>
          <w:rFonts w:hint="eastAsia" w:asciiTheme="minorEastAsia" w:hAnsiTheme="minorEastAsia" w:eastAsiaTheme="minorEastAsia" w:cstheme="minorEastAsia"/>
          <w:b/>
          <w:bCs/>
          <w:color w:val="000000" w:themeColor="text1"/>
          <w:szCs w:val="22"/>
          <w:highlight w:val="none"/>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设计费的支付</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w:t>
      </w:r>
    </w:p>
    <w:p w14:paraId="61E18959">
      <w:pPr>
        <w:pStyle w:val="36"/>
        <w:spacing w:line="500" w:lineRule="exact"/>
        <w:ind w:firstLine="480" w:firstLineChars="20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3.1.1完成施工图设计及交付施工图设计成果文件并经审查合格后1个月内发包人支付设计费的80%；</w:t>
      </w:r>
    </w:p>
    <w:p w14:paraId="26E32537">
      <w:pPr>
        <w:pStyle w:val="36"/>
        <w:spacing w:line="500" w:lineRule="exact"/>
        <w:ind w:firstLine="480" w:firstLineChars="20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3.1.2 工程竣工验收合格后，发包人支付余下20%的设计费。</w:t>
      </w:r>
    </w:p>
    <w:p w14:paraId="67BD3E49">
      <w:pPr>
        <w:pStyle w:val="36"/>
        <w:spacing w:line="500" w:lineRule="exact"/>
        <w:ind w:firstLine="482"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highlight w:val="none"/>
          <w14:textFill>
            <w14:solidFill>
              <w14:schemeClr w14:val="tx1"/>
            </w14:solidFill>
          </w14:textFill>
        </w:rPr>
        <w:t xml:space="preserve">.2 </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建安工程款的支付</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w:t>
      </w:r>
    </w:p>
    <w:p w14:paraId="68558E75">
      <w:pPr>
        <w:pStyle w:val="36"/>
        <w:spacing w:line="500" w:lineRule="exac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.2.1 本工程</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支付</w:t>
      </w:r>
      <w:r>
        <w:rPr>
          <w:rFonts w:hint="eastAsia" w:asciiTheme="minorEastAsia" w:hAnsiTheme="minorEastAsia" w:eastAsiaTheme="minorEastAsia" w:cstheme="minorEastAsia"/>
          <w:color w:val="000000" w:themeColor="text1"/>
          <w:highlight w:val="none"/>
          <w14:textFill>
            <w14:solidFill>
              <w14:schemeClr w14:val="tx1"/>
            </w14:solidFill>
          </w14:textFill>
        </w:rPr>
        <w:t>施工预付款。</w:t>
      </w:r>
    </w:p>
    <w:p w14:paraId="60174964">
      <w:pPr>
        <w:pStyle w:val="36"/>
        <w:spacing w:line="500" w:lineRule="exact"/>
        <w:ind w:firstLine="480"/>
        <w:rPr>
          <w:rFonts w:hint="eastAsia" w:asciiTheme="minorEastAsia" w:hAnsiTheme="minorEastAsia" w:eastAsiaTheme="minorEastAsia" w:cstheme="minorEastAsia"/>
          <w:i/>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.2.2 </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施工预付款必须专用于合同工程，并按以下原则支付和抵扣：</w:t>
      </w:r>
    </w:p>
    <w:p w14:paraId="786D911A">
      <w:pPr>
        <w:adjustRightInd w:val="0"/>
        <w:snapToGrid w:val="0"/>
        <w:spacing w:line="500" w:lineRule="exact"/>
        <w:ind w:firstLine="56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 施工预付款支付比例为：按施工合同价（预备费除外）的</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30%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支付（视资金到位情况为准），施工预付款中包含工人工资预付款，其中工人工资预付款比例为施工合同价（预备费除外）的1%。</w:t>
      </w:r>
    </w:p>
    <w:p w14:paraId="4A499DAE">
      <w:pPr>
        <w:adjustRightInd w:val="0"/>
        <w:snapToGrid w:val="0"/>
        <w:spacing w:line="500" w:lineRule="exact"/>
        <w:ind w:firstLine="560"/>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（2）本工程要求承包人提供与预付款等额的预付款银行保函</w:t>
      </w:r>
      <w:r>
        <w:rPr>
          <w:rFonts w:hint="eastAsia" w:asciiTheme="minorEastAsia" w:hAnsiTheme="minorEastAsia" w:eastAsiaTheme="minorEastAsia" w:cstheme="minorEastAsia"/>
          <w:snapToGrid w:val="0"/>
          <w:color w:val="000000" w:themeColor="text1"/>
          <w:kern w:val="0"/>
          <w:szCs w:val="24"/>
          <w:highlight w:val="none"/>
          <w:lang w:eastAsia="zh-CN"/>
          <w14:textFill>
            <w14:solidFill>
              <w14:schemeClr w14:val="tx1"/>
            </w14:solidFill>
          </w14:textFill>
        </w:rPr>
        <w:t>，预付款担保或预付款保险</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Cs w:val="22"/>
          <w:highlight w:val="none"/>
          <w14:textFill>
            <w14:solidFill>
              <w14:schemeClr w14:val="tx1"/>
            </w14:solidFill>
          </w14:textFill>
        </w:rPr>
        <w:t>预付款银行保函按发包人提供的格式，详见招标文件第八章：预付款保函</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且本工程预付款保函期限原则上不少于</w:t>
      </w:r>
      <w:r>
        <w:rPr>
          <w:rFonts w:hint="eastAsia" w:asciiTheme="minorEastAsia" w:hAnsiTheme="minorEastAsia" w:eastAsiaTheme="minorEastAsia" w:cstheme="minorEastAsia"/>
          <w:b/>
          <w:snapToGrid w:val="0"/>
          <w:color w:val="000000" w:themeColor="text1"/>
          <w:kern w:val="0"/>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个月，承包人的预付款保函有效期应保证在扣回预付款前有效，未扣回预付款但保函过期的，承包人应重新开具预付款保函。</w:t>
      </w:r>
    </w:p>
    <w:p w14:paraId="12338FAE">
      <w:pPr>
        <w:pStyle w:val="36"/>
        <w:ind w:firstLine="48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（3）承包人应在签订施工合同后，在提供等额的预付款保函及具备施工条件的前提下（如承包人主要人员及主要机械进场到位），向发包人提交预付款支付申请。</w:t>
      </w:r>
    </w:p>
    <w:p w14:paraId="359DBA68">
      <w:pPr>
        <w:pStyle w:val="36"/>
        <w:ind w:firstLine="480" w:firstLineChars="20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发包人在收到支付申请的7天内进行核实后，按程序向财政部门申请一次性支付预付款（工人工资预付款单独支付至工人工资专用账户）。</w:t>
      </w:r>
      <w:r>
        <w:rPr>
          <w:rFonts w:hint="eastAsia" w:asciiTheme="minorEastAsia" w:hAnsiTheme="minorEastAsia" w:eastAsiaTheme="minorEastAsia" w:cstheme="minorEastAsia"/>
          <w:b/>
          <w:snapToGrid w:val="0"/>
          <w:color w:val="000000" w:themeColor="text1"/>
          <w:kern w:val="0"/>
          <w:highlight w:val="none"/>
          <w14:textFill>
            <w14:solidFill>
              <w14:schemeClr w14:val="tx1"/>
            </w14:solidFill>
          </w14:textFill>
        </w:rPr>
        <w:t>凡未签订合同、未提供预付款保函或不具备施工条件的工程，发包人不预付工程款。</w:t>
      </w:r>
    </w:p>
    <w:p w14:paraId="75193BA4">
      <w:pPr>
        <w:pStyle w:val="36"/>
        <w:ind w:firstLine="480" w:firstLineChars="200"/>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（4）预付款应从每支付期应支付给承包人的工程进度款中扣回，扣回比例为每支付期的工程进度款的50%，直到扣回的金额达到合同约定的预付款金额为止。</w:t>
      </w:r>
    </w:p>
    <w:p w14:paraId="24B08995">
      <w:pPr>
        <w:pStyle w:val="36"/>
        <w:ind w:firstLine="480" w:firstLineChars="200"/>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.2.3</w:t>
      </w:r>
      <w:r>
        <w:rPr>
          <w:rFonts w:hint="eastAsia" w:hAnsi="宋体" w:cs="宋体"/>
          <w:color w:val="000000" w:themeColor="text1"/>
          <w:kern w:val="0"/>
          <w:szCs w:val="24"/>
          <w:highlight w:val="none"/>
          <w:lang w:bidi="ar"/>
          <w14:textFill>
            <w14:solidFill>
              <w14:schemeClr w14:val="tx1"/>
            </w14:solidFill>
          </w14:textFill>
        </w:rPr>
        <w:t>施工过程中按</w:t>
      </w:r>
      <w:r>
        <w:rPr>
          <w:rFonts w:hint="eastAsia" w:hAnsi="宋体" w:cs="宋体"/>
          <w:strike w:val="0"/>
          <w:dstrike w:val="0"/>
          <w:color w:val="000000" w:themeColor="text1"/>
          <w:kern w:val="0"/>
          <w:szCs w:val="24"/>
          <w:highlight w:val="none"/>
          <w:lang w:val="en-US" w:eastAsia="zh-CN" w:bidi="ar"/>
          <w14:textFill>
            <w14:solidFill>
              <w14:schemeClr w14:val="tx1"/>
            </w14:solidFill>
          </w14:textFill>
        </w:rPr>
        <w:t>工程进度</w:t>
      </w:r>
      <w:r>
        <w:rPr>
          <w:rFonts w:hint="eastAsia" w:hAnsi="宋体" w:cs="宋体"/>
          <w:color w:val="000000" w:themeColor="text1"/>
          <w:kern w:val="0"/>
          <w:szCs w:val="24"/>
          <w:highlight w:val="none"/>
          <w:lang w:bidi="ar"/>
          <w14:textFill>
            <w14:solidFill>
              <w14:schemeClr w14:val="tx1"/>
            </w14:solidFill>
          </w14:textFill>
        </w:rPr>
        <w:t>支付工程进度款：承包人按工程实际完成工程量（含变更及增加工程）申报，承包人必须将《已完成工程量报表》和《工程付款申请书》报监理单位核实。经监理单位审核、发包人审定后的工程进度款（指已经按照合同约定，扣除该支付期内因承包人违约而应扣除的管理费），</w:t>
      </w:r>
      <w:r>
        <w:rPr>
          <w:rFonts w:hint="eastAsia" w:hAnsi="宋体" w:cs="宋体"/>
          <w:color w:val="000000" w:themeColor="text1"/>
          <w:kern w:val="0"/>
          <w:szCs w:val="24"/>
          <w:highlight w:val="none"/>
          <w:lang w:val="en-US" w:eastAsia="zh-CN" w:bidi="ar"/>
          <w14:textFill>
            <w14:solidFill>
              <w14:schemeClr w14:val="tx1"/>
            </w14:solidFill>
          </w14:textFill>
        </w:rPr>
        <w:t>方可</w:t>
      </w:r>
      <w:r>
        <w:rPr>
          <w:rFonts w:hint="eastAsia" w:hAnsi="宋体" w:cs="宋体"/>
          <w:color w:val="000000" w:themeColor="text1"/>
          <w:kern w:val="0"/>
          <w:szCs w:val="24"/>
          <w:highlight w:val="none"/>
          <w:lang w:bidi="ar"/>
          <w14:textFill>
            <w14:solidFill>
              <w14:schemeClr w14:val="tx1"/>
            </w14:solidFill>
          </w14:textFill>
        </w:rPr>
        <w:t>支付工程进度款</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14:paraId="09E8B826">
      <w:pPr>
        <w:pStyle w:val="36"/>
        <w:ind w:firstLine="480" w:firstLineChars="200"/>
        <w:rPr>
          <w:rFonts w:hint="eastAsia" w:asciiTheme="minorEastAsia" w:hAnsiTheme="minorEastAsia" w:eastAsiaTheme="minorEastAsia" w:cstheme="minorEastAsia"/>
          <w:strike/>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.2.4</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施工过程中按月支付工程进度款：承包人每月按</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工程形象进度申</w:t>
      </w:r>
      <w:r>
        <w:rPr>
          <w:rFonts w:hint="eastAsia" w:asciiTheme="minorEastAsia" w:hAnsiTheme="minorEastAsia" w:eastAsiaTheme="minorEastAsia" w:cstheme="minorEastAsia"/>
          <w:color w:val="000000" w:themeColor="text1"/>
          <w:highlight w:val="none"/>
          <w14:textFill>
            <w14:solidFill>
              <w14:schemeClr w14:val="tx1"/>
            </w14:solidFill>
          </w14:textFill>
        </w:rPr>
        <w:t>报，截止日为当月26日，形象进度和</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《工程付款申请书》</w:t>
      </w:r>
      <w:r>
        <w:rPr>
          <w:rFonts w:hint="eastAsia" w:asciiTheme="minorEastAsia" w:hAnsiTheme="minorEastAsia" w:eastAsiaTheme="minorEastAsia" w:cstheme="minorEastAsia"/>
          <w:color w:val="000000" w:themeColor="text1"/>
          <w:highlight w:val="none"/>
          <w14:textFill>
            <w14:solidFill>
              <w14:schemeClr w14:val="tx1"/>
            </w14:solidFill>
          </w14:textFill>
        </w:rPr>
        <w:t>由监理单位核实确认，经</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造价咨询单位（如有造价单位）审核，</w:t>
      </w:r>
      <w:r>
        <w:rPr>
          <w:rFonts w:hint="eastAsia" w:asciiTheme="minorEastAsia" w:hAnsiTheme="minorEastAsia" w:eastAsiaTheme="minorEastAsia" w:cstheme="minorEastAsia"/>
          <w:color w:val="000000" w:themeColor="text1"/>
          <w:highlight w:val="none"/>
          <w14:textFill>
            <w14:solidFill>
              <w14:schemeClr w14:val="tx1"/>
            </w14:solidFill>
          </w14:textFill>
        </w:rPr>
        <w:t>再经发包人审核确认后于申报工程进度款的次月支付。</w:t>
      </w:r>
    </w:p>
    <w:p w14:paraId="566482A7">
      <w:pPr>
        <w:spacing w:line="360" w:lineRule="auto"/>
        <w:ind w:firstLine="480" w:firstLineChars="200"/>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.2.5</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每月的工程进度款按应付金额的 80 ％支付，工程进度款中的作业工人工资款项暂为该月工程进度款的 30 ％，具体工人工资拨付金额以该月实际审核确认的为准，由发包人将该月审核确认后的作业工人工资款项单独足额拨付到承包人的工资专户。</w:t>
      </w:r>
    </w:p>
    <w:p w14:paraId="7ECE29DE">
      <w:pPr>
        <w:pStyle w:val="36"/>
        <w:ind w:firstLine="480" w:firstLineChars="200"/>
        <w:rPr>
          <w:rFonts w:hint="eastAsia" w:asciiTheme="minorEastAsia" w:hAnsiTheme="minorEastAsia" w:eastAsiaTheme="minorEastAsia" w:cstheme="minorEastAsia"/>
          <w:strike/>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.3</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措施项目费中的“绿色施工安全防护措施费”拨付按照《广东省建设工程计价依据（2018）》执行，按照</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韶关市住房和城乡建设管理局《关于明确建筑工程安全防护、文明施工措施费用具体管理办法的通知》韶市建字〔2015〕26号文的</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有关规定支付。发生一般事故及以上等级重大安全事故的，发包人可扣除承包人金额相当于所有“绿色施工安全防护措施费”的工程管理费。</w:t>
      </w:r>
    </w:p>
    <w:p w14:paraId="41722079">
      <w:pPr>
        <w:wordWrap w:val="0"/>
        <w:adjustRightInd w:val="0"/>
        <w:snapToGrid w:val="0"/>
        <w:spacing w:line="360" w:lineRule="auto"/>
        <w:ind w:firstLine="480" w:firstLineChars="200"/>
        <w:rPr>
          <w:rFonts w:hint="eastAsia" w:asciiTheme="minorEastAsia" w:hAnsiTheme="minorEastAsia" w:eastAsiaTheme="minorEastAsia" w:cstheme="minorEastAsia"/>
          <w:strike/>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变更工程造价必须经监理单位核实及造价咨询单位（如有造价单位）审核，并经发包人核定后方可支付。</w:t>
      </w:r>
    </w:p>
    <w:p w14:paraId="16EADF1F">
      <w:pPr>
        <w:pStyle w:val="36"/>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.5 工程完工后可支付至80％（但不局限于80％）</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结算审核完成后，于次月支付至审定总造价的97%。</w:t>
      </w:r>
    </w:p>
    <w:p w14:paraId="41A5B087">
      <w:pPr>
        <w:pStyle w:val="36"/>
        <w:rPr>
          <w:rFonts w:hint="eastAsia" w:asciiTheme="minorEastAsia" w:hAnsiTheme="minorEastAsia" w:eastAsiaTheme="minorEastAsia" w:cstheme="minorEastAsia"/>
          <w:strike/>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.6 剩余3%为工程质量保证金，从工程竣工验收合格之日起满</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若未发现质量问题，</w:t>
      </w: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承包人向发包人申请退还质量保证（或保证金），发包人按照《建设工程质量保证金管理办法》及合同的有关规定和约定将质量保证（或保证金）</w:t>
      </w:r>
      <w:r>
        <w:rPr>
          <w:rFonts w:hint="eastAsia" w:asciiTheme="minorEastAsia" w:hAnsiTheme="minorEastAsia" w:eastAsiaTheme="minorEastAsia" w:cstheme="minorEastAsia"/>
          <w:bCs/>
          <w:color w:val="000000" w:themeColor="text1"/>
          <w:kern w:val="0"/>
          <w:highlight w:val="none"/>
          <w14:textFill>
            <w14:solidFill>
              <w14:schemeClr w14:val="tx1"/>
            </w14:solidFill>
          </w14:textFill>
        </w:rPr>
        <w:t>于次月</w:t>
      </w:r>
      <w:r>
        <w:rPr>
          <w:rFonts w:hint="eastAsia" w:asciiTheme="minorEastAsia" w:hAnsiTheme="minorEastAsia" w:eastAsiaTheme="minorEastAsia" w:cstheme="minorEastAsia"/>
          <w:bCs/>
          <w:snapToGrid w:val="0"/>
          <w:color w:val="000000" w:themeColor="text1"/>
          <w:kern w:val="0"/>
          <w:highlight w:val="none"/>
          <w14:textFill>
            <w14:solidFill>
              <w14:schemeClr w14:val="tx1"/>
            </w14:solidFill>
          </w14:textFill>
        </w:rPr>
        <w:t>退还给承包人</w:t>
      </w:r>
      <w:r>
        <w:rPr>
          <w:rFonts w:hint="eastAsia" w:asciiTheme="minorEastAsia" w:hAnsiTheme="minorEastAsia" w:eastAsiaTheme="minorEastAsia" w:cstheme="minorEastAsia"/>
          <w:bCs/>
          <w:color w:val="000000" w:themeColor="text1"/>
          <w:kern w:val="0"/>
          <w:highlight w:val="none"/>
          <w14:textFill>
            <w14:solidFill>
              <w14:schemeClr w14:val="tx1"/>
            </w14:solidFill>
          </w14:textFill>
        </w:rPr>
        <w:t>（不计息）。</w:t>
      </w:r>
    </w:p>
    <w:p w14:paraId="3B1F805D">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.7承包人提供的工程款发票必须按照发包人要求提供相应增值税发票给发包人，发包人收到符合要求的发票后方可支付工程款。</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如果承包人无法提供符合要求的发票，由此造成的相应损失由承包人承担。</w:t>
      </w:r>
    </w:p>
    <w:p w14:paraId="7216B678">
      <w:pPr>
        <w:pStyle w:val="36"/>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.8本项目为政府全额投资，所有支付手续经发包人审批后，还须报政府财政部门审批完毕方可支付，如经发包人审批后已及时履行了向财政部门申报审批手续，则发包人不支付延期付</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款的利息，承包人也不得因政府财政部门履行审批程序所造成的延期付款而暂停施工和相关服务。</w:t>
      </w:r>
    </w:p>
    <w:p w14:paraId="7E13DF6A">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Cs w:val="24"/>
          <w:highlight w:val="none"/>
          <w14:textFill>
            <w14:solidFill>
              <w14:schemeClr w14:val="tx1"/>
            </w14:solidFill>
          </w14:textFill>
        </w:rPr>
        <w:t>.9</w:t>
      </w:r>
      <w:r>
        <w:rPr>
          <w:rFonts w:hint="eastAsia" w:asciiTheme="minorEastAsia" w:hAnsiTheme="minorEastAsia" w:eastAsiaTheme="minorEastAsia" w:cstheme="minorEastAsia"/>
          <w:color w:val="000000" w:themeColor="text1"/>
          <w:highlight w:val="none"/>
          <w14:textFill>
            <w14:solidFill>
              <w14:schemeClr w14:val="tx1"/>
            </w14:solidFill>
          </w14:textFill>
        </w:rPr>
        <w:t>预备费支付方式：与每个月的工程进度款一并报送（若发生符合使用范围的情形需使用预备费时），在预备费的范围内由监理单位进行签认，造价咨询单位审核，发包人确认，进度款中需要列明涉及预备费的部分。在预备费的范围内由监理单位进行签证，造价咨询单位审核后，经发包人确认后按该进度款项的50％支付，其余部分待结算完成审核后支付。预备费如有余额归发包人，不发生时不计入结算总价。</w:t>
      </w:r>
    </w:p>
    <w:p w14:paraId="609BF42D">
      <w:pPr>
        <w:wordWrap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szCs w:val="24"/>
          <w:highlight w:val="none"/>
          <w14:textFill>
            <w14:solidFill>
              <w14:schemeClr w14:val="tx1"/>
            </w14:solidFill>
          </w14:textFill>
        </w:rPr>
        <w:t>.10</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本工程按政府有关要求或资金安排情况、合同有关约定，经双方协商可调整建安费支付办法。</w:t>
      </w:r>
    </w:p>
    <w:p w14:paraId="5F0BE7CE">
      <w:pPr>
        <w:pStyle w:val="36"/>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补充条款：</w:t>
      </w:r>
    </w:p>
    <w:p w14:paraId="78092894">
      <w:pPr>
        <w:pStyle w:val="36"/>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施工部分</w:t>
      </w:r>
    </w:p>
    <w:p w14:paraId="7C85417A">
      <w:pPr>
        <w:pStyle w:val="54"/>
        <w:widowControl/>
        <w:spacing w:line="360" w:lineRule="auto"/>
        <w:ind w:firstLine="482" w:firstLineChars="200"/>
        <w:jc w:val="left"/>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t>项目管理</w:t>
      </w:r>
    </w:p>
    <w:p w14:paraId="78BB4858">
      <w:pPr>
        <w:pStyle w:val="54"/>
        <w:widowControl/>
        <w:spacing w:line="360" w:lineRule="auto"/>
        <w:ind w:firstLine="480" w:firstLineChars="20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highlight w:val="none"/>
          <w14:textFill>
            <w14:solidFill>
              <w14:schemeClr w14:val="tx1"/>
            </w14:solidFill>
          </w14:textFill>
        </w:rPr>
        <w:t>.1.1项目经理要求：</w:t>
      </w:r>
    </w:p>
    <w:p w14:paraId="102046D0">
      <w:pPr>
        <w:pStyle w:val="54"/>
        <w:widowControl/>
        <w:spacing w:line="360" w:lineRule="auto"/>
        <w:ind w:firstLine="42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项目经理与投标文件承诺不一致或未及时到位，发包人将按照下列方式对承包人进行处罚：</w:t>
      </w:r>
    </w:p>
    <w:p w14:paraId="20177E41">
      <w:pPr>
        <w:pStyle w:val="54"/>
        <w:widowControl/>
        <w:numPr>
          <w:ilvl w:val="0"/>
          <w:numId w:val="5"/>
        </w:numPr>
        <w:spacing w:line="360" w:lineRule="auto"/>
        <w:ind w:firstLine="420"/>
        <w:jc w:val="left"/>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担任项目经理的注册建造师与投标书承诺不一致，将视为承包人严重违约。除符合广东省住房和城乡建设厅《关于建设工程项目招标中标后监督检查的办法》〔2009〕8号文第九条规定的情形外，项目经理一律不得更换。承包人未经监理工程师和发包人书面同意，擅自更换投标书中确认的本工程项目经理的，监理工程师或发包人有权责令承包人三天内整改，且发包人有权提请建设行政主管部门对其作不良行为记录，有权给予承包人履约评价为不合格，同时发包人有权拒绝承包人3年内参加发包人其它工程的投标。</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擅自更换本工程项目经理的，</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即使发包人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事后</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批准同意更换，承包人仍需支付每换一次15万元的违约金（仅被羁押或判处刑罚、身亡可免责）。</w:t>
      </w:r>
    </w:p>
    <w:p w14:paraId="328A740C">
      <w:pPr>
        <w:pStyle w:val="54"/>
        <w:widowControl/>
        <w:numPr>
          <w:ilvl w:val="0"/>
          <w:numId w:val="5"/>
        </w:numPr>
        <w:spacing w:line="360" w:lineRule="auto"/>
        <w:ind w:firstLine="420"/>
        <w:jc w:val="left"/>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项目经理每延迟到位一天承包人应向发包人支付违约金5万元/天，超过10天（含10天）发包人有权单方解除合同，并要求承包人承担由此造成的一切损失。</w:t>
      </w:r>
    </w:p>
    <w:p w14:paraId="4D33B316">
      <w:pPr>
        <w:pStyle w:val="54"/>
        <w:widowControl/>
        <w:numPr>
          <w:ilvl w:val="0"/>
          <w:numId w:val="5"/>
        </w:numPr>
        <w:spacing w:line="360" w:lineRule="auto"/>
        <w:ind w:firstLine="420"/>
        <w:jc w:val="left"/>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项目经理必须按时参加工程例会、图纸会审和技术交底、现场协调会、方案论证会、专项工作碰头会，以及发包人要求其参加的会议。未经发包人同意不到会者，承包人每次向发包人支付1万元违约金，并承担一般违约责任1次。</w:t>
      </w:r>
    </w:p>
    <w:p w14:paraId="45B02A2F">
      <w:pPr>
        <w:pStyle w:val="54"/>
        <w:widowControl/>
        <w:numPr>
          <w:ilvl w:val="0"/>
          <w:numId w:val="5"/>
        </w:numPr>
        <w:spacing w:line="360" w:lineRule="auto"/>
        <w:ind w:firstLine="420"/>
        <w:jc w:val="left"/>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项目经理若需离开施工现场1日以上（含1日）需经发包人批准。在其请假离开的时间段内应委托项目副经理或项目总工全权代表其行使职权，否则每违约一次，承包人应当承担一般违约责任1次。项目经理每月的出勤天数不得少于22天，如少于22天的，按每缺勤一天向发包人支付违约金人民币3仟元，并承担一般违约责任1次。</w:t>
      </w:r>
    </w:p>
    <w:p w14:paraId="484D4B2F">
      <w:pPr>
        <w:pStyle w:val="54"/>
        <w:widowControl/>
        <w:spacing w:line="360" w:lineRule="auto"/>
        <w:ind w:firstLine="480" w:firstLineChars="20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5）对于难以胜任工作项目经理，发包人有权要求承包人进行更换，直至发包人满意为止，且更换人员应在接到书面通知后的3天内到位。更换项目经理期间延误的工期不予顺延，所有费用由承包人承担，给发包人造成的损失由承包人承担。</w:t>
      </w:r>
    </w:p>
    <w:p w14:paraId="70AB9D86">
      <w:pPr>
        <w:pStyle w:val="54"/>
        <w:widowControl/>
        <w:spacing w:line="360" w:lineRule="auto"/>
        <w:ind w:firstLine="42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上述违约金由承包人直接向发包人支付，未付清之前，发包人有权暂停支付工程款。</w:t>
      </w:r>
    </w:p>
    <w:p w14:paraId="103D7D44">
      <w:pPr>
        <w:pStyle w:val="54"/>
        <w:widowControl/>
        <w:spacing w:line="360" w:lineRule="auto"/>
        <w:ind w:firstLine="42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highlight w:val="none"/>
          <w14:textFill>
            <w14:solidFill>
              <w14:schemeClr w14:val="tx1"/>
            </w14:solidFill>
          </w14:textFill>
        </w:rPr>
        <w:t>.1.2承包人必须遵守国家相关法律法规、政府相关规定及</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南雄市古市镇人民政府</w:t>
      </w:r>
      <w:r>
        <w:rPr>
          <w:rFonts w:hint="eastAsia" w:asciiTheme="minorEastAsia" w:hAnsiTheme="minorEastAsia" w:eastAsiaTheme="minorEastAsia" w:cstheme="minorEastAsia"/>
          <w:color w:val="000000" w:themeColor="text1"/>
          <w:highlight w:val="none"/>
          <w14:textFill>
            <w14:solidFill>
              <w14:schemeClr w14:val="tx1"/>
            </w14:solidFill>
          </w14:textFill>
        </w:rPr>
        <w:t>的工程管理制度。</w:t>
      </w:r>
    </w:p>
    <w:p w14:paraId="1C814542">
      <w:pPr>
        <w:pStyle w:val="54"/>
        <w:widowControl/>
        <w:spacing w:line="360" w:lineRule="auto"/>
        <w:ind w:firstLine="42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.1.3承包人应根据工程实际需要，配备满足进度要求的施工机械，自备发电机保证供电稳定，所有费用已包含在合同价中。</w:t>
      </w:r>
    </w:p>
    <w:p w14:paraId="2239CEC0">
      <w:pPr>
        <w:pStyle w:val="54"/>
        <w:widowControl/>
        <w:spacing w:line="360" w:lineRule="auto"/>
        <w:ind w:firstLine="42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1.4如果承包人未能按照规定的工期完成合同工程（含材料、设备采购等），或者未能在相应的工期内完成某区段或某单项工程，经发包人书面发出通知要求承包人在规定时间内完成前述工程后，承包人仍未完成，则发包人有权直接雇用他人执行该项指令，并向其支付有关费用，所发生的费用从承包人合同总价中扣除，同时，在工程结算时发包人有权扣除承包人向发包人支付所发生费用10%的违约金，并由承包人承担影响工期的一切责任。</w:t>
      </w:r>
    </w:p>
    <w:p w14:paraId="36243EF0">
      <w:pPr>
        <w:pStyle w:val="54"/>
        <w:widowControl/>
        <w:spacing w:line="360" w:lineRule="auto"/>
        <w:ind w:firstLine="42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.1.5在合同履行中如发包人、承包人双方发生争议，应协商、调解解决。协商、</w:t>
      </w:r>
    </w:p>
    <w:p w14:paraId="0FB0B478">
      <w:pPr>
        <w:pStyle w:val="54"/>
        <w:widowControl/>
        <w:spacing w:line="360" w:lineRule="auto"/>
        <w:ind w:left="0" w:leftChars="0" w:firstLine="0" w:firstLineChars="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调解不成的，双方均可向工程所在地的人民法院提起诉讼，承包人不得以争议未解决为由擅自停工，否则将视为违约，由此产生工期的延误不予顺延。</w:t>
      </w:r>
    </w:p>
    <w:p w14:paraId="1ED02A19">
      <w:pPr>
        <w:pStyle w:val="54"/>
        <w:widowControl/>
        <w:spacing w:line="360" w:lineRule="auto"/>
        <w:ind w:firstLine="42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1.6对于隐蔽工程，若发现承包人在验收合格后到隐蔽施工前，对合格部分做任何改动，应重新进行验收；若承包人同一分项工程验收两次仍不合格，则以后每增加一次验收，承包人向发包人支付违约金5000元。如出现未经验收就进行隐蔽施工，承包人向发包人支付10万元/次的违约金，并且发包人有权暂停支付该部分进度款，直至发包人确认该部分工程合格为止，并通报相关部门，由此产生质量、工期延误等等均由承包人负责。</w:t>
      </w:r>
    </w:p>
    <w:p w14:paraId="6040F85F">
      <w:pPr>
        <w:wordWrap w:val="0"/>
        <w:adjustRightInd w:val="0"/>
        <w:snapToGrid w:val="0"/>
        <w:spacing w:line="44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经承包人的自检确认隐蔽工程和工程的隐蔽部位具备覆盖条件后的24小时内，承包人应通知监理人进行检查，通知应按规定的格式说明检查地点、内容和检查时间，并附有承包人自检记录和必要的检查资料。监理人应按通知约定的时间派员到场进行检查，在监理人员确认质量符合要求，并在检查记录上签字后，承包人才能进行覆盖。</w:t>
      </w:r>
    </w:p>
    <w:p w14:paraId="3EF93B12">
      <w:pPr>
        <w:pStyle w:val="54"/>
        <w:widowControl/>
        <w:spacing w:line="360" w:lineRule="auto"/>
        <w:ind w:firstLine="42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承包人未及时通知监理人到场检查，私自将隐蔽部位覆盖，监理人有权指示承包人采用钻孔探测揭开进行检查，由此增加的费用和工期延误责任由承包人承担。</w:t>
      </w:r>
    </w:p>
    <w:p w14:paraId="4743ECAB">
      <w:pPr>
        <w:pStyle w:val="54"/>
        <w:widowControl/>
        <w:spacing w:line="360" w:lineRule="auto"/>
        <w:ind w:firstLine="42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.1.7承包人必须编制合理的交通维护方案并负责实施，保证施工期间的交通组织符合</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南雄市</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公安交通管理的有关规定，确保施工安全，其费用包含在合同价中。</w:t>
      </w:r>
    </w:p>
    <w:p w14:paraId="776AEB15">
      <w:pPr>
        <w:pStyle w:val="54"/>
        <w:widowControl/>
        <w:spacing w:line="360" w:lineRule="auto"/>
        <w:ind w:firstLine="42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.1.8发生伤亡事故，承包人应在第一时间通知发包人，并按规定立即上报有关部门，同时按法律、法规及相关规定的要求及时处理，否则记承包人严重违约责任一次。</w:t>
      </w:r>
    </w:p>
    <w:p w14:paraId="28DC510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因承包人原因，承包人施工现场发生工伤或其他责任事故的，除按相关法律法规依法接受处理和赔偿所造成的损失外，承包人还须按下列标准向发包人支付惩罚性违约金：</w:t>
      </w:r>
    </w:p>
    <w:p w14:paraId="6844ADB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（1）一次事故或全年累计死亡3人及以上：安全第一责任人在韶关市地区建设范围内公开检查；承包人必须撤换项目经理、安全主管，同时支付合同价款15％的惩罚性违约金。</w:t>
      </w:r>
    </w:p>
    <w:p w14:paraId="1410A39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（2）一次事故或全年累计死亡2人：安全第一责任人在韶关市地区建设范围内公开检查；承包人必须撤换项目经理、安全主管，同时支付合同价款10％的惩罚性违约金。</w:t>
      </w:r>
    </w:p>
    <w:p w14:paraId="41932B3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（3）全年死亡1人：安全第一责任人在韶关市地区建设范围内公开检查，并报其上级单位；承包人必须撤换项目经理、安全主管；同时支付合同价款5％的惩罚性违约金。</w:t>
      </w:r>
    </w:p>
    <w:p w14:paraId="7DDCCE7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（4）重伤事故、造成10人及以上集体中毒住院、经济损失重大的火灾、设备及交通事故，依法由承包人承担责任，并支付惩罚性违约金3万元。</w:t>
      </w:r>
    </w:p>
    <w:p w14:paraId="2A4F27DB">
      <w:pPr>
        <w:pStyle w:val="54"/>
        <w:widowControl/>
        <w:spacing w:line="360" w:lineRule="auto"/>
        <w:ind w:firstLine="42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（5）因施工造成的道路交通中断、通讯中断、管线漏水漏气等全部责任事故，依法由承包人承担责任，并支付惩罚性违约金2万元。</w:t>
      </w:r>
    </w:p>
    <w:p w14:paraId="5183712F">
      <w:pPr>
        <w:pStyle w:val="54"/>
        <w:widowControl/>
        <w:spacing w:line="360" w:lineRule="auto"/>
        <w:ind w:firstLine="42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.1.9 承包人必须遵守有关环境保护的法律法规，并采取有效措施控制施工现场的各种粉尘、废气、废弃物、噪声、振动等对身体健康和周边环境造成的危害和污染，有关费用已包含在合同价中。 </w:t>
      </w:r>
    </w:p>
    <w:p w14:paraId="603F17E2">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.1.10 工程竣工验收合格后30天内，承包人必须及时</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按</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韶关市城市建设档案要求及发包人要求提交真实完整的竣工图纸等竣工资料，并由承包人负责汇总后，移交相关管理部门，且办理完成相关移交手续，否则每延迟１天，承包人向发包人支付2000元/天的违约金。同时，承包人向发包人提供完整的竣工图纸等竣工资料各8套（包括声像及电子文件），档案的制作费用由承包人承担。 </w:t>
      </w:r>
    </w:p>
    <w:p w14:paraId="3725CCE5">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.1.11 如承包人不按合同内容及条款施工，或违反正常施工程序、施工工艺进行施工，或施工质量、安全、环保等达不到有关要求，或施工用材料设备不符合规定，发包人有权勒令承包人暂停施工，承包人必须停工整改，一切责任由承包人负责。</w:t>
      </w:r>
    </w:p>
    <w:p w14:paraId="32A1CF90">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.1.12 承包人全体现场施工人员佩戴安全帽，全部施工人员佩戴工作牌。</w:t>
      </w:r>
    </w:p>
    <w:p w14:paraId="6AD3CEDC">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.1.13 未经发包人书面许可，承包人不得在施工现场布置任何与本项目工程无关的商业广告，否则发包人有权要求承包人予以拆除，承包人并向发包人每次支付违约金10000元。</w:t>
      </w:r>
    </w:p>
    <w:p w14:paraId="5CB8657B">
      <w:pPr>
        <w:autoSpaceDE w:val="0"/>
        <w:autoSpaceDN w:val="0"/>
        <w:adjustRightInd w:val="0"/>
        <w:snapToGrid w:val="0"/>
        <w:spacing w:beforeLines="50"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.1.14 承包人下列人员有以下情形的，承包人必须在24小时内将其调离，并应在3天内补充经发包人批准的相关合格人员。若承包人不及时履行，发包人则有权要求承包人按每人每次支付违约金1000元/天，具体情形如下：</w:t>
      </w:r>
    </w:p>
    <w:p w14:paraId="0B14D976">
      <w:pPr>
        <w:autoSpaceDE w:val="0"/>
        <w:autoSpaceDN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（1）发包人确认无法胜任工作者，包括：对分部分项工程施工进度及施工质量达不到合同要求负有责任的施工人员、不熟悉本专业的施工人员、工作责任心不强的施工人员等；</w:t>
      </w:r>
    </w:p>
    <w:p w14:paraId="1B468EA9">
      <w:pPr>
        <w:autoSpaceDE w:val="0"/>
        <w:autoSpaceDN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（2）不积极配合发包人、监理工程师正常工作人员；</w:t>
      </w:r>
    </w:p>
    <w:p w14:paraId="00BD5E1E">
      <w:pPr>
        <w:autoSpaceDE w:val="0"/>
        <w:autoSpaceDN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（3）违反承包人或发包人工地现场管理规定的人员；</w:t>
      </w:r>
    </w:p>
    <w:p w14:paraId="3B17D936">
      <w:pPr>
        <w:autoSpaceDE w:val="0"/>
        <w:autoSpaceDN w:val="0"/>
        <w:adjustRightInd w:val="0"/>
        <w:snapToGrid w:val="0"/>
        <w:spacing w:line="360" w:lineRule="auto"/>
        <w:ind w:firstLine="240" w:firstLineChars="1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（4）无证上岗人员（适用于按规定必须有上岗证的）；</w:t>
      </w:r>
    </w:p>
    <w:p w14:paraId="787AE936">
      <w:pPr>
        <w:adjustRightInd w:val="0"/>
        <w:snapToGrid w:val="0"/>
        <w:spacing w:line="360" w:lineRule="auto"/>
        <w:ind w:firstLine="240" w:firstLineChars="1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（5）与本工程施工无关的人员。</w:t>
      </w:r>
    </w:p>
    <w:p w14:paraId="6AC7036C">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.1.15 本工程禁止转包，若发包人和监理人认为承包人有转包行为，且经行政主管部门落实认定。发包人有权勒令承包人停工、驱逐其出现场，并提请建设行政主管部门对承包人按相关法律法规进行行政处罚；发包人还有权给予承包人履约评价为不合格，及有权拒绝承包人3年内参加发包人其它工程的投标；同时发包人有权单方面解除本合同。由此造成的损失均由承包人承担。 </w:t>
      </w:r>
    </w:p>
    <w:p w14:paraId="2DAEF134">
      <w:pPr>
        <w:spacing w:line="360" w:lineRule="auto"/>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.2 用工和劳务</w:t>
      </w:r>
    </w:p>
    <w:p w14:paraId="7C93CBDF">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.2.1承包人不得从为发包人或工程师服务的人员中招雇任何人员。</w:t>
      </w:r>
    </w:p>
    <w:p w14:paraId="19CD34B0">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2.2承包人不得以任何理由延期支付雇员的工资和劳务分包人的劳务费用。对发包人支付的工程款，承包人须优先用于支付工人劳动报酬，确保不发生因拖欠工人工资、劳务费而停工、上访，或因此在媒体曝光等事件。如果发生因拖欠工人工资、劳务费而停工上访，或因此在媒体曝光等事件，视为承包人违约，发包人有权要求承包人支付违约金20万元/次。</w:t>
      </w:r>
    </w:p>
    <w:p w14:paraId="415D10D3">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2.3承包人应避免发包人因施工工人追索劳务费或工程款而将发包人诉至法庭或仲裁庭，否则一切责任由承包人承担，所发生的所有费用（包括但不限于诉讼费、调查费、律师费、赔偿费、违约金等）全部由承包人承担，发包人有权将此等费用从任何应支付的工程款中扣除或没收履约保函中的相应金额。</w:t>
      </w:r>
    </w:p>
    <w:p w14:paraId="3F52A91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2.4如果现场工程师需要了解承包人在现场的管理人员和各种劳务工种操作人员情况，以及工程师要求的有关承包人机械设备、主要施工机具、周转材料等的详细资料。承包人则应向工程师提交一份详细的统计表，其格式和提交的间隔时间应符合工程师的规定。</w:t>
      </w:r>
    </w:p>
    <w:p w14:paraId="53E514FC">
      <w:pPr>
        <w:spacing w:line="360" w:lineRule="auto"/>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.3施工准备工作</w:t>
      </w:r>
    </w:p>
    <w:p w14:paraId="57C4C8F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.3.1承包人应充分认识到本工程的特殊性和复杂性，施工前应切实做好各项准备工作，包括但不限于以下（1）、（2）、（3）的内容：</w:t>
      </w:r>
    </w:p>
    <w:p w14:paraId="29357F1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（1）必须按要求完成临时设施建设和现场指挥部建设。</w:t>
      </w:r>
    </w:p>
    <w:p w14:paraId="230FD77A">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（2）按照相关规定及发包人要求做好现场申报、宣传、走访、排查和解释工作。</w:t>
      </w:r>
    </w:p>
    <w:p w14:paraId="0CAB7FC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（3）根据现场实际环境，做好防火、防盗、防坠落等各项措施，排除安全隐患，确保施工期间施工的安全。</w:t>
      </w:r>
    </w:p>
    <w:p w14:paraId="7B09516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.3.2存在设计图纸疑问，必须在施工前30日提出，不得在施工时临时提出，也不得以此手段要求任何索赔，由此造成的一切损失由承包人承担。</w:t>
      </w:r>
    </w:p>
    <w:p w14:paraId="71434D4E">
      <w:pPr>
        <w:spacing w:line="360" w:lineRule="auto"/>
        <w:ind w:left="480" w:leftChars="200"/>
        <w:rPr>
          <w:rFonts w:hint="eastAsia" w:asciiTheme="minorEastAsia" w:hAnsiTheme="minorEastAsia" w:eastAsiaTheme="minorEastAsia" w:cstheme="minorEastAsia"/>
          <w:strike/>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.4工程变更</w:t>
      </w:r>
    </w:p>
    <w:p w14:paraId="1E33407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4.1承包人报送的变更价款，应实事求是，不得虚报数量，增加或变更的工程内容按招标文件中约定计价办法进行计量。若其报送金额超出建设工程造价管理部门或政府审核部门审定金额15%以上的，每次承包人向发包人支付人民币伍仟（￥5000）元的违约金，并在结算中予以扣除。</w:t>
      </w:r>
    </w:p>
    <w:p w14:paraId="34CBA07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4.2承包人应充分考虑工程设计变更带来的风险。工程变更须按政府及发包人的有关规定、审批权限和审批程序进行审批，凡未经发包人审批同意，承包人擅自实施的，一律视为无效变更，结算时发包人不予承认。</w:t>
      </w:r>
    </w:p>
    <w:p w14:paraId="1E4F8AF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.4.3承包人应按</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南雄市</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人民政府办公室《关于加强市本级政府投资项目财政投资评审监督管理的实施意见》雄府办函[2023]5号的规定及时申报办理工程变更审批手续，并于申请当期工程款之前或一并申报完整的工程变更资料予以备案；凡不符合实施意见要求的变更均为无效变更。</w:t>
      </w:r>
    </w:p>
    <w:p w14:paraId="4413A9BD">
      <w:pPr>
        <w:spacing w:line="360" w:lineRule="auto"/>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.5工程量计量的约定：</w:t>
      </w:r>
    </w:p>
    <w:p w14:paraId="1B9138F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①承包人不得自行取消施工图或清单中的任何项目，发包人根据需要取消的未施工项目，经监理工程师核实后予以扣减，相应的措施费用予以扣减。</w:t>
      </w:r>
    </w:p>
    <w:p w14:paraId="508395B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②承包人自身原因造成的返工工程量，不予计量。</w:t>
      </w:r>
    </w:p>
    <w:p w14:paraId="567A697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③凡超出图纸范围又未经变更审批的工程量，不予计量。</w:t>
      </w:r>
    </w:p>
    <w:p w14:paraId="0A91B73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④不符合工程质量标准的工程量，不予计量。</w:t>
      </w:r>
    </w:p>
    <w:p w14:paraId="281ADA9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⑤发包人书面通知承包人取消的工程量，不予计量。</w:t>
      </w:r>
    </w:p>
    <w:p w14:paraId="006747B2">
      <w:pPr>
        <w:pStyle w:val="31"/>
        <w:spacing w:line="360" w:lineRule="auto"/>
        <w:jc w:val="left"/>
        <w:rPr>
          <w:rFonts w:hint="eastAsia" w:asciiTheme="minorEastAsia" w:hAnsiTheme="minorEastAsia" w:eastAsiaTheme="minorEastAsia" w:cstheme="minorEastAsia"/>
          <w:b w:val="0"/>
          <w:bCs/>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snapToGrid w:val="0"/>
          <w:color w:val="000000" w:themeColor="text1"/>
          <w:kern w:val="0"/>
          <w:sz w:val="24"/>
          <w:highlight w:val="none"/>
          <w14:textFill>
            <w14:solidFill>
              <w14:schemeClr w14:val="tx1"/>
            </w14:solidFill>
          </w14:textFill>
        </w:rPr>
        <w:t>承包人编制的工程量预算清单中的综合单价为按技术规范与技术要求完成一个规定计量单位的工程所需的人工费、材料费、机械使用费、管理费、利润并考虑风险因素。按技术规范、招标文件、设计图纸、国标《建设工程工程量清单计价规范》、省市现行计价规程等要求为完成一个规定计量单位的工程量所需的其他一切费用，承包人不得以综合单价和措施费所含工作内容缺漏项为由，向发包人提出任何变更工程价款的要求。</w:t>
      </w:r>
    </w:p>
    <w:p w14:paraId="5B66EE14">
      <w:pPr>
        <w:spacing w:line="360" w:lineRule="auto"/>
        <w:ind w:firstLine="482" w:firstLineChars="200"/>
        <w:rPr>
          <w:rFonts w:hint="eastAsia" w:asciiTheme="minorEastAsia" w:hAnsiTheme="minorEastAsia" w:eastAsiaTheme="minorEastAsia" w:cstheme="minorEastAsia"/>
          <w:b/>
          <w:bCs/>
          <w:color w:val="000000" w:themeColor="text1"/>
          <w:szCs w:val="24"/>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.6承包人对专业分包的总要求</w:t>
      </w:r>
    </w:p>
    <w:p w14:paraId="30F3A50D">
      <w:pPr>
        <w:adjustRightInd w:val="0"/>
        <w:snapToGrid w:val="0"/>
        <w:spacing w:beforeLines="50"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.6.1承包人对本工程所有分包人的管理费和相互间的配合费用由承包人与分包人自行商定，已含在承包人的投标报价中，发包人不予任何补偿。承包人承担全部管理、组织、协调和配合工作。</w:t>
      </w:r>
    </w:p>
    <w:p w14:paraId="746013FF">
      <w:pPr>
        <w:spacing w:line="360" w:lineRule="auto"/>
        <w:ind w:firstLine="495"/>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6.2若承包人的施工承包资质缺少本工程的专业承包资质，应按照有关规定事先报发包人和监理工程师审查并取得发包人批准后分包给具有相应资质的专业承包人（如果分包工程按规定需要进行招标的，由承包人在建设交易中心自行组织），由此产生的一切分包费用、配合费、招标费用以及其他可能存在风险所产生的费用都含在合同价中。承包人因上述情况提出的任何索赔或工期延长申请将不获批准。若承包人在施工过程中由于自身缺少本工程要求的专业承包资质，而又不能按规定时间发包给具有资质的专业承包企业或者分包企业不能按照设计要求实施专业工程的，由此造成工期延误，每延误1天承包人向发包人支付违约金3万元；给发包人造成质量损失的，承包人负责赔偿，同时发包人有权从合同价中按分包工程的审定预算价扣除，并委托其他施工单位实施，承包人须无条件与分包人签订合同。</w:t>
      </w:r>
    </w:p>
    <w:p w14:paraId="15DE5AF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6.3若同一分包工程的分包申请被否定二次，发包人有权就该分包工程采用单独招标形式确定分包人或直接指定分包人，承包人须无条件与分包人签订合同，并不得收取任何费用。同时发包人有权从合同价中按分包工程的审定预算价扣除，并委托其他施工单位实施，承包人须无条件与分包人签订合同。同时由此造成工期延误，每延误1天承包人向发包人支付违约金3万元；给发包人造成质量损失的，承包人负责赔偿。</w:t>
      </w:r>
    </w:p>
    <w:p w14:paraId="04D3C4F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6.4经工程师、发包人认可，承包人与分包人签订分包合同后的5天内，承包人必须将分包合同等相关资料按规定送建设行政主管部门及其他相关管理部门备案，分包合同与本施工合同发生抵触，以本施工合同为准。承包人对分包合同承担连带责任。分包合同不解除承包人任何义务与责任，承包人在分包现场应派驻监督管理人员，保证合同的履行。分包人的任何违约或疏忽，均视为承包人违约或疏忽。</w:t>
      </w:r>
    </w:p>
    <w:p w14:paraId="37ACC9A9">
      <w:pPr>
        <w:adjustRightInd w:val="0"/>
        <w:snapToGrid w:val="0"/>
        <w:spacing w:line="360" w:lineRule="auto"/>
        <w:ind w:firstLine="600" w:firstLineChars="25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6.5若发包人和监理均认定承包人有未经发包人同意的分包行为（无须承包人认可，除非承包人在发包人发出通知后3天内提出有效举证），发包人有权勒令其停工、驱逐出现场等，由此造成的损失均由承包人承担，同时承包人向发包人支付违约金30万元/每次。发包人有权提请建设行政主管部门对其作不良行为记录，有权给予承包人履约评价为不合格，同时发包人有权拒绝承包人3年内参加发包人其它工程的投标。 </w:t>
      </w:r>
    </w:p>
    <w:p w14:paraId="5A16A14B">
      <w:pPr>
        <w:adjustRightInd w:val="0"/>
        <w:snapToGrid w:val="0"/>
        <w:spacing w:line="360" w:lineRule="auto"/>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.7 措施项目</w:t>
      </w:r>
    </w:p>
    <w:p w14:paraId="5E1F995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.7.1现场安全文明设计必须满足国家、省市相关的要求，除此之外，尚应满足如下要求：</w:t>
      </w:r>
    </w:p>
    <w:p w14:paraId="7BC26F82">
      <w:pPr>
        <w:numPr>
          <w:ilvl w:val="0"/>
          <w:numId w:val="6"/>
        </w:num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安全、文明、临时设施要求：①主要管理人员与投标文件内填写的应一致；</w:t>
      </w:r>
    </w:p>
    <w:p w14:paraId="0D331E9E">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②施工现场应封闭施工。进出口要设大门、门卫和门卫制度。主进出口门头设企业标志，两侧要挂“七牌一图”，标牌应规范、整齐；</w:t>
      </w:r>
    </w:p>
    <w:p w14:paraId="3778AFE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③施工场地及生活区的所有临时道路，无污水、积水，地面要平整，路面满足施工及生活需要；排水要通畅，要有防止泥浆、污物堵塞排水管道的措施；按要求张挂各种安全标志牌和标语，设宣传栏，读报栏和黑板报并设有吸烟处；有绿化布置；</w:t>
      </w:r>
    </w:p>
    <w:p w14:paraId="4C8D106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④施工期间，承包人应随时根据现场情况对围挡进行维修和保护，确保施工界面达到韶关市、</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南雄市</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和建设部有关规定的标准。为确保施工安全，防止无关人员进入现场，承包人必须对施工范围（特殊情况除外）进行全封闭围挡，并设置车辆进出口，若确因条件限制或环境要求无法实施封闭围挡，承包人应切实做好安全防护及安全通道，设置合理科学的安全警示标志。如果承包人开工后经监理工程师下达整改通知后3天内仍未按规定实施，发包人有权安排其他施工队伍进场作好封闭围挡，相应费用从本合同总价中的现场安全文明措施费中扣除。承包人承诺按发包人制定的此条款执行，不得有任何异议；</w:t>
      </w:r>
    </w:p>
    <w:p w14:paraId="7922672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⑤施工场内，建筑材料、构件和料具要按施工现场平面图的布置要求堆放整齐，并挂物料名称，品种，规格等标牌，施工现场渣土和垃圾清运应当采取喷淋压尘装载；</w:t>
      </w:r>
    </w:p>
    <w:p w14:paraId="2667BD1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⑥承包人必须按照粤建安字〔2009〕20号文件要求，在开工前按有关规定要求，编制施工组织设计和施工现场消防设施平面布置图，按规定配备合格的消防器材等，满足施工现场所需的消防措施、制度和灭火器材，灭火器材配置、消防水源所有器材和设备应合理、合格，使用明火应有动火审批手续和动火监护，所发生的费用已含合同中；</w:t>
      </w:r>
    </w:p>
    <w:p w14:paraId="47AF990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⑦施工现场的施工区、 办公区、生活区应当分开设置，实行区划管理，临时办公和生活用房应采用轻钢板房，并要具有抗强台风的措施，确保安全；</w:t>
      </w:r>
    </w:p>
    <w:p w14:paraId="47A5396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⑧工地内要配备经培训的急救人员、保健医药箱、安全急救措施和急救器材，要开展卫生、防病自救、互救宣传教育；</w:t>
      </w:r>
    </w:p>
    <w:p w14:paraId="353A981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⑨要建立治安保卫制度，责任要分解到人。承包人在施工过程中的施工人员应配备必要的劳动、安全保护用品并佩戴工作证，以及满足招标文件中其他相关规定。</w:t>
      </w:r>
    </w:p>
    <w:p w14:paraId="3DF1D3AE">
      <w:pPr>
        <w:numPr>
          <w:ilvl w:val="0"/>
          <w:numId w:val="6"/>
        </w:num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环保要求：承包人在施工过程中必须根据环保部门和城管部门的要求采取一切可能的措施做好环境保护和水土保持工作，有效控制施工现场的各种粉尘、废气、废弃物、噪音、振动、雨污水等对周边环境造成的污染和危害，避免对周围的管线、道路、构筑物、建筑物造成损坏，环境保护所采用的措施包括但不局限于：</w:t>
      </w:r>
    </w:p>
    <w:p w14:paraId="5AFB43C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①环境污染防治措施：禁止向周边和雨水口、河道倾倒一切废物，包括生产和生活污水、生产和生活垃圾等；生活废水要自建生活污水处理装置；生活垃圾要收集在有防雨棚和防地表径流冲刷的临时垃圾池内，及时集中、清运；堆土区表面进行覆盖；</w:t>
      </w:r>
    </w:p>
    <w:p w14:paraId="30DFED8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②大气污染防治措施：采用洒水湿法抑尘；重点时段防护如：对</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工地进出运输</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车辆进行冲洗；运送散装物料的机动车、存放散装物料的堆放场地必须用棚布遮盖，拌和设备尽量封闭；</w:t>
      </w:r>
    </w:p>
    <w:p w14:paraId="0FF9007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③施工噪音防护措施：施工噪音执行《建筑施工噪音标准限值》（GB12523-90）规定的有关标准，未经环保部门批准中午和夜间不得施工作业；对高噪音的施工机械或加工环节尽量安排在远离民居的地方；</w:t>
      </w:r>
    </w:p>
    <w:p w14:paraId="0161DB5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instrText xml:space="preserve"> = 4 \* GB3 </w:instrTex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④</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针对固体废物可能产生的多种环境影响，须采取必要的措施分类收集，运至指定地点和按规定进行处理；</w:t>
      </w:r>
    </w:p>
    <w:p w14:paraId="718AC42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instrText xml:space="preserve"> = 5 \* GB3 </w:instrTex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⑤</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制定建筑废弃物管理计划，达到绿色安全文明施工的要求；</w:t>
      </w:r>
    </w:p>
    <w:p w14:paraId="59FE887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instrText xml:space="preserve"> = 6 \* GB3 </w:instrTex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Cs w:val="24"/>
          <w:highlight w:val="none"/>
          <w:lang w:val="zh-CN"/>
          <w14:textFill>
            <w14:solidFill>
              <w14:schemeClr w14:val="tx1"/>
            </w14:solidFill>
          </w14:textFill>
        </w:rPr>
        <w:t>⑥</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红线范围内必须落实雨污分流，生活污水须经过化粪池处理后接入市政管网排放。</w:t>
      </w:r>
    </w:p>
    <w:p w14:paraId="2306595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由于承包人原因导致的投诉、索赔、指控，由承包人承担全部责任，同时造成工期延误的，发包人将按照合同条款相关约定进行索赔。</w:t>
      </w:r>
    </w:p>
    <w:p w14:paraId="13761A0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以上须采取的所有措施费用及相关的费用已含在合同价中。</w:t>
      </w:r>
    </w:p>
    <w:p w14:paraId="7BA3A14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第三、承包人须按建设主管部门的相关规定，在工地安装视频监控系统，覆盖全场，保证正常使用。采取相应保卫措施防止出现财、物被盗行为，相关费用已包括在安全文明施工措施费中，发包人不再另行支付此类费用。</w:t>
      </w:r>
    </w:p>
    <w:p w14:paraId="789AB0BF">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.7.2已完工程及设备保护费</w:t>
      </w:r>
    </w:p>
    <w:p w14:paraId="3F98CB8B">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①承包人应充分考虑本工程的</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已完工程及设备保护，其费用已包含在合同价内，结算不再调整；</w:t>
      </w:r>
    </w:p>
    <w:p w14:paraId="781BF7E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②承包人应充分考虑施工影响范围内的地上、地下设施，建筑物的临时保护等措施，</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以及</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对周围建筑物、周围道路管线的沉降和位移按照施工规范进行质量、安全性检查，对于现场及周边临近的可能发生的危险情况及时向监理工程师或主管部门报告，在施工现场根据相关要求准备应急物资并及时采取有效措施，保护费用已包含在合同价中，结算时不再调整。</w:t>
      </w:r>
    </w:p>
    <w:p w14:paraId="7D2D94E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.7.3施工降排水</w:t>
      </w:r>
    </w:p>
    <w:p w14:paraId="6546BEE5">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应按照地质报告、设计图纸要求、降水水位要求、现场实际和工程经验等对降排水进行深化设计、维护和加固，其深化应经过设计单位的审批、监理工程师和发包人的同意，施工降排水应包括设计、施工、加固、维护直至竣工的全部施工和抽排水工作，同时</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保证护栏的安全性。</w:t>
      </w:r>
    </w:p>
    <w:p w14:paraId="77FB8265">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 xml:space="preserve">本工程施工期间地表及地下水采用有组织的排放，尤其是主体结构工程施工期间，应确保满足低于设计抗浮水位要求并满足防水工程需要，采取的施工排水、降水应确保周边建（构）筑物的安全等有效措施。 </w:t>
      </w:r>
    </w:p>
    <w:p w14:paraId="39A8D46D">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承包人应综合考虑施工期间除不可抗力原因外的气候条件造成的现场工程量的增加及其它风险（如发包人提供的地质报告等相关资料可能存在与实际不符）。</w:t>
      </w:r>
    </w:p>
    <w:p w14:paraId="7F1E713F">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雨季施工随时与气象部门保持联系，在大雨、台风到来之前按有关主管部门规定的防洪防汛应急措施等。</w:t>
      </w:r>
    </w:p>
    <w:p w14:paraId="679C99AF">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以上有关费用已含在合同价中，结算不作调整。</w:t>
      </w:r>
    </w:p>
    <w:p w14:paraId="7928913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.7.4水土保持</w:t>
      </w:r>
    </w:p>
    <w:p w14:paraId="64FD2D2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必须按照水土保持方案以及监理和检测单位的要求，采取设置排水沟、排洪沟、沉砂池、砂袋、植草等水土保持和防洪排涝措施，优化挖方填方，对土石方合理利用；对已完工土石方工程裸露表面，及时采取防护措施、严格控制水土流失，实现水土流失防治目标；及时做好排水导流工作，使地表径流和工程用水经沉砂池沉降后方可排放，沉砂池要定期清理，减轻水流对裸露地表的冲刷，防止泥砂流出对周边区域造成危害；临时堆土要全面覆盖，减少粉尘及雨水冲刷，堆土清理后或其他裸露地要采取恢复植被或其他防止水土流失措施。</w:t>
      </w:r>
    </w:p>
    <w:p w14:paraId="3AC4892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.7.5施工用水、用电等</w:t>
      </w:r>
    </w:p>
    <w:p w14:paraId="77846A2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（1）承包人根据现场条件和工程情况，接通生活和生产区场内外的给水、排水、施工用电、通讯等工作，</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同时承包人应自备充足的发电机，确保施工过程中的水、电安全稳定供应，结算费用不作调整。</w:t>
      </w:r>
    </w:p>
    <w:p w14:paraId="6782BDD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（2）所有施工范围内涉及的清理、外运全部拆除物与垃圾，以及场地平整。</w:t>
      </w:r>
    </w:p>
    <w:p w14:paraId="20248CD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（3）为建设单位、监理单位提供施工现场临时办公用房和办公必须品，并开通通讯线路。</w:t>
      </w:r>
    </w:p>
    <w:p w14:paraId="19CD12B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（4）合同工期和顺延工期内临时用地（含占道）、房屋租赁的手续费和租金。</w:t>
      </w:r>
    </w:p>
    <w:p w14:paraId="3A01FA0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承包人在投标报价时应充分考虑施工场地现状与地形图不符的风险，谨慎报价，该部分报价为包干费用，承包人不得以任何理由提出增加费用。</w:t>
      </w:r>
    </w:p>
    <w:p w14:paraId="3A47F9A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.7.6与其他工程的衔接、管理与配合费</w:t>
      </w:r>
    </w:p>
    <w:p w14:paraId="2A3D1D7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由承包人负责工程衔接各专业工程进度安排、施工现场管理协调等工作。对安全、文明、施工、运输、仓储、住宿统筹管理；确定合理的工序和进度计划、安排作业面与通道、提供场地；工程完工后的整体调试、验收和竣工资料整理；按专业设计图纸要求配合做好埋件、预留洞、预埋管等工作；提供脚手架供专业承包人使用；提供照明、临时水电等设施。其费用在对其他工程的衔接、管理和配合费用中报价，结算不做调整。</w:t>
      </w:r>
    </w:p>
    <w:p w14:paraId="6217F1D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.7.7因承包人原因而引起的罚款、索赔和指控等责任由承包人自行承担。</w:t>
      </w:r>
    </w:p>
    <w:p w14:paraId="66C26146">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.7.8工程完工后需要恢复的建筑物、构筑物，承包人必须及时恢复，并使监理工程师和发包人满意，满足政府管理部门的规定和要求。</w:t>
      </w:r>
    </w:p>
    <w:p w14:paraId="541B945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7.9承包人必须按有关法规、标准、规定或发包人的合理要求实施有关措施项目，若以上设施或措施达不到要求，工程师发出指令后，承包人应按照要求予以整改，其费用由承包人承担。承包人拒绝整改的，发包人有权要求承包人支付违约金50万元，并将其列入履约考评不良记录，同时发包人有权委托第三方实施，所有费用由承包人承担。由于承包人原因导致的投诉、索赔、指控，由承包人承担全部责任，同时造成工期延误的，发包人将按照合同条款相关约定进行索赔。</w:t>
      </w:r>
    </w:p>
    <w:p w14:paraId="06D651C0">
      <w:pPr>
        <w:spacing w:line="360" w:lineRule="auto"/>
        <w:ind w:firstLine="482" w:firstLineChars="20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7.10承包人必须按照《建设工程安全生产管理条例》和《危险性较大的分部分项工程安全管理办法》进行施工，应按有关规定提供相应的防护措施且在施工前编制危险性较大分部分项工程的专项施工方案，有关费用已含在合同价中。因承包人原因，导致的安全事故，由承包人承担相应责任及发生的费用。</w:t>
      </w:r>
    </w:p>
    <w:p w14:paraId="73A270B4">
      <w:pPr>
        <w:spacing w:line="360" w:lineRule="auto"/>
        <w:ind w:firstLine="480"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7.11承包人必须严格按照相关规定和安全规范等，以及设计图纸，结合实际情况对施工作业面进行处理，以保证各施工机械有效支撑，确保其施工安全和正常使用。任何对支护的修改必须经设计单位、发包人和监理工程师同意，方可实施，同时承包人必须对周边建筑物、周边道路管线的沉降和位移进行巡查和跟踪，如因承包人的措施无法满足施工安全、正常施工的要求，有关的责任、损失、补救费用全部由承包人自行承担。</w:t>
      </w:r>
    </w:p>
    <w:p w14:paraId="2F679E4E">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.7.12根据广东省、韶关市、</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南雄市</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建设主管部门的相关文件规定，承包人须在工程施工现场安装使用视频监控系统、工人实名制系统并接入至</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南雄市</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住建主管部门建筑工地视频监控专网及发包人视频监控系统。</w:t>
      </w:r>
    </w:p>
    <w:p w14:paraId="6F1FC301">
      <w:pPr>
        <w:spacing w:line="360" w:lineRule="auto"/>
        <w:ind w:firstLine="480" w:firstLineChars="200"/>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以上措施项目有关费用已含在合同价中，结算不作调整。</w:t>
      </w:r>
    </w:p>
    <w:p w14:paraId="1939669D">
      <w:pPr>
        <w:adjustRightInd w:val="0"/>
        <w:snapToGrid w:val="0"/>
        <w:spacing w:line="360" w:lineRule="auto"/>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.8 解除合同后续工程的补充约定</w:t>
      </w:r>
    </w:p>
    <w:p w14:paraId="4927225C">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8.1发包人向承包人发出解除或部分解除合同通知到达后，本合同即解除或部分解除，承包人必须在3日内停止施工，5日内将现场施工材料设备、工程用机具设备和人员等撤出施工场地，完成现场和有关资料的移交，并于完成交接工作当日内离场。承包人应保护好已完工程、已购设备材料，保证所移交的资料齐全完整。承包人无特殊原因未在规定期限内移交、离场或移交完整资料，发包人有权处理其留在现场的材料、设备和其他物件，处理费用由承包人承担。</w:t>
      </w:r>
    </w:p>
    <w:p w14:paraId="001FD7EE">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对于部分解除合同的情形，承包人拒不履行配合，发包人有权全部解除合同，如果引致发包人工期延误和其他方面的损失，发包人将要求承包人赔偿有关损失。发包人在发出解除合同的通知后，发包人即可清理现场、委托重新招标或委托新的承包人承接该工程。同时，承包人不得影响或阻碍新的承包人办理进场手续和相关工作。</w:t>
      </w:r>
    </w:p>
    <w:p w14:paraId="44A6A0B9">
      <w:pPr>
        <w:spacing w:line="360" w:lineRule="auto"/>
        <w:ind w:left="-2" w:leftChars="-1" w:firstLine="424" w:firstLineChars="177"/>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8.2由于承包人原因导致的合同解除或部分合同解除，承包人已经订货的材料、设备，以及已进场尚未安装的材料设备均由承包人负责退货或解除订货合同，不能退还的货款、定金、订金，因退货和解除订货合同发生的费用以及因无法退货造成的损失均由承包人承担，发包人不予补偿。</w:t>
      </w:r>
    </w:p>
    <w:p w14:paraId="53AC4137">
      <w:pPr>
        <w:spacing w:line="360" w:lineRule="auto"/>
        <w:ind w:left="-2" w:leftChars="-1" w:firstLine="424" w:firstLineChars="177"/>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承包人没有正当合理的理由中途退场，除扣除合同价款20％作为履约违约金外，承包人还须承当因其无故中途退场所造成的全部损失责任。</w:t>
      </w:r>
    </w:p>
    <w:p w14:paraId="376BF3D8">
      <w:pPr>
        <w:spacing w:line="360" w:lineRule="auto"/>
        <w:ind w:left="-2" w:leftChars="-1" w:firstLine="424" w:firstLineChars="177"/>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8.3非承包人原因导致的合同解除或部分合同解除，承包人已经签订订货合同，但尚未进场的材料、设备；或虽已进场但发包人或监理工程师验货不合格的，解除订货合同或退货发生的费用以及因无法退货造成的损失均由承包人承担，发包人不予补偿。</w:t>
      </w:r>
    </w:p>
    <w:p w14:paraId="5A974252">
      <w:pPr>
        <w:spacing w:line="360" w:lineRule="auto"/>
        <w:ind w:left="-2" w:leftChars="-1" w:firstLine="424" w:firstLineChars="177"/>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经发包人或监理工程验货、签收，且已进场的材料设备但尚未安装的材料设备，费用由发包人承担。数量按发包人、监理工程师审核确认的数量；原投标设备材料表中已列明单价，单价按投标报价计算，原投标设备材料表中未列明单价的，按预算审定价中的材料设备价*（1－下浮率）计算。</w:t>
      </w:r>
    </w:p>
    <w:p w14:paraId="4CC66889">
      <w:pPr>
        <w:spacing w:line="360" w:lineRule="auto"/>
        <w:ind w:left="-2" w:leftChars="-1" w:firstLine="424" w:firstLineChars="177"/>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.8.4承包人的已完工程结算时间由发包人确定。按本合同结算条款约定办理结算，同时必须按合同约定扣除违约金、赔偿金。</w:t>
      </w:r>
    </w:p>
    <w:p w14:paraId="54132F86">
      <w:pPr>
        <w:spacing w:line="360" w:lineRule="auto"/>
        <w:ind w:left="-2" w:leftChars="-1" w:firstLine="424" w:firstLineChars="17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.8.5因承包人原因导致解除合同，发包人所遭受的一切损失，由承包人承担全部赔偿责任。</w:t>
      </w:r>
    </w:p>
    <w:p w14:paraId="6867EE40">
      <w:pPr>
        <w:adjustRightInd w:val="0"/>
        <w:snapToGrid w:val="0"/>
        <w:spacing w:line="360" w:lineRule="auto"/>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.9承包人违约责任追究补充细则</w:t>
      </w:r>
    </w:p>
    <w:p w14:paraId="22E0DC86">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.9.1工程质量达不到合同约定的质量标准承包人违约责任：如未达到合格标准，除则按合同价款的</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1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%向发包人返纳质量违约金外，发包人有权利选择以下方式返工或修复，承包人不得异议：</w:t>
      </w:r>
    </w:p>
    <w:p w14:paraId="10001D3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（1）发包人要求承包人在监理工程师和发包人要求的合理时间内，完成质量不合格工程的返工或修复工作，直至合同约定的质量标准，由此造成的工期延误和所有费用，全部由承包人承担；</w:t>
      </w:r>
    </w:p>
    <w:p w14:paraId="754ABB2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（2）发包人直接委托其它承包人完成质量不合格部分工程的返工或修复工作，由此造成的工期延误和所有费用，全部由承包人承担。</w:t>
      </w:r>
    </w:p>
    <w:p w14:paraId="52325D7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（3）无论采取以上何种方式返工或修复，发包人均有权提请建设行政主管部门对其作不良行为记录，有权给予承包人履约评价为不合格，同时发包人有权拒绝承包人3年内参加发包人其它工程的投标。</w:t>
      </w:r>
    </w:p>
    <w:p w14:paraId="4634E8E1">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.9.2承包人违反本合同的约定，应当按约定向发包人承担相应的违约责任。本合同违约责任形式按以下情况分类：</w:t>
      </w:r>
    </w:p>
    <w:p w14:paraId="67E2AEE4">
      <w:pPr>
        <w:adjustRightInd w:val="0"/>
        <w:snapToGrid w:val="0"/>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（1） 限期改正。承包人未履行或未按时履行或未按质履行义务时，发包人有权提出书面警告，承包人必须在发包人限定的时间内履行义务。每一次书面警告扣除违约金人民币壹仟元（￥1000）。</w:t>
      </w:r>
    </w:p>
    <w:p w14:paraId="26BD3F6B">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（2）一般违约责任。承包人按本合同约定应当承担一般违约责任时，在发包人提出书面警告或通知后扣除违约金人民币伍仟元（￥5000）/次。合同另有约定的除外。</w:t>
      </w:r>
    </w:p>
    <w:p w14:paraId="0F42D537">
      <w:pPr>
        <w:adjustRightInd w:val="0"/>
        <w:snapToGrid w:val="0"/>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（3）严重违约责任。承包人按本合同约定应当承担严重违约责任时，在发包人提出书面警告或通知后扣除违约金伍万元（￥50000）/次。合同另有约定的除外。</w:t>
      </w:r>
    </w:p>
    <w:p w14:paraId="2DBFF275">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（4）部分解除合同。三次受到发包人书面警告，发包人有权直接解除合同或部分解除合同，按承包人违约解除合同的条款执行。</w:t>
      </w:r>
    </w:p>
    <w:p w14:paraId="07636EB1">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9.3三次限期改正责任相当于一次一般违约责任，三次一般违约责任相当于一次严重违约责任；累计三次严重违约责任，发包人有权单方部分解除合同；累计五次严重违约责任，发包人有权全部解除合同。合同另有约定的除外。</w:t>
      </w:r>
    </w:p>
    <w:p w14:paraId="62628184">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.9.4承包人未按合同要求建立组织架构、派驻项目管理人员和投入设备，承包人必须按发包人要求限期整改，并承担相应违约责任。具体约定为：</w:t>
      </w:r>
    </w:p>
    <w:p w14:paraId="70F636B7">
      <w:pPr>
        <w:adjustRightInd w:val="0"/>
        <w:snapToGrid w:val="0"/>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1）在中标通知书发出后3日内，承包人承诺的项目技术负责人（总工）不到位，或到位后又离开，造成该岗位空缺。发包人一旦发现，将要求承包人做出书面解释并保证限期到位，同时将承担一般违约责任1次；若承包人拒不配合，未在发包人提出限期改正的期限内进行整改的，应承担严重违约责任1次，发包人有权单方提出解除合同，并要求承包人承担由此造成的一切损失。</w:t>
      </w:r>
    </w:p>
    <w:p w14:paraId="6CA84E81">
      <w:pPr>
        <w:adjustRightInd w:val="0"/>
        <w:snapToGrid w:val="0"/>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2）在规定的时间内施工人员和设备进场后3日内，承包人在投标文件中承诺的其他主要管理人员未能足额到位，或到位后又离开，造成该岗位空缺，以及未按承诺依时、足额投入有关设备，发包人一旦发现将要求承包人做出书面解释并保证人员、设备限期到位。上述情况每发生1次，承包人应承担限期改正责任1次。如果承包人拒不配合，未在发包人提出限期改正的期限内进行整改的，承包人应承担一般违约责任1次，连续二次书面通知整改拒不配合的，承包人应承担严重违约责任1次。</w:t>
      </w:r>
    </w:p>
    <w:p w14:paraId="07DF6BF6">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9.5承包人如需要调换除项目经理外的其他主要管理人员，必须事先征得发包人书面同意。如承包人未经发包人书面同意，擅自调换项目主要管理人员，除必须限期改正外，承包人必须承担严重违约责任，发包人有权暂停支付工程款，并保留索赔的权利。</w:t>
      </w:r>
    </w:p>
    <w:p w14:paraId="70A95FCA">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9.6除项目经理外的其他主要管理人员需离开施工现场3日以上（含3日）需报发包人批准。在其请假离开的时间段内应书面委托其他驻场管理人员全权代表其行使相应职权。否则，每违约一次，承包人应当承担限期整改责任1次。在国家法定节假日期间，承包人应做好管理人员的轮休，并保证现场管理人员不少于3名。在工程实施期间，承包人应对现场主要管理人员进行考勤，并在每月1日前将前一月考勤表报送甲方审核。现场主要管理人员出勤天数均不得少于22天，若少于22天将按每缺勤一天扣减工程费用叁仟元（￥3000）/每人次处理。</w:t>
      </w:r>
    </w:p>
    <w:p w14:paraId="0ABAA570">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.9.7承包人项目经理和主要管理人员的考勤实行实名制打卡，承包人项目经理和主要管理人员的考勤若发现有弄虚作假行为，发现一次，承包人应承担一般违约责任1次。</w:t>
      </w:r>
    </w:p>
    <w:p w14:paraId="6266F5EC">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.9.8对于难以胜任工作的承包人管理人员和主要操作技术人员，发包人有权要求承包人进行更换，直至发包人满意为止，且更换人员应在接到书面通知后的3天内到位。</w:t>
      </w:r>
    </w:p>
    <w:p w14:paraId="2E752265">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9.9承包人未按招标文件及合同要求按期提交发包人工程指挥部所需要的各项设施，应承担限期整改责任1次，若限期整改仍不提交，应承担一般违约责任1次，发包人有权自行安排临时设施的建设，所有费用由承包人工程费用中扣减。</w:t>
      </w:r>
    </w:p>
    <w:p w14:paraId="73C4DA55">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.9.10承包人未按合同及投标书所作的承诺投入机械、设备、材料等，被监理工程师或发包人发现后，承包人除必须限期改正外，应承担限期改正责任1次。</w:t>
      </w:r>
    </w:p>
    <w:p w14:paraId="4CEFE0EB">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9.11工程承包人每次的进场材料，若出现不合格材料使用于工程上并造成质量缺陷，承包人必须承担一般违约责任1次。若出现质量事故或经济损失一次人民币壹拾万元（￥100,000）以上的，必须承担严重违约责任1次。造成重大质量安全事故（按国家安监部门规定界定），发包人视情况部分或全部解除合同。同时，发包人有权追究当事人和承包人的法律责任。</w:t>
      </w:r>
    </w:p>
    <w:p w14:paraId="377325AE">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9.12承包人的工程质量，经监理工程师、发包人或工程质量监督机构抽查，发现质量有不合格、或未按设计要求和有关规范进行施工的，每发现一处承包人应承担一般违约责任1次；出现大面积质量不合格（占比达30％及以上），每发现一处承包人应承担严重违约责任1次，发包人将情况通报纪检监察和建设行政主管部门，必要时申请调查责任相关人员，且承包人应赔偿发包人的经济损失。</w:t>
      </w:r>
    </w:p>
    <w:p w14:paraId="31ED0165">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9.13承包人没有按投标承诺和有关规定做好文明施工措施及安全生产，当发生包括但不限于以下情况：工人不统一着装、施工临时材料如脚手架、泥网等过于陈旧、现场垃圾未安排专人清理、现场排水不畅污水横流、交通组织不力现场交通严重拥挤、材料设备堆放混乱、安全防护不符合要求、既有管线被破坏、野蛮施工造成周边环境破坏及警示安全标志不齐等，被监理工程师、发包人发现后，承包人除必须限期改正外， 每发生一次（或一处），承包人必须承担限期改正责任1次。由此而被上级主管部门通报批评、被新闻媒体曝光的，承包人应承担一般违约责任1次；若由此发生安全生产事故，承包人应承担严重违约责任1次；造成严重安全事故等情节严重的，发包人有权部分或全部解除合同。</w:t>
      </w:r>
    </w:p>
    <w:p w14:paraId="68C2E3B0">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.9.14因承包人原因造成工程投资增加的，承包人应赔偿发包人由此遭受的实际损失，情况严重时发包人有权单方解除本施工合同。</w:t>
      </w:r>
    </w:p>
    <w:p w14:paraId="1590743A">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若因承包人未按设计规定和施工技术规程要求认真做好施工现场的临时降水、排水（尤其是雨季施工期间）工作导致需要进行地基处理、边坡加固等情况时，每发生一处承包人应负严重违约责任1次，由此造成的工程投资增加由承包人承担。</w:t>
      </w:r>
    </w:p>
    <w:p w14:paraId="475B1687">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（2）若承包人未严格按施工进度计划要求组织施工造成工期拖延，导致一些工程项目被迫进入雨季施工而引起投资增加的，承包人应承担严重违约责任1次，由此造成的投资增加由承包人负责。</w:t>
      </w:r>
    </w:p>
    <w:p w14:paraId="398EC30F">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（3）承包人未经监理工程师、发包人同意擅自改变施工技术方案和工艺，造成投资增加的，应承担严重违约责任1次，由此造成的投资增加由承包人负责。</w:t>
      </w:r>
    </w:p>
    <w:p w14:paraId="283EA991">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承包人未拟定临时设施方案并经监理工程师、发包人审批同意擅自实施临时设施建设，若此临时设施建设经核实无法达到合同规定的要求，承包人应承担限期整改责任1次，若承包人拒绝限期整改应当承担一般违约责任1次，同时发包人有权按实际发生重新核定安全文明施工措施费。</w:t>
      </w:r>
    </w:p>
    <w:p w14:paraId="274AA020">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（5）承包人提供虚假情况或制造现场假象造成设计变更及投资增加时，经监理公司、发包人发现，承包人应承担严重违约责任1次，造成的投资增加由承包人承担。 </w:t>
      </w:r>
    </w:p>
    <w:p w14:paraId="07B5B62D">
      <w:pPr>
        <w:adjustRightInd w:val="0"/>
        <w:snapToGrid w:val="0"/>
        <w:spacing w:line="360" w:lineRule="auto"/>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.10、</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发包人将根据承包人的投标文件，严格考核施工项目管理人员的日常到位情况，并定期按照发包人的合同履约评价管理办法、质量安全评估管理办法对承包人的合同履行情况进行评价和评估，评价和评估内容包含人员到位情况、服务配合程度、工程质量、安全、项目后期服务及信用评价结果、评估结果的运用等。履约评价为不合格的，发包人有权拒绝承包人3年内参加发包人任何其它工程的投标，有权报请建设行政主管部门对其作不良行为记录。</w:t>
      </w:r>
    </w:p>
    <w:p w14:paraId="1E122EF9">
      <w:pPr>
        <w:spacing w:line="360" w:lineRule="auto"/>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.11 承包人提供竣工资料的约定：</w:t>
      </w:r>
    </w:p>
    <w:p w14:paraId="700D6D56">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本工程具备竣工验收条件后14天内，承包人按国家建设部、广东省及</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南雄市</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的有关规定和发包人的要求编制工程竣工资料（包括施工原始记录、照片等资料），向工程师提供完整竣工验收资料8套、竣工验收报告和相应的声像、电子文件，并由承包人及时向主管部门和监督部门备案。工程师收到竣工验收资料后，应在10天内审核，若不符合要求，工程师可提出整改意见。承包人按要求整改合格后报工程师，工程师在整改验收合格后10天内应组织有关单位进行初步验收，并在10天内对工程质量予以认可或提出再次整改意见。承包人按要求再次整改，并承担由其自身原因造成的整改费用。编制竣工图、竣工资料的费用已含在合同价中。</w:t>
      </w:r>
    </w:p>
    <w:p w14:paraId="132049E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竣工验收资料包括全部工程（包括项目单位发包项目及其他分包工程）的竣工图纸和竣工资料，以及经确认的深化设计图纸和技术资料。各类分包工程的竣工资料均由承包人负责编制、指导、审阅、汇总、整理、归档，费用由本合同承包人自行承担。    </w:t>
      </w:r>
    </w:p>
    <w:p w14:paraId="42D36ACF">
      <w:pPr>
        <w:spacing w:line="360" w:lineRule="auto"/>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.12工程移交及档案管理</w:t>
      </w:r>
    </w:p>
    <w:p w14:paraId="0F3C57F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.12.1工程完工后，承包人必须及时按城建相关档案管理规定整理及移交竣工档案，承包人办理工程结算需提交相关工程档案移交签字单，否则结算不予办理。</w:t>
      </w:r>
    </w:p>
    <w:p w14:paraId="0797B9F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.12.2工程竣工验收合格后承包人必须将成品移交给发包人指定的接管单位。在移交工作完成前，现场所有安全及成品保护责任和费用由承包人承担。</w:t>
      </w:r>
    </w:p>
    <w:p w14:paraId="1A87B62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.12.3在向发包人指定的接管单位移交钥匙的同时提供下列清单：</w:t>
      </w:r>
    </w:p>
    <w:p w14:paraId="022B39D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①办理钥匙移交清单（如有）；</w:t>
      </w:r>
    </w:p>
    <w:p w14:paraId="06DD834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②双方抄好水表电表底数；</w:t>
      </w:r>
    </w:p>
    <w:p w14:paraId="423FDB8E">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③列出详细的设备、物件移交清单，标明名称、数量、外观、状态等基本资料</w:t>
      </w:r>
    </w:p>
    <w:p w14:paraId="611CAF56">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.12.4按国家、省市和建设主管部门的相关规定应当移交的其他资料。</w:t>
      </w:r>
    </w:p>
    <w:p w14:paraId="3B36859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13在质量缺陷保修期内，承包人必须在接到保修通知之日起7天内无条件派人先行保修，发生涉及结构安全、严重影响使用功能的质量缺陷或给排水、供电、燃气、通信及路灯等特殊工程的紧急抢修事故的，承包人接到保修通知后，必须立即到达现场实施保修。质量保修完成后，由发包人组织承包人和监理人，配合项目使用（管养）单位验收。涉及结构安全的，发包人将报当地相关行政主管部门备案，同时承包人应将其产生的原因、补救措施、完成保修情况以书面形式提交发包人。</w:t>
      </w:r>
    </w:p>
    <w:p w14:paraId="76C9730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.14在工程质量缺陷保修期内，承包人的违约责任。</w:t>
      </w:r>
    </w:p>
    <w:p w14:paraId="2827B91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14.1在保修期内发生质量缺陷或紧急抢修事故的时，如发包人无法联系到承包人，或联系到承包人但承包人不能及时履行保修义务时，无论缺陷责任是否属于承包人，承包人必须承担由此产生的一切保修费用、相关损失及违约责任。</w:t>
      </w:r>
    </w:p>
    <w:p w14:paraId="25871CB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14.2若承包人未及时到达现场实施保修，发包人有权直接委托其他单位或管养单位代承包人组织实施保修，承包人必须承担由此发生的一切保修费用及相关损失。发包人将在缺陷质量保修金中扣除保修费，并处承包人保修费用30%的违约金，如缺陷质量保修金余额不足，发包人将向承包人索赔。发包人还将承包人不履行保修义务的不良行为报送相关行政主管部门。</w:t>
      </w:r>
    </w:p>
    <w:p w14:paraId="314219E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14.3若承包人及时到达现场，但认为自行无法按时完成保修义务，可与发包人协商，直接委托管养单位或发包人确认的其他单位实施保修。若承包人未及时与发包人完成协商事宜，又未能在规定时限内完成保修的，发包人有权通知管养单位或其他单位进行保修，承包人必须承担由此发生的一切保修费用及相关损失。发包人将在缺陷质量保修金中扣除保修费，并处承包人保修费用30%的违约金，如缺陷质量保修金余额不足，发包人将向承包人索赔。发包人还将承包人不履行保修义务的不良行为报送相关行政主管部门。</w:t>
      </w:r>
    </w:p>
    <w:p w14:paraId="3D2308D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14.4若承包人及时到达现场，并与发包人完成协商，同意直接委托管养单位或发包人确认的其他单位实施保修。承包人在收到支付工程保修费用的通知7天内，应将保修费用支付给代其实施保修的单位。如在规定时间内未支付有关费用的，发包人可直接从工程质量缺陷保修金中扣除该保修费用，并支付给保修单位，并处承包人保修费用30%的违约金，如缺陷质量保修金余额不足，发包人将向承包人索赔。发包人还将承包人不履行保修义务的不良行为报送相关行政主管部门。</w:t>
      </w:r>
    </w:p>
    <w:p w14:paraId="59C363C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.14.5若承包人按照发包人的要求及时履行了保修义务，并能提供证据说明质量缺陷非承包人的责任，保修费用及相关损失由缺陷责任方承担。</w:t>
      </w:r>
    </w:p>
    <w:p w14:paraId="62CF27DC">
      <w:pPr>
        <w:pStyle w:val="56"/>
        <w:adjustRightInd w:val="0"/>
        <w:snapToGrid w:val="0"/>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highlight w:val="none"/>
          <w14:textFill>
            <w14:solidFill>
              <w14:schemeClr w14:val="tx1"/>
            </w14:solidFill>
          </w14:textFill>
        </w:rPr>
        <w:t>.14.6对于涉及结构安全的工程质量问题，无论何时，在所有人、使用人或者第三方向当地建设行政主管部门报告并通知承包人后，承包人应立即采取安全防范措施，同时发包人将委托原设计单位或者具有相应资质等级的设计单位提出保修方案后，承包人应立即实施保修。承包人立即实施了有效的防范措施和保修的，保修费用、人身和财产损害赔偿，由经过法定程序确认的缺陷责任方承担。承包人拖延安全防范措施或者拖延保修，所造成的一切人身、财产损害责任和赔偿均由承包人承担，同时发包人将提请相关行政主管部门按相关法律、法规对承包人予以处罚。</w:t>
      </w:r>
    </w:p>
    <w:p w14:paraId="619BC1E9">
      <w:pPr>
        <w:spacing w:line="360" w:lineRule="auto"/>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.15发包人有权根据有关管理制度对承包人的履约情况纳入履约信用评价和</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第三方质量安全评估</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体系进行履约信用评价和</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质量安全</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评估，并将评价结果和评估结果报送给有关监管部门。</w:t>
      </w:r>
    </w:p>
    <w:p w14:paraId="13337630">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履约信用评价</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和</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第三方质量安全评估按发包人履约信用评价</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质量安全</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评估</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管理规定执行，评价内容包含人员到位情况、服务配合程度、工程质量、安全、项目后期服务及信用评价结果、评估结果的运用等。</w:t>
      </w:r>
    </w:p>
    <w:p w14:paraId="6EA2CC4B">
      <w:pPr>
        <w:tabs>
          <w:tab w:val="left" w:pos="1260"/>
        </w:tabs>
        <w:snapToGrid w:val="0"/>
        <w:spacing w:line="360" w:lineRule="auto"/>
        <w:ind w:firstLine="442" w:firstLineChars="200"/>
        <w:rPr>
          <w:rFonts w:hint="eastAsia" w:asciiTheme="minorEastAsia" w:hAnsiTheme="minorEastAsia" w:eastAsiaTheme="minorEastAsia" w:cstheme="minorEastAsia"/>
          <w:b/>
          <w:bCs/>
          <w:color w:val="000000" w:themeColor="text1"/>
          <w:spacing w:val="-10"/>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10"/>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pacing w:val="-10"/>
          <w:szCs w:val="24"/>
          <w:highlight w:val="none"/>
          <w14:textFill>
            <w14:solidFill>
              <w14:schemeClr w14:val="tx1"/>
            </w14:solidFill>
          </w14:textFill>
        </w:rPr>
        <w:t>.设计部分：</w:t>
      </w:r>
    </w:p>
    <w:p w14:paraId="7F0A5DBC">
      <w:pPr>
        <w:tabs>
          <w:tab w:val="left" w:pos="1260"/>
        </w:tabs>
        <w:snapToGrid w:val="0"/>
        <w:spacing w:line="360" w:lineRule="auto"/>
        <w:ind w:firstLine="440" w:firstLineChars="200"/>
        <w:rPr>
          <w:rFonts w:hint="eastAsia" w:asciiTheme="minorEastAsia" w:hAnsiTheme="minorEastAsia" w:eastAsiaTheme="minorEastAsia" w:cstheme="minorEastAsia"/>
          <w:color w:val="000000" w:themeColor="text1"/>
          <w:spacing w:val="-1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10"/>
          <w:szCs w:val="24"/>
          <w:highlight w:val="none"/>
          <w14:textFill>
            <w14:solidFill>
              <w14:schemeClr w14:val="tx1"/>
            </w14:solidFill>
          </w14:textFill>
        </w:rPr>
        <w:t>.1 本合同设计总价包括所有设计事务工作收费、技术工作收费、税金和完成合同约定的所有与工程设计有关的全部费用。</w:t>
      </w:r>
    </w:p>
    <w:p w14:paraId="79ADA182">
      <w:pPr>
        <w:tabs>
          <w:tab w:val="left" w:pos="1260"/>
        </w:tabs>
        <w:snapToGrid w:val="0"/>
        <w:spacing w:line="360" w:lineRule="auto"/>
        <w:ind w:firstLine="44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10"/>
          <w:szCs w:val="24"/>
          <w:highlight w:val="none"/>
          <w14:textFill>
            <w14:solidFill>
              <w14:schemeClr w14:val="tx1"/>
            </w14:solidFill>
          </w14:textFill>
        </w:rPr>
        <w:t>.2 承包人必须严格按有关设计规范设</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计图纸，承包人必须秉承合理、经济、环保、适用等原则进行施工图设计，发包人有权委托第三方对承包人每阶段的设计成果（含节能、结构计算模型等）进行精细化审图、各专业优化工作，承包人需无条件根据经发包人确认的精细化审图、结构优化报告进行设计文件修改，费用不另计。</w:t>
      </w:r>
    </w:p>
    <w:p w14:paraId="28097565">
      <w:pPr>
        <w:tabs>
          <w:tab w:val="left" w:pos="1260"/>
        </w:tabs>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kern w:val="0"/>
          <w:szCs w:val="24"/>
          <w:highlight w:val="none"/>
          <w14:textFill>
            <w14:solidFill>
              <w14:schemeClr w14:val="tx1"/>
            </w14:solidFill>
          </w14:textFill>
        </w:rPr>
        <w:t xml:space="preserve">.3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承包人未经发包人同意擅自对工程设计进行分包的，发包人有权收回未经发包人同意的设计分包内容，已支付该部分分包内容设计费用的在下次支付设计费时扣除，未支付的将不予支付该部分分包内容设计费 。如需其他专业分包，需提前向发包人报备，并提供相应专业资质文件，发包人同意后方可进行分包。</w:t>
      </w:r>
    </w:p>
    <w:p w14:paraId="5239C024">
      <w:pPr>
        <w:tabs>
          <w:tab w:val="left" w:pos="1260"/>
        </w:tabs>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bookmarkStart w:id="348" w:name="_Toc390613831"/>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.4.知识产权和专利权</w:t>
      </w:r>
      <w:bookmarkEnd w:id="348"/>
    </w:p>
    <w:p w14:paraId="082AB312">
      <w:pPr>
        <w:tabs>
          <w:tab w:val="left" w:pos="1260"/>
        </w:tabs>
        <w:snapToGrid w:val="0"/>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4.1承包人保证投标文件及资料均未侵犯他人的知识产权，否则必须承担全部责任。若承包人使用了他人的专利、专有技术，涉及的费用由承包人负责。合同价包括所有应支付的对专利权和版权、设计和其他知识产权而需要向其他方支付的版税。</w:t>
      </w:r>
    </w:p>
    <w:p w14:paraId="7AF9765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4.2承包人应保护发包人的知识产权，不得向第三人泄露、转让发包人提交的产品图纸等技术经济资料。未经发包人同意，承包人不得将设计成果转让给第三方。如发生以上情况并给发包人造成经济损失，发包人有权向承包人索赔。</w:t>
      </w:r>
    </w:p>
    <w:p w14:paraId="27A39A72">
      <w:pPr>
        <w:spacing w:beforeLines="50" w:line="360" w:lineRule="auto"/>
        <w:ind w:firstLine="472" w:firstLineChars="19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.4.3承包人应保证发包人在本项目建设过程中使用其设计文件和设计文件的任何一部分时，发包人免受第三方提出侵犯其专利权、商标权或其他知识产权的起诉。</w:t>
      </w:r>
    </w:p>
    <w:p w14:paraId="7646EA26">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承包人保证发包人使用承包人设计成果将不会对任何第三方构成侵权，如因此引起任何第三方向发包人提出侵权之诉讼或索赔，均由承包人承担处理、应诉和赔偿责任。</w:t>
      </w:r>
    </w:p>
    <w:p w14:paraId="169961C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.4.4承包人提交给发包人的设计文件，其著作权、版权、专利权和使用权归发包人所有（署名权除外）。   </w:t>
      </w:r>
    </w:p>
    <w:p w14:paraId="230ACE2B">
      <w:pPr>
        <w:spacing w:line="360" w:lineRule="auto"/>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.5.</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承包人在合同有效期内，应当履行合同约定的义务，如因承包人的原因产生设计质量事故、工期延误或设计缺陷，造成损失的应承担赔偿责任。</w:t>
      </w:r>
    </w:p>
    <w:p w14:paraId="6C7B466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（1）因设计错误而造成一般质量事故的，承包人除应免收受损失部分的设计费外，还应无偿修改和完善设计，并承担给发包人造成的直接损失。</w:t>
      </w:r>
    </w:p>
    <w:p w14:paraId="132FC15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（2）因设计错误而造成重大质量事故的，承包人承担给发包人造成的直接损失，发包人有权解除设计合同，并报请有关主管部门视事故造成的损失情况给予其他处罚。</w:t>
      </w:r>
    </w:p>
    <w:p w14:paraId="08F0760F">
      <w:pPr>
        <w:spacing w:line="360" w:lineRule="auto"/>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.6.</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若因承包人原因导致提交的设计成果文件无法通过发包人组织的设计审查，发包人有权发出如下任何指令，承包人必须遵照执行。</w:t>
      </w:r>
    </w:p>
    <w:p w14:paraId="5FF4EED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对不合格部分进行重新设计或修改，由此引起的费用增加和工期延误由承包人负全部责任，发包人还可视造成的时间延误和费用损失，承包人按合同价的5%～10%向甲方支付违约金；同时发包人有权解除设计合同。</w:t>
      </w:r>
    </w:p>
    <w:p w14:paraId="5DE95EF6">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如果重新设计或修改后的设计成果仍不能通过设计审查，或承包人没有能力完成该部分设计，发包人解除该不合格部分的合同，发包人将该不合格部分指定分包给其他设计单位，并扣除设计单位合同总价中此部分的设计费用；</w:t>
      </w:r>
    </w:p>
    <w:p w14:paraId="054A4896">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（3）承包人须在发包人书面同意后，将该部分内容另行委托给其他具有相应资质等级的单位设计，直至通过设计审查，该部分设计费用已包含在合同价中，不另行计算，造成损失的依法承担赔偿责任。</w:t>
      </w:r>
    </w:p>
    <w:p w14:paraId="5E30E04C">
      <w:pPr>
        <w:spacing w:line="360" w:lineRule="auto"/>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.7.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承包人应赔偿因设计质量或设计图纸不完善带来的设计变更所引发的工程费增加、施工返工费、误工费等，处理原则如下：</w:t>
      </w:r>
    </w:p>
    <w:p w14:paraId="2E5541B6">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（1）由于设计质量或设计图纸不完善引起的施工返工，承包人应及时处理，并每次扣减设计合同价的2%作为违约金。</w:t>
      </w:r>
    </w:p>
    <w:p w14:paraId="5C92582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由于设计质量或设计图纸不完善引起的施工返工、停工，承包人未能及时处理，每次扣减设计合同价的2%作为违约金，对施工工期造成较大影响，还须按设计合同价的15%赔偿，经监理单位和发包人确认后，承包人在申请当期设计费之前支付给发包人。</w:t>
      </w:r>
    </w:p>
    <w:p w14:paraId="700BDE6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由于设计质量或设计图纸不完善导致的设计变更引起工程造价增加，以至超出审批的概算投资额，如设计变更未对施工工期造成影响，承包人按超额部分的5%赔偿发包人；如设计变更对施工工期造成影响，承包人按超额部分的10%赔偿发包人。承包人还应对设计进行修改或调整，以保证工程总费用控制在总投资计划内或限额设计指标内。</w:t>
      </w:r>
    </w:p>
    <w:p w14:paraId="58EF93D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由于设计质量设计图纸不完善所引起的工程费增加，超出审批的概算投资额，承包人无法调整到限额内，发包人有权不支付设计费，已支付的设计费承包人应返还发包人，发包人有权拒绝承包人参加发包人的任何设计项目的投标，并将承包人的不良行为上报行业主管部门。</w:t>
      </w:r>
    </w:p>
    <w:p w14:paraId="140D7E72">
      <w:pPr>
        <w:pStyle w:val="69"/>
        <w:ind w:firstLine="602" w:firstLineChars="25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.7.1</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工程变更的程序和管理按</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项目所在地的</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政府投资项目财政投资评审</w:t>
      </w:r>
      <w:r>
        <w:rPr>
          <w:rFonts w:hint="eastAsia" w:asciiTheme="minorEastAsia" w:hAnsiTheme="minorEastAsia" w:eastAsiaTheme="minorEastAsia" w:cstheme="minorEastAsia"/>
          <w:color w:val="000000" w:themeColor="text1"/>
          <w:szCs w:val="24"/>
          <w:highlight w:val="none"/>
          <w:lang w:val="en-US" w:eastAsia="zh-CN"/>
          <w14:textFill>
            <w14:solidFill>
              <w14:schemeClr w14:val="tx1"/>
            </w14:solidFill>
          </w14:textFill>
        </w:rPr>
        <w:t>相关文件</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执行。如因设计人的责任引起变更造成投资规模增加，按如下规定追究设计人的违约责任：</w:t>
      </w:r>
    </w:p>
    <w:p w14:paraId="36AB7623">
      <w:pPr>
        <w:pStyle w:val="69"/>
        <w:ind w:firstLine="600" w:firstLineChars="25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（1）因设计人责任引起变更造成投资规模增加10%以上的，扣减设计人设计合同价20%的违约金；</w:t>
      </w:r>
    </w:p>
    <w:p w14:paraId="1B80E621">
      <w:pPr>
        <w:pStyle w:val="69"/>
        <w:ind w:firstLine="600" w:firstLineChars="25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（2）因设计人责任引起变更造成投资规模增加15%以上的，扣减设计人设计合同价30%的违约金；</w:t>
      </w:r>
    </w:p>
    <w:p w14:paraId="6450AEFB">
      <w:pPr>
        <w:spacing w:line="360" w:lineRule="auto"/>
        <w:ind w:firstLine="480"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（3）因设计人责任引起变更造成投资规模增加20%以上的，扣减设计人设计合同价40%的违约金。</w:t>
      </w:r>
    </w:p>
    <w:p w14:paraId="52D74DB7">
      <w:pPr>
        <w:spacing w:line="360" w:lineRule="auto"/>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.8</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承包人未按照国家及建设部现行的强制性技术标准、规范和规程进行设计，或承包人在设计成果中未经发包人认可擅自指定或变相指定材料或设备生产厂商、供应商的，承包人按合同价的5%～10%向发包人支付违约金。</w:t>
      </w:r>
    </w:p>
    <w:p w14:paraId="58645C64">
      <w:pPr>
        <w:spacing w:line="360" w:lineRule="auto"/>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.9</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承包人保证，未经发包人书面同意，不得将本合同项下的任何工作任务委托第三人履行，对于工程设计内容中超出承包人资质条件的分部、分项工程，承包人不得超越自身资质条件进行设计或自行将设计任务转包、分包，否则，发包人可以立即解除本合同，并且不需要向承包人支付任何费用。发包人将有权终止合同，承包人按合同价的5%～10%向发包人支付违约金。</w:t>
      </w:r>
    </w:p>
    <w:p w14:paraId="1D5B2D9E">
      <w:pPr>
        <w:pStyle w:val="8"/>
        <w:snapToGrid w:val="0"/>
        <w:spacing w:line="360" w:lineRule="auto"/>
        <w:ind w:left="63" w:right="63" w:firstLine="482" w:firstLineChars="200"/>
        <w:jc w:val="left"/>
        <w:rPr>
          <w:rFonts w:hint="eastAsia" w:asciiTheme="minorEastAsia" w:hAnsiTheme="minorEastAsia" w:eastAsiaTheme="minorEastAsia" w:cstheme="minorEastAsia"/>
          <w:b/>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kern w:val="0"/>
          <w:szCs w:val="24"/>
          <w:highlight w:val="none"/>
          <w14:textFill>
            <w14:solidFill>
              <w14:schemeClr w14:val="tx1"/>
            </w14:solidFill>
          </w14:textFill>
        </w:rPr>
        <w:t>.10 除招标文件规定的服务内容外，承包人还须完成以下各阶段服务内容：</w:t>
      </w:r>
    </w:p>
    <w:p w14:paraId="05A389AA">
      <w:pPr>
        <w:spacing w:line="360" w:lineRule="auto"/>
        <w:ind w:firstLine="482" w:firstLineChars="20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.10.1 施工图设计阶段</w:t>
      </w:r>
    </w:p>
    <w:p w14:paraId="17150E23">
      <w:pPr>
        <w:pStyle w:val="36"/>
        <w:ind w:firstLine="240" w:firstLineChars="100"/>
        <w:jc w:val="left"/>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（1）负责完成并制作总图、建筑、结构、</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建筑装饰装修、给排水、电气、照明、消防、节能、无障碍设计、安防及智能系统、充电桩、</w:t>
      </w:r>
      <w:r>
        <w:rPr>
          <w:rFonts w:hint="eastAsia" w:asciiTheme="minorEastAsia" w:hAnsiTheme="minorEastAsia" w:eastAsiaTheme="minorEastAsia" w:cstheme="minorEastAsia"/>
          <w:snapToGrid w:val="0"/>
          <w:color w:val="000000" w:themeColor="text1"/>
          <w:kern w:val="0"/>
          <w:highlight w:val="none"/>
          <w:u w:val="none" w:color="auto"/>
          <w14:textFill>
            <w14:solidFill>
              <w14:schemeClr w14:val="tx1"/>
            </w14:solidFill>
          </w14:textFill>
        </w:rPr>
        <w:t>海绵城市</w:t>
      </w:r>
      <w:r>
        <w:rPr>
          <w:rFonts w:hint="eastAsia" w:asciiTheme="minorEastAsia" w:hAnsiTheme="minorEastAsia" w:eastAsiaTheme="minorEastAsia" w:cstheme="minorEastAsia"/>
          <w:snapToGrid w:val="0"/>
          <w:color w:val="000000" w:themeColor="text1"/>
          <w:kern w:val="0"/>
          <w:highlight w:val="none"/>
          <w:u w:val="none" w:color="auto"/>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highlight w:val="none"/>
          <w14:textFill>
            <w14:solidFill>
              <w14:schemeClr w14:val="tx1"/>
            </w14:solidFill>
          </w14:textFill>
        </w:rPr>
        <w:t>雨污分流、道路、综合管网等所有专项设计及红线范围内的所有工程及相关配套工程、设施等本项目涉及的全部专业的施工图设计文件；</w:t>
      </w:r>
    </w:p>
    <w:p w14:paraId="1956F62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（2）对发包人的审核修改意见进行修改、完善，保证其设计意图的最终实现； </w:t>
      </w:r>
    </w:p>
    <w:p w14:paraId="743FBD6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（3）根据项目开发进度要求及时提供各阶段报审图纸，协助发包人进行报审工作，根据审查结果在本合同约定的范围内进行修改调整，直至审查通过，并最终向发包人提交正式的施工图设计文件； </w:t>
      </w:r>
    </w:p>
    <w:p w14:paraId="0ADCC53E">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（4）协助发包人进行工程招标答疑。</w:t>
      </w:r>
    </w:p>
    <w:p w14:paraId="0383F98F">
      <w:pPr>
        <w:spacing w:line="360" w:lineRule="auto"/>
        <w:ind w:firstLine="482" w:firstLineChars="20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.10.2 施工配合阶段</w:t>
      </w:r>
    </w:p>
    <w:p w14:paraId="4A574BD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（1）负责工程设计交底，解答施工过程中施工承包人有关施工图的问题，项目负责人及各专业设计负责人，及时对施工中与设计有关的问题做出回应，保证设计满足施工要求； </w:t>
      </w:r>
    </w:p>
    <w:p w14:paraId="2472C73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（2）根据发包人要求，及时参加与设计有关的专题会，现场解决技术问题； </w:t>
      </w:r>
    </w:p>
    <w:p w14:paraId="4B44A9D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（3）协助发包人处理工程洽商和设计变更，负责有关设计修改，及时办理相关手续； </w:t>
      </w:r>
    </w:p>
    <w:p w14:paraId="420862F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（4）参与与承包人相关的必要的验收以及项目竣工验收工作，并及时办理相关手续； </w:t>
      </w:r>
    </w:p>
    <w:p w14:paraId="5EDF068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（5）提供产品选型、设备加工订货、建筑材料选择以及分包商考察等技术咨询工作； </w:t>
      </w:r>
    </w:p>
    <w:p w14:paraId="0888DEB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（6）应发包人要求协助审核各分包商的设计文件是否满足接口条件并签署意见，以保证其与总体设计协调一致，并满足工程要求。</w:t>
      </w:r>
    </w:p>
    <w:p w14:paraId="76F4A36F">
      <w:pPr>
        <w:spacing w:line="360" w:lineRule="auto"/>
        <w:ind w:firstLine="482" w:firstLineChars="20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.11 </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承包人义务及违约责任</w:t>
      </w:r>
    </w:p>
    <w:p w14:paraId="2C3A3EBA">
      <w:pPr>
        <w:spacing w:line="360" w:lineRule="auto"/>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.11.1 承包人义务</w:t>
      </w:r>
    </w:p>
    <w:p w14:paraId="17D7AC56">
      <w:pPr>
        <w:adjustRightInd w:val="0"/>
        <w:snapToGrid w:val="0"/>
        <w:spacing w:line="360" w:lineRule="auto"/>
        <w:ind w:firstLine="360" w:firstLineChars="15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（1）中标通知书发出后30天内第一中标候选人不按招标文件约定条款签订设计合同的，视为自动放弃中标资格，没收投标保证金，并确定第二中标候选人为承包人，以此类推。并上报建设行政主管部门。</w:t>
      </w:r>
    </w:p>
    <w:p w14:paraId="0DFEDA0F">
      <w:pPr>
        <w:adjustRightInd w:val="0"/>
        <w:snapToGrid w:val="0"/>
        <w:spacing w:line="360" w:lineRule="auto"/>
        <w:ind w:firstLine="360" w:firstLineChars="15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（2）合同生效后，承包人要求终止或解除合同视为承包人违约，扣除履约保证金。</w:t>
      </w:r>
    </w:p>
    <w:p w14:paraId="33A5488B">
      <w:pPr>
        <w:adjustRightInd w:val="0"/>
        <w:snapToGrid w:val="0"/>
        <w:spacing w:line="360" w:lineRule="auto"/>
        <w:ind w:firstLine="360" w:firstLineChars="15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承包人负责按照合同规定承包范围、内容和方式，在规定时间内提交满足规定质量要求的设计成果，并完成约定的服务内容。承包人交付设计文件后，按规定参加有关的设计审查，并根据审查结论负责不超出原定范围的内容做必要调整补充。承包人按合同规定时限交付设计文件，负责向发包人及施工单位进行设计交底、处理有关设计问题和参加竣工验收。施工过程中负责有关工程变更的变更设计和变更预算编制。</w:t>
      </w:r>
    </w:p>
    <w:p w14:paraId="604E97C5">
      <w:pPr>
        <w:adjustRightInd w:val="0"/>
        <w:snapToGrid w:val="0"/>
        <w:spacing w:line="360" w:lineRule="auto"/>
        <w:ind w:firstLine="360" w:firstLineChars="15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（4）承包人应对发包人提供的文件、资料进行认真研究，对本项目的特点和不确定因素进行认真考虑，并提出合理建议和评价，对影响设计稳定的重大问题要进行多方案比较选择。</w:t>
      </w:r>
    </w:p>
    <w:p w14:paraId="28A65C99">
      <w:pPr>
        <w:adjustRightInd w:val="0"/>
        <w:snapToGrid w:val="0"/>
        <w:spacing w:line="360" w:lineRule="auto"/>
        <w:ind w:firstLine="360" w:firstLineChars="15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（5）设计应尽可能减少施工难度，为施工创造方便合理的施工条件；应尽量减少施工对城市交通、市民生活以及水利、通航的干扰，并尽可能减少对施工期的影响。</w:t>
      </w:r>
    </w:p>
    <w:p w14:paraId="43EA8292">
      <w:pPr>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（6）未经发包人书面同意，承包人不得对已批准的设计和勘探点布置方案作重大修改、增减或删除。</w:t>
      </w:r>
    </w:p>
    <w:p w14:paraId="67F146A7">
      <w:pPr>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（7）承包人提交的全部设计文件应考虑地质因素、正常施工中可能出现的各种因素，对设计文件出现的遗漏或错误负责修改或补充。</w:t>
      </w:r>
    </w:p>
    <w:p w14:paraId="2425312F">
      <w:pPr>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（8）承包人承诺在交付项目的部分或全部设计文件后，如有更好的新工艺、新技术、新材料、新设备等适用于本项目，应及时向发包人推荐并提供科学的评估和来源证明。</w:t>
      </w:r>
    </w:p>
    <w:p w14:paraId="583ADEAE">
      <w:pPr>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（9）承包人驻</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南雄市</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办公的项目负责人（即投标文件所拟派的项目负责人）必须负责本项目设计全过程（包括施工图设计审查、施工图设计修编、图纸会审和技术交底）。</w:t>
      </w:r>
    </w:p>
    <w:p w14:paraId="67D8145B">
      <w:pPr>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10）承包人应委派1名参与并熟悉本项目设计任务，有现场处理经验的设计代表常驻项目现场。承包人应为派驻现场的设计工作人员提供工作、生活及交通等方面的便利条件及准备必要的劳动保护装备。在正常施工阶段，每月应保证最少20天在现场。</w:t>
      </w:r>
    </w:p>
    <w:p w14:paraId="6485A340">
      <w:pPr>
        <w:adjustRightInd w:val="0"/>
        <w:snapToGrid w:val="0"/>
        <w:spacing w:line="360" w:lineRule="auto"/>
        <w:ind w:firstLine="240" w:firstLineChars="1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（11）承包人要按照批准的设计任务书，按照批准的总概算控制施工图设计，即限额设计。承包人要无条件对设计文件出现的遗漏或错误负责修改或补充，直到满足要求。</w:t>
      </w:r>
    </w:p>
    <w:p w14:paraId="3457E2D1">
      <w:pPr>
        <w:adjustRightInd w:val="0"/>
        <w:snapToGrid w:val="0"/>
        <w:spacing w:line="360" w:lineRule="auto"/>
        <w:ind w:firstLine="244" w:firstLineChars="1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Cs w:val="24"/>
          <w:highlight w:val="none"/>
          <w14:textFill>
            <w14:solidFill>
              <w14:schemeClr w14:val="tx1"/>
            </w14:solidFill>
          </w14:textFill>
        </w:rPr>
        <w:t xml:space="preserve"> （12）发包人及咨询</w:t>
      </w:r>
      <w:r>
        <w:rPr>
          <w:rFonts w:hint="eastAsia" w:asciiTheme="minorEastAsia" w:hAnsiTheme="minorEastAsia" w:eastAsiaTheme="minorEastAsia" w:cstheme="minorEastAsia"/>
          <w:color w:val="000000" w:themeColor="text1"/>
          <w:spacing w:val="1"/>
          <w:szCs w:val="24"/>
          <w:highlight w:val="none"/>
          <w14:textFill>
            <w14:solidFill>
              <w14:schemeClr w14:val="tx1"/>
            </w14:solidFill>
          </w14:textFill>
        </w:rPr>
        <w:t>单</w:t>
      </w:r>
      <w:r>
        <w:rPr>
          <w:rFonts w:hint="eastAsia" w:asciiTheme="minorEastAsia" w:hAnsiTheme="minorEastAsia" w:eastAsiaTheme="minorEastAsia" w:cstheme="minorEastAsia"/>
          <w:color w:val="000000" w:themeColor="text1"/>
          <w:spacing w:val="2"/>
          <w:szCs w:val="24"/>
          <w:highlight w:val="none"/>
          <w14:textFill>
            <w14:solidFill>
              <w14:schemeClr w14:val="tx1"/>
            </w14:solidFill>
          </w14:textFill>
        </w:rPr>
        <w:t>位、上级</w:t>
      </w:r>
      <w:r>
        <w:rPr>
          <w:rFonts w:hint="eastAsia" w:asciiTheme="minorEastAsia" w:hAnsiTheme="minorEastAsia" w:eastAsiaTheme="minorEastAsia" w:cstheme="minorEastAsia"/>
          <w:color w:val="000000" w:themeColor="text1"/>
          <w:spacing w:val="1"/>
          <w:szCs w:val="24"/>
          <w:highlight w:val="none"/>
          <w14:textFill>
            <w14:solidFill>
              <w14:schemeClr w14:val="tx1"/>
            </w14:solidFill>
          </w14:textFill>
        </w:rPr>
        <w:t>主</w:t>
      </w:r>
      <w:r>
        <w:rPr>
          <w:rFonts w:hint="eastAsia" w:asciiTheme="minorEastAsia" w:hAnsiTheme="minorEastAsia" w:eastAsiaTheme="minorEastAsia" w:cstheme="minorEastAsia"/>
          <w:color w:val="000000" w:themeColor="text1"/>
          <w:spacing w:val="2"/>
          <w:szCs w:val="24"/>
          <w:highlight w:val="none"/>
          <w14:textFill>
            <w14:solidFill>
              <w14:schemeClr w14:val="tx1"/>
            </w14:solidFill>
          </w14:textFill>
        </w:rPr>
        <w:t>管部门对设计</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文件的审查并不免除承包人的责任。</w:t>
      </w:r>
    </w:p>
    <w:p w14:paraId="76582261">
      <w:pPr>
        <w:adjustRightInd w:val="0"/>
        <w:snapToGrid w:val="0"/>
        <w:spacing w:line="360" w:lineRule="auto"/>
        <w:ind w:firstLine="360" w:firstLineChars="15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（13）中标通知书发出后三天内，中标单位法定代表人及主要负责人、项目经理、设计负责人应积极主动与发包人接洽工作，迅速有效推动工程前期工作顺利开展，逾期未履行，作违约处理。</w:t>
      </w:r>
    </w:p>
    <w:p w14:paraId="1AA5A9B9">
      <w:pPr>
        <w:adjustRightInd w:val="0"/>
        <w:snapToGrid w:val="0"/>
        <w:spacing w:line="360" w:lineRule="auto"/>
        <w:ind w:firstLine="120" w:firstLineChars="50"/>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.11.2 </w:t>
      </w: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承包人违约的处理</w:t>
      </w:r>
    </w:p>
    <w:p w14:paraId="4D58CA92">
      <w:pPr>
        <w:spacing w:line="360" w:lineRule="auto"/>
        <w:ind w:firstLine="360" w:firstLineChars="15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（1）承包人发生合同约定的违约情况时，无论发包人是否解除合同，发包人均有权按相关规定</w:t>
      </w:r>
      <w:r>
        <w:rPr>
          <w:rFonts w:hint="eastAsia" w:asciiTheme="minorEastAsia" w:hAnsiTheme="minorEastAsia" w:eastAsiaTheme="minorEastAsia" w:cstheme="minorEastAsia"/>
          <w:color w:val="000000" w:themeColor="text1"/>
          <w:highlight w:val="none"/>
          <w14:textFill>
            <w14:solidFill>
              <w14:schemeClr w14:val="tx1"/>
            </w14:solidFill>
          </w14:textFill>
        </w:rPr>
        <w:t>扣除</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违约金，并由发包人将其违约行为记录在合同履约评价报告中，作为合同履约综合评价的依据。同时，发包人将</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的违约行为</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上报建设行政主管部门。</w:t>
      </w:r>
    </w:p>
    <w:p w14:paraId="407377F9">
      <w:pPr>
        <w:spacing w:line="360" w:lineRule="auto"/>
        <w:ind w:firstLine="360" w:firstLineChars="15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（2）发包人按合同规定向</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开出的任何违约金，除合同另有规定外，均从发包人应向</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支付的</w:t>
      </w:r>
      <w:r>
        <w:rPr>
          <w:rFonts w:hint="eastAsia" w:asciiTheme="minorEastAsia" w:hAnsiTheme="minorEastAsia" w:eastAsiaTheme="minorEastAsia" w:cstheme="minorEastAsia"/>
          <w:color w:val="000000" w:themeColor="text1"/>
          <w:highlight w:val="none"/>
          <w14:textFill>
            <w14:solidFill>
              <w14:schemeClr w14:val="tx1"/>
            </w14:solidFill>
          </w14:textFill>
        </w:rPr>
        <w:t>服务费</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中直接扣除。除非合同另有规定，发包人向</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开出的任何违约金将导致承包人最终的应得结算价款相应地减少。</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必须完全接受上述条款。</w:t>
      </w:r>
    </w:p>
    <w:p w14:paraId="63194622">
      <w:pPr>
        <w:spacing w:line="360" w:lineRule="auto"/>
        <w:ind w:firstLine="360" w:firstLineChars="15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（3）发包人按合同规定向</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开出的任何违约金的扣除时间，可以在发包人认为合适的任何一个期中支付月份中扣除。发包人扣除违约金时间的延迟或滞后并不代表对</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当时各种行为的认可或默认。</w:t>
      </w:r>
    </w:p>
    <w:p w14:paraId="7F3955F0">
      <w:pPr>
        <w:spacing w:line="360" w:lineRule="auto"/>
        <w:ind w:firstLine="360" w:firstLineChars="15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承包人</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的违约金由发包人掌握使用。</w:t>
      </w:r>
    </w:p>
    <w:p w14:paraId="0598E51B">
      <w:pPr>
        <w:spacing w:line="360" w:lineRule="auto"/>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.12发包人有权根据有关管理制度对承包人的履约情况纳入履约信用评价体系进行履约信用评价，并将评价结果报送给有关监管部门。</w:t>
      </w:r>
    </w:p>
    <w:p w14:paraId="3F964444">
      <w:pPr>
        <w:pStyle w:val="7"/>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履约信用评价按发包人履约信用评价管理规定执行，评价内容包含人员到位情况、服务配合程度、服务成果质量、项目后期服务及履约信用评价结果的运用等。</w:t>
      </w:r>
    </w:p>
    <w:p w14:paraId="3DA6AA42">
      <w:pPr>
        <w:pStyle w:val="37"/>
        <w:keepNext/>
        <w:keepLines/>
        <w:tabs>
          <w:tab w:val="left" w:pos="885"/>
        </w:tabs>
        <w:spacing w:line="400" w:lineRule="exact"/>
        <w:jc w:val="center"/>
        <w:rPr>
          <w:rFonts w:hint="eastAsia" w:asciiTheme="minorEastAsia" w:hAnsiTheme="minorEastAsia" w:eastAsiaTheme="minorEastAsia" w:cstheme="minorEastAsia"/>
          <w:b/>
          <w:color w:val="000000" w:themeColor="text1"/>
          <w:kern w:val="44"/>
          <w:sz w:val="24"/>
          <w:highlight w:val="none"/>
          <w14:textFill>
            <w14:solidFill>
              <w14:schemeClr w14:val="tx1"/>
            </w14:solidFill>
          </w14:textFill>
        </w:rPr>
      </w:pPr>
      <w:bookmarkStart w:id="349" w:name="_Toc11306"/>
      <w:r>
        <w:rPr>
          <w:rFonts w:hint="eastAsia" w:asciiTheme="minorEastAsia" w:hAnsiTheme="minorEastAsia" w:eastAsiaTheme="minorEastAsia" w:cstheme="minorEastAsia"/>
          <w:b/>
          <w:color w:val="000000" w:themeColor="text1"/>
          <w:kern w:val="44"/>
          <w:sz w:val="24"/>
          <w:highlight w:val="none"/>
          <w14:textFill>
            <w14:solidFill>
              <w14:schemeClr w14:val="tx1"/>
            </w14:solidFill>
          </w14:textFill>
        </w:rPr>
        <w:br w:type="page"/>
      </w:r>
      <w:bookmarkStart w:id="350" w:name="_Toc15865"/>
      <w:bookmarkStart w:id="351" w:name="_Toc28950"/>
      <w:bookmarkStart w:id="352" w:name="_Toc10003"/>
      <w:bookmarkStart w:id="353" w:name="_Toc16036"/>
      <w:bookmarkStart w:id="354" w:name="_Toc18208"/>
      <w:bookmarkStart w:id="355" w:name="_Toc31905"/>
      <w:bookmarkStart w:id="356" w:name="_Toc5081"/>
      <w:bookmarkStart w:id="357" w:name="_Toc29022"/>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第三</w:t>
      </w:r>
      <w:bookmarkStart w:id="358" w:name="_Hlt69669171"/>
      <w:bookmarkEnd w:id="358"/>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章</w:t>
      </w:r>
      <w:bookmarkStart w:id="359" w:name="_Hlt87793839"/>
      <w:bookmarkEnd w:id="359"/>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 xml:space="preserve"> 中标人须知</w:t>
      </w:r>
      <w:bookmarkEnd w:id="349"/>
      <w:bookmarkEnd w:id="350"/>
      <w:bookmarkEnd w:id="351"/>
      <w:bookmarkEnd w:id="352"/>
      <w:bookmarkEnd w:id="353"/>
      <w:bookmarkEnd w:id="354"/>
      <w:bookmarkEnd w:id="355"/>
      <w:bookmarkEnd w:id="356"/>
      <w:bookmarkEnd w:id="357"/>
    </w:p>
    <w:p w14:paraId="5E0C751A">
      <w:pPr>
        <w:pStyle w:val="36"/>
        <w:rPr>
          <w:rFonts w:hint="eastAsia" w:asciiTheme="minorEastAsia" w:hAnsiTheme="minorEastAsia" w:eastAsiaTheme="minorEastAsia" w:cstheme="minorEastAsia"/>
          <w:color w:val="000000" w:themeColor="text1"/>
          <w:highlight w:val="none"/>
          <w14:textFill>
            <w14:solidFill>
              <w14:schemeClr w14:val="tx1"/>
            </w14:solidFill>
          </w14:textFill>
        </w:rPr>
      </w:pPr>
    </w:p>
    <w:bookmarkEnd w:id="309"/>
    <w:bookmarkEnd w:id="310"/>
    <w:bookmarkEnd w:id="311"/>
    <w:p w14:paraId="0058A4E3">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招标人向中标人发出的《中标通知书》对招标人和中标人均具有法律约束力。中标通知书发出后，招标人改变中标结果和中标人放弃中标的，应当承担法律责任。</w:t>
      </w:r>
    </w:p>
    <w:p w14:paraId="234D73AD">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3.2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中标人不与招标人签订合同，招标人可以取消其中标人资格。给招标人造成经济损失的，招标人可以向中标人索赔。</w:t>
      </w:r>
    </w:p>
    <w:p w14:paraId="20496272">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3.3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中标人在施工期间应严格遵守国家、省、市有关防火、爆破和施工安全以及文明施工、深夜施工、环卫城管等规定，建立规章制度和防护措施。否则，由此造成的经济损失和法律责任，均由中标人负责。</w:t>
      </w:r>
    </w:p>
    <w:p w14:paraId="69865219">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中标人必须做好施工场地地下地上管线和邻近建筑物、构筑物（包括文物保护建筑）、名树名木（如有）的保护工作。</w:t>
      </w:r>
    </w:p>
    <w:p w14:paraId="424CAA53">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3.4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中标人应按安全施工的要求，采取严格科学的安全措施，确保施工安全和第三者的安全，承担由于自身安全措施不力所造成的事故责任和发生的费用。</w:t>
      </w:r>
    </w:p>
    <w:p w14:paraId="63C049DA">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bookmarkStart w:id="360" w:name="_Hlt93117969"/>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3.5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为保证施工现场的环境卫生，中标人在本项目施工过程中，所有的车辆必须按招标人规定的行车路线行驶。</w:t>
      </w:r>
    </w:p>
    <w:bookmarkEnd w:id="360"/>
    <w:p w14:paraId="3B62520D">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3.6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中标人的投标书所报的项目管理班子人员（项目经理、技术负责人、施工员、质量员、安全员等）必须是</w:t>
      </w:r>
      <w:bookmarkStart w:id="361" w:name="_Hlt66261069"/>
      <w:bookmarkEnd w:id="361"/>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中标后实际的项目管理班子人员，否则招标人有权终止合同。</w:t>
      </w:r>
    </w:p>
    <w:p w14:paraId="576E7641">
      <w:pPr>
        <w:pStyle w:val="7"/>
        <w:spacing w:line="360" w:lineRule="auto"/>
        <w:ind w:firstLine="48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 w:val="24"/>
          <w:szCs w:val="24"/>
          <w:highlight w:val="none"/>
          <w14:textFill>
            <w14:solidFill>
              <w14:schemeClr w14:val="tx1"/>
            </w14:solidFill>
          </w14:textFill>
        </w:rPr>
        <w:t>根据项目实施进度情况，招标人有权要求中标人增派项目管理人员，以满足项目的现场管理工作要求。</w:t>
      </w:r>
    </w:p>
    <w:p w14:paraId="735E9A98">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3.7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项目竣工验收合格后三十个工作日内必须向招标人提供一式八份符合韶关市及</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南雄市</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城市建设档案馆要求的工程竣工档案（含纸质、声像及电子等形式的档案），声像及电子档案的制作费用由中标人承担。</w:t>
      </w:r>
    </w:p>
    <w:p w14:paraId="676A5B7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3.8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合同范围内的工程项目未经招标人同意一律不得分包，一经发现，取消中标人的承包资格，中标人承担由此引起的一切责任和经济损失。</w:t>
      </w:r>
    </w:p>
    <w:p w14:paraId="47B280C0">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3.9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现场应自设检验实验室，用于对建筑材料、构件和建筑物进行一般性鉴定、检查等。</w:t>
      </w:r>
    </w:p>
    <w:p w14:paraId="3D93099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3.10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中标人须服从工程监理单位对工程质量全方位的监理，施工中的年度计划、季度计划、月度计划、施工方案等应报送监理单位审批和招标人备案。施工中的质量保证等资料均应及时报送监理单位和招标人备案。</w:t>
      </w:r>
    </w:p>
    <w:p w14:paraId="42B876A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3.11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招标文件、招标答疑书、投标文件和中标通知书是招标人与中标人双方签订的施工合同的主要组成部分，并与合同一样，具有相同的法律效力。</w:t>
      </w:r>
      <w:bookmarkStart w:id="362" w:name="_Hlt66508904"/>
      <w:bookmarkEnd w:id="362"/>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如中标通知书发出后，发现中标人的投标文件中有与招标文件所述内容及要求不符的，按招标文件执行。</w:t>
      </w:r>
    </w:p>
    <w:p w14:paraId="42E241A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3.12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中标之后，若招标范围内有专业工程必须分包的，招标人不另行支付总包服务费；其分包合同由中标人与分包人双方签订，招标人不参与中标人与分包人之间的结算，该部分工程的造价仍按中标人与招标人签订的合同的有关结算条款进行结算。</w:t>
      </w:r>
    </w:p>
    <w:p w14:paraId="021D5F7C">
      <w:pPr>
        <w:spacing w:line="360" w:lineRule="auto"/>
        <w:ind w:firstLine="354"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3.13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若设计超过了限额标准，中标人必须无条件优化，直至达到限额要求为止，设计及施工工期不予以顺延，招标人不再支付由此而增加的设计费。</w:t>
      </w:r>
    </w:p>
    <w:p w14:paraId="1AD583C4">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3.14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提交的施工图阶段的设计成果必须经招标人组织的专家委员会评审确认后，再送有资质的审图单位的进行审查，若由于专家委员会和审图单位在审查过程中提出的设计修改或变更，中标人必须无条件进行修改或优化设计，招标人不再支付由此而增加的设计费用。</w:t>
      </w:r>
    </w:p>
    <w:p w14:paraId="6B02BEA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3.15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增加工程造价在施工14天前中标人必须提供详细的报价书（含工程项目名称、变更部位、理由、预计造价等）给监理单位核实并报招标人或有关审核部门核定后，方可施工。</w:t>
      </w:r>
    </w:p>
    <w:p w14:paraId="143225EE">
      <w:pPr>
        <w:spacing w:line="360" w:lineRule="auto"/>
        <w:ind w:firstLine="354"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3.16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中标人中标后，必须按规定到韶关市公共资源交易中心办理相关手续方可领取中标通知书。</w:t>
      </w:r>
    </w:p>
    <w:p w14:paraId="3574B252">
      <w:pPr>
        <w:spacing w:line="360" w:lineRule="auto"/>
        <w:ind w:firstLine="354"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3.17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中标人中标后必须按招标人的要求采购材料及设备。</w:t>
      </w:r>
    </w:p>
    <w:p w14:paraId="5FF749A6">
      <w:pPr>
        <w:spacing w:line="360" w:lineRule="auto"/>
        <w:ind w:firstLine="354" w:firstLineChars="147"/>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 3.18 </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中标通知书发出后，中标方应在30个日历天内缴工人工资保证金、意外伤害险等。</w:t>
      </w:r>
    </w:p>
    <w:p w14:paraId="4F086136">
      <w:pPr>
        <w:wordWrap w:val="0"/>
        <w:adjustRightInd w:val="0"/>
        <w:snapToGrid w:val="0"/>
        <w:spacing w:line="360" w:lineRule="auto"/>
        <w:ind w:firstLine="482" w:firstLineChars="2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中标人必须在项目开工前，在项目所在地银行</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设立工人工资支付专用账户和安全文明施工措施费专用帐户</w:t>
      </w:r>
      <w:r>
        <w:rPr>
          <w:rFonts w:hint="eastAsia" w:asciiTheme="minorEastAsia" w:hAnsiTheme="minorEastAsia" w:eastAsiaTheme="minorEastAsia" w:cstheme="minorEastAsia"/>
          <w:b/>
          <w:bCs/>
          <w:snapToGrid w:val="0"/>
          <w:color w:val="000000" w:themeColor="text1"/>
          <w:kern w:val="0"/>
          <w:highlight w:val="none"/>
          <w14:textFill>
            <w14:solidFill>
              <w14:schemeClr w14:val="tx1"/>
            </w14:solidFill>
          </w14:textFill>
        </w:rPr>
        <w:t>，</w:t>
      </w: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中标人应在工资专户开立后2个工作日内，将开户银行及其账号、开户协议等资料提交给招标人。</w:t>
      </w:r>
    </w:p>
    <w:p w14:paraId="6F771656">
      <w:pPr>
        <w:spacing w:line="360" w:lineRule="auto"/>
        <w:ind w:firstLine="354" w:firstLineChars="147"/>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中标人应建立劳动用工管理台账，并按月将工人工资支付明细表报招标人备案。若中标人拖延按工期延误处理，拖延一天，则计算工期延误一天。</w:t>
      </w:r>
    </w:p>
    <w:p w14:paraId="508BA343">
      <w:pPr>
        <w:wordWrap w:val="0"/>
        <w:adjustRightInd w:val="0"/>
        <w:snapToGrid w:val="0"/>
        <w:spacing w:line="360" w:lineRule="auto"/>
        <w:ind w:firstLine="482" w:firstLineChars="200"/>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中标人必须按相关规定做好用工实名制管理，建立考勤机制，并实施实名信息化管理。</w:t>
      </w:r>
    </w:p>
    <w:p w14:paraId="75A5DC25">
      <w:pPr>
        <w:spacing w:line="360" w:lineRule="auto"/>
        <w:ind w:firstLine="354"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3.19</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本项目各个阶段的设计成果必须经招标人及有关审批部门同意后方可进行下一工序的设计工作，若招标人或有关审批部门在审批过程中提出的设计修改或变更，中标人必须无条件进行修改或变更，招标人不再支付由此而增加的设计费用。</w:t>
      </w:r>
    </w:p>
    <w:p w14:paraId="333B69E0">
      <w:pPr>
        <w:spacing w:line="360" w:lineRule="auto"/>
        <w:ind w:firstLine="482" w:firstLineChars="20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3.20 </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若中标人自中标通知书发出之日起20个工作日内仍未提供履约担保的，视同中标单位自动放弃中标资格，招标人通报建设行政主管部门后有权另行选择中标人。</w:t>
      </w:r>
    </w:p>
    <w:p w14:paraId="61DB5ED5">
      <w:pPr>
        <w:spacing w:line="360" w:lineRule="auto"/>
        <w:ind w:firstLine="482" w:firstLineChars="20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3.21 </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若中标人自中标通知书发出之日起30天内仍未签订合同，视同中标人自动放弃中标权利，招标人通报建设行政主管部门后有权另行选择中标人。</w:t>
      </w:r>
    </w:p>
    <w:p w14:paraId="76B3E789">
      <w:pPr>
        <w:pStyle w:val="36"/>
        <w:ind w:firstLine="482" w:firstLineChars="20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3.22 中标人应按招标人确认后的主要材料的规格、颜色要求采购。如变更规格或颜色，必须经招标人、业主同意，并报有关审核部门重新核定单价后方可采购，并相应调整工程造价。主要材料必须先提供样板或有关资料给招标人、业主确定其规格、颜色、等级等，然后方可使用。</w:t>
      </w:r>
    </w:p>
    <w:p w14:paraId="65A24042">
      <w:pPr>
        <w:snapToGrid w:val="0"/>
        <w:spacing w:line="360" w:lineRule="auto"/>
        <w:ind w:firstLine="472" w:firstLineChars="196"/>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 xml:space="preserve"> 3.23 </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根据《</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印发〈广东省住房和城乡建设厅 广东省发展改革委关于房屋建筑和市政基础设施工程建设项目招标投标全过程信息公开的管理规定〉的通知</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》（粤建规范〔2018〕6号）文件精神，产生中标候选人后，招标人应将中标候选人投标文件商务部分除涉及商业秘密的其他资料在广东省招标投标监管网</w:t>
      </w:r>
      <w:r>
        <w:rPr>
          <w:rFonts w:hint="eastAsia" w:asciiTheme="minorEastAsia" w:hAnsiTheme="minorEastAsia" w:eastAsiaTheme="minorEastAsia" w:cstheme="minorEastAsia"/>
          <w:b/>
          <w:bCs/>
          <w:color w:val="000000" w:themeColor="text1"/>
          <w:kern w:val="0"/>
          <w:szCs w:val="24"/>
          <w:highlight w:val="none"/>
          <w14:textFill>
            <w14:solidFill>
              <w14:schemeClr w14:val="tx1"/>
            </w14:solidFill>
          </w14:textFill>
        </w:rPr>
        <w:t>、广东省公共资源交易平台（韶关市）</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公示，公示期不得少于3日。</w:t>
      </w:r>
    </w:p>
    <w:p w14:paraId="41120FDB">
      <w:pPr>
        <w:snapToGrid w:val="0"/>
        <w:spacing w:line="360" w:lineRule="auto"/>
        <w:ind w:firstLine="560"/>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招标人应当在发出中标通知书15日内，将中标结果依法在广东省招标投标监管网、</w:t>
      </w:r>
      <w:r>
        <w:rPr>
          <w:rFonts w:hint="eastAsia" w:asciiTheme="minorEastAsia" w:hAnsiTheme="minorEastAsia" w:eastAsiaTheme="minorEastAsia" w:cstheme="minorEastAsia"/>
          <w:b/>
          <w:bCs/>
          <w:color w:val="000000" w:themeColor="text1"/>
          <w:kern w:val="0"/>
          <w:szCs w:val="24"/>
          <w:highlight w:val="none"/>
          <w14:textFill>
            <w14:solidFill>
              <w14:schemeClr w14:val="tx1"/>
            </w14:solidFill>
          </w14:textFill>
        </w:rPr>
        <w:t>广东省公共资源交易平台（韶关市）</w:t>
      </w: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公示。</w:t>
      </w:r>
    </w:p>
    <w:p w14:paraId="4FF744ED">
      <w:pPr>
        <w:pStyle w:val="36"/>
        <w:ind w:firstLine="590" w:firstLineChars="245"/>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 xml:space="preserve">如果其他投标人或其他利害关系人对公示内容有异议，一经查实有虚假内容等违法违规情况的，将取消其中标候选人资格，并由招投标监管部门按有关规定处理。 </w:t>
      </w:r>
    </w:p>
    <w:p w14:paraId="29411EF3">
      <w:pPr>
        <w:spacing w:line="360" w:lineRule="auto"/>
        <w:ind w:firstLine="352"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3.24中标人须按韶关市、</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南雄市</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关于建筑垃圾运输、建筑渣土管理和扬尘治理等有关规定执行。</w:t>
      </w:r>
    </w:p>
    <w:p w14:paraId="0DD5FCA5">
      <w:pPr>
        <w:spacing w:line="360" w:lineRule="auto"/>
        <w:ind w:firstLine="352"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3.25中标人须按相关规定要求，设置本工程符合相关要求的永久性标牌及规划公示牌，投标人在投标报价时综合考虑在报价内，招标人不另行支付该部分费用。</w:t>
      </w:r>
    </w:p>
    <w:p w14:paraId="431642EE">
      <w:pPr>
        <w:spacing w:line="360" w:lineRule="auto"/>
        <w:ind w:firstLine="352"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3.26中标人须服从招标人的项目管理方式；中标人须无条件组织施工班组按招标人提供的管理软件（如有）及管理流程进行施工管理。</w:t>
      </w:r>
    </w:p>
    <w:p w14:paraId="15187C19">
      <w:pPr>
        <w:pStyle w:val="7"/>
        <w:spacing w:line="360" w:lineRule="auto"/>
        <w:ind w:firstLine="482" w:firstLineChars="20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中标</w:t>
      </w:r>
      <w:r>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t>人应根据施工任务做好工期分析工作，按工期节点要求进行人料机的安排，及时根据计划的实施情况调整人料机的投入。</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中标</w:t>
      </w:r>
      <w:r>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t>人作为总承包单位，应合理安排施工工作，统筹各专业单位（如有）的工作界面，不得影响施工进度。</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中标</w:t>
      </w:r>
      <w:r>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t>人应根据工作面的变化情况及工程进度要求，合理增配人员及施工机械设备。</w:t>
      </w:r>
    </w:p>
    <w:p w14:paraId="47B5D214">
      <w:pPr>
        <w:spacing w:line="360" w:lineRule="auto"/>
        <w:ind w:firstLine="352"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3.27施工视频监控系统必须符合韶市建字〔2014〕163号文件规定，并在投标报价中综合考虑，招标人及项目业主不再另行支付该部分费用。</w:t>
      </w:r>
    </w:p>
    <w:p w14:paraId="0443BEA1">
      <w:pPr>
        <w:spacing w:line="360" w:lineRule="auto"/>
        <w:ind w:firstLine="420" w:firstLineChars="175"/>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开工一个月内必须按相关规定和要求安装视频监控系统，并接入相关部门监控系统，如未按时安装视频监控系统，发包人有权在措施费中扣除相关费用。</w:t>
      </w:r>
    </w:p>
    <w:p w14:paraId="0998303F">
      <w:pPr>
        <w:spacing w:line="360" w:lineRule="auto"/>
        <w:ind w:firstLine="354"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3.28</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应已详细了解本项目的前期工作（包括征地拆迁），同时也应已勘察施工现场、周围环境、地形、地貌、水文、交通等情况。中标人投标报价应已充分考虑在施工中由于招标人原因造成停工或工期延误等因素所产生的相关费用，招标人不予另计费；中标人不得以不完全了解项目的前期工作（包括征地拆迁）及现场情况为理由，提出因外界因素造成停工或工期延误的额外付款要求；对此类要求，招标人不作任何考虑及答复。</w:t>
      </w:r>
    </w:p>
    <w:p w14:paraId="3F31406A">
      <w:pPr>
        <w:spacing w:line="360" w:lineRule="auto"/>
        <w:ind w:firstLine="352" w:firstLineChars="147"/>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如因招标人原因（自然灾害等不可抗力因素除外），工程不能按期开工，或开工后全部停滞，工期按相关规定予以顺延。停工发生后，若可复工时，中标人应在收到招标人发出的复工通知书后3日内开始复工。</w:t>
      </w:r>
    </w:p>
    <w:p w14:paraId="32D14A45">
      <w:pPr>
        <w:spacing w:line="360" w:lineRule="auto"/>
        <w:ind w:firstLine="560"/>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3.29</w:t>
      </w:r>
      <w:r>
        <w:rPr>
          <w:rFonts w:hint="eastAsia" w:asciiTheme="minorEastAsia" w:hAnsiTheme="minorEastAsia" w:eastAsiaTheme="minorEastAsia" w:cstheme="minorEastAsia"/>
          <w:b/>
          <w:color w:val="000000" w:themeColor="text1"/>
          <w:highlight w:val="none"/>
          <w14:textFill>
            <w14:solidFill>
              <w14:schemeClr w14:val="tx1"/>
            </w14:solidFill>
          </w14:textFill>
        </w:rPr>
        <w:t>中标人必须严格按有关设计规范设计图纸，中标人须秉承合理、经济、环保、适用等原则进行施工图设计，招标人有权委托第三方对中标人每阶段的设计成果文件进行精细化审图、各专业优化工作，招标人将根据第三方出具的有关报告及优化金额对中标人进行考核。若中标人成果的建安投资与优化金额（各分项工程进行对比）误差率在3%范围内则不作违约处理（含3%），否则以优化金额的10%从设计费用中扣取违约金（违约金总额以设计费为限，扣取的违约金作为第三方的咨询费），中标人需无条件根据经招标人确认的精细化审图、结构优化报告进行设计文件修改，费用不另计。</w:t>
      </w:r>
    </w:p>
    <w:p w14:paraId="266C1A21">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3.30</w:t>
      </w:r>
      <w:r>
        <w:rPr>
          <w:rFonts w:hint="eastAsia" w:asciiTheme="minorEastAsia" w:hAnsiTheme="minorEastAsia" w:eastAsiaTheme="minorEastAsia" w:cstheme="minorEastAsia"/>
          <w:b/>
          <w:color w:val="000000" w:themeColor="text1"/>
          <w:highlight w:val="none"/>
          <w14:textFill>
            <w14:solidFill>
              <w14:schemeClr w14:val="tx1"/>
            </w14:solidFill>
          </w14:textFill>
        </w:rPr>
        <w:t>中标人须在收到初步设计文件之日起三天内无条件对初步设计文件进行审核，如发现遗漏或错误，须向招标人提出书面报告。</w:t>
      </w:r>
    </w:p>
    <w:p w14:paraId="5B7DEF03">
      <w:pPr>
        <w:spacing w:line="360" w:lineRule="auto"/>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3.31</w:t>
      </w:r>
      <w:r>
        <w:rPr>
          <w:rFonts w:hint="eastAsia" w:asciiTheme="minorEastAsia" w:hAnsiTheme="minorEastAsia" w:eastAsiaTheme="minorEastAsia" w:cstheme="minorEastAsia"/>
          <w:b/>
          <w:color w:val="000000" w:themeColor="text1"/>
          <w:highlight w:val="none"/>
          <w14:textFill>
            <w14:solidFill>
              <w14:schemeClr w14:val="tx1"/>
            </w14:solidFill>
          </w14:textFill>
        </w:rPr>
        <w:t>中标人须在收到中标通知书之日十天内向招标人提交各阶段详细的工期计划承诺书。</w:t>
      </w:r>
    </w:p>
    <w:p w14:paraId="7A645245">
      <w:pPr>
        <w:pStyle w:val="54"/>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3.32按照《广东省住房和城乡建设厅关于建设工程项目招标中标后监督检查的办法》（粤建市〔2009〕8号）和《韶关市住房和城乡建设局关于加强房屋建筑和市政基础设施工程项目招标中标后监督检查的通知》（韶市建字〔2014〕145号）等相关法律法规。中标人中标之后，工程施工项目负责人和项目管理班子其他成员必须是该工程中标时所承诺的项目管理班子成员。</w:t>
      </w:r>
    </w:p>
    <w:p w14:paraId="59D6A593">
      <w:pPr>
        <w:pStyle w:val="54"/>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项目管理班子成员不得擅自变更，项目管理班子成员因有粤建市〔2009〕8号第九条所述情形之一确属不能履行职责需要变更的，中标单位应向建设行政主管部门填报《建设工程项目管理班子变更情况报告表》并附上有关证明文件，经建设行政主管部门审核同意方可变更。更换后的项目经理与中标单位的投标文件所确定的项目负责人或总监理工程师的主要条件一致。</w:t>
      </w:r>
    </w:p>
    <w:p w14:paraId="13D83132">
      <w:pPr>
        <w:pStyle w:val="54"/>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若中标单位有下列行为之一的，除依照有关法律、法规进行处罚外，将通过市建设与房地产信息网站予以及时曝光，并作为今后该单位参与投标的评分扣分依据直至取消投标资格。</w:t>
      </w:r>
    </w:p>
    <w:p w14:paraId="46B76230">
      <w:pPr>
        <w:pStyle w:val="54"/>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1.建设单位违反规定指定分包单位的；</w:t>
      </w:r>
    </w:p>
    <w:p w14:paraId="03B4AD11">
      <w:pPr>
        <w:pStyle w:val="54"/>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2.施工单位转包、违法分包或违反投标承诺分包工程的；   </w:t>
      </w:r>
    </w:p>
    <w:p w14:paraId="49E73FA9">
      <w:pPr>
        <w:pStyle w:val="54"/>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3.非原参加投标中标的项目经理负责组织施工或在实施过程违反粤建市〔2009〕8号第九条规定更换项目经理的、项目的其他主要管理人员与中标文件确定的人员不相符的；</w:t>
      </w:r>
    </w:p>
    <w:p w14:paraId="311D9E9D">
      <w:pPr>
        <w:pStyle w:val="54"/>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4.投标文件确定的大型机械设备没有进入施工现场的；</w:t>
      </w:r>
    </w:p>
    <w:p w14:paraId="416A5DDD">
      <w:pPr>
        <w:pStyle w:val="54"/>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5.建设、监理、施工等单位串通，签认虚假工程量或工程造价的；</w:t>
      </w:r>
    </w:p>
    <w:p w14:paraId="2496E11B">
      <w:pPr>
        <w:pStyle w:val="54"/>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6.施工现场管理不到位的；</w:t>
      </w:r>
    </w:p>
    <w:p w14:paraId="257C2DA9">
      <w:pPr>
        <w:pStyle w:val="54"/>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7.非本人资格证书登记所在的单位从事工程项目施工管理的；</w:t>
      </w:r>
    </w:p>
    <w:p w14:paraId="4568D4B7">
      <w:pPr>
        <w:pStyle w:val="54"/>
        <w:widowControl/>
        <w:spacing w:line="360" w:lineRule="auto"/>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8.项目经理同时承担超过一项工程项目的；</w:t>
      </w:r>
    </w:p>
    <w:p w14:paraId="050F0B44">
      <w:pPr>
        <w:pStyle w:val="54"/>
        <w:widowControl/>
        <w:spacing w:line="360" w:lineRule="auto"/>
        <w:ind w:firstLine="48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9.违反有关法律、法规、规章规定的其它行为。</w:t>
      </w:r>
    </w:p>
    <w:p w14:paraId="4EE02A84">
      <w:pPr>
        <w:pStyle w:val="54"/>
        <w:widowControl/>
        <w:spacing w:line="360" w:lineRule="auto"/>
        <w:ind w:firstLine="480"/>
        <w:jc w:val="left"/>
        <w:rPr>
          <w:rFonts w:hint="eastAsia" w:asciiTheme="minorEastAsia" w:hAnsiTheme="minorEastAsia" w:eastAsiaTheme="minorEastAsia" w:cs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8"/>
          <w:highlight w:val="none"/>
          <w14:textFill>
            <w14:solidFill>
              <w14:schemeClr w14:val="tx1"/>
            </w14:solidFill>
          </w14:textFill>
        </w:rPr>
        <w:t>3.33依据《关于印发&lt;广东省建筑工程领域工人工资支付专用账户管理办法&gt;的通知》（粤人社规[2018]14号）文件精神，中标人必须设立工人工资支付专用账户，专门用于发放作业工人工资。</w:t>
      </w:r>
      <w:bookmarkStart w:id="363" w:name="_Hlt69698776"/>
    </w:p>
    <w:p w14:paraId="67FA367E">
      <w:pPr>
        <w:pStyle w:val="36"/>
        <w:ind w:firstLine="480"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根据《韶关市建设领域施工企业工人工资支付保证金管理办法》（韶人社〔2017〕133号）文件规定，中标人中标后，应在30个日历天内按承包合同工程造价5%的比例（不超过300万元）一次性将工人工资保证金存入银行专用存款账户。逾期未交纳的，招标人将扣留与本项目工人工资保证金等额的工程款（工人工资除外），直至中标人按《韶关市建设领域施工企业工人工资支付保证金管理办法》相关文件要求缴纳工人工资保证金。在中标人未按要求缴纳工人工资保证金期间，招标人扣留的工程款将作为工人工资保证金的预备资金，招标人有权将该部分资金用于处理该项目工人工资拖欠等情况的问题。</w:t>
      </w:r>
    </w:p>
    <w:p w14:paraId="0ED1C48F">
      <w:pPr>
        <w:pStyle w:val="36"/>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3.34</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中标人在施工图设计前，要充分进行市场调查，主要材料、设备在满足设计规范及建设标准的情况下，尽量采用造价管理机构发布的信息价中有相应型号、规格的标准材料，若必须采用非标准材料的</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必须经招标人同意，否则参照信息价中相近且低于其标准的材料信息价作为该项材料的结算价。</w:t>
      </w:r>
    </w:p>
    <w:p w14:paraId="5993B0D3">
      <w:pPr>
        <w:pStyle w:val="36"/>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3.35</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中标人应按招标人提供的场地出平图先行进行场地平整。</w:t>
      </w:r>
    </w:p>
    <w:p w14:paraId="14A36D98">
      <w:pPr>
        <w:pStyle w:val="36"/>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3.36</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中标人必须根据设计施工图及现场编制施工组织设计及专项施工方案报有关部门审批。</w:t>
      </w:r>
    </w:p>
    <w:p w14:paraId="7109CA1F">
      <w:pPr>
        <w:pStyle w:val="56"/>
        <w:snapToGrid w:val="0"/>
        <w:ind w:firstLine="482" w:firstLineChars="200"/>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3.37危险性较大的分部分项工程安全管理约定</w:t>
      </w:r>
    </w:p>
    <w:p w14:paraId="559E5490">
      <w:pPr>
        <w:pStyle w:val="56"/>
        <w:wordWrap w:val="0"/>
        <w:adjustRightInd w:val="0"/>
        <w:snapToGrid w:val="0"/>
        <w:ind w:firstLine="482" w:firstLineChars="200"/>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中标人对危险性较大的工程必须按《危险性较大的分部分项工程安全管理规定》（中华人民共和国住房和城乡建设部令第37号）的规定编制专项施工方案。同时，中标人必须按照《危险性较大的分部分项工程安全管理规定》的规定和经审批的专项施工方案履行安全职责，严格执行国家、地方政府有关施工安全管理方面的法律、法规及规章制度，同时严格执行招标人制订的本项目安全生产管理方面的规章制度、安全检查程序及施工安全管理要求，以及监理人有关安全工作的指令。</w:t>
      </w:r>
    </w:p>
    <w:p w14:paraId="0560B31A">
      <w:pPr>
        <w:pStyle w:val="36"/>
        <w:ind w:firstLine="482" w:firstLineChars="200"/>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中标人应根据《危险性较大的分部分项工程安全管理规定》（住房城乡建设部令第37号）、《住房城乡建设部办公厅关于实施&lt;危险性较大的分部分项工程安全管理规定&gt;有关问题的通知》（建办质〔2018〕31号）、《广东省住房和城乡建设厅关于房屋市政工程危险性较大的分部分项工程安全管理的实施细则的通知》（粤建规范〔2019〕2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w:t>
      </w:r>
    </w:p>
    <w:p w14:paraId="74EE28CF">
      <w:pPr>
        <w:pStyle w:val="36"/>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3.38</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中标人项目经理和主要管理人员的考勤实行实名制打卡，中标人项目经理和主要管理人员的考勤若发现有弄虚作假行为，发现一次，中标人应承担一般违约责任1次。</w:t>
      </w:r>
    </w:p>
    <w:p w14:paraId="4C86ED20">
      <w:pPr>
        <w:pStyle w:val="36"/>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3.</w:t>
      </w:r>
      <w:r>
        <w:rPr>
          <w:rFonts w:hint="eastAsia" w:asciiTheme="minorEastAsia" w:hAnsiTheme="minorEastAsia" w:eastAsiaTheme="minorEastAsia" w:cstheme="minorEastAsia"/>
          <w:b/>
          <w:color w:val="000000" w:themeColor="text1"/>
          <w:highlight w:val="none"/>
          <w:shd w:val="clear" w:color="auto" w:fill="FFFFFF"/>
          <w:lang w:val="en-US" w:eastAsia="zh-CN"/>
          <w14:textFill>
            <w14:solidFill>
              <w14:schemeClr w14:val="tx1"/>
            </w14:solidFill>
          </w14:textFill>
        </w:rPr>
        <w:t xml:space="preserve">39 </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本项目在建设过程中，中标人的设计及施工的质量安全等相关实施内容要按照业主单位、发包单位的相关管理规定和质量安全考核要求，随时接受业主单位、发包单位自行或委托的第三方的监督检查及考核，中标人必须无条件配合，如中标人不配合或未通过相关的监督检查及考核，中标人须接受业主单位、发包单位的相关管理规定和处罚，并承担相应的责任。</w:t>
      </w:r>
    </w:p>
    <w:p w14:paraId="5D301C72">
      <w:pPr>
        <w:pStyle w:val="36"/>
        <w:ind w:firstLine="482" w:firstLineChars="20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3.4</w:t>
      </w:r>
      <w:r>
        <w:rPr>
          <w:rFonts w:hint="eastAsia" w:asciiTheme="minorEastAsia" w:hAnsiTheme="minorEastAsia" w:eastAsiaTheme="minorEastAsia" w:cstheme="minorEastAsia"/>
          <w:b/>
          <w:color w:val="000000" w:themeColor="text1"/>
          <w:highlight w:val="none"/>
          <w:shd w:val="clear" w:color="auto" w:fill="FFFFFF"/>
          <w:lang w:val="en-US" w:eastAsia="zh-CN"/>
          <w14:textFill>
            <w14:solidFill>
              <w14:schemeClr w14:val="tx1"/>
            </w14:solidFill>
          </w14:textFill>
        </w:rPr>
        <w:t>0</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其他事项</w:t>
      </w:r>
    </w:p>
    <w:p w14:paraId="6462C9C9">
      <w:pPr>
        <w:spacing w:line="360" w:lineRule="auto"/>
        <w:ind w:firstLine="542" w:firstLineChars="225"/>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3.4</w:t>
      </w:r>
      <w:r>
        <w:rPr>
          <w:rFonts w:hint="eastAsia" w:asciiTheme="minorEastAsia" w:hAnsiTheme="minorEastAsia" w:eastAsiaTheme="minorEastAsia" w:cstheme="minorEastAsia"/>
          <w:b/>
          <w:color w:val="000000" w:themeColor="text1"/>
          <w:highlight w:val="none"/>
          <w:shd w:val="clear" w:color="auto" w:fill="FFFFFF"/>
          <w:lang w:val="en-US" w:eastAsia="zh-CN"/>
          <w14:textFill>
            <w14:solidFill>
              <w14:schemeClr w14:val="tx1"/>
            </w14:solidFill>
          </w14:textFill>
        </w:rPr>
        <w:t>0</w:t>
      </w:r>
      <w:r>
        <w:rPr>
          <w:rFonts w:hint="eastAsia" w:asciiTheme="minorEastAsia" w:hAnsiTheme="minorEastAsia" w:eastAsiaTheme="minorEastAsia" w:cstheme="minorEastAsia"/>
          <w:b/>
          <w:color w:val="000000" w:themeColor="text1"/>
          <w:highlight w:val="none"/>
          <w:shd w:val="clear" w:color="auto" w:fill="FFFFFF"/>
          <w14:textFill>
            <w14:solidFill>
              <w14:schemeClr w14:val="tx1"/>
            </w14:solidFill>
          </w14:textFill>
        </w:rPr>
        <w:t xml:space="preserve">.1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招标文件中涉及的合同实质性内容以及拟签合同的主要条款内容、中标须知、相关附件、格式内容等为中标后拟签合同实质性内容，在订立合同时不得擅自进行更改。</w:t>
      </w:r>
    </w:p>
    <w:p w14:paraId="4904C669">
      <w:pPr>
        <w:pStyle w:val="31"/>
        <w:spacing w:line="360" w:lineRule="auto"/>
        <w:ind w:firstLine="480"/>
        <w:jc w:val="left"/>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3.4</w:t>
      </w:r>
      <w:r>
        <w:rPr>
          <w:rFonts w:hint="eastAsia" w:asciiTheme="minorEastAsia" w:hAnsiTheme="minorEastAsia" w:eastAsiaTheme="minorEastAsia" w:cstheme="minorEastAsia"/>
          <w:color w:val="000000" w:themeColor="text1"/>
          <w:sz w:val="24"/>
          <w:highlight w:val="none"/>
          <w:shd w:val="clear" w:color="auto" w:fill="FFFFFF"/>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.2</w:t>
      </w:r>
      <w:r>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t>中标人应按《关于印发&lt;</w:t>
      </w:r>
      <w:r>
        <w:rPr>
          <w:rFonts w:hint="eastAsia" w:asciiTheme="minorEastAsia" w:hAnsiTheme="minorEastAsia" w:eastAsiaTheme="minorEastAsia" w:cstheme="minorEastAsia"/>
          <w:b w:val="0"/>
          <w:snapToGrid w:val="0"/>
          <w:color w:val="000000" w:themeColor="text1"/>
          <w:kern w:val="0"/>
          <w:sz w:val="24"/>
          <w:highlight w:val="none"/>
          <w:lang w:eastAsia="zh-CN"/>
          <w14:textFill>
            <w14:solidFill>
              <w14:schemeClr w14:val="tx1"/>
            </w14:solidFill>
          </w14:textFill>
        </w:rPr>
        <w:t>南雄市</w:t>
      </w:r>
      <w:r>
        <w:rPr>
          <w:rFonts w:hint="eastAsia" w:asciiTheme="minorEastAsia" w:hAnsiTheme="minorEastAsia" w:eastAsiaTheme="minorEastAsia" w:cstheme="minorEastAsia"/>
          <w:b w:val="0"/>
          <w:snapToGrid w:val="0"/>
          <w:color w:val="000000" w:themeColor="text1"/>
          <w:kern w:val="0"/>
          <w:sz w:val="24"/>
          <w:highlight w:val="none"/>
          <w14:textFill>
            <w14:solidFill>
              <w14:schemeClr w14:val="tx1"/>
            </w14:solidFill>
          </w14:textFill>
        </w:rPr>
        <w:t>安全生产责任保险实施方案（2020-2021）年&gt;的通知》文件办理安全生产责任保险。</w:t>
      </w:r>
    </w:p>
    <w:p w14:paraId="555C4B97">
      <w:pPr>
        <w:pStyle w:val="36"/>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5B54C4CB">
      <w:pPr>
        <w:pStyle w:val="37"/>
        <w:keepNext/>
        <w:keepLines/>
        <w:tabs>
          <w:tab w:val="left" w:pos="885"/>
        </w:tabs>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44"/>
          <w:sz w:val="24"/>
          <w:highlight w:val="none"/>
          <w14:textFill>
            <w14:solidFill>
              <w14:schemeClr w14:val="tx1"/>
            </w14:solidFill>
          </w14:textFill>
        </w:rPr>
        <w:br w:type="page"/>
      </w:r>
      <w:bookmarkStart w:id="364" w:name="_Toc21424"/>
      <w:bookmarkStart w:id="365" w:name="_Toc28287"/>
      <w:bookmarkStart w:id="366" w:name="_Toc20219"/>
      <w:bookmarkStart w:id="367" w:name="_Toc24187"/>
      <w:bookmarkStart w:id="368" w:name="_Toc18638"/>
      <w:bookmarkStart w:id="369" w:name="_Toc26670"/>
      <w:bookmarkStart w:id="370" w:name="_Toc29153"/>
      <w:bookmarkStart w:id="371" w:name="_Toc25756"/>
      <w:bookmarkStart w:id="372" w:name="_Toc27728"/>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第四</w:t>
      </w:r>
      <w:bookmarkStart w:id="373" w:name="_Hlt69669176"/>
      <w:bookmarkEnd w:id="373"/>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章</w:t>
      </w:r>
      <w:bookmarkStart w:id="374" w:name="_Hlt87793847"/>
      <w:bookmarkEnd w:id="374"/>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 xml:space="preserve"> 投标人提交的其他材料</w:t>
      </w:r>
      <w:bookmarkEnd w:id="364"/>
      <w:bookmarkEnd w:id="365"/>
      <w:bookmarkEnd w:id="366"/>
      <w:bookmarkEnd w:id="367"/>
      <w:bookmarkEnd w:id="368"/>
      <w:bookmarkEnd w:id="369"/>
      <w:bookmarkEnd w:id="370"/>
      <w:bookmarkEnd w:id="371"/>
      <w:bookmarkEnd w:id="372"/>
    </w:p>
    <w:p w14:paraId="4A978215">
      <w:pPr>
        <w:pStyle w:val="36"/>
        <w:rPr>
          <w:rFonts w:hint="eastAsia" w:asciiTheme="minorEastAsia" w:hAnsiTheme="minorEastAsia" w:eastAsiaTheme="minorEastAsia" w:cstheme="minorEastAsia"/>
          <w:color w:val="000000" w:themeColor="text1"/>
          <w:highlight w:val="none"/>
          <w14:textFill>
            <w14:solidFill>
              <w14:schemeClr w14:val="tx1"/>
            </w14:solidFill>
          </w14:textFill>
        </w:rPr>
      </w:pPr>
    </w:p>
    <w:bookmarkEnd w:id="363"/>
    <w:p w14:paraId="19AA2CEA">
      <w:pPr>
        <w:pStyle w:val="3"/>
        <w:spacing w:line="360" w:lineRule="auto"/>
        <w:ind w:firstLine="241" w:firstLineChars="100"/>
        <w:outlineLvl w:val="1"/>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375" w:name="_Hlt66104911"/>
      <w:bookmarkEnd w:id="375"/>
      <w:bookmarkStart w:id="376" w:name="_Hlt66531751"/>
      <w:bookmarkEnd w:id="376"/>
      <w:bookmarkStart w:id="377" w:name="_Toc31172"/>
      <w:bookmarkStart w:id="378" w:name="_Toc1109"/>
      <w:bookmarkStart w:id="379" w:name="_Toc5994"/>
      <w:bookmarkStart w:id="380" w:name="_Toc16764"/>
      <w:bookmarkStart w:id="381" w:name="_Toc18673"/>
      <w:bookmarkStart w:id="382" w:name="_Toc5733"/>
      <w:bookmarkStart w:id="383" w:name="_Toc19932"/>
      <w:bookmarkStart w:id="384" w:name="_Toc28975"/>
      <w:bookmarkStart w:id="385" w:name="_Toc21505"/>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w:t>
      </w:r>
      <w:bookmarkStart w:id="386" w:name="_Hlt69356768"/>
      <w:bookmarkEnd w:id="386"/>
      <w:bookmarkStart w:id="387" w:name="_Hlt66677316"/>
      <w:r>
        <w:rPr>
          <w:rFonts w:hint="eastAsia" w:asciiTheme="minorEastAsia" w:hAnsiTheme="minorEastAsia" w:eastAsiaTheme="minorEastAsia" w:cstheme="minorEastAsia"/>
          <w:b/>
          <w:bCs/>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投标保证</w:t>
      </w:r>
      <w:bookmarkEnd w:id="377"/>
      <w:bookmarkEnd w:id="378"/>
      <w:bookmarkEnd w:id="379"/>
      <w:bookmarkEnd w:id="380"/>
      <w:bookmarkEnd w:id="381"/>
      <w:bookmarkEnd w:id="382"/>
      <w:bookmarkEnd w:id="383"/>
      <w:bookmarkEnd w:id="384"/>
      <w:bookmarkEnd w:id="385"/>
      <w:bookmarkEnd w:id="387"/>
    </w:p>
    <w:p w14:paraId="66682DF2">
      <w:pPr>
        <w:snapToGrid w:val="0"/>
        <w:spacing w:beforeLines="50" w:line="360" w:lineRule="auto"/>
        <w:ind w:firstLine="482"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1.1</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投标保证的形式包括投标保证金、投标保证担保、投标保证保险三种，由投标人自主选择。</w:t>
      </w:r>
    </w:p>
    <w:p w14:paraId="105C575E">
      <w:pPr>
        <w:pStyle w:val="57"/>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采用投标保证金的，投标人在建设工程交易系统获取招标文件完毕后，即可在系统申请缴纳投标保证金，获取本次招标投标保证金缴纳账号。投标人必须于投标保证金到账截止时间（见招标文件“重要事项时间地点一览表”）前，从其基本账户将投标保证金转账到指定的缴纳账号。逾期到账的、从非投标人基本账户转出的，其投标无效。</w:t>
      </w:r>
    </w:p>
    <w:p w14:paraId="7C7D7078">
      <w:pPr>
        <w:pStyle w:val="57"/>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采用投标保证担保的，投标人应提交有效的银行保函，银行保函的有效期不得短于投标有效期。投标人必须在投标保证担保截止时间（见本招标文件“重要事项时间地点一览表”）前，使用工程建设交易系统完成网上办理电子保函。</w:t>
      </w:r>
    </w:p>
    <w:p w14:paraId="7730A314">
      <w:pPr>
        <w:pStyle w:val="57"/>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采用投标保证保险的，投标人须在投标保证保险投保截止时间（见本招标文件“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D940964">
      <w:pPr>
        <w:pStyle w:val="57"/>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5D7C8DF6">
      <w:pPr>
        <w:pStyle w:val="57"/>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1.2</w:t>
      </w:r>
      <w:r>
        <w:rPr>
          <w:rFonts w:hint="eastAsia" w:asciiTheme="minorEastAsia" w:hAnsiTheme="minorEastAsia" w:eastAsiaTheme="minorEastAsia" w:cstheme="minorEastAsia"/>
          <w:color w:val="000000" w:themeColor="text1"/>
          <w:highlight w:val="none"/>
          <w14:textFill>
            <w14:solidFill>
              <w14:schemeClr w14:val="tx1"/>
            </w14:solidFill>
          </w14:textFill>
        </w:rPr>
        <w:t>投标人撤回已提交的投标文件，应当在投标截止时间前书面通知招标人。投标截止后投标人撤销投标文件的，招标人可以不退还投标保证。</w:t>
      </w:r>
    </w:p>
    <w:p w14:paraId="61CBA223">
      <w:pPr>
        <w:pStyle w:val="57"/>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1.3</w:t>
      </w:r>
      <w:r>
        <w:rPr>
          <w:rFonts w:hint="eastAsia" w:asciiTheme="minorEastAsia" w:hAnsiTheme="minorEastAsia" w:eastAsiaTheme="minorEastAsia" w:cstheme="minorEastAsia"/>
          <w:color w:val="000000" w:themeColor="text1"/>
          <w:highlight w:val="none"/>
          <w14:textFill>
            <w14:solidFill>
              <w14:schemeClr w14:val="tx1"/>
            </w14:solidFill>
          </w14:textFill>
        </w:rPr>
        <w:t>投标保证的退还方式：</w:t>
      </w:r>
    </w:p>
    <w:p w14:paraId="07FE1BBA">
      <w:pPr>
        <w:pStyle w:val="57"/>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中标候选人公示期满无异议（投诉）后，招标人确定第一中标候选人为中标人，并在中标人确定之日起7个工作日内向中标人发出中标通知书。在中标通知书发出后5个工作日内，韶关市公共资源交易中心将投标保证金（或银行保函）退还给中标候选人以外的投标人。</w:t>
      </w:r>
    </w:p>
    <w:p w14:paraId="6039B922">
      <w:pPr>
        <w:pStyle w:val="57"/>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14:paraId="07ABFB0F">
      <w:pPr>
        <w:pStyle w:val="57"/>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1.4</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投标人中标后不与招标人依据招标文件要求签订工程合同的，由建设行政主管部门按规定处理其投标保证。</w:t>
      </w:r>
    </w:p>
    <w:p w14:paraId="1A2A67A8">
      <w:pPr>
        <w:pStyle w:val="57"/>
        <w:snapToGrid w:val="0"/>
        <w:ind w:firstLine="57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1.5</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组成联合体时由联合体牵头人缴纳投标保证。</w:t>
      </w:r>
    </w:p>
    <w:p w14:paraId="50807269">
      <w:pPr>
        <w:pStyle w:val="3"/>
        <w:spacing w:line="360" w:lineRule="auto"/>
        <w:ind w:firstLine="241" w:firstLineChars="100"/>
        <w:outlineLvl w:val="1"/>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388" w:name="_Hlt87793359"/>
      <w:bookmarkEnd w:id="388"/>
      <w:bookmarkStart w:id="389" w:name="_Hlt87792499"/>
      <w:bookmarkEnd w:id="389"/>
      <w:bookmarkStart w:id="390" w:name="_Toc3284"/>
      <w:bookmarkStart w:id="391" w:name="_Toc985"/>
      <w:bookmarkStart w:id="392" w:name="_Toc20998"/>
      <w:bookmarkStart w:id="393" w:name="_Toc23304"/>
      <w:bookmarkStart w:id="394" w:name="_Toc3054"/>
      <w:bookmarkStart w:id="395" w:name="_Toc26440"/>
      <w:bookmarkStart w:id="396" w:name="_Toc10164"/>
      <w:bookmarkStart w:id="397" w:name="_Toc19536"/>
      <w:bookmarkStart w:id="398" w:name="_Toc22441"/>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履约保证金</w:t>
      </w:r>
      <w:bookmarkEnd w:id="390"/>
      <w:bookmarkEnd w:id="391"/>
      <w:bookmarkEnd w:id="392"/>
      <w:bookmarkEnd w:id="393"/>
      <w:bookmarkEnd w:id="394"/>
      <w:bookmarkEnd w:id="395"/>
      <w:bookmarkEnd w:id="396"/>
      <w:bookmarkEnd w:id="397"/>
      <w:bookmarkEnd w:id="398"/>
    </w:p>
    <w:bookmarkEnd w:id="1"/>
    <w:p w14:paraId="5CCA0AD4">
      <w:pPr>
        <w:widowControl/>
        <w:wordWrap/>
        <w:adjustRightInd/>
        <w:snapToGrid/>
        <w:spacing w:line="360" w:lineRule="auto"/>
        <w:ind w:firstLine="482" w:firstLineChars="200"/>
        <w:jc w:val="left"/>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399" w:name="_Toc466640610"/>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2.1</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中标人须在领取中标通知书之日起</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5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个工作日内、签订合同前向招标人提交金额为中标价</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u w:val="single"/>
          <w:lang w:val="en-US" w:eastAsia="zh-CN"/>
          <w14:textFill>
            <w14:solidFill>
              <w14:schemeClr w14:val="tx1"/>
            </w14:solidFill>
          </w14:textFill>
        </w:rPr>
        <w:t>3</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的履约保证。</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联合体中标的，由联合体牵头人提交。同时招标人向中标人提供合同价</w:t>
      </w:r>
      <w:r>
        <w:rPr>
          <w:rFonts w:hint="eastAsia" w:asciiTheme="minorEastAsia" w:hAnsiTheme="minorEastAsia" w:eastAsiaTheme="minorEastAsia" w:cstheme="minorEastAsia"/>
          <w:snapToGrid w:val="0"/>
          <w:color w:val="000000" w:themeColor="text1"/>
          <w:kern w:val="0"/>
          <w:szCs w:val="24"/>
          <w:highlight w:val="none"/>
          <w:u w:val="none"/>
          <w:lang w:val="en-US" w:eastAsia="zh-CN"/>
          <w14:textFill>
            <w14:solidFill>
              <w14:schemeClr w14:val="tx1"/>
            </w14:solidFill>
          </w14:textFill>
        </w:rPr>
        <w:t>3</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%的支付担保，并将工程款支付担保文书作为建设工程合同的组成部分(担保期限届至招标人支付除工程质量保修金以外的全部工程结算款项之日后</w:t>
      </w:r>
      <w:r>
        <w:rPr>
          <w:rFonts w:asciiTheme="minorEastAsia" w:hAnsiTheme="minorEastAsia" w:eastAsiaTheme="minorEastAsia" w:cstheme="minorEastAsia"/>
          <w:snapToGrid w:val="0"/>
          <w:color w:val="000000" w:themeColor="text1"/>
          <w:kern w:val="0"/>
          <w:szCs w:val="24"/>
          <w:highlight w:val="none"/>
          <w:u w:val="none"/>
          <w14:textFill>
            <w14:solidFill>
              <w14:schemeClr w14:val="tx1"/>
            </w14:solidFill>
          </w14:textFill>
        </w:rPr>
        <w:t>30</w:t>
      </w:r>
      <w:r>
        <w:rPr>
          <w:rFonts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天)。</w:t>
      </w:r>
    </w:p>
    <w:p w14:paraId="54F47084">
      <w:pPr>
        <w:widowControl/>
        <w:wordWrap/>
        <w:adjustRightInd/>
        <w:snapToGrid/>
        <w:spacing w:line="360" w:lineRule="auto"/>
        <w:ind w:firstLine="480" w:firstLineChars="200"/>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val="en-US" w:eastAsia="zh-CN" w:bidi="ar"/>
          <w14:textFill>
            <w14:solidFill>
              <w14:schemeClr w14:val="tx1"/>
            </w14:solidFill>
          </w14:textFill>
        </w:rPr>
        <w:t>注：</w:t>
      </w:r>
      <w:r>
        <w:rPr>
          <w:rFonts w:hint="eastAsia" w:asciiTheme="minorEastAsia" w:hAnsiTheme="minorEastAsia" w:eastAsiaTheme="minorEastAsia" w:cstheme="minorEastAsia"/>
          <w:i w:val="0"/>
          <w:iCs w:val="0"/>
          <w:snapToGrid w:val="0"/>
          <w:color w:val="000000" w:themeColor="text1"/>
          <w:kern w:val="0"/>
          <w:sz w:val="24"/>
          <w:szCs w:val="24"/>
          <w:highlight w:val="none"/>
          <w:lang w:val="en-US" w:eastAsia="zh-CN" w:bidi="ar"/>
          <w14:textFill>
            <w14:solidFill>
              <w14:schemeClr w14:val="tx1"/>
            </w14:solidFill>
          </w14:textFill>
        </w:rPr>
        <w:t>根据《保障农民工工资支付条例》，发包人必须落实工程款支付担保制度， 需有项目预付款。 2017 年 2 月，国务院出台《关于促进建筑业持续健康发展的意见》， 要求“严格执行工程预付款制度，及时按合同约定足额向承包单位支付预付款。通过工 程款支付担保等经济、法律手段约束建设单位履约行为，预防拖欠工程款。”</w:t>
      </w:r>
    </w:p>
    <w:p w14:paraId="4A5FE97F">
      <w:pPr>
        <w:wordWrap w:val="0"/>
        <w:adjustRightInd w:val="0"/>
        <w:snapToGrid w:val="0"/>
        <w:spacing w:line="360" w:lineRule="auto"/>
        <w:ind w:firstLine="562"/>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2.2</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asciiTheme="minorEastAsia" w:hAnsiTheme="minorEastAsia" w:eastAsiaTheme="minorEastAsia" w:cstheme="minorEastAsia"/>
          <w:snapToGrid w:val="0"/>
          <w:color w:val="000000" w:themeColor="text1"/>
          <w:kern w:val="0"/>
          <w:szCs w:val="24"/>
          <w:highlight w:val="none"/>
          <w:lang w:bidi="ar"/>
          <w14:textFill>
            <w14:solidFill>
              <w14:schemeClr w14:val="tx1"/>
            </w14:solidFill>
          </w14:textFill>
        </w:rPr>
        <w:t>中标人根据《关于统一在市公共资源交易一体化服务平台缴退工程建设项目履约保证金的通知》办理相关手续，履约保证的形式包括履约保证金、履约保证担保、履约保证保险三种，由中标人自主选择。商业保函、银行保函或保险合同（或保险单）的有效期应当自合同生效之日起至项目通过竣工验收之日后</w:t>
      </w:r>
      <w:r>
        <w:rPr>
          <w:rFonts w:hint="eastAsia" w:asciiTheme="minorEastAsia" w:hAnsiTheme="minorEastAsia" w:eastAsiaTheme="minorEastAsia" w:cstheme="minorEastAsia"/>
          <w:snapToGrid w:val="0"/>
          <w:color w:val="000000" w:themeColor="text1"/>
          <w:kern w:val="0"/>
          <w:szCs w:val="24"/>
          <w:highlight w:val="none"/>
          <w:u w:val="none"/>
          <w:lang w:bidi="ar"/>
          <w14:textFill>
            <w14:solidFill>
              <w14:schemeClr w14:val="tx1"/>
            </w14:solidFill>
          </w14:textFill>
        </w:rPr>
        <w:t>28</w:t>
      </w:r>
      <w:r>
        <w:rPr>
          <w:rFonts w:asciiTheme="minorEastAsia" w:hAnsiTheme="minorEastAsia" w:eastAsiaTheme="minorEastAsia" w:cstheme="minorEastAsia"/>
          <w:snapToGrid w:val="0"/>
          <w:color w:val="000000" w:themeColor="text1"/>
          <w:kern w:val="0"/>
          <w:szCs w:val="24"/>
          <w:highlight w:val="none"/>
          <w:lang w:bidi="ar"/>
          <w14:textFill>
            <w14:solidFill>
              <w14:schemeClr w14:val="tx1"/>
            </w14:solidFill>
          </w14:textFill>
        </w:rPr>
        <w:t>天止。</w:t>
      </w:r>
    </w:p>
    <w:p w14:paraId="66EBDFAF">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2.3</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w:t>
      </w:r>
    </w:p>
    <w:p w14:paraId="3ACC46F5">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在工程实施过程中，如果中标人（即招标阶段的中标人，下同）由于自身的资金、技术、质量、非不可抗力等原因给招标人（即招标阶段的招标人，下同）造成经济损失，扣除相应履约保证。</w:t>
      </w:r>
    </w:p>
    <w:p w14:paraId="643EEAB2">
      <w:pPr>
        <w:wordWrap w:val="0"/>
        <w:adjustRightInd w:val="0"/>
        <w:snapToGrid w:val="0"/>
        <w:spacing w:line="360" w:lineRule="auto"/>
        <w:ind w:firstLine="482"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2.5</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项目通过竣工验收之日后28天内，招标人将履约保证</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或全部履约保证金（不计算利息）</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退还给中标人。</w:t>
      </w:r>
    </w:p>
    <w:p w14:paraId="66F39DBB">
      <w:pPr>
        <w:pStyle w:val="3"/>
        <w:spacing w:line="360" w:lineRule="auto"/>
        <w:ind w:firstLine="241" w:firstLineChars="100"/>
        <w:outlineLvl w:val="1"/>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400" w:name="_Toc24561"/>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质量保证</w:t>
      </w:r>
      <w:bookmarkEnd w:id="400"/>
    </w:p>
    <w:p w14:paraId="79F6FD7D">
      <w:pPr>
        <w:wordWrap w:val="0"/>
        <w:adjustRightInd w:val="0"/>
        <w:snapToGrid w:val="0"/>
        <w:spacing w:line="360" w:lineRule="auto"/>
        <w:ind w:firstLine="56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3.1</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 xml:space="preserve"> 本工程缺陷责任期为</w:t>
      </w:r>
      <w:r>
        <w:rPr>
          <w:rFonts w:hint="eastAsia" w:asciiTheme="minorEastAsia" w:hAnsiTheme="minorEastAsia" w:eastAsiaTheme="minorEastAsia" w:cstheme="minorEastAsia"/>
          <w:bCs/>
          <w:snapToGrid w:val="0"/>
          <w:color w:val="000000" w:themeColor="text1"/>
          <w:kern w:val="0"/>
          <w:szCs w:val="24"/>
          <w:highlight w:val="none"/>
          <w:u w:val="single"/>
          <w:lang w:val="en-US" w:eastAsia="zh-CN"/>
          <w14:textFill>
            <w14:solidFill>
              <w14:schemeClr w14:val="tx1"/>
            </w14:solidFill>
          </w14:textFill>
        </w:rPr>
        <w:t>1</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年（自通过竣工验收之日起计），在此期间预留金额为结算价</w:t>
      </w:r>
      <w:r>
        <w:rPr>
          <w:rFonts w:hint="eastAsia" w:asciiTheme="minorEastAsia" w:hAnsiTheme="minorEastAsia" w:eastAsiaTheme="minorEastAsia" w:cstheme="minorEastAsia"/>
          <w:bCs/>
          <w:snapToGrid w:val="0"/>
          <w:color w:val="000000" w:themeColor="text1"/>
          <w:kern w:val="0"/>
          <w:szCs w:val="24"/>
          <w:highlight w:val="none"/>
          <w:u w:val="single"/>
          <w14:textFill>
            <w14:solidFill>
              <w14:schemeClr w14:val="tx1"/>
            </w14:solidFill>
          </w14:textFill>
        </w:rPr>
        <w:t>3%</w:t>
      </w:r>
      <w:r>
        <w:rPr>
          <w:rFonts w:hint="eastAsia" w:asciiTheme="minorEastAsia" w:hAnsiTheme="minorEastAsia" w:eastAsiaTheme="minorEastAsia" w:cstheme="minorEastAsia"/>
          <w:bCs/>
          <w:snapToGrid w:val="0"/>
          <w:color w:val="000000" w:themeColor="text1"/>
          <w:kern w:val="0"/>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的质量保证。</w:t>
      </w:r>
    </w:p>
    <w:p w14:paraId="0827A14A">
      <w:pPr>
        <w:wordWrap w:val="0"/>
        <w:adjustRightInd w:val="0"/>
        <w:snapToGrid w:val="0"/>
        <w:spacing w:line="360" w:lineRule="auto"/>
        <w:ind w:firstLine="560"/>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3.2</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 xml:space="preserve"> 质量保证的形式包括质量保证金、质量保证担保、质量保证保险三种，由中标人自主选择。</w:t>
      </w:r>
    </w:p>
    <w:p w14:paraId="1B90E0A3">
      <w:pPr>
        <w:wordWrap w:val="0"/>
        <w:adjustRightInd w:val="0"/>
        <w:snapToGrid w:val="0"/>
        <w:spacing w:line="360" w:lineRule="auto"/>
        <w:ind w:firstLine="561"/>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（1）采用质量保证金形式的，在结清审定总造价时一次性扣留相应金额作为质量保证金。</w:t>
      </w:r>
    </w:p>
    <w:p w14:paraId="5899375C">
      <w:pPr>
        <w:wordWrap w:val="0"/>
        <w:adjustRightInd w:val="0"/>
        <w:snapToGrid w:val="0"/>
        <w:spacing w:line="360" w:lineRule="auto"/>
        <w:ind w:firstLine="561"/>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（2）采用质量保证担保或质量保证保险的，中标人应在竣工验收时向招标人提交有效的银行保函原件或保险合同原件（或保险单），银行保函或保险合同原件（或保险单）的有效期不得短于缺陷责任期。</w:t>
      </w:r>
    </w:p>
    <w:p w14:paraId="2A806795">
      <w:pPr>
        <w:wordWrap w:val="0"/>
        <w:adjustRightInd w:val="0"/>
        <w:snapToGrid w:val="0"/>
        <w:spacing w:line="360" w:lineRule="auto"/>
        <w:ind w:firstLine="561"/>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3.3</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 xml:space="preserve"> 缺陷责任期内，由中标人原因造成的缺陷，中标人应负责维修，并承担鉴定及维修费用。如果中标人不维修也不承担费用，招标人可按合同约定从质量保证中扣除，维修费用超出保证金额的，招标人可按合同约定向中标人进行索赔。中标人维修并承担相应费用后，不免除对工程的损失赔偿责任。</w:t>
      </w:r>
    </w:p>
    <w:p w14:paraId="18324B43">
      <w:pPr>
        <w:wordWrap w:val="0"/>
        <w:adjustRightInd w:val="0"/>
        <w:snapToGrid w:val="0"/>
        <w:spacing w:line="360" w:lineRule="auto"/>
        <w:ind w:firstLine="561"/>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由他人原因造成的缺陷，招标人负责组织维修，中标人不承担费用，且招标人不得从质量保证中扣除费用。</w:t>
      </w:r>
    </w:p>
    <w:p w14:paraId="7148BBA8">
      <w:pPr>
        <w:wordWrap w:val="0"/>
        <w:adjustRightInd w:val="0"/>
        <w:snapToGrid w:val="0"/>
        <w:spacing w:line="360" w:lineRule="auto"/>
        <w:ind w:firstLine="561"/>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t>3.4</w:t>
      </w: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t xml:space="preserve"> 缺陷责任期内，中标人应认真履行合同约定的责任。缺陷责任期到期后，中标人向招标人申请退还质量保证，招标人应按照《建设工程质量保证金管理办法》有关规定将质量保证退还给中标人（不计息）。</w:t>
      </w:r>
    </w:p>
    <w:p w14:paraId="0859BDA5">
      <w:pP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snapToGrid w:val="0"/>
          <w:color w:val="000000" w:themeColor="text1"/>
          <w:kern w:val="0"/>
          <w:szCs w:val="24"/>
          <w:highlight w:val="none"/>
          <w14:textFill>
            <w14:solidFill>
              <w14:schemeClr w14:val="tx1"/>
            </w14:solidFill>
          </w14:textFill>
        </w:rPr>
        <w:br w:type="page"/>
      </w:r>
    </w:p>
    <w:p w14:paraId="067FC25D">
      <w:pPr>
        <w:pStyle w:val="37"/>
        <w:keepNext/>
        <w:keepLines/>
        <w:tabs>
          <w:tab w:val="left" w:pos="885"/>
        </w:tabs>
        <w:spacing w:line="240" w:lineRule="auto"/>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401" w:name="_Toc26916"/>
      <w:bookmarkStart w:id="402" w:name="_Toc22105"/>
      <w:bookmarkStart w:id="403" w:name="_Toc25046"/>
      <w:bookmarkStart w:id="404" w:name="_Toc29236"/>
      <w:bookmarkStart w:id="405" w:name="_Toc12936"/>
      <w:bookmarkStart w:id="406" w:name="_Toc31291"/>
      <w:bookmarkStart w:id="407" w:name="_Toc17661"/>
      <w:bookmarkStart w:id="408" w:name="_Toc16873"/>
      <w:bookmarkStart w:id="409" w:name="_Toc4262"/>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第五章 招标工程的技术要求</w:t>
      </w:r>
      <w:bookmarkEnd w:id="399"/>
      <w:bookmarkEnd w:id="401"/>
      <w:bookmarkEnd w:id="402"/>
      <w:bookmarkEnd w:id="403"/>
      <w:bookmarkEnd w:id="404"/>
      <w:bookmarkEnd w:id="405"/>
      <w:bookmarkEnd w:id="406"/>
      <w:bookmarkEnd w:id="407"/>
      <w:bookmarkEnd w:id="408"/>
      <w:bookmarkEnd w:id="409"/>
    </w:p>
    <w:p w14:paraId="1EE2FAAA">
      <w:pPr>
        <w:pStyle w:val="3"/>
        <w:spacing w:line="360" w:lineRule="auto"/>
        <w:ind w:firstLine="241" w:firstLineChars="100"/>
        <w:outlineLvl w:val="1"/>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pPr>
      <w:bookmarkStart w:id="410" w:name="_Hlt69265216"/>
      <w:bookmarkEnd w:id="410"/>
      <w:bookmarkStart w:id="411" w:name="_Hlt66104926"/>
      <w:bookmarkEnd w:id="411"/>
      <w:bookmarkStart w:id="412" w:name="_Hlt69358207"/>
      <w:bookmarkEnd w:id="412"/>
      <w:bookmarkStart w:id="413" w:name="_Hlt87793346"/>
      <w:bookmarkEnd w:id="413"/>
      <w:bookmarkStart w:id="414" w:name="_Hlt69116854"/>
      <w:bookmarkEnd w:id="414"/>
      <w:bookmarkStart w:id="415" w:name="_Hlt87793370"/>
      <w:bookmarkEnd w:id="415"/>
      <w:bookmarkStart w:id="416" w:name="_Hlt69357851"/>
      <w:bookmarkEnd w:id="416"/>
      <w:bookmarkStart w:id="417" w:name="_Hlt69359335"/>
      <w:bookmarkEnd w:id="417"/>
      <w:bookmarkStart w:id="418" w:name="_Hlt75685840"/>
      <w:bookmarkEnd w:id="418"/>
      <w:bookmarkStart w:id="419" w:name="_Hlt68774758"/>
      <w:bookmarkEnd w:id="419"/>
      <w:bookmarkStart w:id="420" w:name="_Hlt80411122"/>
      <w:bookmarkEnd w:id="420"/>
      <w:bookmarkStart w:id="421" w:name="_Toc21545"/>
      <w:bookmarkStart w:id="422" w:name="_Toc7837"/>
      <w:bookmarkStart w:id="423" w:name="_Toc31511"/>
      <w:bookmarkStart w:id="424" w:name="_Toc25463"/>
      <w:bookmarkStart w:id="425" w:name="_Toc1436"/>
      <w:bookmarkStart w:id="426" w:name="_Toc5215"/>
      <w:bookmarkStart w:id="427" w:name="_Toc1173"/>
      <w:bookmarkStart w:id="428" w:name="_Toc466640611"/>
      <w:bookmarkStart w:id="429" w:name="_Toc8935"/>
    </w:p>
    <w:p w14:paraId="50BE59D3">
      <w:pPr>
        <w:pStyle w:val="3"/>
        <w:spacing w:line="360" w:lineRule="auto"/>
        <w:ind w:firstLine="241" w:firstLineChars="100"/>
        <w:outlineLvl w:val="1"/>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bookmarkStart w:id="430" w:name="_Toc5947"/>
      <w:r>
        <w:rPr>
          <w:rFonts w:hint="eastAsia" w:asciiTheme="minorEastAsia" w:hAnsiTheme="minorEastAsia" w:eastAsiaTheme="minorEastAsia" w:cstheme="minorEastAsia"/>
          <w:b/>
          <w:bCs/>
          <w:color w:val="000000" w:themeColor="text1"/>
          <w:szCs w:val="22"/>
          <w:highlight w:val="none"/>
          <w:lang w:val="en-US" w:eastAsia="zh-CN"/>
          <w14:textFill>
            <w14:solidFill>
              <w14:schemeClr w14:val="tx1"/>
            </w14:solidFill>
          </w14:textFill>
        </w:rPr>
        <w:t>一</w:t>
      </w:r>
      <w:r>
        <w:rPr>
          <w:rFonts w:hint="eastAsia" w:asciiTheme="minorEastAsia" w:hAnsiTheme="minorEastAsia" w:eastAsiaTheme="minorEastAsia" w:cstheme="minorEastAsia"/>
          <w:b/>
          <w:bCs/>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工程的技术要求</w:t>
      </w:r>
      <w:bookmarkEnd w:id="421"/>
      <w:bookmarkEnd w:id="422"/>
      <w:bookmarkEnd w:id="423"/>
      <w:bookmarkEnd w:id="424"/>
      <w:bookmarkEnd w:id="425"/>
      <w:bookmarkEnd w:id="426"/>
      <w:bookmarkEnd w:id="427"/>
      <w:bookmarkEnd w:id="428"/>
      <w:bookmarkEnd w:id="429"/>
      <w:bookmarkEnd w:id="430"/>
    </w:p>
    <w:p w14:paraId="384FFE18">
      <w:pPr>
        <w:shd w:val="clear" w:color="auto" w:fill="auto"/>
        <w:tabs>
          <w:tab w:val="left" w:pos="180"/>
        </w:tabs>
        <w:snapToGrid w:val="0"/>
        <w:spacing w:line="360" w:lineRule="auto"/>
        <w:ind w:firstLine="424" w:firstLineChars="176"/>
        <w:outlineLvl w:val="2"/>
        <w:rPr>
          <w:rFonts w:hint="eastAsia" w:ascii="宋体" w:hAnsi="宋体" w:eastAsia="宋体" w:cs="宋体"/>
          <w:b/>
          <w:color w:val="000000" w:themeColor="text1"/>
          <w:kern w:val="0"/>
          <w:sz w:val="24"/>
          <w:szCs w:val="24"/>
          <w:highlight w:val="none"/>
          <w14:textFill>
            <w14:solidFill>
              <w14:schemeClr w14:val="tx1"/>
            </w14:solidFill>
          </w14:textFill>
        </w:rPr>
      </w:pPr>
      <w:bookmarkStart w:id="431" w:name="_Hlt69359243"/>
      <w:bookmarkEnd w:id="431"/>
      <w:bookmarkStart w:id="432" w:name="_Hlt69359245"/>
      <w:bookmarkEnd w:id="432"/>
      <w:bookmarkStart w:id="433" w:name="_Hlt69359086"/>
      <w:bookmarkEnd w:id="433"/>
      <w:bookmarkStart w:id="434" w:name="_Hlt69635252"/>
      <w:bookmarkEnd w:id="434"/>
      <w:bookmarkStart w:id="435" w:name="_Hlt78709799"/>
      <w:bookmarkEnd w:id="435"/>
      <w:bookmarkStart w:id="436" w:name="_Hlt69116858"/>
      <w:bookmarkEnd w:id="436"/>
      <w:bookmarkStart w:id="437" w:name="_Hlt69358458"/>
      <w:bookmarkEnd w:id="437"/>
      <w:bookmarkStart w:id="438" w:name="_Toc16151"/>
      <w:bookmarkStart w:id="439" w:name="_Toc26078"/>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b/>
          <w:color w:val="000000" w:themeColor="text1"/>
          <w:kern w:val="0"/>
          <w:sz w:val="24"/>
          <w:szCs w:val="24"/>
          <w:highlight w:val="none"/>
          <w14:textFill>
            <w14:solidFill>
              <w14:schemeClr w14:val="tx1"/>
            </w14:solidFill>
          </w14:textFill>
        </w:rPr>
        <w:t>工程设计标准规范</w:t>
      </w:r>
      <w:bookmarkEnd w:id="438"/>
      <w:bookmarkEnd w:id="439"/>
    </w:p>
    <w:p w14:paraId="0D0785F3">
      <w:pPr>
        <w:shd w:val="clear" w:color="auto" w:fill="auto"/>
        <w:spacing w:line="360" w:lineRule="auto"/>
        <w:ind w:left="547" w:leftChars="22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本工程设计必须达到且不限于以下规范的要求：</w:t>
      </w:r>
    </w:p>
    <w:p w14:paraId="3B7E1786">
      <w:pPr>
        <w:shd w:val="clear" w:color="auto" w:fill="auto"/>
        <w:spacing w:line="360" w:lineRule="auto"/>
        <w:ind w:left="547" w:leftChars="22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）《民用建筑设计通则》（GB50352-2019）；</w:t>
      </w:r>
    </w:p>
    <w:p w14:paraId="0B3E8816">
      <w:pPr>
        <w:shd w:val="clear" w:color="auto" w:fill="auto"/>
        <w:spacing w:line="360" w:lineRule="auto"/>
        <w:ind w:left="547" w:leftChars="228"/>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（2）《城市道路工程设计规范》CJJ37-2012(2016 年版)</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65DBE47">
      <w:pPr>
        <w:shd w:val="clear" w:color="auto" w:fill="auto"/>
        <w:spacing w:line="360" w:lineRule="auto"/>
        <w:ind w:left="547" w:leftChars="22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《室外排水设计规范》（GB50013-2006-2016 版）；</w:t>
      </w:r>
    </w:p>
    <w:p w14:paraId="171611BC">
      <w:pPr>
        <w:shd w:val="clear" w:color="auto" w:fill="auto"/>
        <w:spacing w:line="360" w:lineRule="auto"/>
        <w:ind w:left="547" w:leftChars="22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《污水综合排放标准》（GB8978-2015）； </w:t>
      </w:r>
    </w:p>
    <w:p w14:paraId="07DD6F8D">
      <w:pPr>
        <w:shd w:val="clear" w:color="auto" w:fill="auto"/>
        <w:spacing w:line="360" w:lineRule="auto"/>
        <w:ind w:left="547" w:leftChars="228"/>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（5）《建筑与市政工程无障碍通用规范》（GB55019-2021）</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DF87AE4">
      <w:pPr>
        <w:shd w:val="clear" w:color="auto" w:fill="auto"/>
        <w:spacing w:line="360" w:lineRule="auto"/>
        <w:ind w:left="547" w:leftChars="22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（6）《城市道路工程设计规范》CJJ37-2012(2016 年版)；</w:t>
      </w:r>
    </w:p>
    <w:p w14:paraId="6885F5BE">
      <w:pPr>
        <w:shd w:val="clear" w:color="auto" w:fill="auto"/>
        <w:spacing w:line="360" w:lineRule="auto"/>
        <w:ind w:left="547" w:leftChars="22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《镇(乡)村排水工程技术规程》（CJJ124-2008）</w:t>
      </w:r>
      <w:r>
        <w:rPr>
          <w:rFonts w:hint="eastAsia" w:ascii="宋体" w:hAnsi="宋体" w:eastAsia="宋体" w:cs="宋体"/>
          <w:color w:val="000000" w:themeColor="text1"/>
          <w:sz w:val="24"/>
          <w:szCs w:val="24"/>
          <w:highlight w:val="none"/>
          <w14:textFill>
            <w14:solidFill>
              <w14:schemeClr w14:val="tx1"/>
            </w14:solidFill>
          </w14:textFill>
        </w:rPr>
        <w:t>；</w:t>
      </w:r>
    </w:p>
    <w:p w14:paraId="31EB546F">
      <w:pPr>
        <w:shd w:val="clear" w:color="auto" w:fill="auto"/>
        <w:spacing w:line="360" w:lineRule="auto"/>
        <w:ind w:left="547" w:leftChars="22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《公共建筑节能设计标准》（GB 50189-2015）；</w:t>
      </w:r>
    </w:p>
    <w:p w14:paraId="3CF968DF">
      <w:pPr>
        <w:shd w:val="clear" w:color="auto" w:fill="auto"/>
        <w:spacing w:line="360" w:lineRule="auto"/>
        <w:ind w:left="547" w:leftChars="228"/>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《火灾自动报警系统设计规范》（GB50116-2013）</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1B58AC85">
      <w:pPr>
        <w:shd w:val="clear" w:color="auto" w:fill="auto"/>
        <w:spacing w:line="360" w:lineRule="auto"/>
        <w:ind w:left="547" w:leftChars="22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《建筑给排水设计规范》（GB50015-2019）；</w:t>
      </w:r>
    </w:p>
    <w:p w14:paraId="3B527684">
      <w:pPr>
        <w:shd w:val="clear" w:color="auto" w:fill="auto"/>
        <w:spacing w:line="360" w:lineRule="auto"/>
        <w:ind w:left="547" w:leftChars="228"/>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国家、行业及韶关市地方先行的相关标准及规范。</w:t>
      </w:r>
    </w:p>
    <w:p w14:paraId="78A86D7F">
      <w:pPr>
        <w:wordWrap w:val="0"/>
        <w:adjustRightInd w:val="0"/>
        <w:snapToGrid w:val="0"/>
        <w:spacing w:line="440" w:lineRule="exact"/>
        <w:ind w:left="420"/>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注：以上设计规范或规定如有更新，则以更新后的规范及规定为准</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w:t>
      </w:r>
    </w:p>
    <w:p w14:paraId="5555A85F">
      <w:pPr>
        <w:pStyle w:val="7"/>
        <w:rPr>
          <w:rFonts w:hint="eastAsia" w:ascii="宋体" w:hAnsi="宋体" w:eastAsia="宋体" w:cs="宋体"/>
          <w:color w:val="000000" w:themeColor="text1"/>
          <w:sz w:val="24"/>
          <w:szCs w:val="24"/>
          <w:highlight w:val="none"/>
          <w14:textFill>
            <w14:solidFill>
              <w14:schemeClr w14:val="tx1"/>
            </w14:solidFill>
          </w14:textFill>
        </w:rPr>
      </w:pPr>
    </w:p>
    <w:p w14:paraId="2607AC9E">
      <w:pPr>
        <w:pStyle w:val="6"/>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bookmarkStart w:id="440" w:name="_Toc28294"/>
      <w:bookmarkStart w:id="441" w:name="_Toc25668"/>
      <w:r>
        <w:rPr>
          <w:rFonts w:hint="eastAsia" w:ascii="宋体" w:hAnsi="宋体" w:eastAsia="宋体" w:cs="宋体"/>
          <w:b/>
          <w:bCs/>
          <w:color w:val="000000" w:themeColor="text1"/>
          <w:sz w:val="24"/>
          <w:szCs w:val="24"/>
          <w:highlight w:val="none"/>
          <w14:textFill>
            <w14:solidFill>
              <w14:schemeClr w14:val="tx1"/>
            </w14:solidFill>
          </w14:textFill>
        </w:rPr>
        <w:t>2.施工规范</w:t>
      </w:r>
      <w:bookmarkEnd w:id="440"/>
      <w:bookmarkEnd w:id="441"/>
    </w:p>
    <w:p w14:paraId="6072678E">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w:t>
      </w:r>
      <w:r>
        <w:rPr>
          <w:rFonts w:hint="eastAsia" w:ascii="宋体" w:hAnsi="宋体" w:eastAsia="宋体" w:cs="宋体"/>
          <w:color w:val="000000" w:themeColor="text1"/>
          <w:sz w:val="24"/>
          <w:szCs w:val="24"/>
          <w:highlight w:val="none"/>
          <w14:textFill>
            <w14:solidFill>
              <w14:schemeClr w14:val="tx1"/>
            </w14:solidFill>
          </w14:textFill>
        </w:rPr>
        <w:t>．市政基础设施工程建设项目</w:t>
      </w:r>
    </w:p>
    <w:p w14:paraId="7FF27679">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市政基础设施工程建设项目必须执行的现行技术规范，包括且不限于：</w:t>
      </w:r>
    </w:p>
    <w:p w14:paraId="3C0A1A1D">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（1）《公路路基施工技术规范》；</w:t>
      </w:r>
    </w:p>
    <w:p w14:paraId="5EF3111A">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（2）《市政道路工程质量检验评定标准》；</w:t>
      </w:r>
    </w:p>
    <w:p w14:paraId="31097D51">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（3）《市政排水管渠工程质量检验评定标准》；</w:t>
      </w:r>
    </w:p>
    <w:p w14:paraId="1F583EFF">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（4）《给水排水管道工程施工及验收规范》；</w:t>
      </w:r>
    </w:p>
    <w:p w14:paraId="1EF238C8">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（5）《城市道路路基工程施工及验收规范》；</w:t>
      </w:r>
    </w:p>
    <w:p w14:paraId="46A507FA">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（6）《水泥砼路面施工及验收规范》；</w:t>
      </w:r>
    </w:p>
    <w:p w14:paraId="1E6D3761">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（7）《公路水泥砼路面施工技术规范》；</w:t>
      </w:r>
    </w:p>
    <w:p w14:paraId="74AFB81B">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（8）《埋地硬聚氯乙烯排水管道工程技术规程》；</w:t>
      </w:r>
    </w:p>
    <w:p w14:paraId="7706410A">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（9）《沥青路面施工及验收规范》；</w:t>
      </w:r>
    </w:p>
    <w:p w14:paraId="0D19C91F">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（10）《广东省市政工程施工质量技术资料统一用表》。</w:t>
      </w:r>
    </w:p>
    <w:p w14:paraId="23CD1CF7">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（11）《城市道路照明设计标准》（CJJ45-2015）；</w:t>
      </w:r>
    </w:p>
    <w:p w14:paraId="5E1D0379">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（12）《低压配电设计规范》（GB50054-2011）；</w:t>
      </w:r>
    </w:p>
    <w:p w14:paraId="50CFF7EC">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（13）《城市道路照明工程施工及验收规程》（CJJ89-2012）；</w:t>
      </w:r>
    </w:p>
    <w:p w14:paraId="677B31BD">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（14）《LED道路照明工程技术规范》（DB44/T 1898-2016）；</w:t>
      </w:r>
    </w:p>
    <w:p w14:paraId="5E8B5F9E">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（15）《灯具第1部分：一般要求与试验》（GB7000.1-2015）；</w:t>
      </w:r>
    </w:p>
    <w:p w14:paraId="33FE8B0C">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（16）《电缆工程电缆设计标准》（GB50217-2018）；</w:t>
      </w:r>
    </w:p>
    <w:p w14:paraId="08D74C60">
      <w:pPr>
        <w:pStyle w:val="6"/>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（17）其他现行国家、广东省关于市政工程的技术及验收规范、定额、规程、标准。</w:t>
      </w:r>
    </w:p>
    <w:p w14:paraId="14585D2D">
      <w:pPr>
        <w:pStyle w:val="3"/>
        <w:wordWrap w:val="0"/>
        <w:autoSpaceDE/>
        <w:autoSpaceDN/>
        <w:snapToGrid w:val="0"/>
        <w:spacing w:line="440" w:lineRule="exact"/>
        <w:ind w:firstLine="480"/>
        <w:jc w:val="both"/>
        <w:rPr>
          <w:rFonts w:hint="eastAsia" w:ascii="宋体" w:hAnsi="宋体" w:eastAsia="宋体" w:cs="宋体"/>
          <w:b/>
          <w:snapToGrid w:val="0"/>
          <w:color w:val="000000" w:themeColor="text1"/>
          <w:sz w:val="24"/>
          <w:szCs w:val="24"/>
          <w:highlight w:val="none"/>
          <w14:textFill>
            <w14:solidFill>
              <w14:schemeClr w14:val="tx1"/>
            </w14:solidFill>
          </w14:textFill>
        </w:rPr>
      </w:pPr>
      <w:bookmarkStart w:id="442" w:name="_Toc2849"/>
      <w:bookmarkStart w:id="443" w:name="_Toc30285"/>
      <w:bookmarkStart w:id="444" w:name="_Toc28818"/>
      <w:bookmarkStart w:id="445" w:name="_Toc31093"/>
      <w:bookmarkStart w:id="446" w:name="_Toc7299"/>
      <w:r>
        <w:rPr>
          <w:rFonts w:hint="eastAsia" w:ascii="宋体" w:hAnsi="宋体" w:eastAsia="宋体" w:cs="宋体"/>
          <w:b/>
          <w:snapToGrid w:val="0"/>
          <w:color w:val="000000" w:themeColor="text1"/>
          <w:sz w:val="24"/>
          <w:szCs w:val="24"/>
          <w:highlight w:val="none"/>
          <w14:textFill>
            <w14:solidFill>
              <w14:schemeClr w14:val="tx1"/>
            </w14:solidFill>
          </w14:textFill>
        </w:rPr>
        <w:t>3．备查要求</w:t>
      </w:r>
      <w:bookmarkEnd w:id="442"/>
      <w:bookmarkEnd w:id="443"/>
      <w:bookmarkEnd w:id="444"/>
      <w:bookmarkEnd w:id="445"/>
      <w:bookmarkEnd w:id="446"/>
    </w:p>
    <w:p w14:paraId="3FABABE2">
      <w:pPr>
        <w:tabs>
          <w:tab w:val="left" w:pos="0"/>
        </w:tabs>
        <w:wordWrap w:val="0"/>
        <w:adjustRightInd w:val="0"/>
        <w:snapToGrid w:val="0"/>
        <w:ind w:firstLine="480" w:firstLineChars="200"/>
        <w:jc w:val="left"/>
        <w:rPr>
          <w:rFonts w:hint="eastAsia" w:ascii="宋体" w:hAnsi="宋体" w:eastAsia="宋体" w:cs="宋体"/>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承包</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人必须在施工现场准备至少一套上述规范，</w:t>
      </w:r>
      <w:r>
        <w:rPr>
          <w:rFonts w:hint="eastAsia" w:ascii="宋体" w:hAnsi="宋体" w:eastAsia="宋体" w:cs="宋体"/>
          <w:snapToGrid w:val="0"/>
          <w:color w:val="000000" w:themeColor="text1"/>
          <w:kern w:val="0"/>
          <w:sz w:val="24"/>
          <w:szCs w:val="24"/>
          <w:highlight w:val="none"/>
          <w14:textFill>
            <w14:solidFill>
              <w14:schemeClr w14:val="tx1"/>
            </w14:solidFill>
          </w14:textFill>
        </w:rPr>
        <w:t>发包</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人和监理单位可随时检查</w:t>
      </w:r>
      <w:r>
        <w:rPr>
          <w:rFonts w:hint="eastAsia" w:ascii="宋体" w:hAnsi="宋体" w:eastAsia="宋体" w:cs="宋体"/>
          <w:snapToGrid w:val="0"/>
          <w:color w:val="000000" w:themeColor="text1"/>
          <w:kern w:val="0"/>
          <w:sz w:val="24"/>
          <w:szCs w:val="24"/>
          <w:highlight w:val="none"/>
          <w14:textFill>
            <w14:solidFill>
              <w14:schemeClr w14:val="tx1"/>
            </w14:solidFill>
          </w14:textFill>
        </w:rPr>
        <w:t>承包</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人的上述规范，并监督</w:t>
      </w:r>
      <w:r>
        <w:rPr>
          <w:rFonts w:hint="eastAsia" w:ascii="宋体" w:hAnsi="宋体" w:eastAsia="宋体" w:cs="宋体"/>
          <w:snapToGrid w:val="0"/>
          <w:color w:val="000000" w:themeColor="text1"/>
          <w:kern w:val="0"/>
          <w:sz w:val="24"/>
          <w:szCs w:val="24"/>
          <w:highlight w:val="none"/>
          <w14:textFill>
            <w14:solidFill>
              <w14:schemeClr w14:val="tx1"/>
            </w14:solidFill>
          </w14:textFill>
        </w:rPr>
        <w:t>承包</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人按规范要求执行。</w:t>
      </w:r>
    </w:p>
    <w:p w14:paraId="31099066">
      <w:pPr>
        <w:spacing w:line="360" w:lineRule="auto"/>
        <w:outlineLvl w:val="9"/>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bookmarkStart w:id="447" w:name="_Toc466640612"/>
    </w:p>
    <w:bookmarkEnd w:id="447"/>
    <w:p w14:paraId="05F1A1F6">
      <w:pPr>
        <w:pStyle w:val="6"/>
        <w:spacing w:line="360" w:lineRule="auto"/>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448" w:name="_Hlt69670335"/>
      <w:bookmarkEnd w:id="448"/>
    </w:p>
    <w:p w14:paraId="7E591EE9">
      <w:pPr>
        <w:rPr>
          <w:rFonts w:hint="eastAsia"/>
          <w:color w:val="000000" w:themeColor="text1"/>
          <w:highlight w:val="none"/>
          <w14:textFill>
            <w14:solidFill>
              <w14:schemeClr w14:val="tx1"/>
            </w14:solidFill>
          </w14:textFill>
        </w:rPr>
      </w:pPr>
      <w:bookmarkStart w:id="449" w:name="_Toc27843"/>
      <w:bookmarkStart w:id="450" w:name="_Toc12955"/>
      <w:bookmarkStart w:id="451" w:name="_Toc466640614"/>
      <w:bookmarkStart w:id="452" w:name="_Toc6133"/>
      <w:bookmarkStart w:id="453" w:name="_Toc5422"/>
      <w:bookmarkStart w:id="454" w:name="_Toc1911"/>
      <w:bookmarkStart w:id="455" w:name="_Toc16295"/>
      <w:bookmarkStart w:id="456" w:name="_Toc23899"/>
      <w:bookmarkStart w:id="457" w:name="_Toc5639"/>
      <w:bookmarkStart w:id="458" w:name="_Hlt69698785"/>
    </w:p>
    <w:p w14:paraId="2F59520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08F26BAF">
      <w:pPr>
        <w:pStyle w:val="5"/>
        <w:rPr>
          <w:rFonts w:hint="eastAsia"/>
          <w:color w:val="000000" w:themeColor="text1"/>
          <w:highlight w:val="none"/>
          <w14:textFill>
            <w14:solidFill>
              <w14:schemeClr w14:val="tx1"/>
            </w14:solidFill>
          </w14:textFill>
        </w:rPr>
      </w:pPr>
    </w:p>
    <w:bookmarkEnd w:id="449"/>
    <w:bookmarkEnd w:id="450"/>
    <w:bookmarkEnd w:id="451"/>
    <w:bookmarkEnd w:id="452"/>
    <w:bookmarkEnd w:id="453"/>
    <w:bookmarkEnd w:id="454"/>
    <w:bookmarkEnd w:id="455"/>
    <w:bookmarkEnd w:id="456"/>
    <w:bookmarkEnd w:id="457"/>
    <w:p w14:paraId="0BAE96FA">
      <w:pPr>
        <w:pStyle w:val="37"/>
        <w:keepNext/>
        <w:keepLines/>
        <w:tabs>
          <w:tab w:val="left" w:pos="885"/>
        </w:tabs>
        <w:spacing w:line="240" w:lineRule="auto"/>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459" w:name="_Toc10156"/>
      <w:r>
        <w:rPr>
          <w:rFonts w:hint="eastAsia" w:asciiTheme="minorEastAsia" w:hAnsiTheme="minorEastAsia" w:eastAsiaTheme="minorEastAsia" w:cstheme="minorEastAsia"/>
          <w:b/>
          <w:color w:val="000000" w:themeColor="text1"/>
          <w:kern w:val="44"/>
          <w:sz w:val="36"/>
          <w:szCs w:val="36"/>
          <w:highlight w:val="none"/>
          <w:lang w:val="en-US" w:eastAsia="zh-CN"/>
          <w14:textFill>
            <w14:solidFill>
              <w14:schemeClr w14:val="tx1"/>
            </w14:solidFill>
          </w14:textFill>
        </w:rPr>
        <w:t xml:space="preserve">第六章  </w:t>
      </w:r>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招标文件</w:t>
      </w:r>
      <w:bookmarkStart w:id="460" w:name="_Hlt75747044"/>
      <w:bookmarkEnd w:id="460"/>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的附件</w:t>
      </w:r>
      <w:bookmarkEnd w:id="459"/>
    </w:p>
    <w:p w14:paraId="4A3E66F5">
      <w:pPr>
        <w:rPr>
          <w:rFonts w:hint="eastAsia" w:asciiTheme="minorEastAsia" w:hAnsiTheme="minorEastAsia" w:eastAsiaTheme="minorEastAsia" w:cstheme="minorEastAsia"/>
          <w:color w:val="000000" w:themeColor="text1"/>
          <w:highlight w:val="none"/>
          <w14:textFill>
            <w14:solidFill>
              <w14:schemeClr w14:val="tx1"/>
            </w14:solidFill>
          </w14:textFill>
        </w:rPr>
      </w:pPr>
    </w:p>
    <w:bookmarkEnd w:id="458"/>
    <w:p w14:paraId="695B4F72">
      <w:pPr>
        <w:pStyle w:val="3"/>
        <w:spacing w:before="120"/>
        <w:jc w:val="left"/>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pPr>
      <w:bookmarkStart w:id="461" w:name="_附件五：综合评审合理低价法"/>
      <w:bookmarkEnd w:id="461"/>
      <w:bookmarkStart w:id="462" w:name="_附件四：工期承诺书"/>
      <w:bookmarkEnd w:id="462"/>
      <w:bookmarkStart w:id="463" w:name="_附件一：对招标文件条款自愿接受承诺书"/>
      <w:bookmarkEnd w:id="463"/>
      <w:bookmarkStart w:id="464" w:name="_附件一：投标函"/>
      <w:bookmarkEnd w:id="464"/>
      <w:bookmarkStart w:id="465" w:name="_附件二：工期承诺书"/>
      <w:bookmarkEnd w:id="465"/>
      <w:bookmarkStart w:id="466" w:name="_附件二：近三年度主要施工项目（竣工及在建）一览表"/>
      <w:bookmarkEnd w:id="466"/>
      <w:bookmarkStart w:id="467" w:name="_Toc3855"/>
      <w:bookmarkStart w:id="468" w:name="_Toc2902"/>
      <w:bookmarkStart w:id="469" w:name="_Toc39136360"/>
      <w:bookmarkStart w:id="470" w:name="_Toc6252"/>
      <w:bookmarkStart w:id="471" w:name="_Toc12527"/>
      <w:bookmarkStart w:id="472" w:name="_Toc12406"/>
      <w:bookmarkStart w:id="473" w:name="_Toc142468134"/>
      <w:bookmarkStart w:id="474" w:name="_Toc133160683"/>
      <w:bookmarkStart w:id="475" w:name="_Toc137444778"/>
      <w:bookmarkStart w:id="476" w:name="_Toc132687128"/>
      <w:bookmarkStart w:id="477" w:name="_Toc78794873"/>
      <w:bookmarkStart w:id="478" w:name="_Toc133815902"/>
      <w:r>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t>格式一 封面</w:t>
      </w:r>
      <w:bookmarkEnd w:id="467"/>
      <w:bookmarkEnd w:id="468"/>
      <w:bookmarkEnd w:id="469"/>
      <w:bookmarkEnd w:id="470"/>
      <w:bookmarkEnd w:id="471"/>
      <w:bookmarkEnd w:id="472"/>
    </w:p>
    <w:p w14:paraId="38EBFF1A">
      <w:pPr>
        <w:pStyle w:val="47"/>
        <w:widowControl w:val="0"/>
        <w:wordWrap w:val="0"/>
        <w:adjustRightInd w:val="0"/>
        <w:snapToGrid w:val="0"/>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pPr>
    </w:p>
    <w:p w14:paraId="60F35822">
      <w:pPr>
        <w:pStyle w:val="47"/>
        <w:widowControl w:val="0"/>
        <w:wordWrap w:val="0"/>
        <w:adjustRightInd w:val="0"/>
        <w:snapToGrid w:val="0"/>
        <w:jc w:val="right"/>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pPr>
    </w:p>
    <w:p w14:paraId="31F0A621">
      <w:pPr>
        <w:pStyle w:val="47"/>
        <w:widowControl w:val="0"/>
        <w:wordWrap w:val="0"/>
        <w:adjustRightInd w:val="0"/>
        <w:snapToGrid w:val="0"/>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pPr>
    </w:p>
    <w:p w14:paraId="306826E3">
      <w:pPr>
        <w:pStyle w:val="47"/>
        <w:widowControl w:val="0"/>
        <w:wordWrap w:val="0"/>
        <w:adjustRightInd w:val="0"/>
        <w:snapToGrid w:val="0"/>
        <w:ind w:firstLine="0"/>
        <w:rPr>
          <w:rFonts w:hint="eastAsia" w:asciiTheme="minorEastAsia" w:hAnsiTheme="minorEastAsia" w:eastAsiaTheme="minorEastAsia" w:cstheme="minorEastAsia"/>
          <w:b/>
          <w:snapToGrid w:val="0"/>
          <w:color w:val="000000" w:themeColor="text1"/>
          <w:sz w:val="24"/>
          <w:highlight w:val="none"/>
          <w14:textFill>
            <w14:solidFill>
              <w14:schemeClr w14:val="tx1"/>
            </w14:solidFill>
          </w14:textFill>
        </w:rPr>
      </w:pPr>
      <w:bookmarkStart w:id="479" w:name="_Hlt68774664"/>
      <w:bookmarkEnd w:id="479"/>
      <w:bookmarkStart w:id="480" w:name="_附件十：单项工程费汇总表"/>
      <w:bookmarkEnd w:id="480"/>
      <w:bookmarkStart w:id="481" w:name="_Hlt69116778"/>
      <w:bookmarkEnd w:id="481"/>
      <w:bookmarkStart w:id="482" w:name="_附件二十五：综合评审合理低价法"/>
      <w:bookmarkEnd w:id="482"/>
      <w:bookmarkStart w:id="483" w:name="_附件二十四：技术标提问单"/>
      <w:bookmarkEnd w:id="483"/>
      <w:bookmarkStart w:id="484" w:name="_Toc15791"/>
      <w:bookmarkStart w:id="485" w:name="_Toc39136361"/>
      <w:bookmarkStart w:id="486" w:name="_Toc26795"/>
      <w:bookmarkStart w:id="487" w:name="_Toc28483"/>
      <w:bookmarkStart w:id="488" w:name="_Toc5872"/>
      <w:bookmarkStart w:id="489" w:name="_Toc106418843"/>
      <w:bookmarkStart w:id="490" w:name="_Toc66849200"/>
      <w:bookmarkStart w:id="491" w:name="_Toc104711098"/>
      <w:bookmarkStart w:id="492" w:name="_Hlt66847557"/>
      <w:bookmarkStart w:id="493" w:name="_Toc466640620"/>
    </w:p>
    <w:p w14:paraId="40A2918D">
      <w:pPr>
        <w:pStyle w:val="47"/>
        <w:widowControl w:val="0"/>
        <w:wordWrap w:val="0"/>
        <w:adjustRightInd w:val="0"/>
        <w:snapToGrid w:val="0"/>
        <w:rPr>
          <w:rFonts w:hint="eastAsia" w:asciiTheme="minorEastAsia" w:hAnsiTheme="minorEastAsia" w:eastAsiaTheme="minorEastAsia" w:cstheme="minorEastAsia"/>
          <w:b/>
          <w:snapToGrid w:val="0"/>
          <w:color w:val="000000" w:themeColor="text1"/>
          <w:sz w:val="24"/>
          <w:highlight w:val="none"/>
          <w14:textFill>
            <w14:solidFill>
              <w14:schemeClr w14:val="tx1"/>
            </w14:solidFill>
          </w14:textFill>
        </w:rPr>
      </w:pPr>
    </w:p>
    <w:p w14:paraId="7CAE7B27">
      <w:pPr>
        <w:pStyle w:val="47"/>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48"/>
          <w:szCs w:val="48"/>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sz w:val="48"/>
          <w:szCs w:val="48"/>
          <w:highlight w:val="none"/>
          <w:u w:val="single"/>
          <w14:textFill>
            <w14:solidFill>
              <w14:schemeClr w14:val="tx1"/>
            </w14:solidFill>
          </w14:textFill>
        </w:rPr>
        <w:t xml:space="preserve">（项目名称）   </w:t>
      </w:r>
      <w:r>
        <w:rPr>
          <w:rFonts w:hint="eastAsia" w:asciiTheme="minorEastAsia" w:hAnsiTheme="minorEastAsia" w:eastAsiaTheme="minorEastAsia" w:cstheme="minorEastAsia"/>
          <w:b/>
          <w:snapToGrid w:val="0"/>
          <w:color w:val="000000" w:themeColor="text1"/>
          <w:sz w:val="48"/>
          <w:szCs w:val="48"/>
          <w:highlight w:val="none"/>
          <w14:textFill>
            <w14:solidFill>
              <w14:schemeClr w14:val="tx1"/>
            </w14:solidFill>
          </w14:textFill>
        </w:rPr>
        <w:t>招标</w:t>
      </w:r>
    </w:p>
    <w:p w14:paraId="1F094AC6">
      <w:pPr>
        <w:pStyle w:val="47"/>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1271A314">
      <w:pPr>
        <w:pStyle w:val="47"/>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773F440A">
      <w:pPr>
        <w:pStyle w:val="47"/>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70FED27C">
      <w:pPr>
        <w:pStyle w:val="47"/>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6021F149">
      <w:pPr>
        <w:pStyle w:val="47"/>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72"/>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sz w:val="72"/>
          <w:highlight w:val="none"/>
          <w14:textFill>
            <w14:solidFill>
              <w14:schemeClr w14:val="tx1"/>
            </w14:solidFill>
          </w14:textFill>
        </w:rPr>
        <w:t>投  标  文  件</w:t>
      </w:r>
    </w:p>
    <w:p w14:paraId="34E6046F">
      <w:pPr>
        <w:pStyle w:val="47"/>
        <w:widowControl w:val="0"/>
        <w:wordWrap w:val="0"/>
        <w:adjustRightInd w:val="0"/>
        <w:snapToGrid w:val="0"/>
        <w:ind w:firstLine="0"/>
        <w:jc w:val="center"/>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73C06724">
      <w:pPr>
        <w:pStyle w:val="47"/>
        <w:widowControl w:val="0"/>
        <w:wordWrap w:val="0"/>
        <w:adjustRightInd w:val="0"/>
        <w:snapToGrid w:val="0"/>
        <w:ind w:firstLine="0"/>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25DD5413">
      <w:pPr>
        <w:pStyle w:val="47"/>
        <w:widowControl w:val="0"/>
        <w:wordWrap w:val="0"/>
        <w:adjustRightInd w:val="0"/>
        <w:snapToGrid w:val="0"/>
        <w:ind w:firstLine="0"/>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4D8E4B58">
      <w:pPr>
        <w:pStyle w:val="47"/>
        <w:widowControl w:val="0"/>
        <w:wordWrap w:val="0"/>
        <w:adjustRightInd w:val="0"/>
        <w:snapToGrid w:val="0"/>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4581AE92">
      <w:pPr>
        <w:pStyle w:val="47"/>
        <w:widowControl w:val="0"/>
        <w:wordWrap w:val="0"/>
        <w:adjustRightInd w:val="0"/>
        <w:snapToGrid w:val="0"/>
        <w:rPr>
          <w:rFonts w:hint="eastAsia" w:asciiTheme="minorEastAsia" w:hAnsiTheme="minorEastAsia" w:eastAsiaTheme="minorEastAsia" w:cstheme="minorEastAsia"/>
          <w:b/>
          <w:snapToGrid w:val="0"/>
          <w:color w:val="000000" w:themeColor="text1"/>
          <w:sz w:val="32"/>
          <w:highlight w:val="none"/>
          <w14:textFill>
            <w14:solidFill>
              <w14:schemeClr w14:val="tx1"/>
            </w14:solidFill>
          </w14:textFill>
        </w:rPr>
      </w:pPr>
    </w:p>
    <w:p w14:paraId="1D2843F0">
      <w:pPr>
        <w:pStyle w:val="47"/>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r>
        <w:rPr>
          <w:rFonts w:hint="eastAsia" w:hAnsi="宋体" w:eastAsia="宋体" w:cs="宋体"/>
          <w:bCs/>
          <w:snapToGrid w:val="0"/>
          <w:color w:val="000000" w:themeColor="text1"/>
          <w:sz w:val="32"/>
          <w:highlight w:val="none"/>
          <w14:textFill>
            <w14:solidFill>
              <w14:schemeClr w14:val="tx1"/>
            </w14:solidFill>
          </w14:textFill>
        </w:rPr>
        <w:t>投标人：</w:t>
      </w:r>
      <w:r>
        <w:rPr>
          <w:rFonts w:hint="eastAsia" w:hAnsi="宋体" w:eastAsia="宋体" w:cs="宋体"/>
          <w:bCs/>
          <w:snapToGrid w:val="0"/>
          <w:color w:val="000000" w:themeColor="text1"/>
          <w:sz w:val="32"/>
          <w:highlight w:val="none"/>
          <w:u w:val="single"/>
          <w14:textFill>
            <w14:solidFill>
              <w14:schemeClr w14:val="tx1"/>
            </w14:solidFill>
          </w14:textFill>
        </w:rPr>
        <w:t xml:space="preserve">                                    </w:t>
      </w:r>
      <w:r>
        <w:rPr>
          <w:rFonts w:hint="eastAsia" w:hAnsi="宋体" w:eastAsia="宋体" w:cs="宋体"/>
          <w:bCs/>
          <w:snapToGrid w:val="0"/>
          <w:color w:val="000000" w:themeColor="text1"/>
          <w:sz w:val="32"/>
          <w:highlight w:val="none"/>
          <w14:textFill>
            <w14:solidFill>
              <w14:schemeClr w14:val="tx1"/>
            </w14:solidFill>
          </w14:textFill>
        </w:rPr>
        <w:t>（盖单位章）</w:t>
      </w:r>
    </w:p>
    <w:p w14:paraId="1C895DBE">
      <w:pPr>
        <w:pStyle w:val="47"/>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p>
    <w:p w14:paraId="5ADD4FE5">
      <w:pPr>
        <w:pStyle w:val="47"/>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p>
    <w:p w14:paraId="5A2BC09B">
      <w:pPr>
        <w:pStyle w:val="47"/>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p>
    <w:p w14:paraId="47F0C4EF">
      <w:pPr>
        <w:pStyle w:val="47"/>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r>
        <w:rPr>
          <w:rFonts w:hint="eastAsia" w:hAnsi="宋体" w:eastAsia="宋体" w:cs="宋体"/>
          <w:bCs/>
          <w:snapToGrid w:val="0"/>
          <w:color w:val="000000" w:themeColor="text1"/>
          <w:sz w:val="32"/>
          <w:highlight w:val="none"/>
          <w14:textFill>
            <w14:solidFill>
              <w14:schemeClr w14:val="tx1"/>
            </w14:solidFill>
          </w14:textFill>
        </w:rPr>
        <w:t>法定代表人或其委托代理人：</w:t>
      </w:r>
      <w:r>
        <w:rPr>
          <w:rFonts w:hint="eastAsia" w:hAnsi="宋体" w:eastAsia="宋体" w:cs="宋体"/>
          <w:bCs/>
          <w:snapToGrid w:val="0"/>
          <w:color w:val="000000" w:themeColor="text1"/>
          <w:sz w:val="32"/>
          <w:highlight w:val="none"/>
          <w:u w:val="single"/>
          <w14:textFill>
            <w14:solidFill>
              <w14:schemeClr w14:val="tx1"/>
            </w14:solidFill>
          </w14:textFill>
        </w:rPr>
        <w:t xml:space="preserve">                 </w:t>
      </w:r>
      <w:r>
        <w:rPr>
          <w:rFonts w:hint="eastAsia" w:hAnsi="宋体" w:eastAsia="宋体" w:cs="宋体"/>
          <w:bCs/>
          <w:snapToGrid w:val="0"/>
          <w:color w:val="000000" w:themeColor="text1"/>
          <w:sz w:val="32"/>
          <w:highlight w:val="none"/>
          <w14:textFill>
            <w14:solidFill>
              <w14:schemeClr w14:val="tx1"/>
            </w14:solidFill>
          </w14:textFill>
        </w:rPr>
        <w:t>（签字或盖章）</w:t>
      </w:r>
    </w:p>
    <w:p w14:paraId="21481EC0">
      <w:pPr>
        <w:pStyle w:val="47"/>
        <w:widowControl w:val="0"/>
        <w:wordWrap w:val="0"/>
        <w:adjustRightInd w:val="0"/>
        <w:snapToGrid w:val="0"/>
        <w:ind w:firstLine="0"/>
        <w:jc w:val="center"/>
        <w:rPr>
          <w:rFonts w:hint="eastAsia" w:hAnsi="宋体" w:eastAsia="宋体" w:cs="宋体"/>
          <w:bCs/>
          <w:snapToGrid w:val="0"/>
          <w:color w:val="000000" w:themeColor="text1"/>
          <w:sz w:val="32"/>
          <w:highlight w:val="none"/>
          <w14:textFill>
            <w14:solidFill>
              <w14:schemeClr w14:val="tx1"/>
            </w14:solidFill>
          </w14:textFill>
        </w:rPr>
      </w:pPr>
    </w:p>
    <w:p w14:paraId="157E14DD">
      <w:pPr>
        <w:pStyle w:val="47"/>
        <w:widowControl w:val="0"/>
        <w:wordWrap w:val="0"/>
        <w:adjustRightInd w:val="0"/>
        <w:snapToGrid w:val="0"/>
        <w:ind w:firstLine="0"/>
        <w:jc w:val="center"/>
        <w:rPr>
          <w:rFonts w:hint="eastAsia" w:hAnsi="宋体" w:eastAsia="宋体" w:cs="宋体"/>
          <w:bCs/>
          <w:snapToGrid w:val="0"/>
          <w:color w:val="000000" w:themeColor="text1"/>
          <w:sz w:val="32"/>
          <w:highlight w:val="none"/>
          <w:u w:val="single"/>
          <w14:textFill>
            <w14:solidFill>
              <w14:schemeClr w14:val="tx1"/>
            </w14:solidFill>
          </w14:textFill>
        </w:rPr>
      </w:pPr>
    </w:p>
    <w:p w14:paraId="62209C4C">
      <w:pPr>
        <w:pStyle w:val="47"/>
        <w:widowControl w:val="0"/>
        <w:wordWrap w:val="0"/>
        <w:adjustRightInd w:val="0"/>
        <w:snapToGrid w:val="0"/>
        <w:ind w:firstLine="0"/>
        <w:jc w:val="center"/>
        <w:rPr>
          <w:rFonts w:hint="eastAsia" w:hAnsi="宋体" w:eastAsia="宋体" w:cs="宋体"/>
          <w:b/>
          <w:snapToGrid w:val="0"/>
          <w:color w:val="000000" w:themeColor="text1"/>
          <w:highlight w:val="none"/>
          <w14:textFill>
            <w14:solidFill>
              <w14:schemeClr w14:val="tx1"/>
            </w14:solidFill>
          </w14:textFill>
        </w:rPr>
      </w:pPr>
      <w:r>
        <w:rPr>
          <w:rFonts w:hint="eastAsia" w:hAnsi="宋体" w:eastAsia="宋体" w:cs="宋体"/>
          <w:bCs/>
          <w:snapToGrid w:val="0"/>
          <w:color w:val="000000" w:themeColor="text1"/>
          <w:sz w:val="32"/>
          <w:highlight w:val="none"/>
          <w:u w:val="single"/>
          <w14:textFill>
            <w14:solidFill>
              <w14:schemeClr w14:val="tx1"/>
            </w14:solidFill>
          </w14:textFill>
        </w:rPr>
        <w:t xml:space="preserve">         </w:t>
      </w:r>
      <w:r>
        <w:rPr>
          <w:rFonts w:hint="eastAsia" w:hAnsi="宋体" w:eastAsia="宋体" w:cs="宋体"/>
          <w:bCs/>
          <w:snapToGrid w:val="0"/>
          <w:color w:val="000000" w:themeColor="text1"/>
          <w:sz w:val="32"/>
          <w:highlight w:val="none"/>
          <w14:textFill>
            <w14:solidFill>
              <w14:schemeClr w14:val="tx1"/>
            </w14:solidFill>
          </w14:textFill>
        </w:rPr>
        <w:t>年</w:t>
      </w:r>
      <w:r>
        <w:rPr>
          <w:rFonts w:hint="eastAsia" w:hAnsi="宋体" w:eastAsia="宋体" w:cs="宋体"/>
          <w:bCs/>
          <w:snapToGrid w:val="0"/>
          <w:color w:val="000000" w:themeColor="text1"/>
          <w:sz w:val="32"/>
          <w:highlight w:val="none"/>
          <w:u w:val="single"/>
          <w14:textFill>
            <w14:solidFill>
              <w14:schemeClr w14:val="tx1"/>
            </w14:solidFill>
          </w14:textFill>
        </w:rPr>
        <w:t xml:space="preserve">      </w:t>
      </w:r>
      <w:r>
        <w:rPr>
          <w:rFonts w:hint="eastAsia" w:hAnsi="宋体" w:eastAsia="宋体" w:cs="宋体"/>
          <w:bCs/>
          <w:snapToGrid w:val="0"/>
          <w:color w:val="000000" w:themeColor="text1"/>
          <w:sz w:val="32"/>
          <w:highlight w:val="none"/>
          <w14:textFill>
            <w14:solidFill>
              <w14:schemeClr w14:val="tx1"/>
            </w14:solidFill>
          </w14:textFill>
        </w:rPr>
        <w:t>月</w:t>
      </w:r>
      <w:r>
        <w:rPr>
          <w:rFonts w:hint="eastAsia" w:hAnsi="宋体" w:eastAsia="宋体" w:cs="宋体"/>
          <w:bCs/>
          <w:snapToGrid w:val="0"/>
          <w:color w:val="000000" w:themeColor="text1"/>
          <w:sz w:val="32"/>
          <w:highlight w:val="none"/>
          <w:u w:val="single"/>
          <w14:textFill>
            <w14:solidFill>
              <w14:schemeClr w14:val="tx1"/>
            </w14:solidFill>
          </w14:textFill>
        </w:rPr>
        <w:t xml:space="preserve">      </w:t>
      </w:r>
      <w:r>
        <w:rPr>
          <w:rFonts w:hint="eastAsia" w:hAnsi="宋体" w:eastAsia="宋体" w:cs="宋体"/>
          <w:bCs/>
          <w:snapToGrid w:val="0"/>
          <w:color w:val="000000" w:themeColor="text1"/>
          <w:sz w:val="32"/>
          <w:highlight w:val="none"/>
          <w14:textFill>
            <w14:solidFill>
              <w14:schemeClr w14:val="tx1"/>
            </w14:solidFill>
          </w14:textFill>
        </w:rPr>
        <w:t>日</w:t>
      </w:r>
    </w:p>
    <w:p w14:paraId="7FD7E948">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358AD960">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70FF42CD">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3BD98665">
      <w:pPr>
        <w:pStyle w:val="3"/>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494" w:name="_Toc9668"/>
    </w:p>
    <w:p w14:paraId="5DA514C6">
      <w:pPr>
        <w:pStyle w:val="3"/>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格式二 </w:t>
      </w:r>
      <w:bookmarkEnd w:id="484"/>
      <w:bookmarkEnd w:id="485"/>
      <w:bookmarkEnd w:id="486"/>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《投标函》及《工程项目总价表》</w:t>
      </w:r>
      <w:bookmarkEnd w:id="487"/>
      <w:bookmarkEnd w:id="488"/>
      <w:bookmarkEnd w:id="494"/>
    </w:p>
    <w:p w14:paraId="7E96A797">
      <w:pPr>
        <w:wordWrap w:val="0"/>
        <w:adjustRightInd w:val="0"/>
        <w:snapToGrid w:val="0"/>
        <w:spacing w:line="440" w:lineRule="exact"/>
        <w:ind w:firstLine="570"/>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bookmarkStart w:id="495" w:name="_Toc39136362"/>
      <w:bookmarkStart w:id="496" w:name="_Toc29375"/>
      <w:bookmarkStart w:id="497" w:name="_Toc8657"/>
      <w:bookmarkStart w:id="498" w:name="_Toc28636"/>
      <w:bookmarkStart w:id="499" w:name="_Toc27121"/>
      <w:bookmarkStart w:id="500" w:name="_Toc18294"/>
      <w:bookmarkStart w:id="501" w:name="_Toc10604"/>
      <w:bookmarkStart w:id="502" w:name="_Toc21577"/>
      <w:bookmarkStart w:id="503" w:name="_Toc9280"/>
    </w:p>
    <w:p w14:paraId="141A9169">
      <w:pPr>
        <w:wordWrap w:val="0"/>
        <w:adjustRightInd w:val="0"/>
        <w:snapToGrid w:val="0"/>
        <w:spacing w:line="440" w:lineRule="exact"/>
        <w:jc w:val="cente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t>投  标  函</w:t>
      </w:r>
      <w:bookmarkEnd w:id="495"/>
      <w:bookmarkEnd w:id="496"/>
      <w:bookmarkEnd w:id="497"/>
      <w:bookmarkEnd w:id="498"/>
      <w:bookmarkEnd w:id="499"/>
      <w:bookmarkEnd w:id="500"/>
      <w:bookmarkEnd w:id="501"/>
      <w:bookmarkEnd w:id="502"/>
      <w:bookmarkEnd w:id="503"/>
    </w:p>
    <w:p w14:paraId="391E1D3A">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27008BC0">
      <w:pPr>
        <w:wordWrap w:val="0"/>
        <w:adjustRightInd w:val="0"/>
        <w:snapToGrid w:val="0"/>
        <w:spacing w:line="440" w:lineRule="exact"/>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（招标人名称）</w:t>
      </w:r>
    </w:p>
    <w:p w14:paraId="0814D29C">
      <w:pPr>
        <w:wordWrap w:val="0"/>
        <w:adjustRightInd w:val="0"/>
        <w:snapToGrid w:val="0"/>
        <w:spacing w:line="440" w:lineRule="exact"/>
        <w:ind w:firstLine="570"/>
        <w:rPr>
          <w:rFonts w:hint="eastAsia" w:asciiTheme="minorEastAsia" w:hAnsiTheme="minorEastAsia" w:eastAsiaTheme="minorEastAsia" w:cs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1.在研</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究        （项目名称）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招标文件和其它相关文件，并对现场进行深入了解后，我方（即文末签名人），考虑了本企业的实力和特点，愿意接受招标文件的全部内容和条件，兹以人民币（大写）：</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小写：（¥</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）的投标总价竞投本项目。</w:t>
      </w:r>
    </w:p>
    <w:p w14:paraId="5072A5D3">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2.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如果我方中标，我方保证按照合同约定的开工日期开始本项目的</w:t>
      </w:r>
      <w:r>
        <w:rPr>
          <w:rFonts w:hint="eastAsia" w:asciiTheme="minorEastAsia" w:hAnsiTheme="minorEastAsia" w:eastAsiaTheme="minorEastAsia" w:cstheme="minorEastAsia"/>
          <w:color w:val="000000" w:themeColor="text1"/>
          <w:szCs w:val="22"/>
          <w:highlight w:val="none"/>
          <w:lang w:val="en-US" w:eastAsia="zh-CN"/>
          <w14:textFill>
            <w14:solidFill>
              <w14:schemeClr w14:val="tx1"/>
            </w14:solidFill>
          </w14:textFill>
        </w:rPr>
        <w:t>设计、施工</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，本工程</w:t>
      </w:r>
      <w:r>
        <w:rPr>
          <w:rFonts w:hint="eastAsia" w:asciiTheme="minorEastAsia" w:hAnsiTheme="minorEastAsia" w:eastAsiaTheme="minorEastAsia" w:cstheme="minorEastAsia"/>
          <w:color w:val="000000" w:themeColor="text1"/>
          <w:szCs w:val="22"/>
          <w:highlight w:val="none"/>
          <w:lang w:val="en-US" w:eastAsia="zh-CN"/>
          <w14:textFill>
            <w14:solidFill>
              <w14:schemeClr w14:val="tx1"/>
            </w14:solidFill>
          </w14:textFill>
        </w:rPr>
        <w:t>设计、施工</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工期为</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个日历天</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其中：</w:t>
      </w:r>
      <w:r>
        <w:rPr>
          <w:rFonts w:hint="eastAsia" w:asciiTheme="minorEastAsia" w:hAnsiTheme="minorEastAsia" w:eastAsiaTheme="minorEastAsia" w:cstheme="minorEastAsia"/>
          <w:color w:val="000000" w:themeColor="text1"/>
          <w:szCs w:val="22"/>
          <w:highlight w:val="none"/>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工期为</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日历天，施工工期为</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日历天</w:t>
      </w:r>
      <w:r>
        <w:rPr>
          <w:rFonts w:hint="eastAsia" w:asciiTheme="minorEastAsia" w:hAnsiTheme="minorEastAsia" w:eastAsiaTheme="minorEastAsia" w:cstheme="minorEastAsia"/>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内竣工，并确保工程质量达到</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2"/>
          <w:highlight w:val="none"/>
          <w14:textFill>
            <w14:solidFill>
              <w14:schemeClr w14:val="tx1"/>
            </w14:solidFill>
          </w14:textFill>
        </w:rPr>
        <w:t>标准和维修其中的任何缺陷</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p w14:paraId="0A19A04F">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 本投标函在你方接收我方递交的投标文件之日起、到招标文件规定的投标有效期期满前对我方具有约束力。我方随时准备接受你方发出的中标通知书。</w:t>
      </w:r>
    </w:p>
    <w:p w14:paraId="72A4F4F3">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4．我方在此声明，我方不存在本工程招标文件所列示的“禁止投标条款”所列出的任何一种情形，并愿意承担因我方就此弄虚作假所引起的一切法律后果。</w:t>
      </w:r>
    </w:p>
    <w:p w14:paraId="135CB28E">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5．我方在此承诺，所递交投标文件的全部内容均为真实、有效、准确的，并愿意承担因我方就此弄虚作假所引起的一切法律后果，同时理解和同意有可能被要求提供更多的资料。</w:t>
      </w:r>
    </w:p>
    <w:p w14:paraId="4B833900">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6. 我方理解你方不一定要接纳收到的最低投标总价或任何投标总价的投标人中标，也不要求你方解释我方是否中标的原因。</w:t>
      </w:r>
    </w:p>
    <w:p w14:paraId="73A3D5F4">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p>
    <w:p w14:paraId="29DB08E6">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投标人：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（盖单位章）</w:t>
      </w:r>
    </w:p>
    <w:p w14:paraId="7813DE58">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法定代表人或其委托代理人：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（签字或盖章）</w:t>
      </w:r>
    </w:p>
    <w:p w14:paraId="36658203">
      <w:pPr>
        <w:wordWrap w:val="0"/>
        <w:adjustRightInd w:val="0"/>
        <w:snapToGrid w:val="0"/>
        <w:spacing w:line="440" w:lineRule="exact"/>
        <w:ind w:firstLine="4080" w:firstLineChars="1700"/>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日</w:t>
      </w:r>
    </w:p>
    <w:p w14:paraId="4ABCF19B">
      <w:pPr>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br w:type="page"/>
      </w:r>
    </w:p>
    <w:p w14:paraId="25DEE623">
      <w:pPr>
        <w:jc w:val="lef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6E4478DB">
      <w:pPr>
        <w:wordWrap w:val="0"/>
        <w:adjustRightInd w:val="0"/>
        <w:snapToGrid w:val="0"/>
        <w:spacing w:line="440" w:lineRule="exact"/>
        <w:jc w:val="cente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pPr>
      <w:bookmarkStart w:id="504" w:name="_Toc5052"/>
      <w:bookmarkStart w:id="505" w:name="_Toc25829"/>
      <w:bookmarkStart w:id="506" w:name="_Toc25629"/>
      <w:bookmarkStart w:id="507" w:name="_Toc453"/>
      <w:bookmarkStart w:id="508" w:name="_Toc20338"/>
      <w:bookmarkStart w:id="509" w:name="_Toc7915"/>
      <w:bookmarkStart w:id="510" w:name="_Toc39136364"/>
      <w:r>
        <w:rPr>
          <w:rFonts w:hint="eastAsia" w:asciiTheme="minorEastAsia" w:hAnsiTheme="minorEastAsia" w:eastAsiaTheme="minorEastAsia" w:cstheme="minorEastAsia"/>
          <w:b/>
          <w:bCs/>
          <w:color w:val="000000" w:themeColor="text1"/>
          <w:szCs w:val="22"/>
          <w:highlight w:val="none"/>
          <w14:textFill>
            <w14:solidFill>
              <w14:schemeClr w14:val="tx1"/>
            </w14:solidFill>
          </w14:textFill>
        </w:rPr>
        <w:t>工程项目总价表</w:t>
      </w:r>
      <w:bookmarkEnd w:id="504"/>
      <w:bookmarkEnd w:id="505"/>
      <w:bookmarkEnd w:id="506"/>
      <w:bookmarkEnd w:id="507"/>
      <w:bookmarkEnd w:id="508"/>
    </w:p>
    <w:p w14:paraId="2AEF0ABB">
      <w:pPr>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p>
    <w:tbl>
      <w:tblPr>
        <w:tblStyle w:val="21"/>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994"/>
        <w:gridCol w:w="1706"/>
        <w:gridCol w:w="2057"/>
        <w:gridCol w:w="1347"/>
        <w:gridCol w:w="2636"/>
      </w:tblGrid>
      <w:tr w14:paraId="533F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56" w:type="dxa"/>
            <w:noWrap w:val="0"/>
            <w:vAlign w:val="center"/>
          </w:tcPr>
          <w:p w14:paraId="70BC0330">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序号</w:t>
            </w:r>
          </w:p>
        </w:tc>
        <w:tc>
          <w:tcPr>
            <w:tcW w:w="994" w:type="dxa"/>
            <w:noWrap w:val="0"/>
            <w:vAlign w:val="center"/>
          </w:tcPr>
          <w:p w14:paraId="0ECA2AAC">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项目名称</w:t>
            </w:r>
          </w:p>
        </w:tc>
        <w:tc>
          <w:tcPr>
            <w:tcW w:w="1706" w:type="dxa"/>
            <w:noWrap w:val="0"/>
            <w:vAlign w:val="center"/>
          </w:tcPr>
          <w:p w14:paraId="5D31BA66">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报价基数（元）</w:t>
            </w:r>
          </w:p>
        </w:tc>
        <w:tc>
          <w:tcPr>
            <w:tcW w:w="2057" w:type="dxa"/>
            <w:noWrap w:val="0"/>
            <w:vAlign w:val="center"/>
          </w:tcPr>
          <w:p w14:paraId="67EFAA70">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1"/>
                <w:sz w:val="24"/>
                <w:szCs w:val="24"/>
                <w:highlight w:val="none"/>
                <w:lang w:val="zh-CN"/>
                <w14:textFill>
                  <w14:solidFill>
                    <w14:schemeClr w14:val="tx1"/>
                  </w14:solidFill>
                </w14:textFill>
              </w:rPr>
              <w:t>投标费率</w:t>
            </w:r>
            <w:r>
              <w:rPr>
                <w:rFonts w:hint="eastAsia" w:asciiTheme="minorEastAsia" w:hAnsiTheme="minorEastAsia" w:eastAsiaTheme="minorEastAsia" w:cstheme="minorEastAsia"/>
                <w:color w:val="000000" w:themeColor="text1"/>
                <w:kern w:val="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投标下浮率</w:t>
            </w:r>
          </w:p>
        </w:tc>
        <w:tc>
          <w:tcPr>
            <w:tcW w:w="1347" w:type="dxa"/>
            <w:noWrap w:val="0"/>
            <w:vAlign w:val="center"/>
          </w:tcPr>
          <w:p w14:paraId="346EE056">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投标报价</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（元）</w:t>
            </w:r>
          </w:p>
        </w:tc>
        <w:tc>
          <w:tcPr>
            <w:tcW w:w="2636" w:type="dxa"/>
            <w:noWrap w:val="0"/>
            <w:vAlign w:val="center"/>
          </w:tcPr>
          <w:p w14:paraId="4BBF1866">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备注</w:t>
            </w:r>
          </w:p>
        </w:tc>
      </w:tr>
      <w:tr w14:paraId="6D998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6" w:type="dxa"/>
            <w:noWrap w:val="0"/>
            <w:vAlign w:val="center"/>
          </w:tcPr>
          <w:p w14:paraId="5099BC2E">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w:t>
            </w:r>
          </w:p>
        </w:tc>
        <w:tc>
          <w:tcPr>
            <w:tcW w:w="994" w:type="dxa"/>
            <w:noWrap w:val="0"/>
            <w:vAlign w:val="center"/>
          </w:tcPr>
          <w:p w14:paraId="4E3E4576">
            <w:pPr>
              <w:widowControl/>
              <w:ind w:right="-122" w:rightChars="-51"/>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设计费</w:t>
            </w:r>
          </w:p>
        </w:tc>
        <w:tc>
          <w:tcPr>
            <w:tcW w:w="1706" w:type="dxa"/>
            <w:noWrap w:val="0"/>
            <w:vAlign w:val="center"/>
          </w:tcPr>
          <w:p w14:paraId="2BF67953">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2057" w:type="dxa"/>
            <w:noWrap w:val="0"/>
            <w:vAlign w:val="center"/>
          </w:tcPr>
          <w:p w14:paraId="5E4121F2">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1"/>
                <w:sz w:val="24"/>
                <w:szCs w:val="24"/>
                <w:highlight w:val="none"/>
                <w:lang w:val="zh-CN"/>
                <w14:textFill>
                  <w14:solidFill>
                    <w14:schemeClr w14:val="tx1"/>
                  </w14:solidFill>
                </w14:textFill>
              </w:rPr>
              <w:t>投标费率</w:t>
            </w: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347" w:type="dxa"/>
            <w:noWrap w:val="0"/>
            <w:vAlign w:val="center"/>
          </w:tcPr>
          <w:p w14:paraId="7B5D742F">
            <w:pPr>
              <w:widowControl/>
              <w:jc w:val="both"/>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2636" w:type="dxa"/>
            <w:noWrap w:val="0"/>
            <w:vAlign w:val="center"/>
          </w:tcPr>
          <w:p w14:paraId="2C23659A">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按最高投标限价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范围内</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自行报</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总</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价及</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投标费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率。报价基数作为暂定量，仅作为投标报价编制依据，不作为结算依据。</w:t>
            </w:r>
          </w:p>
        </w:tc>
      </w:tr>
      <w:tr w14:paraId="0B72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56" w:type="dxa"/>
            <w:noWrap w:val="0"/>
            <w:vAlign w:val="center"/>
          </w:tcPr>
          <w:p w14:paraId="3CE8B024">
            <w:pPr>
              <w:widowControl/>
              <w:jc w:val="cente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w:t>
            </w:r>
          </w:p>
        </w:tc>
        <w:tc>
          <w:tcPr>
            <w:tcW w:w="994" w:type="dxa"/>
            <w:noWrap w:val="0"/>
            <w:vAlign w:val="center"/>
          </w:tcPr>
          <w:p w14:paraId="0624FEED">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建安工程费</w:t>
            </w:r>
          </w:p>
        </w:tc>
        <w:tc>
          <w:tcPr>
            <w:tcW w:w="1706" w:type="dxa"/>
            <w:noWrap w:val="0"/>
            <w:vAlign w:val="center"/>
          </w:tcPr>
          <w:p w14:paraId="303A355C">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2057" w:type="dxa"/>
            <w:noWrap w:val="0"/>
            <w:vAlign w:val="center"/>
          </w:tcPr>
          <w:p w14:paraId="12D73347">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投标下浮率</w:t>
            </w: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347" w:type="dxa"/>
            <w:noWrap w:val="0"/>
            <w:vAlign w:val="center"/>
          </w:tcPr>
          <w:p w14:paraId="1D10B1FC">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2636" w:type="dxa"/>
            <w:noWrap w:val="0"/>
            <w:vAlign w:val="center"/>
          </w:tcPr>
          <w:p w14:paraId="18C187C1">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本项目为限额设计，</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工程结算价</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未超过建安工程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费中标价的</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按实结算，超过建安工程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费中标价的</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则按建安工程</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中标</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价</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结算。建安工程投标报价=</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报价基数</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×（1-投标下浮率）</w:t>
            </w:r>
          </w:p>
        </w:tc>
      </w:tr>
      <w:tr w14:paraId="0D83C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56" w:type="dxa"/>
            <w:noWrap w:val="0"/>
            <w:vAlign w:val="center"/>
          </w:tcPr>
          <w:p w14:paraId="3A6A9936">
            <w:pPr>
              <w:widowControl/>
              <w:jc w:val="cente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3</w:t>
            </w:r>
          </w:p>
        </w:tc>
        <w:tc>
          <w:tcPr>
            <w:tcW w:w="994" w:type="dxa"/>
            <w:noWrap w:val="0"/>
            <w:vAlign w:val="center"/>
          </w:tcPr>
          <w:p w14:paraId="525A6B60">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合计（1+</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p>
        </w:tc>
        <w:tc>
          <w:tcPr>
            <w:tcW w:w="1706" w:type="dxa"/>
            <w:noWrap w:val="0"/>
            <w:vAlign w:val="center"/>
          </w:tcPr>
          <w:p w14:paraId="1DC7F204">
            <w:pPr>
              <w:widowControl/>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p>
        </w:tc>
        <w:tc>
          <w:tcPr>
            <w:tcW w:w="2057" w:type="dxa"/>
            <w:noWrap w:val="0"/>
            <w:vAlign w:val="center"/>
          </w:tcPr>
          <w:p w14:paraId="42C75706">
            <w:pPr>
              <w:widowControl/>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w:t>
            </w:r>
          </w:p>
        </w:tc>
        <w:tc>
          <w:tcPr>
            <w:tcW w:w="1347" w:type="dxa"/>
            <w:noWrap w:val="0"/>
            <w:vAlign w:val="center"/>
          </w:tcPr>
          <w:p w14:paraId="21CB7E4D">
            <w:pPr>
              <w:widowControl/>
              <w:jc w:val="both"/>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c>
          <w:tcPr>
            <w:tcW w:w="2636" w:type="dxa"/>
            <w:noWrap w:val="0"/>
            <w:vAlign w:val="center"/>
          </w:tcPr>
          <w:p w14:paraId="2B27752A">
            <w:pPr>
              <w:widowControl/>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r>
    </w:tbl>
    <w:p w14:paraId="7D591B6F">
      <w:pPr>
        <w:pStyle w:val="31"/>
        <w:rPr>
          <w:rFonts w:ascii="宋体" w:hAnsi="宋体" w:cs="宋体"/>
          <w:color w:val="000000" w:themeColor="text1"/>
          <w:sz w:val="24"/>
          <w:highlight w:val="none"/>
          <w:lang w:val="zh-CN"/>
          <w14:textFill>
            <w14:solidFill>
              <w14:schemeClr w14:val="tx1"/>
            </w14:solidFill>
          </w14:textFill>
        </w:rPr>
      </w:pPr>
    </w:p>
    <w:p w14:paraId="394AFE69">
      <w:pPr>
        <w:pStyle w:val="6"/>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注：投标报价、</w:t>
      </w:r>
      <w:r>
        <w:rPr>
          <w:rFonts w:hint="eastAsia" w:ascii="宋体" w:hAnsi="宋体" w:eastAsia="宋体" w:cs="宋体"/>
          <w:color w:val="000000" w:themeColor="text1"/>
          <w:szCs w:val="21"/>
          <w:highlight w:val="none"/>
          <w:lang w:eastAsia="zh-CN"/>
          <w14:textFill>
            <w14:solidFill>
              <w14:schemeClr w14:val="tx1"/>
            </w14:solidFill>
          </w14:textFill>
        </w:rPr>
        <w:t>投标下浮</w:t>
      </w:r>
      <w:r>
        <w:rPr>
          <w:rFonts w:hint="eastAsia" w:ascii="宋体" w:hAnsi="宋体" w:eastAsia="宋体" w:cs="宋体"/>
          <w:color w:val="000000" w:themeColor="text1"/>
          <w:szCs w:val="21"/>
          <w:highlight w:val="none"/>
          <w14:textFill>
            <w14:solidFill>
              <w14:schemeClr w14:val="tx1"/>
            </w14:solidFill>
          </w14:textFill>
        </w:rPr>
        <w:t>率均保留至小数点后两位</w:t>
      </w:r>
      <w:r>
        <w:rPr>
          <w:rFonts w:hint="eastAsia" w:ascii="宋体" w:hAnsi="宋体" w:eastAsia="宋体" w:cs="宋体"/>
          <w:color w:val="000000" w:themeColor="text1"/>
          <w:szCs w:val="21"/>
          <w:highlight w:val="none"/>
          <w:lang w:eastAsia="zh-CN"/>
          <w14:textFill>
            <w14:solidFill>
              <w14:schemeClr w14:val="tx1"/>
            </w14:solidFill>
          </w14:textFill>
        </w:rPr>
        <w:t>，投标费率保留至小数点后三位。</w:t>
      </w:r>
    </w:p>
    <w:p w14:paraId="3B383A35">
      <w:pPr>
        <w:wordWrap w:val="0"/>
        <w:adjustRightInd w:val="0"/>
        <w:snapToGrid w:val="0"/>
        <w:spacing w:line="276" w:lineRule="auto"/>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51DD2D3A">
      <w:pPr>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3223CC57">
      <w:pPr>
        <w:wordWrap w:val="0"/>
        <w:adjustRightInd w:val="0"/>
        <w:snapToGrid w:val="0"/>
        <w:spacing w:line="276" w:lineRule="auto"/>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（盖单位章）</w:t>
      </w:r>
    </w:p>
    <w:p w14:paraId="759658B8">
      <w:pPr>
        <w:wordWrap w:val="0"/>
        <w:adjustRightInd w:val="0"/>
        <w:snapToGrid w:val="0"/>
        <w:spacing w:line="276" w:lineRule="auto"/>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5EFD5C53">
      <w:pPr>
        <w:wordWrap w:val="0"/>
        <w:adjustRightInd w:val="0"/>
        <w:snapToGrid w:val="0"/>
        <w:spacing w:line="276" w:lineRule="auto"/>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法定代表人或其委托代理人：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（签字或盖章）</w:t>
      </w:r>
    </w:p>
    <w:p w14:paraId="2827471C">
      <w:pPr>
        <w:wordWrap w:val="0"/>
        <w:adjustRightInd w:val="0"/>
        <w:snapToGrid w:val="0"/>
        <w:spacing w:line="276" w:lineRule="auto"/>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3A0CC27B">
      <w:pPr>
        <w:spacing w:line="276"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sectPr>
          <w:endnotePr>
            <w:numFmt w:val="decimal"/>
          </w:endnotePr>
          <w:pgSz w:w="11906" w:h="16838"/>
          <w:pgMar w:top="1701" w:right="1335" w:bottom="1417" w:left="1531" w:header="850" w:footer="992" w:gutter="0"/>
          <w:pgNumType w:fmt="decimal"/>
          <w:cols w:space="720" w:num="1"/>
          <w:docGrid w:linePitch="327" w:charSpace="0"/>
        </w:sect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p>
    <w:p w14:paraId="769EA550">
      <w:pPr>
        <w:pStyle w:val="3"/>
        <w:spacing w:before="120"/>
        <w:rPr>
          <w:rStyle w:val="59"/>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11" w:name="_Toc919"/>
      <w:bookmarkStart w:id="512" w:name="_Toc28529"/>
      <w:bookmarkStart w:id="513" w:name="_Toc20987"/>
      <w:bookmarkStart w:id="514" w:name="_Toc4068"/>
      <w:bookmarkStart w:id="515" w:name="_Toc32555"/>
      <w:bookmarkStart w:id="516" w:name="_Toc1017"/>
      <w:bookmarkStart w:id="517" w:name="_Toc21928"/>
      <w:r>
        <w:rPr>
          <w:rStyle w:val="59"/>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格式三 各项</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承诺</w:t>
      </w:r>
      <w:r>
        <w:rPr>
          <w:rStyle w:val="59"/>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一览表</w:t>
      </w:r>
      <w:bookmarkEnd w:id="509"/>
      <w:bookmarkEnd w:id="510"/>
      <w:bookmarkEnd w:id="511"/>
      <w:bookmarkEnd w:id="512"/>
      <w:bookmarkEnd w:id="513"/>
      <w:bookmarkEnd w:id="514"/>
    </w:p>
    <w:bookmarkEnd w:id="515"/>
    <w:bookmarkEnd w:id="516"/>
    <w:bookmarkEnd w:id="517"/>
    <w:p w14:paraId="2507BC48">
      <w:pPr>
        <w:spacing w:line="480" w:lineRule="auto"/>
        <w:jc w:val="cente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18" w:name="_Toc30877"/>
      <w:bookmarkStart w:id="519" w:name="_Toc39136365"/>
      <w:bookmarkStart w:id="520" w:name="_Toc21521"/>
      <w:bookmarkStart w:id="521" w:name="_Toc20729"/>
      <w:bookmarkStart w:id="522" w:name="_Toc16438"/>
      <w:bookmarkStart w:id="523" w:name="_Toc18136"/>
      <w:bookmarkStart w:id="524" w:name="_Toc31113"/>
      <w:bookmarkStart w:id="525" w:name="_Toc15279"/>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各项承诺一览表</w:t>
      </w:r>
      <w:bookmarkEnd w:id="518"/>
      <w:bookmarkEnd w:id="519"/>
      <w:bookmarkEnd w:id="520"/>
      <w:bookmarkEnd w:id="521"/>
    </w:p>
    <w:bookmarkEnd w:id="522"/>
    <w:bookmarkEnd w:id="523"/>
    <w:bookmarkEnd w:id="524"/>
    <w:bookmarkEnd w:id="525"/>
    <w:tbl>
      <w:tblPr>
        <w:tblStyle w:val="21"/>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081"/>
        <w:gridCol w:w="3226"/>
        <w:gridCol w:w="4796"/>
      </w:tblGrid>
      <w:tr w14:paraId="4379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top"/>
          </w:tcPr>
          <w:p w14:paraId="28699F17">
            <w:pPr>
              <w:pStyle w:val="36"/>
              <w:spacing w:line="38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081" w:type="dxa"/>
            <w:noWrap w:val="0"/>
            <w:vAlign w:val="top"/>
          </w:tcPr>
          <w:p w14:paraId="31A8938A">
            <w:pPr>
              <w:pStyle w:val="36"/>
              <w:spacing w:line="38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承诺标题</w:t>
            </w:r>
          </w:p>
        </w:tc>
        <w:tc>
          <w:tcPr>
            <w:tcW w:w="3226" w:type="dxa"/>
            <w:noWrap w:val="0"/>
            <w:vAlign w:val="top"/>
          </w:tcPr>
          <w:p w14:paraId="0723CADE">
            <w:pPr>
              <w:pStyle w:val="36"/>
              <w:spacing w:line="38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承诺内容</w:t>
            </w:r>
          </w:p>
        </w:tc>
        <w:tc>
          <w:tcPr>
            <w:tcW w:w="4796" w:type="dxa"/>
            <w:tcBorders>
              <w:bottom w:val="single" w:color="auto" w:sz="4" w:space="0"/>
            </w:tcBorders>
            <w:noWrap w:val="0"/>
            <w:vAlign w:val="top"/>
          </w:tcPr>
          <w:p w14:paraId="52D24AEA">
            <w:pPr>
              <w:pStyle w:val="36"/>
              <w:spacing w:line="38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违约承诺</w:t>
            </w:r>
          </w:p>
        </w:tc>
      </w:tr>
      <w:tr w14:paraId="600D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509D0026">
            <w:pPr>
              <w:pStyle w:val="36"/>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081" w:type="dxa"/>
            <w:noWrap w:val="0"/>
            <w:vAlign w:val="center"/>
          </w:tcPr>
          <w:p w14:paraId="7004AB1D">
            <w:pPr>
              <w:pStyle w:val="61"/>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对招标文件条款自愿接受承诺书</w:t>
            </w:r>
          </w:p>
        </w:tc>
        <w:tc>
          <w:tcPr>
            <w:tcW w:w="3226" w:type="dxa"/>
            <w:noWrap w:val="0"/>
            <w:vAlign w:val="center"/>
          </w:tcPr>
          <w:p w14:paraId="721EE92F">
            <w:pPr>
              <w:pStyle w:val="61"/>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我方保证接受招标文件的所有条款，响应招标文件的所有要求，并同意招标文件为施工承包合同的组成部分</w:t>
            </w:r>
          </w:p>
        </w:tc>
        <w:tc>
          <w:tcPr>
            <w:tcW w:w="4796" w:type="dxa"/>
            <w:tcBorders>
              <w:tr2bl w:val="single" w:color="auto" w:sz="4" w:space="0"/>
            </w:tcBorders>
            <w:noWrap w:val="0"/>
            <w:vAlign w:val="center"/>
          </w:tcPr>
          <w:p w14:paraId="41A7D528">
            <w:pPr>
              <w:pStyle w:val="61"/>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p>
        </w:tc>
      </w:tr>
      <w:tr w14:paraId="67A6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73BC4748">
            <w:pPr>
              <w:pStyle w:val="36"/>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081" w:type="dxa"/>
            <w:noWrap w:val="0"/>
            <w:vAlign w:val="center"/>
          </w:tcPr>
          <w:p w14:paraId="0BB5AD2B">
            <w:pPr>
              <w:pStyle w:val="61"/>
              <w:wordWrap w:val="0"/>
              <w:adjustRightInd w:val="0"/>
              <w:snapToGrid w:val="0"/>
              <w:spacing w:line="380" w:lineRule="exact"/>
              <w:ind w:firstLine="0" w:firstLineChars="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无禁止投标</w:t>
            </w:r>
          </w:p>
          <w:p w14:paraId="25B052BF">
            <w:pPr>
              <w:pStyle w:val="61"/>
              <w:wordWrap w:val="0"/>
              <w:adjustRightInd w:val="0"/>
              <w:snapToGrid w:val="0"/>
              <w:spacing w:line="380" w:lineRule="exact"/>
              <w:ind w:firstLine="0" w:firstLineChars="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情形的承诺</w:t>
            </w:r>
          </w:p>
        </w:tc>
        <w:tc>
          <w:tcPr>
            <w:tcW w:w="3226" w:type="dxa"/>
            <w:noWrap w:val="0"/>
            <w:vAlign w:val="center"/>
          </w:tcPr>
          <w:p w14:paraId="3D971B22">
            <w:pPr>
              <w:pStyle w:val="61"/>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我方不存在招标文件第一章第三节第</w:t>
            </w:r>
            <w:r>
              <w:rPr>
                <w:rFonts w:hint="eastAsia" w:ascii="宋体" w:hAnsi="宋体" w:eastAsia="宋体" w:cs="宋体"/>
                <w:b/>
                <w:bCs/>
                <w:snapToGrid w:val="0"/>
                <w:color w:val="000000" w:themeColor="text1"/>
                <w:kern w:val="0"/>
                <w:sz w:val="21"/>
                <w:szCs w:val="21"/>
                <w:highlight w:val="none"/>
                <w14:textFill>
                  <w14:solidFill>
                    <w14:schemeClr w14:val="tx1"/>
                  </w14:solidFill>
                </w14:textFill>
              </w:rPr>
              <w:t>2.4</w:t>
            </w:r>
            <w:r>
              <w:rPr>
                <w:rFonts w:hint="eastAsia" w:ascii="宋体" w:hAnsi="宋体" w:eastAsia="宋体" w:cs="宋体"/>
                <w:snapToGrid w:val="0"/>
                <w:color w:val="000000" w:themeColor="text1"/>
                <w:kern w:val="0"/>
                <w:sz w:val="21"/>
                <w:szCs w:val="21"/>
                <w:highlight w:val="none"/>
                <w14:textFill>
                  <w14:solidFill>
                    <w14:schemeClr w14:val="tx1"/>
                  </w14:solidFill>
                </w14:textFill>
              </w:rPr>
              <w:t>条“禁止投标条款”规定的任何一种情形。</w:t>
            </w:r>
          </w:p>
        </w:tc>
        <w:tc>
          <w:tcPr>
            <w:tcW w:w="4796" w:type="dxa"/>
            <w:noWrap w:val="0"/>
            <w:vAlign w:val="center"/>
          </w:tcPr>
          <w:p w14:paraId="13673D1C">
            <w:pPr>
              <w:pStyle w:val="61"/>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如果我方有招标文件第一章第三节第</w:t>
            </w:r>
            <w:r>
              <w:rPr>
                <w:rFonts w:hint="eastAsia" w:ascii="宋体" w:hAnsi="宋体" w:eastAsia="宋体" w:cs="宋体"/>
                <w:b/>
                <w:bCs/>
                <w:snapToGrid w:val="0"/>
                <w:color w:val="000000" w:themeColor="text1"/>
                <w:kern w:val="0"/>
                <w:sz w:val="21"/>
                <w:szCs w:val="21"/>
                <w:highlight w:val="none"/>
                <w14:textFill>
                  <w14:solidFill>
                    <w14:schemeClr w14:val="tx1"/>
                  </w14:solidFill>
                </w14:textFill>
              </w:rPr>
              <w:t>2.4</w:t>
            </w:r>
            <w:r>
              <w:rPr>
                <w:rFonts w:hint="eastAsia" w:ascii="宋体" w:hAnsi="宋体" w:eastAsia="宋体" w:cs="宋体"/>
                <w:snapToGrid w:val="0"/>
                <w:color w:val="000000" w:themeColor="text1"/>
                <w:kern w:val="0"/>
                <w:sz w:val="21"/>
                <w:szCs w:val="21"/>
                <w:highlight w:val="none"/>
                <w14:textFill>
                  <w14:solidFill>
                    <w14:schemeClr w14:val="tx1"/>
                  </w14:solidFill>
                </w14:textFill>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24A5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552394F2">
            <w:pPr>
              <w:pStyle w:val="36"/>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081" w:type="dxa"/>
            <w:noWrap w:val="0"/>
            <w:vAlign w:val="center"/>
          </w:tcPr>
          <w:p w14:paraId="2C90CA06">
            <w:pPr>
              <w:pStyle w:val="61"/>
              <w:wordWrap w:val="0"/>
              <w:adjustRightInd w:val="0"/>
              <w:snapToGrid w:val="0"/>
              <w:spacing w:line="380" w:lineRule="exact"/>
              <w:ind w:firstLine="0" w:firstLineChars="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自觉抵制围标串标和弄虚作假行为的承诺</w:t>
            </w:r>
          </w:p>
        </w:tc>
        <w:tc>
          <w:tcPr>
            <w:tcW w:w="3226" w:type="dxa"/>
            <w:noWrap w:val="0"/>
            <w:vAlign w:val="center"/>
          </w:tcPr>
          <w:p w14:paraId="671ABF6E">
            <w:pPr>
              <w:pStyle w:val="61"/>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我方合法正当、诚实守信地参与投标，不组织、不参加围标串标违法行为，不通过弄虚作假行为骗取中标。</w:t>
            </w:r>
          </w:p>
        </w:tc>
        <w:tc>
          <w:tcPr>
            <w:tcW w:w="4796" w:type="dxa"/>
            <w:noWrap w:val="0"/>
            <w:vAlign w:val="center"/>
          </w:tcPr>
          <w:p w14:paraId="7AF01976">
            <w:pPr>
              <w:pStyle w:val="61"/>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1DAD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4EB0C70B">
            <w:pPr>
              <w:pStyle w:val="36"/>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081" w:type="dxa"/>
            <w:noWrap w:val="0"/>
            <w:vAlign w:val="center"/>
          </w:tcPr>
          <w:p w14:paraId="4AE27BC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履约保证的承诺</w:t>
            </w:r>
          </w:p>
        </w:tc>
        <w:tc>
          <w:tcPr>
            <w:tcW w:w="3226" w:type="dxa"/>
            <w:noWrap w:val="0"/>
            <w:vAlign w:val="center"/>
          </w:tcPr>
          <w:p w14:paraId="7CB1DA74">
            <w:pPr>
              <w:pStyle w:val="61"/>
              <w:wordWrap w:val="0"/>
              <w:adjustRightInd w:val="0"/>
              <w:snapToGrid w:val="0"/>
              <w:spacing w:line="38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如果我方中标，我方保证在招标文件规定的时限内全额提交履约保证。</w:t>
            </w:r>
          </w:p>
        </w:tc>
        <w:tc>
          <w:tcPr>
            <w:tcW w:w="4796" w:type="dxa"/>
            <w:noWrap w:val="0"/>
            <w:vAlign w:val="center"/>
          </w:tcPr>
          <w:p w14:paraId="6E48051F">
            <w:pPr>
              <w:pStyle w:val="61"/>
              <w:wordWrap w:val="0"/>
              <w:adjustRightInd w:val="0"/>
              <w:snapToGrid w:val="0"/>
              <w:spacing w:line="380" w:lineRule="exact"/>
              <w:ind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如果我方未在招标文件规定的时限内全额提交履约保证，我方接受招标人依据招标文件作出的相应处理以及有关监督部门作出的行政处罚，并承担由此引起的一切法律后果。</w:t>
            </w:r>
          </w:p>
        </w:tc>
      </w:tr>
      <w:tr w14:paraId="2AEE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6" w:type="dxa"/>
            <w:noWrap w:val="0"/>
            <w:vAlign w:val="center"/>
          </w:tcPr>
          <w:p w14:paraId="2BD73097">
            <w:pPr>
              <w:pStyle w:val="36"/>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081" w:type="dxa"/>
            <w:noWrap w:val="0"/>
            <w:vAlign w:val="center"/>
          </w:tcPr>
          <w:p w14:paraId="1605709C">
            <w:pPr>
              <w:pStyle w:val="61"/>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工期、进度承诺书</w:t>
            </w:r>
          </w:p>
        </w:tc>
        <w:tc>
          <w:tcPr>
            <w:tcW w:w="3226" w:type="dxa"/>
            <w:noWrap w:val="0"/>
            <w:vAlign w:val="center"/>
          </w:tcPr>
          <w:p w14:paraId="0BE6F71F">
            <w:pPr>
              <w:pStyle w:val="61"/>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我方保证在</w:t>
            </w:r>
            <w:r>
              <w:rPr>
                <w:rFonts w:hint="eastAsia" w:ascii="宋体" w:hAnsi="宋体" w:eastAsia="宋体" w:cs="宋体"/>
                <w:b/>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u w:val="single"/>
                <w14:textFill>
                  <w14:solidFill>
                    <w14:schemeClr w14:val="tx1"/>
                  </w14:solidFill>
                </w14:textFill>
              </w:rPr>
              <w:t>日历天内（</w:t>
            </w:r>
            <w:r>
              <w:rPr>
                <w:rFonts w:hint="eastAsia" w:ascii="宋体" w:hAnsi="宋体" w:eastAsia="宋体" w:cs="宋体"/>
                <w:color w:val="000000" w:themeColor="text1"/>
                <w:sz w:val="21"/>
                <w:szCs w:val="21"/>
                <w:highlight w:val="none"/>
                <w14:textFill>
                  <w14:solidFill>
                    <w14:schemeClr w14:val="tx1"/>
                  </w14:solidFill>
                </w14:textFill>
              </w:rPr>
              <w:t>其中：设计工期</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日历天；施工工期</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日历天</w:t>
            </w:r>
            <w:r>
              <w:rPr>
                <w:rFonts w:hint="eastAsia" w:ascii="宋体" w:hAnsi="宋体" w:eastAsia="宋体" w:cs="宋体"/>
                <w:b/>
                <w:bCs/>
                <w:color w:val="000000" w:themeColor="text1"/>
                <w:sz w:val="21"/>
                <w:szCs w:val="21"/>
                <w:highlight w:val="none"/>
                <w:u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完成工程</w:t>
            </w:r>
            <w:r>
              <w:rPr>
                <w:rFonts w:hint="eastAsia" w:hAnsi="宋体" w:cs="宋体"/>
                <w:color w:val="000000" w:themeColor="text1"/>
                <w:sz w:val="21"/>
                <w:szCs w:val="21"/>
                <w:highlight w:val="none"/>
                <w:lang w:eastAsia="zh-CN"/>
                <w14:textFill>
                  <w14:solidFill>
                    <w14:schemeClr w14:val="tx1"/>
                  </w14:solidFill>
                </w14:textFill>
              </w:rPr>
              <w:t>设计、施工</w:t>
            </w:r>
            <w:r>
              <w:rPr>
                <w:rFonts w:hint="eastAsia" w:ascii="宋体" w:hAnsi="宋体" w:eastAsia="宋体" w:cs="宋体"/>
                <w:color w:val="000000" w:themeColor="text1"/>
                <w:sz w:val="21"/>
                <w:szCs w:val="21"/>
                <w:highlight w:val="none"/>
                <w14:textFill>
                  <w14:solidFill>
                    <w14:schemeClr w14:val="tx1"/>
                  </w14:solidFill>
                </w14:textFill>
              </w:rPr>
              <w:t>并通过竣工验收。</w:t>
            </w:r>
          </w:p>
        </w:tc>
        <w:tc>
          <w:tcPr>
            <w:tcW w:w="4796" w:type="dxa"/>
            <w:noWrap w:val="0"/>
            <w:vAlign w:val="center"/>
          </w:tcPr>
          <w:p w14:paraId="592D198A">
            <w:pPr>
              <w:pStyle w:val="61"/>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若因我方原因，没有按期完成设计工作的，</w:t>
            </w:r>
            <w:r>
              <w:rPr>
                <w:rFonts w:hint="eastAsia" w:ascii="宋体" w:hAnsi="宋体" w:eastAsia="宋体" w:cs="宋体"/>
                <w:color w:val="000000" w:themeColor="text1"/>
                <w:sz w:val="21"/>
                <w:szCs w:val="21"/>
                <w:highlight w:val="none"/>
                <w:lang w:eastAsia="zh-CN"/>
                <w14:textFill>
                  <w14:solidFill>
                    <w14:schemeClr w14:val="tx1"/>
                  </w14:solidFill>
                </w14:textFill>
              </w:rPr>
              <w:t>我方</w:t>
            </w:r>
            <w:r>
              <w:rPr>
                <w:rFonts w:hint="eastAsia" w:ascii="宋体" w:hAnsi="宋体" w:eastAsia="宋体" w:cs="宋体"/>
                <w:color w:val="000000" w:themeColor="text1"/>
                <w:sz w:val="21"/>
                <w:szCs w:val="21"/>
                <w:highlight w:val="none"/>
                <w14:textFill>
                  <w14:solidFill>
                    <w14:schemeClr w14:val="tx1"/>
                  </w14:solidFill>
                </w14:textFill>
              </w:rPr>
              <w:t>须在逾期第壹天起每天按设计费合同价款的1‰向招标人返纳逾期违约金</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设计</w:t>
            </w:r>
            <w:r>
              <w:rPr>
                <w:rFonts w:hint="eastAsia" w:ascii="宋体" w:hAnsi="宋体" w:eastAsia="宋体" w:cs="宋体"/>
                <w:color w:val="000000" w:themeColor="text1"/>
                <w:sz w:val="21"/>
                <w:szCs w:val="21"/>
                <w:highlight w:val="none"/>
                <w:lang w:eastAsia="zh-CN"/>
                <w14:textFill>
                  <w14:solidFill>
                    <w14:schemeClr w14:val="tx1"/>
                  </w14:solidFill>
                </w14:textFill>
              </w:rPr>
              <w:t>逾期违约金的最高限额为合同</w:t>
            </w:r>
            <w:r>
              <w:rPr>
                <w:rFonts w:hint="eastAsia" w:ascii="宋体" w:hAnsi="宋体" w:eastAsia="宋体" w:cs="宋体"/>
                <w:color w:val="000000" w:themeColor="text1"/>
                <w:sz w:val="21"/>
                <w:szCs w:val="21"/>
                <w:highlight w:val="none"/>
                <w14:textFill>
                  <w14:solidFill>
                    <w14:schemeClr w14:val="tx1"/>
                  </w14:solidFill>
                </w14:textFill>
              </w:rPr>
              <w:t>设计</w:t>
            </w:r>
            <w:r>
              <w:rPr>
                <w:rFonts w:hint="eastAsia" w:ascii="宋体" w:hAnsi="宋体" w:eastAsia="宋体" w:cs="宋体"/>
                <w:color w:val="000000" w:themeColor="text1"/>
                <w:sz w:val="21"/>
                <w:szCs w:val="21"/>
                <w:highlight w:val="none"/>
                <w:lang w:eastAsia="zh-CN"/>
                <w14:textFill>
                  <w14:solidFill>
                    <w14:schemeClr w14:val="tx1"/>
                  </w14:solidFill>
                </w14:textFill>
              </w:rPr>
              <w:t>价款的</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工程没有按期竣工并通过验收时，我方在逾期第壹天起每天按合同价款的</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‰向招标人返纳逾期竣工违约金</w:t>
            </w:r>
            <w:r>
              <w:rPr>
                <w:rFonts w:hint="eastAsia" w:ascii="宋体" w:hAnsi="宋体" w:eastAsia="宋体" w:cs="宋体"/>
                <w:color w:val="000000" w:themeColor="text1"/>
                <w:sz w:val="21"/>
                <w:szCs w:val="21"/>
                <w:highlight w:val="none"/>
                <w:lang w:eastAsia="zh-CN"/>
                <w14:textFill>
                  <w14:solidFill>
                    <w14:schemeClr w14:val="tx1"/>
                  </w14:solidFill>
                </w14:textFill>
              </w:rPr>
              <w:t>，逾期竣工违约金的最高限额为合同施工价款的</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32B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2EC99678">
            <w:pPr>
              <w:pStyle w:val="36"/>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081" w:type="dxa"/>
            <w:noWrap w:val="0"/>
            <w:vAlign w:val="center"/>
          </w:tcPr>
          <w:p w14:paraId="37CB0D8D">
            <w:pPr>
              <w:pStyle w:val="61"/>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安全、文明施工承诺书</w:t>
            </w:r>
          </w:p>
        </w:tc>
        <w:tc>
          <w:tcPr>
            <w:tcW w:w="3226" w:type="dxa"/>
            <w:noWrap w:val="0"/>
            <w:vAlign w:val="center"/>
          </w:tcPr>
          <w:p w14:paraId="643DAC63">
            <w:pPr>
              <w:pStyle w:val="61"/>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我方保证在施工期间严格遵守国家、省、市有关安全、文明施工规定，确保施工安全和第三者的安全，根据施工现场情况保证安全防护、文明施工措施费投入。</w:t>
            </w:r>
          </w:p>
        </w:tc>
        <w:tc>
          <w:tcPr>
            <w:tcW w:w="4796" w:type="dxa"/>
            <w:noWrap w:val="0"/>
            <w:vAlign w:val="center"/>
          </w:tcPr>
          <w:p w14:paraId="11BA15C0">
            <w:pPr>
              <w:pStyle w:val="61"/>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若因我方原因，在施工期间发生安全事故，造成施工人员或第三者的伤亡，我方愿意承担由此造成的一切经济损失和法律责任。</w:t>
            </w:r>
          </w:p>
          <w:p w14:paraId="3B29240B">
            <w:pPr>
              <w:pStyle w:val="61"/>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若我方在施工中发生一般事故及以上等级生产安全事故，可扣除相当于所有“安全防护、文明施工措施费”的管理费。</w:t>
            </w:r>
          </w:p>
        </w:tc>
      </w:tr>
      <w:tr w14:paraId="23D5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305166C3">
            <w:pPr>
              <w:pStyle w:val="36"/>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081" w:type="dxa"/>
            <w:noWrap w:val="0"/>
            <w:vAlign w:val="center"/>
          </w:tcPr>
          <w:p w14:paraId="3291A7DA">
            <w:pPr>
              <w:pStyle w:val="61"/>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质量承诺书</w:t>
            </w:r>
          </w:p>
        </w:tc>
        <w:tc>
          <w:tcPr>
            <w:tcW w:w="3226" w:type="dxa"/>
            <w:noWrap w:val="0"/>
            <w:vAlign w:val="center"/>
          </w:tcPr>
          <w:p w14:paraId="5B684535">
            <w:pPr>
              <w:pStyle w:val="36"/>
              <w:spacing w:line="380" w:lineRule="exact"/>
              <w:ind w:firstLine="56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我方保证按照现行的国家和广东省的有关施工技术规范及现行标准，达到合格标准</w:t>
            </w:r>
          </w:p>
        </w:tc>
        <w:tc>
          <w:tcPr>
            <w:tcW w:w="4796" w:type="dxa"/>
            <w:noWrap w:val="0"/>
            <w:vAlign w:val="center"/>
          </w:tcPr>
          <w:p w14:paraId="5B11A466">
            <w:pPr>
              <w:pStyle w:val="61"/>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因我方原因，工程在竣工验收或分部分项工程验收时没有达到合格标准，我方每次（每分部每分项次）验收检查时按合同价款的1％向招标人缴纳质量违约金。并达到合格标准为止，同时承担所有的责任及经济损失。</w:t>
            </w:r>
          </w:p>
          <w:p w14:paraId="359BF430">
            <w:pPr>
              <w:pStyle w:val="61"/>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建设或监理单组织的质量检查中，一次一个分项工程实测或其他项、程序不合格不符合要求的，一次向建设单位交纳质量违约金¥1000元/次项，分部工程不合格的一次、一个分部向建设（委托）单位交纳违约金¥2000元/次、项；</w:t>
            </w:r>
          </w:p>
          <w:p w14:paraId="129E1C9C">
            <w:pPr>
              <w:pStyle w:val="61"/>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省、市监管部门抽查、巡查、专项、随机检查中，一次一个分项工程实测或其他项、程序不合格不符合要求的，一次向建设（委托）单位交纳质量违约金¥2000元/次项，分部工程不合格的一次、一个分部向建设（委托）单位交纳违约金¥5000元/次、项；</w:t>
            </w:r>
          </w:p>
          <w:p w14:paraId="04C34C59">
            <w:pPr>
              <w:pStyle w:val="63"/>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未能在限期内完成质量安全隐患整改的，每逾期一天，向建设单位交纳罚金¥1000元；</w:t>
            </w:r>
          </w:p>
          <w:p w14:paraId="19EA5F6B">
            <w:pPr>
              <w:pStyle w:val="63"/>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未按规定委派专业人员参加检验批、分部分项工程验收，不及时签署验收记录的，一次向建设（委托）单位交纳违约金¥2000元/次、项；</w:t>
            </w:r>
          </w:p>
          <w:p w14:paraId="2AB7BF2D">
            <w:pPr>
              <w:pStyle w:val="61"/>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不按规定委派相关人员参加项目竣工验收的，一次向建设单位交纳违约金¥50000元/项，不签署意见的交纳违约金¥50000元。</w:t>
            </w:r>
          </w:p>
        </w:tc>
      </w:tr>
      <w:tr w14:paraId="20DD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 w:hRule="atLeast"/>
          <w:jc w:val="center"/>
        </w:trPr>
        <w:tc>
          <w:tcPr>
            <w:tcW w:w="656" w:type="dxa"/>
            <w:noWrap w:val="0"/>
            <w:vAlign w:val="center"/>
          </w:tcPr>
          <w:p w14:paraId="14C050E3">
            <w:pPr>
              <w:pStyle w:val="36"/>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081" w:type="dxa"/>
            <w:noWrap w:val="0"/>
            <w:vAlign w:val="center"/>
          </w:tcPr>
          <w:p w14:paraId="02695FE4">
            <w:pPr>
              <w:pStyle w:val="61"/>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账户承诺</w:t>
            </w:r>
          </w:p>
        </w:tc>
        <w:tc>
          <w:tcPr>
            <w:tcW w:w="3226" w:type="dxa"/>
            <w:noWrap w:val="0"/>
            <w:vAlign w:val="center"/>
          </w:tcPr>
          <w:p w14:paraId="6F61BD00">
            <w:pPr>
              <w:pStyle w:val="63"/>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我方保证招标人的资金随时可划入合同中规定的我方账户。</w:t>
            </w:r>
          </w:p>
        </w:tc>
        <w:tc>
          <w:tcPr>
            <w:tcW w:w="4796" w:type="dxa"/>
            <w:noWrap w:val="0"/>
            <w:vAlign w:val="center"/>
          </w:tcPr>
          <w:p w14:paraId="59BA984E">
            <w:pPr>
              <w:pStyle w:val="61"/>
              <w:spacing w:line="380" w:lineRule="exact"/>
              <w:ind w:firstLine="412"/>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若因我方原因造成招标人的资金无法划入合同中规定的我方</w:t>
            </w:r>
            <w:r>
              <w:rPr>
                <w:rFonts w:hint="eastAsia" w:ascii="宋体" w:hAnsi="宋体" w:eastAsia="宋体" w:cs="宋体"/>
                <w:color w:val="000000" w:themeColor="text1"/>
                <w:sz w:val="21"/>
                <w:szCs w:val="21"/>
                <w:highlight w:val="none"/>
                <w14:textFill>
                  <w14:solidFill>
                    <w14:schemeClr w14:val="tx1"/>
                  </w14:solidFill>
                </w14:textFill>
              </w:rPr>
              <w:t>账</w:t>
            </w:r>
            <w:r>
              <w:rPr>
                <w:rFonts w:hint="eastAsia" w:ascii="宋体" w:hAnsi="宋体" w:eastAsia="宋体" w:cs="宋体"/>
                <w:color w:val="000000" w:themeColor="text1"/>
                <w:spacing w:val="-2"/>
                <w:sz w:val="21"/>
                <w:szCs w:val="21"/>
                <w:highlight w:val="none"/>
                <w14:textFill>
                  <w14:solidFill>
                    <w14:schemeClr w14:val="tx1"/>
                  </w14:solidFill>
                </w14:textFill>
              </w:rPr>
              <w:t>户，如时间达到30日历天，招标人有权终止合同。我方承担由此造成的所有责任及经济损失。</w:t>
            </w:r>
          </w:p>
        </w:tc>
      </w:tr>
      <w:tr w14:paraId="2F98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78487B43">
            <w:pPr>
              <w:pStyle w:val="36"/>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081" w:type="dxa"/>
            <w:noWrap w:val="0"/>
            <w:vAlign w:val="center"/>
          </w:tcPr>
          <w:p w14:paraId="48496C40">
            <w:pPr>
              <w:pStyle w:val="61"/>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工程的配合服务承诺</w:t>
            </w:r>
          </w:p>
        </w:tc>
        <w:tc>
          <w:tcPr>
            <w:tcW w:w="3226" w:type="dxa"/>
            <w:noWrap w:val="0"/>
            <w:vAlign w:val="center"/>
          </w:tcPr>
          <w:p w14:paraId="2C0E482F">
            <w:pPr>
              <w:pStyle w:val="63"/>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我方服从业主管理，保证配合与工程承包范围内相关的其他标段（工种、分项）工程施工单位的工程施工，不提出额外增加费用的要求。</w:t>
            </w:r>
          </w:p>
        </w:tc>
        <w:tc>
          <w:tcPr>
            <w:tcW w:w="4796" w:type="dxa"/>
            <w:noWrap w:val="0"/>
            <w:vAlign w:val="center"/>
          </w:tcPr>
          <w:p w14:paraId="210F5CD9">
            <w:pPr>
              <w:pStyle w:val="61"/>
              <w:spacing w:line="380" w:lineRule="exact"/>
              <w:ind w:firstLine="412"/>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若因我方未及时配合与工程承包范围内相关的其他标段（工种、分项）工程施工单位的工程施工，给招标人或其他施工单位造成损失的，我方承担所有的责任及经济损失。</w:t>
            </w:r>
          </w:p>
        </w:tc>
      </w:tr>
      <w:tr w14:paraId="4D1E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655C3A2D">
            <w:pPr>
              <w:pStyle w:val="36"/>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1081" w:type="dxa"/>
            <w:noWrap w:val="0"/>
            <w:vAlign w:val="center"/>
          </w:tcPr>
          <w:p w14:paraId="50BBA48D">
            <w:pPr>
              <w:pStyle w:val="65"/>
              <w:spacing w:line="300" w:lineRule="exact"/>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5EFD5C77">
            <w:pPr>
              <w:pStyle w:val="65"/>
              <w:spacing w:line="300" w:lineRule="exact"/>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23A37F7C">
            <w:pPr>
              <w:pStyle w:val="65"/>
              <w:spacing w:line="300" w:lineRule="exact"/>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40D91B2A">
            <w:pPr>
              <w:pStyle w:val="65"/>
              <w:spacing w:line="300" w:lineRule="exact"/>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0141EA37">
            <w:pPr>
              <w:pStyle w:val="65"/>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中标人员承诺</w:t>
            </w:r>
          </w:p>
        </w:tc>
        <w:tc>
          <w:tcPr>
            <w:tcW w:w="3226" w:type="dxa"/>
            <w:noWrap w:val="0"/>
            <w:vAlign w:val="center"/>
          </w:tcPr>
          <w:p w14:paraId="6BDA504F">
            <w:pPr>
              <w:pStyle w:val="65"/>
              <w:spacing w:line="300" w:lineRule="exact"/>
              <w:ind w:firstLine="412" w:firstLineChars="200"/>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6156EF29">
            <w:pPr>
              <w:pStyle w:val="65"/>
              <w:spacing w:line="300" w:lineRule="exact"/>
              <w:ind w:firstLine="412" w:firstLineChars="200"/>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339AD7D6">
            <w:pPr>
              <w:pStyle w:val="65"/>
              <w:spacing w:line="300" w:lineRule="exact"/>
              <w:ind w:firstLine="412" w:firstLineChars="200"/>
              <w:jc w:val="center"/>
              <w:rPr>
                <w:rFonts w:hint="eastAsia" w:ascii="宋体" w:hAnsi="宋体" w:eastAsia="宋体" w:cs="宋体"/>
                <w:color w:val="000000" w:themeColor="text1"/>
                <w:spacing w:val="-2"/>
                <w:sz w:val="21"/>
                <w:szCs w:val="21"/>
                <w:highlight w:val="none"/>
                <w14:textFill>
                  <w14:solidFill>
                    <w14:schemeClr w14:val="tx1"/>
                  </w14:solidFill>
                </w14:textFill>
              </w:rPr>
            </w:pPr>
          </w:p>
          <w:p w14:paraId="2C3E0341">
            <w:pPr>
              <w:pStyle w:val="65"/>
              <w:spacing w:line="300" w:lineRule="exact"/>
              <w:ind w:firstLine="412" w:firstLineChars="20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我方保证投标文件中所拟派的中标人员全部配合施工现场管理施工。</w:t>
            </w:r>
          </w:p>
        </w:tc>
        <w:tc>
          <w:tcPr>
            <w:tcW w:w="4796" w:type="dxa"/>
            <w:noWrap w:val="0"/>
            <w:vAlign w:val="center"/>
          </w:tcPr>
          <w:p w14:paraId="48801C4F">
            <w:pPr>
              <w:pStyle w:val="66"/>
              <w:spacing w:line="300" w:lineRule="exact"/>
              <w:ind w:left="0" w:leftChars="0" w:firstLine="420" w:firstLineChars="200"/>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设计单位未能在招标人通知的时间内（提前一天通知，紧急情况随时通知）参加设计交底、处理有关设计问题、参加必要部位隐蔽验收和竣工验收等工作，每人次交纳违约金</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snapToGrid w:val="0"/>
                <w:color w:val="000000" w:themeColor="text1"/>
                <w:sz w:val="21"/>
                <w:szCs w:val="21"/>
                <w:highlight w:val="none"/>
                <w14:textFill>
                  <w14:solidFill>
                    <w14:schemeClr w14:val="tx1"/>
                  </w14:solidFill>
                </w14:textFill>
              </w:rPr>
              <w:t>1000元。</w:t>
            </w:r>
          </w:p>
          <w:p w14:paraId="66D503B1">
            <w:pPr>
              <w:pStyle w:val="66"/>
              <w:spacing w:line="300" w:lineRule="exact"/>
              <w:ind w:left="0" w:leftChars="0" w:firstLine="420" w:firstLineChars="200"/>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设计单位驻韶办公的</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设计</w:t>
            </w:r>
            <w:r>
              <w:rPr>
                <w:rFonts w:hint="eastAsia" w:ascii="宋体" w:hAnsi="宋体" w:eastAsia="宋体" w:cs="宋体"/>
                <w:snapToGrid w:val="0"/>
                <w:color w:val="000000" w:themeColor="text1"/>
                <w:sz w:val="21"/>
                <w:szCs w:val="21"/>
                <w:highlight w:val="none"/>
                <w14:textFill>
                  <w14:solidFill>
                    <w14:schemeClr w14:val="tx1"/>
                  </w14:solidFill>
                </w14:textFill>
              </w:rPr>
              <w:t>负责人（即投标文件所拟派的</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设计</w:t>
            </w:r>
            <w:r>
              <w:rPr>
                <w:rFonts w:hint="eastAsia" w:ascii="宋体" w:hAnsi="宋体" w:eastAsia="宋体" w:cs="宋体"/>
                <w:snapToGrid w:val="0"/>
                <w:color w:val="000000" w:themeColor="text1"/>
                <w:sz w:val="21"/>
                <w:szCs w:val="21"/>
                <w:highlight w:val="none"/>
                <w14:textFill>
                  <w14:solidFill>
                    <w14:schemeClr w14:val="tx1"/>
                  </w14:solidFill>
                </w14:textFill>
              </w:rPr>
              <w:t>负责人）必须负责本项目设计全过程（包括施工图设计审查、施工图设计修编、跟踪服务、图纸会审和技术交底）。</w:t>
            </w:r>
            <w:r>
              <w:rPr>
                <w:rFonts w:hint="eastAsia" w:ascii="宋体" w:hAnsi="宋体" w:eastAsia="宋体" w:cs="宋体"/>
                <w:snapToGrid w:val="0"/>
                <w:color w:val="000000" w:themeColor="text1"/>
                <w:sz w:val="21"/>
                <w:szCs w:val="21"/>
                <w:highlight w:val="none"/>
                <w:lang w:eastAsia="zh-CN"/>
                <w14:textFill>
                  <w14:solidFill>
                    <w14:schemeClr w14:val="tx1"/>
                  </w14:solidFill>
                </w14:textFill>
              </w:rPr>
              <w:t>设计</w:t>
            </w:r>
            <w:r>
              <w:rPr>
                <w:rFonts w:hint="eastAsia" w:ascii="宋体" w:hAnsi="宋体" w:eastAsia="宋体" w:cs="宋体"/>
                <w:snapToGrid w:val="0"/>
                <w:color w:val="000000" w:themeColor="text1"/>
                <w:sz w:val="21"/>
                <w:szCs w:val="21"/>
                <w:highlight w:val="none"/>
                <w14:textFill>
                  <w14:solidFill>
                    <w14:schemeClr w14:val="tx1"/>
                  </w14:solidFill>
                </w14:textFill>
              </w:rPr>
              <w:t>负责人未准时参加上述环节工作的，每缺席一次交纳违约金</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snapToGrid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snapToGrid w:val="0"/>
                <w:color w:val="000000" w:themeColor="text1"/>
                <w:sz w:val="21"/>
                <w:szCs w:val="21"/>
                <w:highlight w:val="none"/>
                <w14:textFill>
                  <w14:solidFill>
                    <w14:schemeClr w14:val="tx1"/>
                  </w14:solidFill>
                </w14:textFill>
              </w:rPr>
              <w:t>000元（以招标人发出的违约通知为准）。</w:t>
            </w:r>
          </w:p>
          <w:p w14:paraId="734BF04B">
            <w:pPr>
              <w:pStyle w:val="66"/>
              <w:spacing w:line="300" w:lineRule="exact"/>
              <w:ind w:left="0" w:leftChars="0"/>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snapToGrid w:val="0"/>
                <w:color w:val="000000" w:themeColor="text1"/>
                <w:sz w:val="21"/>
                <w:szCs w:val="21"/>
                <w:highlight w:val="none"/>
                <w14:textFill>
                  <w14:solidFill>
                    <w14:schemeClr w14:val="tx1"/>
                  </w14:solidFill>
                </w14:textFill>
              </w:rPr>
              <w:t>设计单位应委派1名参与并熟悉本项目设计任务，有现场处理经验的设计代表常驻项目现场。中标人应为派驻现场的设计工作人员提供工作、生活及交通等方面的便利条件及准备必要的劳动保护装备。在正常施工阶段，每月应保证最少20天在现场。未经招标人书面许可，缺少1天向建设单位每人每天支付违约金¥2000元/天。</w:t>
            </w:r>
          </w:p>
        </w:tc>
      </w:tr>
      <w:tr w14:paraId="4908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6F4914B9">
            <w:pPr>
              <w:pStyle w:val="36"/>
              <w:spacing w:line="38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081" w:type="dxa"/>
            <w:noWrap w:val="0"/>
            <w:vAlign w:val="center"/>
          </w:tcPr>
          <w:p w14:paraId="51A1CB7E">
            <w:pPr>
              <w:pStyle w:val="61"/>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项目管理班子人员承诺</w:t>
            </w:r>
          </w:p>
        </w:tc>
        <w:tc>
          <w:tcPr>
            <w:tcW w:w="3226" w:type="dxa"/>
            <w:noWrap w:val="0"/>
            <w:vAlign w:val="center"/>
          </w:tcPr>
          <w:p w14:paraId="6357FC92">
            <w:pPr>
              <w:pStyle w:val="63"/>
              <w:spacing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我方保证投标文件中所拟派的项目经理、技术负责人、施工员、质量员、安全员等工程管理人员全部在施工现场管理施工</w:t>
            </w:r>
          </w:p>
        </w:tc>
        <w:tc>
          <w:tcPr>
            <w:tcW w:w="4796" w:type="dxa"/>
            <w:noWrap w:val="0"/>
            <w:vAlign w:val="center"/>
          </w:tcPr>
          <w:p w14:paraId="29398FF2">
            <w:pPr>
              <w:pStyle w:val="61"/>
              <w:spacing w:line="380" w:lineRule="exact"/>
              <w:ind w:firstLine="412"/>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承诺施工期间如左所叙施工现场管理人员按要求每日办理签到手续，如未经招标人同意未办理签到，向建设单位每人每天支付违约金</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pacing w:val="-2"/>
                <w:sz w:val="21"/>
                <w:szCs w:val="21"/>
                <w:highlight w:val="none"/>
                <w14:textFill>
                  <w14:solidFill>
                    <w14:schemeClr w14:val="tx1"/>
                  </w14:solidFill>
                </w14:textFill>
              </w:rPr>
              <w:t>00元（项目经理未签到每天支付违约金</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pacing w:val="-2"/>
                <w:sz w:val="21"/>
                <w:szCs w:val="21"/>
                <w:highlight w:val="none"/>
                <w14:textFill>
                  <w14:solidFill>
                    <w14:schemeClr w14:val="tx1"/>
                  </w14:solidFill>
                </w14:textFill>
              </w:rPr>
              <w:t>000元）；</w:t>
            </w:r>
          </w:p>
          <w:p w14:paraId="0449E707">
            <w:pPr>
              <w:pStyle w:val="61"/>
              <w:spacing w:line="380" w:lineRule="exact"/>
              <w:ind w:firstLine="412"/>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若我方的投标文件中所拟派的如左所述任何一个管理人员未经招标人或招标人同意擅自离岗，在一个月内达到10次/人，或项目经理、技术负责人在施工过程中每月驻场少于2</w:t>
            </w: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pacing w:val="-2"/>
                <w:sz w:val="21"/>
                <w:szCs w:val="21"/>
                <w:highlight w:val="none"/>
                <w14:textFill>
                  <w14:solidFill>
                    <w14:schemeClr w14:val="tx1"/>
                  </w14:solidFill>
                </w14:textFill>
              </w:rPr>
              <w:t>天的，招标人有权终止合同。我方承担由此造成的所有责任及经济损失。</w:t>
            </w:r>
          </w:p>
        </w:tc>
      </w:tr>
      <w:tr w14:paraId="4F09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3" w:hRule="atLeast"/>
          <w:jc w:val="center"/>
        </w:trPr>
        <w:tc>
          <w:tcPr>
            <w:tcW w:w="656" w:type="dxa"/>
            <w:noWrap w:val="0"/>
            <w:vAlign w:val="center"/>
          </w:tcPr>
          <w:p w14:paraId="1B340186">
            <w:pPr>
              <w:pStyle w:val="36"/>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081" w:type="dxa"/>
            <w:noWrap w:val="0"/>
            <w:vAlign w:val="center"/>
          </w:tcPr>
          <w:p w14:paraId="572A10B7">
            <w:pPr>
              <w:pStyle w:val="61"/>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对支付农民工工资的承诺</w:t>
            </w:r>
          </w:p>
        </w:tc>
        <w:tc>
          <w:tcPr>
            <w:tcW w:w="3226" w:type="dxa"/>
            <w:noWrap w:val="0"/>
            <w:vAlign w:val="center"/>
          </w:tcPr>
          <w:p w14:paraId="164AB79E">
            <w:pPr>
              <w:pStyle w:val="61"/>
              <w:spacing w:line="380" w:lineRule="exact"/>
              <w:ind w:firstLine="206"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如我方中标，我方无条件同意按照用工合同支付</w:t>
            </w:r>
            <w:r>
              <w:rPr>
                <w:rFonts w:hint="eastAsia" w:ascii="宋体" w:hAnsi="宋体" w:eastAsia="宋体" w:cs="宋体"/>
                <w:color w:val="000000" w:themeColor="text1"/>
                <w:sz w:val="21"/>
                <w:szCs w:val="21"/>
                <w:highlight w:val="none"/>
                <w14:textFill>
                  <w14:solidFill>
                    <w14:schemeClr w14:val="tx1"/>
                  </w14:solidFill>
                </w14:textFill>
              </w:rPr>
              <w:t>农民工工资。</w:t>
            </w:r>
          </w:p>
        </w:tc>
        <w:tc>
          <w:tcPr>
            <w:tcW w:w="4796" w:type="dxa"/>
            <w:noWrap w:val="0"/>
            <w:vAlign w:val="center"/>
          </w:tcPr>
          <w:p w14:paraId="4CBB4832">
            <w:pPr>
              <w:pStyle w:val="61"/>
              <w:spacing w:line="380" w:lineRule="exact"/>
              <w:ind w:firstLine="41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如我方中标，我方无条件同意按照用工合同支付</w:t>
            </w:r>
            <w:r>
              <w:rPr>
                <w:rFonts w:hint="eastAsia" w:ascii="宋体" w:hAnsi="宋体" w:eastAsia="宋体" w:cs="宋体"/>
                <w:color w:val="000000" w:themeColor="text1"/>
                <w:sz w:val="21"/>
                <w:szCs w:val="21"/>
                <w:highlight w:val="none"/>
                <w14:textFill>
                  <w14:solidFill>
                    <w14:schemeClr w14:val="tx1"/>
                  </w14:solidFill>
                </w14:textFill>
              </w:rPr>
              <w:t>农民工工资。否则，招标人有权终止合同，扣除履约保证金，并由招标人先行垫付农民工被拖欠的工资，数额以未结清的工程数为限。</w:t>
            </w:r>
          </w:p>
        </w:tc>
      </w:tr>
      <w:tr w14:paraId="1E5F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noWrap w:val="0"/>
            <w:vAlign w:val="center"/>
          </w:tcPr>
          <w:p w14:paraId="757F6B66">
            <w:pPr>
              <w:pStyle w:val="36"/>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1081" w:type="dxa"/>
            <w:noWrap w:val="0"/>
            <w:vAlign w:val="center"/>
          </w:tcPr>
          <w:p w14:paraId="6B8BB558">
            <w:pPr>
              <w:pStyle w:val="61"/>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施工组织设计承诺</w:t>
            </w:r>
          </w:p>
        </w:tc>
        <w:tc>
          <w:tcPr>
            <w:tcW w:w="3226" w:type="dxa"/>
            <w:noWrap w:val="0"/>
            <w:vAlign w:val="center"/>
          </w:tcPr>
          <w:p w14:paraId="280CF969">
            <w:pPr>
              <w:pStyle w:val="61"/>
              <w:spacing w:line="380" w:lineRule="exact"/>
              <w:ind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我方保证施工组织设计按照国家省市有关规定进行编写。</w:t>
            </w:r>
          </w:p>
        </w:tc>
        <w:tc>
          <w:tcPr>
            <w:tcW w:w="4796" w:type="dxa"/>
            <w:noWrap w:val="0"/>
            <w:vAlign w:val="center"/>
          </w:tcPr>
          <w:p w14:paraId="771F6BE2">
            <w:pPr>
              <w:pStyle w:val="61"/>
              <w:spacing w:line="380" w:lineRule="exact"/>
              <w:ind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如我方的施工组织设计未根据招标项目情况按照国家省市有关规定进行编写的，扣除全部履约保证金。</w:t>
            </w:r>
          </w:p>
        </w:tc>
      </w:tr>
      <w:tr w14:paraId="72AA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6" w:type="dxa"/>
            <w:noWrap w:val="0"/>
            <w:vAlign w:val="center"/>
          </w:tcPr>
          <w:p w14:paraId="69CBA5F7">
            <w:pPr>
              <w:pStyle w:val="67"/>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1081" w:type="dxa"/>
            <w:noWrap w:val="0"/>
            <w:vAlign w:val="center"/>
          </w:tcPr>
          <w:p w14:paraId="585B1CF5">
            <w:pPr>
              <w:pStyle w:val="67"/>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设计承诺</w:t>
            </w:r>
          </w:p>
        </w:tc>
        <w:tc>
          <w:tcPr>
            <w:tcW w:w="3226" w:type="dxa"/>
            <w:noWrap w:val="0"/>
            <w:vAlign w:val="center"/>
          </w:tcPr>
          <w:p w14:paraId="06FDF4B4">
            <w:pPr>
              <w:pStyle w:val="68"/>
              <w:spacing w:line="30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如我方中标，我方保证按设计规范及有关法律法规进行设计，并准时提供相应设计文件经审图机构审查通过。</w:t>
            </w:r>
          </w:p>
        </w:tc>
        <w:tc>
          <w:tcPr>
            <w:tcW w:w="4796" w:type="dxa"/>
            <w:noWrap w:val="0"/>
            <w:vAlign w:val="center"/>
          </w:tcPr>
          <w:p w14:paraId="01EA568A">
            <w:pPr>
              <w:pStyle w:val="68"/>
              <w:spacing w:line="30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中标，未能按招标文件要求提供设计文件，招标人有权终止合同，扣除设计费的10%作为违约罚款，并由招标人另行委托相应资质的单位进行设计，其费用由中标人支付，施工工期不予顺延且不另外计取赶工措施费。</w:t>
            </w:r>
          </w:p>
          <w:p w14:paraId="4ABDC80B">
            <w:pPr>
              <w:pStyle w:val="68"/>
              <w:spacing w:line="30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由于设计人设计工作错误造成工程设计质量事故，根据责任情况，负责赔偿工程损失费，但最高不超过该项目应收设计费总额，负责采取补救措施。</w:t>
            </w:r>
          </w:p>
          <w:p w14:paraId="10D93F7D">
            <w:pPr>
              <w:pStyle w:val="68"/>
              <w:spacing w:line="30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施工期间除发包人要求或特殊地质原因外，因设计质量和深度不够的原因引起的工程返工或需要设计变更引起工程造价增加的，每次扣减设计合同价款中设计费的2％，扣完为止。</w:t>
            </w:r>
          </w:p>
          <w:p w14:paraId="3C6DF7EF">
            <w:pPr>
              <w:pStyle w:val="68"/>
              <w:spacing w:line="300" w:lineRule="exact"/>
              <w:ind w:left="0" w:leftChars="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因设计单位自身原因造成工程结算超施工招标中标价的，扣除应付设计合同价款中的余款。</w:t>
            </w:r>
          </w:p>
        </w:tc>
      </w:tr>
      <w:tr w14:paraId="1EEE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3" w:hRule="atLeast"/>
          <w:jc w:val="center"/>
        </w:trPr>
        <w:tc>
          <w:tcPr>
            <w:tcW w:w="656" w:type="dxa"/>
            <w:shd w:val="clear" w:color="auto" w:fill="auto"/>
            <w:noWrap w:val="0"/>
            <w:vAlign w:val="center"/>
          </w:tcPr>
          <w:p w14:paraId="016E3174">
            <w:pPr>
              <w:pStyle w:val="36"/>
              <w:spacing w:line="38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1081" w:type="dxa"/>
            <w:noWrap w:val="0"/>
            <w:vAlign w:val="center"/>
          </w:tcPr>
          <w:p w14:paraId="4471B0CF">
            <w:pPr>
              <w:pStyle w:val="61"/>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综合服务能力承诺</w:t>
            </w:r>
          </w:p>
        </w:tc>
        <w:tc>
          <w:tcPr>
            <w:tcW w:w="3226" w:type="dxa"/>
            <w:noWrap w:val="0"/>
            <w:vAlign w:val="center"/>
          </w:tcPr>
          <w:p w14:paraId="1F937805">
            <w:pPr>
              <w:pStyle w:val="61"/>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我方保证中标后，自行解决施工中遇到的各种外部问题，协调周边企业、村民关系，并承担由此产生的所以责任及损失。</w:t>
            </w:r>
          </w:p>
        </w:tc>
        <w:tc>
          <w:tcPr>
            <w:tcW w:w="4796" w:type="dxa"/>
            <w:noWrap w:val="0"/>
            <w:vAlign w:val="center"/>
          </w:tcPr>
          <w:p w14:paraId="32A4256B">
            <w:pPr>
              <w:pStyle w:val="61"/>
              <w:spacing w:line="380" w:lineRule="exact"/>
              <w:ind w:firstLine="42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若我方未能按招标文件所承诺的各项承诺完成时，我方同意按比例扣除相应履约保证金，并承担由此引起的所有责任。</w:t>
            </w:r>
          </w:p>
        </w:tc>
      </w:tr>
      <w:tr w14:paraId="7539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4" w:hRule="atLeast"/>
          <w:jc w:val="center"/>
        </w:trPr>
        <w:tc>
          <w:tcPr>
            <w:tcW w:w="656" w:type="dxa"/>
            <w:shd w:val="clear" w:color="auto" w:fill="auto"/>
            <w:noWrap w:val="0"/>
            <w:vAlign w:val="center"/>
          </w:tcPr>
          <w:p w14:paraId="07D89ADB">
            <w:pPr>
              <w:pStyle w:val="36"/>
              <w:spacing w:line="38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1081" w:type="dxa"/>
            <w:noWrap w:val="0"/>
            <w:vAlign w:val="center"/>
          </w:tcPr>
          <w:p w14:paraId="4306825F">
            <w:pPr>
              <w:pStyle w:val="61"/>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廉政承诺</w:t>
            </w:r>
          </w:p>
        </w:tc>
        <w:tc>
          <w:tcPr>
            <w:tcW w:w="3226" w:type="dxa"/>
            <w:noWrap w:val="0"/>
            <w:vAlign w:val="center"/>
          </w:tcPr>
          <w:p w14:paraId="0C29C104">
            <w:pPr>
              <w:pStyle w:val="61"/>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如我方中标，我方将严格执行国家、广东省、韶关市有关工程建设廉政的有关法律法规及双方签订的廉政合同。</w:t>
            </w:r>
          </w:p>
        </w:tc>
        <w:tc>
          <w:tcPr>
            <w:tcW w:w="4796" w:type="dxa"/>
            <w:noWrap w:val="0"/>
            <w:vAlign w:val="center"/>
          </w:tcPr>
          <w:p w14:paraId="675E7C52">
            <w:pPr>
              <w:pStyle w:val="61"/>
              <w:spacing w:line="380" w:lineRule="exact"/>
              <w:ind w:firstLine="42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违反国家、广东省、韶关市有关工程建设廉政的有关法律法规及双方签订的廉政合同，受到相关主管部门的通报或查处，招标人可按规定对我方进行处罚，情节严重时招标人可终止合同，我方承担由此造成的所有责任和经济损失。</w:t>
            </w:r>
          </w:p>
        </w:tc>
      </w:tr>
      <w:tr w14:paraId="65B6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7" w:hRule="atLeast"/>
          <w:jc w:val="center"/>
        </w:trPr>
        <w:tc>
          <w:tcPr>
            <w:tcW w:w="656" w:type="dxa"/>
            <w:shd w:val="clear" w:color="auto" w:fill="auto"/>
            <w:noWrap w:val="0"/>
            <w:vAlign w:val="center"/>
          </w:tcPr>
          <w:p w14:paraId="0C6DB75F">
            <w:pPr>
              <w:pStyle w:val="36"/>
              <w:spacing w:line="38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1081" w:type="dxa"/>
            <w:noWrap w:val="0"/>
            <w:vAlign w:val="center"/>
          </w:tcPr>
          <w:p w14:paraId="57AB79D9">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对外协调关系承诺</w:t>
            </w:r>
          </w:p>
        </w:tc>
        <w:tc>
          <w:tcPr>
            <w:tcW w:w="3226" w:type="dxa"/>
            <w:noWrap w:val="0"/>
            <w:vAlign w:val="center"/>
          </w:tcPr>
          <w:p w14:paraId="089CE4C2">
            <w:pPr>
              <w:pStyle w:val="9"/>
              <w:spacing w:line="3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我方保证中标后，自行解决施工中遇到的各种外部问题，协调周边企业、村民关系，并承担由此产生的所有责任及损失。</w:t>
            </w:r>
          </w:p>
        </w:tc>
        <w:tc>
          <w:tcPr>
            <w:tcW w:w="4796" w:type="dxa"/>
            <w:noWrap w:val="0"/>
            <w:vAlign w:val="center"/>
          </w:tcPr>
          <w:p w14:paraId="58E1BDE3">
            <w:pPr>
              <w:pStyle w:val="9"/>
              <w:spacing w:line="3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若我方未能按招标文件所承诺的各项承诺完成时，我方同意按比例扣除相应履约保证金，并承担由此引起的所有责任。</w:t>
            </w:r>
          </w:p>
        </w:tc>
      </w:tr>
      <w:tr w14:paraId="72B0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4" w:hRule="atLeast"/>
          <w:jc w:val="center"/>
        </w:trPr>
        <w:tc>
          <w:tcPr>
            <w:tcW w:w="656" w:type="dxa"/>
            <w:shd w:val="clear" w:color="auto" w:fill="auto"/>
            <w:noWrap w:val="0"/>
            <w:vAlign w:val="center"/>
          </w:tcPr>
          <w:p w14:paraId="19773501">
            <w:pPr>
              <w:pStyle w:val="36"/>
              <w:spacing w:line="240"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1081" w:type="dxa"/>
            <w:noWrap w:val="0"/>
            <w:vAlign w:val="center"/>
          </w:tcPr>
          <w:p w14:paraId="7EBE6FAC">
            <w:pPr>
              <w:pStyle w:val="61"/>
              <w:wordWrap w:val="0"/>
              <w:adjustRightInd w:val="0"/>
              <w:snapToGrid w:val="0"/>
              <w:spacing w:line="38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投标文件信息公开承诺</w:t>
            </w:r>
          </w:p>
        </w:tc>
        <w:tc>
          <w:tcPr>
            <w:tcW w:w="3226" w:type="dxa"/>
            <w:noWrap w:val="0"/>
            <w:vAlign w:val="center"/>
          </w:tcPr>
          <w:p w14:paraId="33100E59">
            <w:pPr>
              <w:pStyle w:val="61"/>
              <w:wordWrap w:val="0"/>
              <w:adjustRightInd w:val="0"/>
              <w:snapToGrid w:val="0"/>
              <w:spacing w:line="38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我方提供完整的电子文件。如</w:t>
            </w:r>
            <w:r>
              <w:rPr>
                <w:rFonts w:hint="eastAsia" w:ascii="宋体" w:hAnsi="宋体" w:eastAsia="宋体" w:cs="宋体"/>
                <w:color w:val="000000" w:themeColor="text1"/>
                <w:sz w:val="21"/>
                <w:szCs w:val="21"/>
                <w:highlight w:val="none"/>
                <w:lang w:eastAsia="zh-CN"/>
                <w14:textFill>
                  <w14:solidFill>
                    <w14:schemeClr w14:val="tx1"/>
                  </w14:solidFill>
                </w14:textFill>
              </w:rPr>
              <w:t>果</w:t>
            </w:r>
            <w:r>
              <w:rPr>
                <w:rFonts w:hint="eastAsia" w:ascii="宋体" w:hAnsi="宋体" w:eastAsia="宋体" w:cs="宋体"/>
                <w:color w:val="000000" w:themeColor="text1"/>
                <w:sz w:val="21"/>
                <w:szCs w:val="21"/>
                <w:highlight w:val="none"/>
                <w14:textFill>
                  <w14:solidFill>
                    <w14:schemeClr w14:val="tx1"/>
                  </w14:solidFill>
                </w14:textFill>
              </w:rPr>
              <w:t>我方成为本项目中标候选人，我方同意并授权招标人</w:t>
            </w:r>
            <w:r>
              <w:rPr>
                <w:rFonts w:hint="eastAsia" w:ascii="宋体" w:hAnsi="宋体" w:eastAsia="宋体" w:cs="宋体"/>
                <w:color w:val="000000" w:themeColor="text1"/>
                <w:sz w:val="21"/>
                <w:szCs w:val="21"/>
                <w:highlight w:val="none"/>
                <w:lang w:eastAsia="zh-CN"/>
                <w14:textFill>
                  <w14:solidFill>
                    <w14:schemeClr w14:val="tx1"/>
                  </w14:solidFill>
                </w14:textFill>
              </w:rPr>
              <w:t>在评标结果公示期内公开</w:t>
            </w:r>
            <w:r>
              <w:rPr>
                <w:rFonts w:hint="eastAsia" w:ascii="宋体" w:hAnsi="宋体" w:eastAsia="宋体" w:cs="宋体"/>
                <w:color w:val="000000" w:themeColor="text1"/>
                <w:sz w:val="21"/>
                <w:szCs w:val="21"/>
                <w:highlight w:val="none"/>
                <w14:textFill>
                  <w14:solidFill>
                    <w14:schemeClr w14:val="tx1"/>
                  </w14:solidFill>
                </w14:textFill>
              </w:rPr>
              <w:t>我方商务部分的</w:t>
            </w:r>
            <w:r>
              <w:rPr>
                <w:rFonts w:hint="eastAsia" w:ascii="宋体" w:hAnsi="宋体" w:eastAsia="宋体" w:cs="宋体"/>
                <w:color w:val="000000" w:themeColor="text1"/>
                <w:sz w:val="21"/>
                <w:szCs w:val="21"/>
                <w:highlight w:val="none"/>
                <w:lang w:eastAsia="zh-CN"/>
                <w14:textFill>
                  <w14:solidFill>
                    <w14:schemeClr w14:val="tx1"/>
                  </w14:solidFill>
                </w14:textFill>
              </w:rPr>
              <w:t>全部</w:t>
            </w:r>
            <w:r>
              <w:rPr>
                <w:rFonts w:hint="eastAsia" w:ascii="宋体" w:hAnsi="宋体" w:eastAsia="宋体" w:cs="宋体"/>
                <w:color w:val="000000" w:themeColor="text1"/>
                <w:sz w:val="21"/>
                <w:szCs w:val="21"/>
                <w:highlight w:val="none"/>
                <w14:textFill>
                  <w14:solidFill>
                    <w14:schemeClr w14:val="tx1"/>
                  </w14:solidFill>
                </w14:textFill>
              </w:rPr>
              <w:t>内容。</w:t>
            </w:r>
          </w:p>
        </w:tc>
        <w:tc>
          <w:tcPr>
            <w:tcW w:w="4796" w:type="dxa"/>
            <w:tcBorders>
              <w:tr2bl w:val="single" w:color="auto" w:sz="4" w:space="0"/>
            </w:tcBorders>
            <w:noWrap w:val="0"/>
            <w:vAlign w:val="center"/>
          </w:tcPr>
          <w:p w14:paraId="53324650">
            <w:pPr>
              <w:pStyle w:val="61"/>
              <w:wordWrap w:val="0"/>
              <w:adjustRightInd w:val="0"/>
              <w:snapToGrid w:val="0"/>
              <w:spacing w:line="380" w:lineRule="exact"/>
              <w:ind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 xml:space="preserve">   </w:t>
            </w:r>
          </w:p>
        </w:tc>
      </w:tr>
      <w:tr w14:paraId="7814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0" w:hRule="atLeast"/>
          <w:jc w:val="center"/>
        </w:trPr>
        <w:tc>
          <w:tcPr>
            <w:tcW w:w="656" w:type="dxa"/>
            <w:shd w:val="clear" w:color="auto" w:fill="auto"/>
            <w:noWrap w:val="0"/>
            <w:vAlign w:val="center"/>
          </w:tcPr>
          <w:p w14:paraId="524B4BD6">
            <w:pPr>
              <w:pStyle w:val="7"/>
              <w:spacing w:line="38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19</w:t>
            </w:r>
          </w:p>
        </w:tc>
        <w:tc>
          <w:tcPr>
            <w:tcW w:w="1081" w:type="dxa"/>
            <w:noWrap w:val="0"/>
            <w:vAlign w:val="center"/>
          </w:tcPr>
          <w:p w14:paraId="66B21A03">
            <w:pPr>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按时签订合同的承诺</w:t>
            </w:r>
          </w:p>
        </w:tc>
        <w:tc>
          <w:tcPr>
            <w:tcW w:w="3226" w:type="dxa"/>
            <w:noWrap w:val="0"/>
            <w:vAlign w:val="center"/>
          </w:tcPr>
          <w:p w14:paraId="096674D2">
            <w:pPr>
              <w:pStyle w:val="61"/>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如果我方中标，我方保证在招标文件规定的时限内与招标人签订合同，不提出违背或超出招标文件、中标文件的要求。</w:t>
            </w:r>
          </w:p>
        </w:tc>
        <w:tc>
          <w:tcPr>
            <w:tcW w:w="4796" w:type="dxa"/>
            <w:noWrap w:val="0"/>
            <w:vAlign w:val="center"/>
          </w:tcPr>
          <w:p w14:paraId="0916CEC1">
            <w:pPr>
              <w:pStyle w:val="61"/>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r w14:paraId="3541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7" w:hRule="atLeast"/>
          <w:jc w:val="center"/>
        </w:trPr>
        <w:tc>
          <w:tcPr>
            <w:tcW w:w="656" w:type="dxa"/>
            <w:shd w:val="clear" w:color="auto" w:fill="auto"/>
            <w:noWrap w:val="0"/>
            <w:vAlign w:val="center"/>
          </w:tcPr>
          <w:p w14:paraId="2D952E80">
            <w:pPr>
              <w:pStyle w:val="7"/>
              <w:spacing w:line="38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p>
        </w:tc>
        <w:tc>
          <w:tcPr>
            <w:tcW w:w="1081" w:type="dxa"/>
            <w:noWrap w:val="0"/>
            <w:vAlign w:val="center"/>
          </w:tcPr>
          <w:p w14:paraId="0951A09C">
            <w:pPr>
              <w:pStyle w:val="61"/>
              <w:snapToGrid w:val="0"/>
              <w:spacing w:line="400" w:lineRule="exact"/>
              <w:ind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质量安全受检承诺</w:t>
            </w:r>
          </w:p>
        </w:tc>
        <w:tc>
          <w:tcPr>
            <w:tcW w:w="3226" w:type="dxa"/>
            <w:noWrap w:val="0"/>
            <w:vAlign w:val="center"/>
          </w:tcPr>
          <w:p w14:paraId="103581FF">
            <w:pPr>
              <w:pStyle w:val="61"/>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我方中标，我方承诺本项目在建设过程中，设计及施工的质量安全等相关实施内容按照业主单位、发包单位的相关管理规定和质量安全考核要求，随时接受业主单位、发包单位自行或委托的第三方的监督检查及考核，我方保证无条件配合。</w:t>
            </w:r>
          </w:p>
        </w:tc>
        <w:tc>
          <w:tcPr>
            <w:tcW w:w="4796" w:type="dxa"/>
            <w:noWrap w:val="0"/>
            <w:vAlign w:val="center"/>
          </w:tcPr>
          <w:p w14:paraId="471E2361">
            <w:pPr>
              <w:pStyle w:val="61"/>
              <w:snapToGrid w:val="0"/>
              <w:spacing w:line="40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如我方不配合或未通过相关的监督检查及考核，我方承诺接受业主单位、发包单位的相关管理规定和处罚，并承担相应的责任。</w:t>
            </w:r>
          </w:p>
        </w:tc>
      </w:tr>
      <w:tr w14:paraId="5E06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shd w:val="clear" w:color="auto" w:fill="auto"/>
            <w:noWrap w:val="0"/>
            <w:vAlign w:val="center"/>
          </w:tcPr>
          <w:p w14:paraId="590414ED">
            <w:pPr>
              <w:pStyle w:val="7"/>
              <w:spacing w:line="38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w:t>
            </w:r>
          </w:p>
        </w:tc>
        <w:tc>
          <w:tcPr>
            <w:tcW w:w="1081" w:type="dxa"/>
            <w:noWrap w:val="0"/>
            <w:vAlign w:val="center"/>
          </w:tcPr>
          <w:p w14:paraId="7055292D">
            <w:pPr>
              <w:pStyle w:val="61"/>
              <w:snapToGrid w:val="0"/>
              <w:spacing w:line="400" w:lineRule="exact"/>
              <w:ind w:firstLine="0" w:firstLineChars="0"/>
              <w:jc w:val="center"/>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对工程预付款的使用承诺</w:t>
            </w:r>
          </w:p>
        </w:tc>
        <w:tc>
          <w:tcPr>
            <w:tcW w:w="3226" w:type="dxa"/>
            <w:noWrap w:val="0"/>
            <w:vAlign w:val="center"/>
          </w:tcPr>
          <w:p w14:paraId="6319074A">
            <w:pPr>
              <w:pStyle w:val="61"/>
              <w:snapToGrid w:val="0"/>
              <w:spacing w:line="400" w:lineRule="exact"/>
              <w:ind w:firstLine="420" w:firstLineChars="200"/>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我方保证工程预付款用于主要建筑材料的备料及支付工人工资。</w:t>
            </w:r>
          </w:p>
        </w:tc>
        <w:tc>
          <w:tcPr>
            <w:tcW w:w="4796" w:type="dxa"/>
            <w:tcBorders>
              <w:tr2bl w:val="single" w:color="auto" w:sz="4" w:space="0"/>
            </w:tcBorders>
            <w:noWrap w:val="0"/>
            <w:vAlign w:val="center"/>
          </w:tcPr>
          <w:p w14:paraId="77E1D587">
            <w:pPr>
              <w:pStyle w:val="61"/>
              <w:wordWrap w:val="0"/>
              <w:adjustRightInd w:val="0"/>
              <w:snapToGrid w:val="0"/>
              <w:spacing w:line="380" w:lineRule="exact"/>
              <w:ind w:firstLine="420"/>
              <w:rPr>
                <w:rFonts w:hint="eastAsia" w:ascii="宋体" w:hAnsi="宋体" w:eastAsia="宋体" w:cs="宋体"/>
                <w:snapToGrid w:val="0"/>
                <w:color w:val="000000" w:themeColor="text1"/>
                <w:kern w:val="0"/>
                <w:sz w:val="21"/>
                <w:szCs w:val="21"/>
                <w:highlight w:val="none"/>
                <w14:textFill>
                  <w14:solidFill>
                    <w14:schemeClr w14:val="tx1"/>
                  </w14:solidFill>
                </w14:textFill>
              </w:rPr>
            </w:pPr>
          </w:p>
        </w:tc>
      </w:tr>
    </w:tbl>
    <w:p w14:paraId="730E66E5">
      <w:pPr>
        <w:pStyle w:val="69"/>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48243121">
      <w:pPr>
        <w:pStyle w:val="69"/>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注：所有违约金均从中标人的进度款中扣除，最终结算以扣除违约金总数后的金额为准。</w:t>
      </w:r>
    </w:p>
    <w:p w14:paraId="4F109FDC">
      <w:pPr>
        <w:pStyle w:val="36"/>
        <w:spacing w:line="400" w:lineRule="exact"/>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0BE4A8C5">
      <w:pPr>
        <w:pStyle w:val="11"/>
        <w:wordWrap w:val="0"/>
        <w:adjustRightInd w:val="0"/>
        <w:snapToGrid w:val="0"/>
        <w:spacing w:line="420" w:lineRule="exact"/>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（盖单位章）</w:t>
      </w:r>
    </w:p>
    <w:p w14:paraId="6DF638EC">
      <w:pPr>
        <w:pStyle w:val="11"/>
        <w:wordWrap w:val="0"/>
        <w:adjustRightInd w:val="0"/>
        <w:snapToGrid w:val="0"/>
        <w:spacing w:line="420" w:lineRule="exact"/>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275CDFC8">
      <w:pPr>
        <w:pStyle w:val="11"/>
        <w:wordWrap w:val="0"/>
        <w:adjustRightInd w:val="0"/>
        <w:snapToGrid w:val="0"/>
        <w:spacing w:line="420" w:lineRule="exact"/>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法定代表人或其委托代理人：</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（签字或盖章）</w:t>
      </w:r>
    </w:p>
    <w:p w14:paraId="7E57DB37">
      <w:pPr>
        <w:pStyle w:val="11"/>
        <w:wordWrap w:val="0"/>
        <w:adjustRightInd w:val="0"/>
        <w:snapToGrid w:val="0"/>
        <w:spacing w:line="420" w:lineRule="exact"/>
        <w:ind w:firstLine="480" w:firstLineChars="200"/>
        <w:jc w:val="righ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p>
    <w:p w14:paraId="6A141A49">
      <w:pPr>
        <w:widowControl/>
        <w:jc w:val="right"/>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年</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月</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14:textFill>
            <w14:solidFill>
              <w14:schemeClr w14:val="tx1"/>
            </w14:solidFill>
          </w14:textFill>
        </w:rPr>
        <w:t>日</w:t>
      </w:r>
      <w: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br w:type="page"/>
      </w:r>
    </w:p>
    <w:p w14:paraId="4B19F682">
      <w:pPr>
        <w:pStyle w:val="3"/>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26" w:name="_Toc30463"/>
      <w:bookmarkStart w:id="527" w:name="_Toc30764"/>
      <w:bookmarkStart w:id="528" w:name="_Toc18488"/>
      <w:bookmarkStart w:id="529" w:name="_Toc10981"/>
      <w:bookmarkStart w:id="530" w:name="_Toc6896"/>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格式四 授权委托书</w:t>
      </w:r>
      <w:bookmarkEnd w:id="526"/>
      <w:bookmarkEnd w:id="527"/>
      <w:bookmarkEnd w:id="528"/>
      <w:bookmarkEnd w:id="529"/>
      <w:bookmarkEnd w:id="530"/>
    </w:p>
    <w:p w14:paraId="3ADCFDEF">
      <w:pPr>
        <w:wordWrap w:val="0"/>
        <w:adjustRightInd w:val="0"/>
        <w:snapToGrid w:val="0"/>
        <w:spacing w:line="440" w:lineRule="exact"/>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p>
    <w:p w14:paraId="34CFB3DC">
      <w:pPr>
        <w:wordWrap w:val="0"/>
        <w:adjustRightInd w:val="0"/>
        <w:snapToGrid w:val="0"/>
        <w:spacing w:before="260" w:after="260" w:line="44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授权委托书</w:t>
      </w:r>
    </w:p>
    <w:p w14:paraId="78AFEB40">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17103A9E">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本人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（姓名）系</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（投标人名称）的法定代表人，现委托</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（姓名）为我方代理人。代理人根据授权，以我方名义签署、澄清、说明、补正、递交、撤回、修改</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（项目名称）投标文件、签订合同和处理有关事宜，其法律后果由我方承担。</w:t>
      </w:r>
    </w:p>
    <w:p w14:paraId="35025E88">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委托期限：至</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年   月   日</w:t>
      </w:r>
      <w:r>
        <w:rPr>
          <w:rFonts w:hint="eastAsia" w:asciiTheme="minorEastAsia" w:hAnsiTheme="minorEastAsia" w:eastAsiaTheme="minorEastAsia" w:cstheme="minorEastAsia"/>
          <w:i/>
          <w:iCs/>
          <w:snapToGrid w:val="0"/>
          <w:color w:val="000000" w:themeColor="text1"/>
          <w:kern w:val="0"/>
          <w:szCs w:val="24"/>
          <w:highlight w:val="none"/>
          <w:u w:val="single"/>
          <w14:textFill>
            <w14:solidFill>
              <w14:schemeClr w14:val="tx1"/>
            </w14:solidFill>
          </w14:textFill>
        </w:rPr>
        <w:t>（不得短于招标文件规定的投标有效期）</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p>
    <w:p w14:paraId="388E33EC">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代理人无转委托权。</w:t>
      </w:r>
    </w:p>
    <w:p w14:paraId="4790C8F1">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48F8D5A">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79CDA10">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  标  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（盖单位章）</w:t>
      </w:r>
    </w:p>
    <w:p w14:paraId="47178EF4">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4910192">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法定代表人：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（签字或盖章）</w:t>
      </w:r>
    </w:p>
    <w:p w14:paraId="3731AF0B">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1F477B2B">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委托代理人：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（签字或盖章）</w:t>
      </w:r>
    </w:p>
    <w:p w14:paraId="639A250B">
      <w:pPr>
        <w:wordWrap w:val="0"/>
        <w:adjustRightInd w:val="0"/>
        <w:snapToGrid w:val="0"/>
        <w:spacing w:line="440" w:lineRule="exact"/>
        <w:ind w:firstLine="480" w:firstLineChars="200"/>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日</w:t>
      </w:r>
    </w:p>
    <w:p w14:paraId="45F4FEDC">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6B3334F8">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22DA218">
      <w:pPr>
        <w:wordWrap w:val="0"/>
        <w:adjustRightInd w:val="0"/>
        <w:snapToGrid w:val="0"/>
        <w:spacing w:line="44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21CDB063">
      <w:pPr>
        <w:wordWrap w:val="0"/>
        <w:adjustRightInd w:val="0"/>
        <w:snapToGrid w:val="0"/>
        <w:ind w:firstLine="5520" w:firstLineChars="23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212300E">
                            <w:pPr>
                              <w:jc w:val="center"/>
                              <w:rPr>
                                <w:rFonts w:hint="default"/>
                                <w:szCs w:val="21"/>
                              </w:rPr>
                            </w:pPr>
                          </w:p>
                          <w:p w14:paraId="392B6583">
                            <w:pPr>
                              <w:jc w:val="center"/>
                              <w:rPr>
                                <w:rFonts w:hint="default"/>
                                <w:szCs w:val="21"/>
                              </w:rPr>
                            </w:pPr>
                          </w:p>
                          <w:p w14:paraId="3A12F76C">
                            <w:pPr>
                              <w:jc w:val="center"/>
                              <w:rPr>
                                <w:rFonts w:hint="default"/>
                                <w:szCs w:val="21"/>
                              </w:rPr>
                            </w:pPr>
                          </w:p>
                          <w:p w14:paraId="76520C7F">
                            <w:pPr>
                              <w:jc w:val="center"/>
                              <w:rPr>
                                <w:rFonts w:hint="eastAsia" w:ascii="宋体" w:hAnsi="宋体" w:eastAsia="宋体" w:cs="宋体"/>
                                <w:szCs w:val="21"/>
                              </w:rPr>
                            </w:pPr>
                            <w:r>
                              <w:rPr>
                                <w:rFonts w:hint="eastAsia" w:ascii="宋体" w:hAnsi="宋体" w:eastAsia="宋体" w:cs="宋体"/>
                                <w:szCs w:val="21"/>
                              </w:rPr>
                              <w:t>委托代理人身份证彩色扫描件正、反面</w:t>
                            </w:r>
                          </w:p>
                        </w:txbxContent>
                      </wps:txbx>
                      <wps:bodyPr wrap="square" upright="1"/>
                    </wps:wsp>
                  </a:graphicData>
                </a:graphic>
              </wp:anchor>
            </w:drawing>
          </mc:Choice>
          <mc:Fallback>
            <w:pict>
              <v:shape id="_x0000_s1026" o:spid="_x0000_s1026" o:spt="176" type="#_x0000_t176" style="position:absolute;left:0pt;margin-left:115.5pt;margin-top:2.6pt;height:124.75pt;width:251.25pt;z-index:251663360;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rJ9Os2AAAAAkBAAAPAAAAAAAAAAEAIAAAACIAAABkcnMvZG93&#10;bnJldi54bWxQSwECFAAUAAAACACHTuJAsfZZWzkCAABuBAAADgAAAAAAAAABACAAAAAnAQAAZHJz&#10;L2Uyb0RvYy54bWxQSwUGAAAAAAYABgBZAQAA0gUAAAAA&#10;">
                <v:fill on="t" focussize="0,0"/>
                <v:stroke color="#000000" joinstyle="miter"/>
                <v:imagedata o:title=""/>
                <o:lock v:ext="edit" aspectratio="f"/>
                <v:textbox>
                  <w:txbxContent>
                    <w:p w14:paraId="6212300E">
                      <w:pPr>
                        <w:jc w:val="center"/>
                        <w:rPr>
                          <w:rFonts w:hint="default"/>
                          <w:szCs w:val="21"/>
                        </w:rPr>
                      </w:pPr>
                    </w:p>
                    <w:p w14:paraId="392B6583">
                      <w:pPr>
                        <w:jc w:val="center"/>
                        <w:rPr>
                          <w:rFonts w:hint="default"/>
                          <w:szCs w:val="21"/>
                        </w:rPr>
                      </w:pPr>
                    </w:p>
                    <w:p w14:paraId="3A12F76C">
                      <w:pPr>
                        <w:jc w:val="center"/>
                        <w:rPr>
                          <w:rFonts w:hint="default"/>
                          <w:szCs w:val="21"/>
                        </w:rPr>
                      </w:pPr>
                    </w:p>
                    <w:p w14:paraId="76520C7F">
                      <w:pPr>
                        <w:jc w:val="center"/>
                        <w:rPr>
                          <w:rFonts w:hint="eastAsia" w:ascii="宋体" w:hAnsi="宋体" w:eastAsia="宋体" w:cs="宋体"/>
                          <w:szCs w:val="21"/>
                        </w:rPr>
                      </w:pPr>
                      <w:r>
                        <w:rPr>
                          <w:rFonts w:hint="eastAsia" w:ascii="宋体" w:hAnsi="宋体" w:eastAsia="宋体" w:cs="宋体"/>
                          <w:szCs w:val="21"/>
                        </w:rPr>
                        <w:t>委托代理人身份证彩色扫描件正、反面</w:t>
                      </w:r>
                    </w:p>
                  </w:txbxContent>
                </v:textbox>
              </v:shape>
            </w:pict>
          </mc:Fallback>
        </mc:AlternateContent>
      </w:r>
    </w:p>
    <w:p w14:paraId="435F828D">
      <w:pPr>
        <w:pStyle w:val="8"/>
        <w:wordWrap w:val="0"/>
        <w:adjustRightInd w:val="0"/>
        <w:snapToGrid w:val="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4A72F4A7">
      <w:pP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41C4AFC9">
      <w:pPr>
        <w:wordWrap w:val="0"/>
        <w:adjustRightInd w:val="0"/>
        <w:snapToGrid w:val="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sectPr>
          <w:headerReference r:id="rId6" w:type="default"/>
          <w:footerReference r:id="rId7" w:type="default"/>
          <w:endnotePr>
            <w:numFmt w:val="decimal"/>
          </w:endnotePr>
          <w:pgSz w:w="11906" w:h="16838"/>
          <w:pgMar w:top="1701" w:right="1531" w:bottom="1417" w:left="1531" w:header="850" w:footer="737" w:gutter="0"/>
          <w:pgNumType w:fmt="decimal"/>
          <w:cols w:space="720" w:num="1"/>
          <w:docGrid w:linePitch="327" w:charSpace="0"/>
        </w:sectPr>
      </w:pPr>
    </w:p>
    <w:p w14:paraId="3FD84A81">
      <w:pPr>
        <w:pStyle w:val="3"/>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31" w:name="_Toc29587"/>
      <w:bookmarkStart w:id="532" w:name="_Toc12031"/>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格式五 法定代表人身份证明</w:t>
      </w:r>
      <w:bookmarkEnd w:id="531"/>
      <w:bookmarkEnd w:id="532"/>
    </w:p>
    <w:p w14:paraId="4516AF38">
      <w:pPr>
        <w:wordWrap w:val="0"/>
        <w:adjustRightInd w:val="0"/>
        <w:snapToGrid w:val="0"/>
        <w:spacing w:line="440" w:lineRule="exact"/>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p>
    <w:p w14:paraId="450DC350">
      <w:pPr>
        <w:wordWrap w:val="0"/>
        <w:adjustRightInd w:val="0"/>
        <w:snapToGrid w:val="0"/>
        <w:spacing w:before="260" w:after="260" w:line="44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法定代表人身份证明</w:t>
      </w:r>
    </w:p>
    <w:p w14:paraId="28098091">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3E481A1">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投标人名称：</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p>
    <w:p w14:paraId="47A92B05">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姓名：</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性别：</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年龄：</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职务：</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p>
    <w:p w14:paraId="7119E739">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系</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（投标人名称）的法定代表人。</w:t>
      </w:r>
    </w:p>
    <w:p w14:paraId="67B43677">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特此证明。</w:t>
      </w:r>
    </w:p>
    <w:p w14:paraId="414C0FFF">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4B7156C0">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16BC1EBC">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（盖单位章）</w:t>
      </w:r>
    </w:p>
    <w:p w14:paraId="13245FAD">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2C82B7B">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5640E0DA">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法定代表人：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（签字或盖章）</w:t>
      </w:r>
    </w:p>
    <w:p w14:paraId="1A9F4A29">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75875AC">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日       </w:t>
      </w:r>
    </w:p>
    <w:p w14:paraId="3E7BE46F">
      <w:pPr>
        <w:wordWrap w:val="0"/>
        <w:adjustRightInd w:val="0"/>
        <w:snapToGrid w:val="0"/>
        <w:spacing w:line="440" w:lineRule="exact"/>
        <w:ind w:firstLine="720" w:firstLineChars="300"/>
        <w:rPr>
          <w:rFonts w:hint="eastAsia" w:asciiTheme="minorEastAsia" w:hAnsiTheme="minorEastAsia" w:eastAsiaTheme="minorEastAsia" w:cstheme="minorEastAsia"/>
          <w:i/>
          <w:iCs/>
          <w:snapToGrid w:val="0"/>
          <w:color w:val="000000" w:themeColor="text1"/>
          <w:kern w:val="0"/>
          <w:szCs w:val="24"/>
          <w:highlight w:val="none"/>
          <w14:textFill>
            <w14:solidFill>
              <w14:schemeClr w14:val="tx1"/>
            </w14:solidFill>
          </w14:textFill>
        </w:rPr>
      </w:pPr>
    </w:p>
    <w:p w14:paraId="23E4B240">
      <w:pPr>
        <w:wordWrap w:val="0"/>
        <w:adjustRightInd w:val="0"/>
        <w:snapToGrid w:val="0"/>
        <w:spacing w:line="440" w:lineRule="exact"/>
        <w:ind w:firstLine="720" w:firstLineChars="300"/>
        <w:rPr>
          <w:rFonts w:hint="eastAsia" w:asciiTheme="minorEastAsia" w:hAnsiTheme="minorEastAsia" w:eastAsiaTheme="minorEastAsia" w:cstheme="minorEastAsia"/>
          <w:i/>
          <w:iCs/>
          <w:snapToGrid w:val="0"/>
          <w:color w:val="000000" w:themeColor="text1"/>
          <w:kern w:val="0"/>
          <w:szCs w:val="24"/>
          <w:highlight w:val="none"/>
          <w14:textFill>
            <w14:solidFill>
              <w14:schemeClr w14:val="tx1"/>
            </w14:solidFill>
          </w14:textFill>
        </w:rPr>
      </w:pPr>
    </w:p>
    <w:p w14:paraId="659C4946">
      <w:pPr>
        <w:wordWrap w:val="0"/>
        <w:adjustRightInd w:val="0"/>
        <w:snapToGrid w:val="0"/>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9" name="流程图: 可选过程 9"/>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0EDDE0C">
                            <w:pPr>
                              <w:jc w:val="center"/>
                              <w:rPr>
                                <w:rFonts w:hint="default"/>
                                <w:szCs w:val="21"/>
                              </w:rPr>
                            </w:pPr>
                          </w:p>
                          <w:p w14:paraId="68574360">
                            <w:pPr>
                              <w:jc w:val="center"/>
                              <w:rPr>
                                <w:rFonts w:hint="default"/>
                                <w:szCs w:val="21"/>
                              </w:rPr>
                            </w:pPr>
                          </w:p>
                          <w:p w14:paraId="4719C687">
                            <w:pPr>
                              <w:jc w:val="center"/>
                              <w:rPr>
                                <w:rFonts w:hint="default"/>
                                <w:szCs w:val="21"/>
                              </w:rPr>
                            </w:pPr>
                          </w:p>
                          <w:p w14:paraId="07B3FA8F">
                            <w:pPr>
                              <w:jc w:val="center"/>
                              <w:rPr>
                                <w:rFonts w:hint="eastAsia" w:ascii="宋体" w:hAnsi="宋体" w:eastAsia="宋体" w:cs="宋体"/>
                                <w:szCs w:val="21"/>
                              </w:rPr>
                            </w:pPr>
                            <w:r>
                              <w:rPr>
                                <w:rFonts w:hint="eastAsia" w:ascii="宋体" w:hAnsi="宋体" w:eastAsia="宋体" w:cs="宋体"/>
                                <w:szCs w:val="21"/>
                              </w:rPr>
                              <w:t>法定代表人身份证彩色扫描件正、反面</w:t>
                            </w:r>
                          </w:p>
                        </w:txbxContent>
                      </wps:txbx>
                      <wps:bodyPr wrap="square" upright="1"/>
                    </wps:wsp>
                  </a:graphicData>
                </a:graphic>
              </wp:anchor>
            </w:drawing>
          </mc:Choice>
          <mc:Fallback>
            <w:pict>
              <v:shape id="_x0000_s1026" o:spid="_x0000_s1026" o:spt="176" type="#_x0000_t176" style="position:absolute;left:0pt;margin-left:127.5pt;margin-top:1.6pt;height:124.75pt;width:222.45pt;z-index:251662336;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hXUptgAAAAJAQAADwAAAAAAAAABACAAAAAiAAAAZHJzL2Rvd25y&#10;ZXYueG1sUEsBAhQAFAAAAAgAh07iQEz7asY3AgAAbAQAAA4AAAAAAAAAAQAgAAAAJwEAAGRycy9l&#10;Mm9Eb2MueG1sUEsFBgAAAAAGAAYAWQEAANAFAAAAAA==&#10;">
                <v:fill on="t" focussize="0,0"/>
                <v:stroke color="#000000" joinstyle="miter"/>
                <v:imagedata o:title=""/>
                <o:lock v:ext="edit" aspectratio="f"/>
                <v:textbox>
                  <w:txbxContent>
                    <w:p w14:paraId="30EDDE0C">
                      <w:pPr>
                        <w:jc w:val="center"/>
                        <w:rPr>
                          <w:rFonts w:hint="default"/>
                          <w:szCs w:val="21"/>
                        </w:rPr>
                      </w:pPr>
                    </w:p>
                    <w:p w14:paraId="68574360">
                      <w:pPr>
                        <w:jc w:val="center"/>
                        <w:rPr>
                          <w:rFonts w:hint="default"/>
                          <w:szCs w:val="21"/>
                        </w:rPr>
                      </w:pPr>
                    </w:p>
                    <w:p w14:paraId="4719C687">
                      <w:pPr>
                        <w:jc w:val="center"/>
                        <w:rPr>
                          <w:rFonts w:hint="default"/>
                          <w:szCs w:val="21"/>
                        </w:rPr>
                      </w:pPr>
                    </w:p>
                    <w:p w14:paraId="07B3FA8F">
                      <w:pPr>
                        <w:jc w:val="center"/>
                        <w:rPr>
                          <w:rFonts w:hint="eastAsia" w:ascii="宋体" w:hAnsi="宋体" w:eastAsia="宋体" w:cs="宋体"/>
                          <w:szCs w:val="21"/>
                        </w:rPr>
                      </w:pPr>
                      <w:r>
                        <w:rPr>
                          <w:rFonts w:hint="eastAsia" w:ascii="宋体" w:hAnsi="宋体" w:eastAsia="宋体" w:cs="宋体"/>
                          <w:szCs w:val="21"/>
                        </w:rPr>
                        <w:t>法定代表人身份证彩色扫描件正、反面</w:t>
                      </w:r>
                    </w:p>
                  </w:txbxContent>
                </v:textbox>
              </v:shape>
            </w:pict>
          </mc:Fallback>
        </mc:AlternateContent>
      </w:r>
    </w:p>
    <w:p w14:paraId="2E318E0B">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A652531">
      <w:pPr>
        <w:wordWrap w:val="0"/>
        <w:adjustRightInd w:val="0"/>
        <w:snapToGrid w:val="0"/>
        <w:spacing w:line="48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p>
    <w:p w14:paraId="633E6118">
      <w:pPr>
        <w:wordWrap w:val="0"/>
        <w:adjustRightInd w:val="0"/>
        <w:snapToGrid w:val="0"/>
        <w:spacing w:line="48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p>
    <w:p w14:paraId="5CEC2D37">
      <w:pPr>
        <w:wordWrap w:val="0"/>
        <w:adjustRightInd w:val="0"/>
        <w:snapToGrid w:val="0"/>
        <w:spacing w:line="48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sectPr>
          <w:endnotePr>
            <w:numFmt w:val="decimal"/>
          </w:endnotePr>
          <w:pgSz w:w="11906" w:h="16838"/>
          <w:pgMar w:top="1701" w:right="1531" w:bottom="1417" w:left="1531" w:header="850" w:footer="992" w:gutter="0"/>
          <w:pgNumType w:fmt="decimal"/>
          <w:cols w:space="720" w:num="1"/>
          <w:docGrid w:linePitch="327" w:charSpace="0"/>
        </w:sectPr>
      </w:pPr>
    </w:p>
    <w:p w14:paraId="06BC645D">
      <w:pPr>
        <w:pStyle w:val="3"/>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33" w:name="_Toc2862"/>
      <w:bookmarkStart w:id="534" w:name="_Toc26395"/>
      <w:bookmarkStart w:id="535" w:name="_Toc26875"/>
      <w:bookmarkStart w:id="536" w:name="_Toc30665"/>
      <w:bookmarkStart w:id="537" w:name="_Toc16430"/>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格式六 联合体协议书</w:t>
      </w:r>
      <w:bookmarkEnd w:id="533"/>
      <w:bookmarkEnd w:id="534"/>
      <w:bookmarkEnd w:id="535"/>
      <w:bookmarkEnd w:id="536"/>
      <w:bookmarkEnd w:id="537"/>
    </w:p>
    <w:p w14:paraId="1E169E49">
      <w:pPr>
        <w:pStyle w:val="47"/>
        <w:widowControl w:val="0"/>
        <w:wordWrap w:val="0"/>
        <w:adjustRightInd w:val="0"/>
        <w:snapToGrid w:val="0"/>
        <w:spacing w:before="240" w:after="240" w:line="440" w:lineRule="exact"/>
        <w:ind w:firstLine="0"/>
        <w:jc w:val="cente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t>联合体协议书</w:t>
      </w:r>
    </w:p>
    <w:p w14:paraId="48A14098">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4B559640">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5FAA8F32">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牵头人名称：</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7FCF3D52">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法定代表人：</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7468D4F1">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法定住所：</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39290C7A">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564B1A82">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成员二名称：</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614174E7">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法定代表人：</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660DA1A9">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法定住所：</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p>
    <w:p w14:paraId="32D7A4E0">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4CC9F319">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07BD02E7">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w:t>
      </w:r>
    </w:p>
    <w:p w14:paraId="44FA1284">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上述各成员单位经过友好协商，自愿组成联合体，共同参加</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（项目名称）（以下简称“本项目”）的投标并争取赢得本项目EPC总承包合同（以下简称合同）。现就联合体投标事宜订立如下协议：</w:t>
      </w:r>
    </w:p>
    <w:p w14:paraId="719956F5">
      <w:pPr>
        <w:pStyle w:val="47"/>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1．</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（某成员单位名称）为联合体牵头人。</w:t>
      </w:r>
    </w:p>
    <w:p w14:paraId="437C48FA">
      <w:pPr>
        <w:pStyle w:val="47"/>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506AF19F">
      <w:pPr>
        <w:pStyle w:val="47"/>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3．联合体将严格按照招标文件的各项要求，递交投标文件，履行投标义务和中标后的合同，共同承担合同规定的一切义务和责任，联合体各成员单位按照内部职责的部分，承担各自所负的责任和风险，并向招标人承担相关责任。</w:t>
      </w:r>
    </w:p>
    <w:p w14:paraId="682E636A">
      <w:pPr>
        <w:pStyle w:val="47"/>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4．联合体各成员单位内部的职责分工如下：</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w:t>
      </w:r>
    </w:p>
    <w:p w14:paraId="1F0E38FD">
      <w:pPr>
        <w:pStyle w:val="47"/>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5．投标工作和联合体在中标后工程实施过程中的有关费用按各自承担的工作量分摊。</w:t>
      </w:r>
    </w:p>
    <w:p w14:paraId="4AF650F6">
      <w:pPr>
        <w:pStyle w:val="47"/>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6．联合体中标后，本联合体协议是合同的附件，对联合体各成员单位有合同约束力。</w:t>
      </w:r>
    </w:p>
    <w:p w14:paraId="3904DBFB">
      <w:pPr>
        <w:pStyle w:val="47"/>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7．本协议书自签署之日起生效，联合体未中标或者中标时合同履行完毕后自动失效。</w:t>
      </w:r>
    </w:p>
    <w:p w14:paraId="4F0D01DD">
      <w:pPr>
        <w:pStyle w:val="47"/>
        <w:widowControl w:val="0"/>
        <w:wordWrap w:val="0"/>
        <w:adjustRightInd w:val="0"/>
        <w:snapToGrid w:val="0"/>
        <w:spacing w:line="440" w:lineRule="exact"/>
        <w:ind w:firstLine="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8．本协议书一式</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份，联合体成员和招标人各执一份。</w:t>
      </w:r>
    </w:p>
    <w:p w14:paraId="6B5D6CF6">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3EEB2D15">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23A4F23C">
      <w:pPr>
        <w:pStyle w:val="47"/>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牵头人名称：</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（盖单位章）</w:t>
      </w:r>
    </w:p>
    <w:p w14:paraId="5678A31B">
      <w:pPr>
        <w:pStyle w:val="47"/>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w:t>
      </w:r>
    </w:p>
    <w:p w14:paraId="75EE1DF6">
      <w:pPr>
        <w:pStyle w:val="47"/>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法定代表人或其委托代理人：</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（签字或盖章）</w:t>
      </w:r>
    </w:p>
    <w:p w14:paraId="698C4154">
      <w:pPr>
        <w:pStyle w:val="47"/>
        <w:widowControl w:val="0"/>
        <w:wordWrap w:val="0"/>
        <w:adjustRightInd w:val="0"/>
        <w:snapToGrid w:val="0"/>
        <w:spacing w:line="440" w:lineRule="exact"/>
        <w:ind w:firstLine="0"/>
        <w:jc w:val="both"/>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5475F658">
      <w:pPr>
        <w:pStyle w:val="47"/>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成员二名称：</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（盖单位章）</w:t>
      </w:r>
    </w:p>
    <w:p w14:paraId="3D484E5F">
      <w:pPr>
        <w:pStyle w:val="47"/>
        <w:widowControl w:val="0"/>
        <w:wordWrap w:val="0"/>
        <w:adjustRightInd w:val="0"/>
        <w:snapToGrid w:val="0"/>
        <w:spacing w:line="440" w:lineRule="exact"/>
        <w:ind w:firstLine="0"/>
        <w:jc w:val="both"/>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384A654B">
      <w:pPr>
        <w:pStyle w:val="47"/>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法定代表人或其委托代理人：</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（签字或盖章）</w:t>
      </w:r>
    </w:p>
    <w:p w14:paraId="533ECC54">
      <w:pPr>
        <w:pStyle w:val="47"/>
        <w:widowControl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3A01DDEF">
      <w:pPr>
        <w:pStyle w:val="47"/>
        <w:widowControl w:val="0"/>
        <w:wordWrap w:val="0"/>
        <w:adjustRightInd w:val="0"/>
        <w:snapToGrid w:val="0"/>
        <w:spacing w:line="440" w:lineRule="exact"/>
        <w:ind w:firstLine="3840" w:firstLineChars="1600"/>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 xml:space="preserve"> ……</w:t>
      </w:r>
    </w:p>
    <w:p w14:paraId="3E94A3B6">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61178B74">
      <w:pPr>
        <w:pStyle w:val="47"/>
        <w:widowControl w:val="0"/>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u w:val="single"/>
          <w:lang w:eastAsia="zh-CN"/>
          <w14:textFill>
            <w14:solidFill>
              <w14:schemeClr w14:val="tx1"/>
            </w14:solidFill>
          </w14:textFill>
        </w:rPr>
        <w:t>日</w:t>
      </w:r>
    </w:p>
    <w:p w14:paraId="114BFA46">
      <w:pPr>
        <w:pStyle w:val="47"/>
        <w:widowControl w:val="0"/>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79F84F11">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4712C5B5">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7503721D">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p>
    <w:p w14:paraId="25E89DE6">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说明：《联合体协议书》由委托代理人签字或盖章的，应附法定代表人签字或盖章的授权委托书。</w:t>
      </w:r>
    </w:p>
    <w:p w14:paraId="24B66360">
      <w:pPr>
        <w:pStyle w:val="47"/>
        <w:widowControl w:val="0"/>
        <w:wordWrap w:val="0"/>
        <w:adjustRightInd w:val="0"/>
        <w:snapToGrid w:val="0"/>
        <w:spacing w:line="440" w:lineRule="exact"/>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sectPr>
          <w:endnotePr>
            <w:numFmt w:val="decimal"/>
          </w:endnotePr>
          <w:pgSz w:w="11906" w:h="16838"/>
          <w:pgMar w:top="1701" w:right="1531" w:bottom="1417" w:left="1531" w:header="850" w:footer="992" w:gutter="0"/>
          <w:pgNumType w:fmt="decimal"/>
          <w:cols w:space="720" w:num="1"/>
          <w:docGrid w:linePitch="327" w:charSpace="0"/>
        </w:sectPr>
      </w:pPr>
    </w:p>
    <w:p w14:paraId="4F4448E0">
      <w:pPr>
        <w:pStyle w:val="3"/>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38" w:name="_Toc31264"/>
      <w:bookmarkStart w:id="539" w:name="_Toc29507"/>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格式七 投标人基本情况表</w:t>
      </w:r>
      <w:bookmarkEnd w:id="538"/>
      <w:bookmarkEnd w:id="539"/>
    </w:p>
    <w:p w14:paraId="244162F3">
      <w:pPr>
        <w:pStyle w:val="47"/>
        <w:widowControl w:val="0"/>
        <w:wordWrap w:val="0"/>
        <w:adjustRightInd w:val="0"/>
        <w:snapToGrid w:val="0"/>
        <w:spacing w:before="260" w:after="260" w:line="400" w:lineRule="exact"/>
        <w:ind w:firstLine="0"/>
        <w:jc w:val="cente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sz w:val="24"/>
          <w:szCs w:val="24"/>
          <w:highlight w:val="none"/>
          <w14:textFill>
            <w14:solidFill>
              <w14:schemeClr w14:val="tx1"/>
            </w14:solidFill>
          </w14:textFill>
        </w:rPr>
        <w:t>投标人基本情况表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537"/>
        <w:gridCol w:w="1137"/>
        <w:gridCol w:w="832"/>
        <w:gridCol w:w="458"/>
        <w:gridCol w:w="831"/>
        <w:gridCol w:w="267"/>
        <w:gridCol w:w="733"/>
        <w:gridCol w:w="1468"/>
      </w:tblGrid>
      <w:tr w14:paraId="13AF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536" w:type="dxa"/>
            <w:noWrap/>
            <w:vAlign w:val="center"/>
          </w:tcPr>
          <w:p w14:paraId="17031DA0">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投标人名称</w:t>
            </w:r>
          </w:p>
        </w:tc>
        <w:tc>
          <w:tcPr>
            <w:tcW w:w="7263" w:type="dxa"/>
            <w:gridSpan w:val="8"/>
            <w:noWrap/>
            <w:vAlign w:val="center"/>
          </w:tcPr>
          <w:p w14:paraId="2922417B">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1ACB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536" w:type="dxa"/>
            <w:noWrap/>
            <w:vAlign w:val="center"/>
          </w:tcPr>
          <w:p w14:paraId="60196E6A">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注册地址</w:t>
            </w:r>
          </w:p>
        </w:tc>
        <w:tc>
          <w:tcPr>
            <w:tcW w:w="3506" w:type="dxa"/>
            <w:gridSpan w:val="3"/>
            <w:noWrap/>
            <w:vAlign w:val="center"/>
          </w:tcPr>
          <w:p w14:paraId="2534C5BC">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89" w:type="dxa"/>
            <w:gridSpan w:val="2"/>
            <w:noWrap/>
            <w:vAlign w:val="center"/>
          </w:tcPr>
          <w:p w14:paraId="28151D48">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邮政编码</w:t>
            </w:r>
          </w:p>
        </w:tc>
        <w:tc>
          <w:tcPr>
            <w:tcW w:w="2468" w:type="dxa"/>
            <w:gridSpan w:val="3"/>
            <w:noWrap/>
            <w:vAlign w:val="center"/>
          </w:tcPr>
          <w:p w14:paraId="648CA5B4">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6A5A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1536" w:type="dxa"/>
            <w:vMerge w:val="restart"/>
            <w:noWrap/>
            <w:vAlign w:val="center"/>
          </w:tcPr>
          <w:p w14:paraId="77005BE7">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联系方式</w:t>
            </w:r>
          </w:p>
        </w:tc>
        <w:tc>
          <w:tcPr>
            <w:tcW w:w="1537" w:type="dxa"/>
            <w:noWrap/>
            <w:vAlign w:val="center"/>
          </w:tcPr>
          <w:p w14:paraId="6DA39D2A">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联系人</w:t>
            </w:r>
          </w:p>
        </w:tc>
        <w:tc>
          <w:tcPr>
            <w:tcW w:w="1969" w:type="dxa"/>
            <w:gridSpan w:val="2"/>
            <w:noWrap/>
            <w:vAlign w:val="center"/>
          </w:tcPr>
          <w:p w14:paraId="220FDAEB">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89" w:type="dxa"/>
            <w:gridSpan w:val="2"/>
            <w:noWrap/>
            <w:vAlign w:val="center"/>
          </w:tcPr>
          <w:p w14:paraId="3F88FF07">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电  话</w:t>
            </w:r>
          </w:p>
        </w:tc>
        <w:tc>
          <w:tcPr>
            <w:tcW w:w="2468" w:type="dxa"/>
            <w:gridSpan w:val="3"/>
            <w:noWrap/>
            <w:vAlign w:val="center"/>
          </w:tcPr>
          <w:p w14:paraId="78E42A51">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3A46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1536" w:type="dxa"/>
            <w:vMerge w:val="continue"/>
            <w:noWrap/>
            <w:vAlign w:val="center"/>
          </w:tcPr>
          <w:p w14:paraId="30DD40AE">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537" w:type="dxa"/>
            <w:noWrap/>
            <w:vAlign w:val="center"/>
          </w:tcPr>
          <w:p w14:paraId="2D42253D">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传  真</w:t>
            </w:r>
          </w:p>
        </w:tc>
        <w:tc>
          <w:tcPr>
            <w:tcW w:w="1969" w:type="dxa"/>
            <w:gridSpan w:val="2"/>
            <w:noWrap/>
            <w:vAlign w:val="center"/>
          </w:tcPr>
          <w:p w14:paraId="0A57192B">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89" w:type="dxa"/>
            <w:gridSpan w:val="2"/>
            <w:noWrap/>
            <w:vAlign w:val="center"/>
          </w:tcPr>
          <w:p w14:paraId="7D8EAB59">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电子邮箱</w:t>
            </w:r>
          </w:p>
        </w:tc>
        <w:tc>
          <w:tcPr>
            <w:tcW w:w="2468" w:type="dxa"/>
            <w:gridSpan w:val="3"/>
            <w:noWrap/>
            <w:vAlign w:val="center"/>
          </w:tcPr>
          <w:p w14:paraId="44C31D6F">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46A9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536" w:type="dxa"/>
            <w:noWrap/>
            <w:vAlign w:val="center"/>
          </w:tcPr>
          <w:p w14:paraId="13BED66B">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单位性质</w:t>
            </w:r>
          </w:p>
        </w:tc>
        <w:tc>
          <w:tcPr>
            <w:tcW w:w="7263" w:type="dxa"/>
            <w:gridSpan w:val="8"/>
            <w:noWrap/>
            <w:vAlign w:val="center"/>
          </w:tcPr>
          <w:p w14:paraId="18E12F01">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54AA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536" w:type="dxa"/>
            <w:noWrap/>
            <w:vAlign w:val="center"/>
          </w:tcPr>
          <w:p w14:paraId="35041117">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法定代表人</w:t>
            </w:r>
          </w:p>
        </w:tc>
        <w:tc>
          <w:tcPr>
            <w:tcW w:w="1537" w:type="dxa"/>
            <w:noWrap/>
            <w:vAlign w:val="center"/>
          </w:tcPr>
          <w:p w14:paraId="3C89A138">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姓名</w:t>
            </w:r>
          </w:p>
        </w:tc>
        <w:tc>
          <w:tcPr>
            <w:tcW w:w="1137" w:type="dxa"/>
            <w:noWrap/>
            <w:vAlign w:val="center"/>
          </w:tcPr>
          <w:p w14:paraId="692AF9CB">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0" w:type="dxa"/>
            <w:gridSpan w:val="2"/>
            <w:noWrap/>
            <w:vAlign w:val="center"/>
          </w:tcPr>
          <w:p w14:paraId="2074D5CA">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技术职称</w:t>
            </w:r>
          </w:p>
        </w:tc>
        <w:tc>
          <w:tcPr>
            <w:tcW w:w="1098" w:type="dxa"/>
            <w:gridSpan w:val="2"/>
            <w:noWrap/>
            <w:vAlign w:val="center"/>
          </w:tcPr>
          <w:p w14:paraId="5520AFAA">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733" w:type="dxa"/>
            <w:noWrap/>
            <w:vAlign w:val="center"/>
          </w:tcPr>
          <w:p w14:paraId="3E1A2552">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电话</w:t>
            </w:r>
          </w:p>
        </w:tc>
        <w:tc>
          <w:tcPr>
            <w:tcW w:w="1468" w:type="dxa"/>
            <w:noWrap/>
            <w:vAlign w:val="center"/>
          </w:tcPr>
          <w:p w14:paraId="46DEE77C">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5F28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536" w:type="dxa"/>
            <w:noWrap/>
            <w:vAlign w:val="center"/>
          </w:tcPr>
          <w:p w14:paraId="03DF737B">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成立时间</w:t>
            </w:r>
          </w:p>
        </w:tc>
        <w:tc>
          <w:tcPr>
            <w:tcW w:w="2674" w:type="dxa"/>
            <w:gridSpan w:val="2"/>
            <w:noWrap/>
            <w:vAlign w:val="center"/>
          </w:tcPr>
          <w:p w14:paraId="5D1CC060">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4589" w:type="dxa"/>
            <w:gridSpan w:val="6"/>
            <w:noWrap/>
            <w:vAlign w:val="center"/>
          </w:tcPr>
          <w:p w14:paraId="547C094B">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员工总人数（个）：</w:t>
            </w:r>
          </w:p>
        </w:tc>
      </w:tr>
      <w:tr w14:paraId="360E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536" w:type="dxa"/>
            <w:noWrap/>
            <w:vAlign w:val="center"/>
          </w:tcPr>
          <w:p w14:paraId="43C9CD15">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企业资质</w:t>
            </w:r>
          </w:p>
          <w:p w14:paraId="2DA599A3">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类型和等级</w:t>
            </w:r>
          </w:p>
        </w:tc>
        <w:tc>
          <w:tcPr>
            <w:tcW w:w="2674" w:type="dxa"/>
            <w:gridSpan w:val="2"/>
            <w:noWrap/>
            <w:vAlign w:val="center"/>
          </w:tcPr>
          <w:p w14:paraId="435587D3">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0" w:type="dxa"/>
            <w:gridSpan w:val="2"/>
            <w:vMerge w:val="restart"/>
            <w:noWrap/>
            <w:vAlign w:val="center"/>
          </w:tcPr>
          <w:p w14:paraId="64161980">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其中</w:t>
            </w:r>
          </w:p>
        </w:tc>
        <w:tc>
          <w:tcPr>
            <w:tcW w:w="1831" w:type="dxa"/>
            <w:gridSpan w:val="3"/>
            <w:noWrap/>
            <w:vAlign w:val="center"/>
          </w:tcPr>
          <w:p w14:paraId="1585BAA8">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项目经理</w:t>
            </w:r>
          </w:p>
        </w:tc>
        <w:tc>
          <w:tcPr>
            <w:tcW w:w="1468" w:type="dxa"/>
            <w:noWrap/>
            <w:vAlign w:val="center"/>
          </w:tcPr>
          <w:p w14:paraId="33668F7C">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1633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536" w:type="dxa"/>
            <w:noWrap/>
            <w:vAlign w:val="center"/>
          </w:tcPr>
          <w:p w14:paraId="364B8632">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营业执照号</w:t>
            </w:r>
          </w:p>
        </w:tc>
        <w:tc>
          <w:tcPr>
            <w:tcW w:w="2674" w:type="dxa"/>
            <w:gridSpan w:val="2"/>
            <w:noWrap/>
            <w:vAlign w:val="center"/>
          </w:tcPr>
          <w:p w14:paraId="3661E2AE">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0" w:type="dxa"/>
            <w:gridSpan w:val="2"/>
            <w:vMerge w:val="continue"/>
            <w:noWrap/>
            <w:vAlign w:val="center"/>
          </w:tcPr>
          <w:p w14:paraId="1E22C194">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831" w:type="dxa"/>
            <w:gridSpan w:val="3"/>
            <w:noWrap/>
            <w:vAlign w:val="center"/>
          </w:tcPr>
          <w:p w14:paraId="206E84F0">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高级职称人员</w:t>
            </w:r>
          </w:p>
        </w:tc>
        <w:tc>
          <w:tcPr>
            <w:tcW w:w="1468" w:type="dxa"/>
            <w:noWrap/>
            <w:vAlign w:val="center"/>
          </w:tcPr>
          <w:p w14:paraId="0C76BE91">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5008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536" w:type="dxa"/>
            <w:noWrap/>
            <w:vAlign w:val="center"/>
          </w:tcPr>
          <w:p w14:paraId="407B426D">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注册资金</w:t>
            </w:r>
          </w:p>
        </w:tc>
        <w:tc>
          <w:tcPr>
            <w:tcW w:w="2674" w:type="dxa"/>
            <w:gridSpan w:val="2"/>
            <w:noWrap/>
            <w:vAlign w:val="center"/>
          </w:tcPr>
          <w:p w14:paraId="275B6FE6">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0" w:type="dxa"/>
            <w:gridSpan w:val="2"/>
            <w:vMerge w:val="continue"/>
            <w:noWrap/>
            <w:vAlign w:val="center"/>
          </w:tcPr>
          <w:p w14:paraId="71E4C8E1">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831" w:type="dxa"/>
            <w:gridSpan w:val="3"/>
            <w:noWrap/>
            <w:vAlign w:val="center"/>
          </w:tcPr>
          <w:p w14:paraId="6596F59D">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中级职称人员</w:t>
            </w:r>
          </w:p>
        </w:tc>
        <w:tc>
          <w:tcPr>
            <w:tcW w:w="1468" w:type="dxa"/>
            <w:noWrap/>
            <w:vAlign w:val="center"/>
          </w:tcPr>
          <w:p w14:paraId="443F8464">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26FC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1536" w:type="dxa"/>
            <w:noWrap/>
            <w:vAlign w:val="center"/>
          </w:tcPr>
          <w:p w14:paraId="5CD56260">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基本账户</w:t>
            </w:r>
          </w:p>
          <w:p w14:paraId="5E6EFF70">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开户银行</w:t>
            </w:r>
          </w:p>
        </w:tc>
        <w:tc>
          <w:tcPr>
            <w:tcW w:w="2674" w:type="dxa"/>
            <w:gridSpan w:val="2"/>
            <w:noWrap/>
            <w:vAlign w:val="center"/>
          </w:tcPr>
          <w:p w14:paraId="35963BB3">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0" w:type="dxa"/>
            <w:gridSpan w:val="2"/>
            <w:vMerge w:val="continue"/>
            <w:noWrap/>
            <w:vAlign w:val="center"/>
          </w:tcPr>
          <w:p w14:paraId="451799AF">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831" w:type="dxa"/>
            <w:gridSpan w:val="3"/>
            <w:noWrap/>
            <w:vAlign w:val="center"/>
          </w:tcPr>
          <w:p w14:paraId="1C90B777">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初级职称人员</w:t>
            </w:r>
          </w:p>
        </w:tc>
        <w:tc>
          <w:tcPr>
            <w:tcW w:w="1468" w:type="dxa"/>
            <w:noWrap/>
            <w:vAlign w:val="center"/>
          </w:tcPr>
          <w:p w14:paraId="5185F20C">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1A1E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536" w:type="dxa"/>
            <w:noWrap/>
            <w:vAlign w:val="center"/>
          </w:tcPr>
          <w:p w14:paraId="5F1EB85C">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基本账户</w:t>
            </w:r>
          </w:p>
          <w:p w14:paraId="59540401">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银行账号</w:t>
            </w:r>
          </w:p>
        </w:tc>
        <w:tc>
          <w:tcPr>
            <w:tcW w:w="2674" w:type="dxa"/>
            <w:gridSpan w:val="2"/>
            <w:noWrap/>
            <w:vAlign w:val="center"/>
          </w:tcPr>
          <w:p w14:paraId="6EEEA4D0">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290" w:type="dxa"/>
            <w:gridSpan w:val="2"/>
            <w:vMerge w:val="continue"/>
            <w:noWrap/>
            <w:vAlign w:val="center"/>
          </w:tcPr>
          <w:p w14:paraId="730649CA">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c>
          <w:tcPr>
            <w:tcW w:w="1831" w:type="dxa"/>
            <w:gridSpan w:val="3"/>
            <w:noWrap/>
            <w:vAlign w:val="center"/>
          </w:tcPr>
          <w:p w14:paraId="283128EF">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技术员</w:t>
            </w:r>
          </w:p>
        </w:tc>
        <w:tc>
          <w:tcPr>
            <w:tcW w:w="1468" w:type="dxa"/>
            <w:noWrap/>
            <w:vAlign w:val="center"/>
          </w:tcPr>
          <w:p w14:paraId="13BB8B81">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7745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1536" w:type="dxa"/>
            <w:noWrap/>
            <w:vAlign w:val="center"/>
          </w:tcPr>
          <w:p w14:paraId="653E3CAE">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经营范围</w:t>
            </w:r>
          </w:p>
        </w:tc>
        <w:tc>
          <w:tcPr>
            <w:tcW w:w="7263" w:type="dxa"/>
            <w:gridSpan w:val="8"/>
            <w:noWrap/>
            <w:vAlign w:val="center"/>
          </w:tcPr>
          <w:p w14:paraId="790185DB">
            <w:pPr>
              <w:pStyle w:val="43"/>
              <w:wordWrap w:val="0"/>
              <w:adjustRightInd w:val="0"/>
              <w:snapToGrid w:val="0"/>
              <w:jc w:val="left"/>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r w14:paraId="1CCB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536" w:type="dxa"/>
            <w:noWrap/>
            <w:vAlign w:val="center"/>
          </w:tcPr>
          <w:p w14:paraId="2BB6AB5C">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关联企业情况</w:t>
            </w:r>
          </w:p>
        </w:tc>
        <w:tc>
          <w:tcPr>
            <w:tcW w:w="7263" w:type="dxa"/>
            <w:gridSpan w:val="8"/>
            <w:noWrap/>
            <w:vAlign w:val="center"/>
          </w:tcPr>
          <w:p w14:paraId="6EE38209">
            <w:pPr>
              <w:pStyle w:val="43"/>
              <w:wordWrap w:val="0"/>
              <w:adjustRightInd w:val="0"/>
              <w:snapToGrid w:val="0"/>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包括但不限于与投标人存在以下关系的不同单位：</w:t>
            </w:r>
          </w:p>
          <w:p w14:paraId="1844A97D">
            <w:pPr>
              <w:pStyle w:val="43"/>
              <w:wordWrap w:val="0"/>
              <w:adjustRightInd w:val="0"/>
              <w:snapToGrid w:val="0"/>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1．法定代表人为同一人的。</w:t>
            </w:r>
          </w:p>
          <w:p w14:paraId="643D42A4">
            <w:pPr>
              <w:pStyle w:val="43"/>
              <w:wordWrap w:val="0"/>
              <w:adjustRightInd w:val="0"/>
              <w:snapToGrid w:val="0"/>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2．存在控股、管理关系的。</w:t>
            </w:r>
          </w:p>
          <w:p w14:paraId="1EAED253">
            <w:pPr>
              <w:pStyle w:val="43"/>
              <w:wordWrap w:val="0"/>
              <w:adjustRightInd w:val="0"/>
              <w:snapToGrid w:val="0"/>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3．主要人员相互任职的。</w:t>
            </w:r>
          </w:p>
        </w:tc>
      </w:tr>
      <w:tr w14:paraId="7A1C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536" w:type="dxa"/>
            <w:noWrap/>
            <w:vAlign w:val="center"/>
          </w:tcPr>
          <w:p w14:paraId="1D753AD6">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备注</w:t>
            </w:r>
          </w:p>
        </w:tc>
        <w:tc>
          <w:tcPr>
            <w:tcW w:w="7263" w:type="dxa"/>
            <w:gridSpan w:val="8"/>
            <w:noWrap/>
            <w:vAlign w:val="center"/>
          </w:tcPr>
          <w:p w14:paraId="6D279D12">
            <w:pPr>
              <w:pStyle w:val="43"/>
              <w:wordWrap w:val="0"/>
              <w:adjustRightInd w:val="0"/>
              <w:snapToGrid w:val="0"/>
              <w:jc w:val="cente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p>
        </w:tc>
      </w:tr>
    </w:tbl>
    <w:p w14:paraId="7B89B98D">
      <w:pPr>
        <w:pStyle w:val="43"/>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14:textFill>
            <w14:solidFill>
              <w14:schemeClr w14:val="tx1"/>
            </w14:solidFill>
          </w14:textFill>
        </w:rPr>
        <w:t>说明：</w:t>
      </w:r>
    </w:p>
    <w:bookmarkEnd w:id="489"/>
    <w:bookmarkEnd w:id="490"/>
    <w:bookmarkEnd w:id="491"/>
    <w:bookmarkEnd w:id="492"/>
    <w:bookmarkEnd w:id="493"/>
    <w:p w14:paraId="3825431F">
      <w:pPr>
        <w:pStyle w:val="47"/>
        <w:widowControl w:val="0"/>
        <w:wordWrap w:val="0"/>
        <w:adjustRightInd w:val="0"/>
        <w:snapToGrid w:val="0"/>
        <w:spacing w:line="400" w:lineRule="exact"/>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bookmarkStart w:id="540" w:name="_Toc1659"/>
      <w:bookmarkStart w:id="541" w:name="_Toc535300004"/>
      <w:bookmarkStart w:id="542" w:name="_Toc534641863"/>
      <w:bookmarkStart w:id="543" w:name="_Toc48547015"/>
      <w:bookmarkStart w:id="544" w:name="_Toc210101349"/>
      <w:bookmarkStart w:id="545" w:name="_Toc118541763"/>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1．《投标人基本情况表》后应附以下资料：</w:t>
      </w:r>
    </w:p>
    <w:p w14:paraId="663DA07C">
      <w:pPr>
        <w:pStyle w:val="47"/>
        <w:keepNext w:val="0"/>
        <w:keepLines w:val="0"/>
        <w:pageBreakBefore w:val="0"/>
        <w:widowControl w:val="0"/>
        <w:kinsoku/>
        <w:wordWrap w:val="0"/>
        <w:overflowPunct/>
        <w:topLinePunct w:val="0"/>
        <w:autoSpaceDE/>
        <w:autoSpaceDN/>
        <w:bidi w:val="0"/>
        <w:adjustRightInd w:val="0"/>
        <w:snapToGrid w:val="0"/>
        <w:spacing w:line="360" w:lineRule="exact"/>
        <w:ind w:firstLine="420"/>
        <w:textAlignment w:val="auto"/>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（1）企业营业执照、资质证书、安全生产许可证</w:t>
      </w:r>
      <w:r>
        <w:rPr>
          <w:rFonts w:hint="eastAsia" w:asciiTheme="minorEastAsia" w:hAnsiTheme="minorEastAsia" w:eastAsiaTheme="minorEastAsia" w:cstheme="minorEastAsia"/>
          <w:snapToGrid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t>施工企业提供</w:t>
      </w:r>
      <w:r>
        <w:rPr>
          <w:rFonts w:hint="eastAsia" w:asciiTheme="minorEastAsia" w:hAnsiTheme="minorEastAsia" w:eastAsiaTheme="minorEastAsia" w:cstheme="minorEastAsia"/>
          <w:snapToGrid w:val="0"/>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snapToGrid w:val="0"/>
          <w:color w:val="000000" w:themeColor="text1"/>
          <w:sz w:val="21"/>
          <w:szCs w:val="21"/>
          <w:highlight w:val="none"/>
          <w:lang w:val="en-US" w:eastAsia="zh-CN"/>
          <w14:textFill>
            <w14:solidFill>
              <w14:schemeClr w14:val="tx1"/>
            </w14:solidFill>
          </w14:textFill>
        </w:rPr>
        <w:t>扫描</w:t>
      </w: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件</w:t>
      </w:r>
      <w:r>
        <w:rPr>
          <w:rFonts w:hint="eastAsia" w:asciiTheme="minorEastAsia" w:hAnsiTheme="minorEastAsia" w:eastAsiaTheme="minorEastAsia" w:cstheme="minorEastAsia"/>
          <w:b w:val="0"/>
          <w:bCs w:val="0"/>
          <w:snapToGrid w:val="0"/>
          <w:color w:val="000000" w:themeColor="text1"/>
          <w:sz w:val="21"/>
          <w:szCs w:val="21"/>
          <w:highlight w:val="none"/>
          <w14:textFill>
            <w14:solidFill>
              <w14:schemeClr w14:val="tx1"/>
            </w14:solidFill>
          </w14:textFill>
        </w:rPr>
        <w:t>（因推行电子证照，企业的营业执照、资质证书等可以提供电子证照。为实时掌握项目</w:t>
      </w:r>
      <w:r>
        <w:rPr>
          <w:rFonts w:hint="eastAsia" w:asciiTheme="minorEastAsia" w:hAnsiTheme="minorEastAsia" w:eastAsiaTheme="minorEastAsia" w:cstheme="minorEastAsia"/>
          <w:b/>
          <w:bCs/>
          <w:snapToGrid w:val="0"/>
          <w:color w:val="000000" w:themeColor="text1"/>
          <w:sz w:val="21"/>
          <w:szCs w:val="21"/>
          <w:highlight w:val="none"/>
          <w14:textFill>
            <w14:solidFill>
              <w14:schemeClr w14:val="tx1"/>
            </w14:solidFill>
          </w14:textFill>
        </w:rPr>
        <w:t>投标单位的是否具备企业安全生产条件，企业的安全生产许可证需提供企业实时网页查询页，实时查询页的打印时间应在项目招标公告发布之日起至开标前。如中标后，投标单位安全生产许可证发生被暂扣情形，需双方另行协商）；</w:t>
      </w:r>
    </w:p>
    <w:p w14:paraId="21234B0F">
      <w:pPr>
        <w:pStyle w:val="47"/>
        <w:widowControl w:val="0"/>
        <w:wordWrap w:val="0"/>
        <w:adjustRightInd w:val="0"/>
        <w:snapToGrid w:val="0"/>
        <w:spacing w:line="400" w:lineRule="exact"/>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（2）外省建筑企业须提供“进粤企业和人员诚信信息登记平台”企业信息情况打印页或网页截图。</w:t>
      </w:r>
    </w:p>
    <w:p w14:paraId="4D00A3DC">
      <w:pPr>
        <w:pStyle w:val="47"/>
        <w:widowControl w:val="0"/>
        <w:wordWrap w:val="0"/>
        <w:adjustRightInd w:val="0"/>
        <w:snapToGrid w:val="0"/>
        <w:spacing w:line="400" w:lineRule="exact"/>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2．联合体投标的，联合体成员单位均应填写《投标人基本情况表》并提供以上所需资料。</w:t>
      </w:r>
    </w:p>
    <w:p w14:paraId="3F793927">
      <w:pPr>
        <w:pStyle w:val="47"/>
        <w:widowControl w:val="0"/>
        <w:wordWrap w:val="0"/>
        <w:adjustRightInd w:val="0"/>
        <w:snapToGrid w:val="0"/>
        <w:spacing w:line="400" w:lineRule="exact"/>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sectPr>
          <w:endnotePr>
            <w:numFmt w:val="decimal"/>
          </w:endnotePr>
          <w:pgSz w:w="11906" w:h="16838"/>
          <w:pgMar w:top="1221" w:right="1531" w:bottom="1417" w:left="1531" w:header="850" w:footer="992" w:gutter="0"/>
          <w:pgNumType w:fmt="decimal"/>
          <w:cols w:space="720" w:num="1"/>
          <w:docGrid w:linePitch="327" w:charSpace="0"/>
        </w:sectPr>
      </w:pPr>
      <w:r>
        <w:rPr>
          <w:rFonts w:hint="eastAsia" w:asciiTheme="minorEastAsia" w:hAnsiTheme="minorEastAsia" w:eastAsiaTheme="minorEastAsia" w:cstheme="minorEastAsia"/>
          <w:snapToGrid w:val="0"/>
          <w:color w:val="000000" w:themeColor="text1"/>
          <w:sz w:val="21"/>
          <w:szCs w:val="21"/>
          <w:highlight w:val="none"/>
          <w14:textFill>
            <w14:solidFill>
              <w14:schemeClr w14:val="tx1"/>
            </w14:solidFill>
          </w14:textFill>
        </w:rPr>
        <w:t>3.《法人和非法人组织公共信用信息报告》打印件（在“信用中国”网站企业查询界面中下载）。</w:t>
      </w:r>
    </w:p>
    <w:p w14:paraId="046ADA4A">
      <w:pPr>
        <w:pStyle w:val="3"/>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46" w:name="_Toc31366"/>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格式八 项目经理简历表</w:t>
      </w:r>
      <w:bookmarkEnd w:id="540"/>
      <w:bookmarkEnd w:id="546"/>
    </w:p>
    <w:p w14:paraId="2B375A7A">
      <w:pPr>
        <w:wordWrap w:val="0"/>
        <w:adjustRightInd w:val="0"/>
        <w:snapToGrid w:val="0"/>
        <w:spacing w:line="440" w:lineRule="exact"/>
        <w:jc w:val="left"/>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p>
    <w:tbl>
      <w:tblPr>
        <w:tblStyle w:val="21"/>
        <w:tblpPr w:leftFromText="180" w:rightFromText="180" w:vertAnchor="text" w:horzAnchor="page" w:tblpX="1490" w:tblpY="692"/>
        <w:tblOverlap w:val="never"/>
        <w:tblW w:w="919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9"/>
        <w:gridCol w:w="955"/>
        <w:gridCol w:w="580"/>
        <w:gridCol w:w="642"/>
        <w:gridCol w:w="1284"/>
        <w:gridCol w:w="1931"/>
        <w:gridCol w:w="27"/>
        <w:gridCol w:w="1692"/>
        <w:gridCol w:w="1316"/>
      </w:tblGrid>
      <w:tr w14:paraId="215F8D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trPr>
        <w:tc>
          <w:tcPr>
            <w:tcW w:w="1724" w:type="dxa"/>
            <w:gridSpan w:val="2"/>
            <w:tcBorders>
              <w:top w:val="single" w:color="auto" w:sz="6" w:space="0"/>
              <w:left w:val="single" w:color="auto" w:sz="6" w:space="0"/>
              <w:bottom w:val="single" w:color="auto" w:sz="6" w:space="0"/>
              <w:right w:val="single" w:color="auto" w:sz="6" w:space="0"/>
            </w:tcBorders>
            <w:noWrap/>
            <w:vAlign w:val="center"/>
          </w:tcPr>
          <w:p w14:paraId="5B88326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   名</w:t>
            </w:r>
          </w:p>
        </w:tc>
        <w:tc>
          <w:tcPr>
            <w:tcW w:w="1222" w:type="dxa"/>
            <w:gridSpan w:val="2"/>
            <w:tcBorders>
              <w:top w:val="single" w:color="auto" w:sz="6" w:space="0"/>
              <w:left w:val="single" w:color="auto" w:sz="6" w:space="0"/>
              <w:bottom w:val="single" w:color="auto" w:sz="6" w:space="0"/>
              <w:right w:val="single" w:color="auto" w:sz="6" w:space="0"/>
            </w:tcBorders>
            <w:noWrap/>
            <w:vAlign w:val="center"/>
          </w:tcPr>
          <w:p w14:paraId="5FBC687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84" w:type="dxa"/>
            <w:tcBorders>
              <w:top w:val="single" w:color="auto" w:sz="6" w:space="0"/>
              <w:left w:val="single" w:color="auto" w:sz="6" w:space="0"/>
              <w:bottom w:val="single" w:color="auto" w:sz="6" w:space="0"/>
              <w:right w:val="single" w:color="auto" w:sz="6" w:space="0"/>
            </w:tcBorders>
            <w:noWrap/>
            <w:vAlign w:val="center"/>
          </w:tcPr>
          <w:p w14:paraId="1876908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性  别</w:t>
            </w:r>
          </w:p>
        </w:tc>
        <w:tc>
          <w:tcPr>
            <w:tcW w:w="1931" w:type="dxa"/>
            <w:tcBorders>
              <w:top w:val="single" w:color="auto" w:sz="6" w:space="0"/>
              <w:left w:val="single" w:color="auto" w:sz="6" w:space="0"/>
              <w:bottom w:val="single" w:color="auto" w:sz="6" w:space="0"/>
              <w:right w:val="single" w:color="auto" w:sz="6" w:space="0"/>
            </w:tcBorders>
            <w:noWrap/>
            <w:vAlign w:val="center"/>
          </w:tcPr>
          <w:p w14:paraId="3DC7EB0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19" w:type="dxa"/>
            <w:gridSpan w:val="2"/>
            <w:tcBorders>
              <w:top w:val="single" w:color="auto" w:sz="6" w:space="0"/>
              <w:left w:val="single" w:color="auto" w:sz="6" w:space="0"/>
              <w:bottom w:val="single" w:color="auto" w:sz="6" w:space="0"/>
              <w:right w:val="single" w:color="auto" w:sz="6" w:space="0"/>
            </w:tcBorders>
            <w:noWrap/>
            <w:vAlign w:val="center"/>
          </w:tcPr>
          <w:p w14:paraId="5EDD0DF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   龄</w:t>
            </w:r>
          </w:p>
        </w:tc>
        <w:tc>
          <w:tcPr>
            <w:tcW w:w="1316" w:type="dxa"/>
            <w:tcBorders>
              <w:top w:val="single" w:color="auto" w:sz="6" w:space="0"/>
              <w:left w:val="single" w:color="auto" w:sz="6" w:space="0"/>
              <w:bottom w:val="single" w:color="auto" w:sz="6" w:space="0"/>
              <w:right w:val="single" w:color="auto" w:sz="6" w:space="0"/>
            </w:tcBorders>
            <w:noWrap/>
            <w:vAlign w:val="center"/>
          </w:tcPr>
          <w:p w14:paraId="34CF2A2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258E73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trPr>
        <w:tc>
          <w:tcPr>
            <w:tcW w:w="1724" w:type="dxa"/>
            <w:gridSpan w:val="2"/>
            <w:tcBorders>
              <w:top w:val="single" w:color="auto" w:sz="6" w:space="0"/>
              <w:left w:val="single" w:color="auto" w:sz="6" w:space="0"/>
              <w:bottom w:val="single" w:color="auto" w:sz="6" w:space="0"/>
              <w:right w:val="single" w:color="auto" w:sz="6" w:space="0"/>
            </w:tcBorders>
            <w:noWrap/>
            <w:vAlign w:val="center"/>
          </w:tcPr>
          <w:p w14:paraId="051D1AC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务</w:t>
            </w:r>
          </w:p>
        </w:tc>
        <w:tc>
          <w:tcPr>
            <w:tcW w:w="1222" w:type="dxa"/>
            <w:gridSpan w:val="2"/>
            <w:tcBorders>
              <w:top w:val="single" w:color="auto" w:sz="6" w:space="0"/>
              <w:left w:val="single" w:color="auto" w:sz="6" w:space="0"/>
              <w:bottom w:val="single" w:color="auto" w:sz="6" w:space="0"/>
              <w:right w:val="single" w:color="auto" w:sz="6" w:space="0"/>
            </w:tcBorders>
            <w:noWrap/>
            <w:vAlign w:val="center"/>
          </w:tcPr>
          <w:p w14:paraId="549D4F7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84" w:type="dxa"/>
            <w:tcBorders>
              <w:top w:val="single" w:color="auto" w:sz="6" w:space="0"/>
              <w:left w:val="single" w:color="auto" w:sz="6" w:space="0"/>
              <w:bottom w:val="single" w:color="auto" w:sz="6" w:space="0"/>
              <w:right w:val="single" w:color="auto" w:sz="6" w:space="0"/>
            </w:tcBorders>
            <w:noWrap/>
            <w:vAlign w:val="center"/>
          </w:tcPr>
          <w:p w14:paraId="2973DA6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称</w:t>
            </w:r>
          </w:p>
        </w:tc>
        <w:tc>
          <w:tcPr>
            <w:tcW w:w="1931" w:type="dxa"/>
            <w:tcBorders>
              <w:top w:val="single" w:color="auto" w:sz="6" w:space="0"/>
              <w:left w:val="single" w:color="auto" w:sz="6" w:space="0"/>
              <w:bottom w:val="single" w:color="auto" w:sz="6" w:space="0"/>
              <w:right w:val="single" w:color="auto" w:sz="6" w:space="0"/>
            </w:tcBorders>
            <w:noWrap/>
            <w:vAlign w:val="center"/>
          </w:tcPr>
          <w:p w14:paraId="08BFF83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19" w:type="dxa"/>
            <w:gridSpan w:val="2"/>
            <w:tcBorders>
              <w:top w:val="single" w:color="auto" w:sz="6" w:space="0"/>
              <w:left w:val="single" w:color="auto" w:sz="6" w:space="0"/>
              <w:bottom w:val="single" w:color="auto" w:sz="6" w:space="0"/>
              <w:right w:val="single" w:color="auto" w:sz="6" w:space="0"/>
            </w:tcBorders>
            <w:noWrap/>
            <w:vAlign w:val="center"/>
          </w:tcPr>
          <w:p w14:paraId="77F32BD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学   历</w:t>
            </w:r>
          </w:p>
        </w:tc>
        <w:tc>
          <w:tcPr>
            <w:tcW w:w="1316" w:type="dxa"/>
            <w:tcBorders>
              <w:top w:val="single" w:color="auto" w:sz="6" w:space="0"/>
              <w:left w:val="single" w:color="auto" w:sz="6" w:space="0"/>
              <w:bottom w:val="single" w:color="auto" w:sz="6" w:space="0"/>
              <w:right w:val="single" w:color="auto" w:sz="6" w:space="0"/>
            </w:tcBorders>
            <w:noWrap/>
            <w:vAlign w:val="center"/>
          </w:tcPr>
          <w:p w14:paraId="2B93C2F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7F0C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trPr>
        <w:tc>
          <w:tcPr>
            <w:tcW w:w="1724" w:type="dxa"/>
            <w:gridSpan w:val="2"/>
            <w:tcBorders>
              <w:top w:val="single" w:color="auto" w:sz="6" w:space="0"/>
              <w:left w:val="single" w:color="auto" w:sz="6" w:space="0"/>
              <w:bottom w:val="single" w:color="auto" w:sz="6" w:space="0"/>
              <w:right w:val="single" w:color="auto" w:sz="6" w:space="0"/>
            </w:tcBorders>
            <w:noWrap/>
            <w:vAlign w:val="center"/>
          </w:tcPr>
          <w:p w14:paraId="69DBFC4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参加工作时间</w:t>
            </w:r>
          </w:p>
        </w:tc>
        <w:tc>
          <w:tcPr>
            <w:tcW w:w="2506" w:type="dxa"/>
            <w:gridSpan w:val="3"/>
            <w:tcBorders>
              <w:top w:val="single" w:color="auto" w:sz="6" w:space="0"/>
              <w:left w:val="single" w:color="auto" w:sz="6" w:space="0"/>
              <w:bottom w:val="single" w:color="auto" w:sz="6" w:space="0"/>
              <w:right w:val="single" w:color="auto" w:sz="6" w:space="0"/>
            </w:tcBorders>
            <w:noWrap/>
            <w:vAlign w:val="center"/>
          </w:tcPr>
          <w:p w14:paraId="7DDA83C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3650" w:type="dxa"/>
            <w:gridSpan w:val="3"/>
            <w:tcBorders>
              <w:top w:val="single" w:color="auto" w:sz="6" w:space="0"/>
              <w:left w:val="single" w:color="auto" w:sz="6" w:space="0"/>
              <w:bottom w:val="single" w:color="auto" w:sz="6" w:space="0"/>
              <w:right w:val="single" w:color="auto" w:sz="6" w:space="0"/>
            </w:tcBorders>
            <w:noWrap/>
            <w:vAlign w:val="center"/>
          </w:tcPr>
          <w:p w14:paraId="6FCC032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从事工程建设项目管理工作年限</w:t>
            </w:r>
          </w:p>
        </w:tc>
        <w:tc>
          <w:tcPr>
            <w:tcW w:w="1316" w:type="dxa"/>
            <w:tcBorders>
              <w:top w:val="single" w:color="auto" w:sz="6" w:space="0"/>
              <w:left w:val="single" w:color="auto" w:sz="6" w:space="0"/>
              <w:bottom w:val="single" w:color="auto" w:sz="6" w:space="0"/>
              <w:right w:val="single" w:color="auto" w:sz="6" w:space="0"/>
            </w:tcBorders>
            <w:noWrap/>
            <w:vAlign w:val="center"/>
          </w:tcPr>
          <w:p w14:paraId="2458BC5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2050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trPr>
        <w:tc>
          <w:tcPr>
            <w:tcW w:w="9196" w:type="dxa"/>
            <w:gridSpan w:val="9"/>
            <w:tcBorders>
              <w:top w:val="single" w:color="auto" w:sz="6" w:space="0"/>
              <w:left w:val="single" w:color="auto" w:sz="6" w:space="0"/>
              <w:bottom w:val="single" w:color="auto" w:sz="6" w:space="0"/>
              <w:right w:val="single" w:color="auto" w:sz="6" w:space="0"/>
            </w:tcBorders>
            <w:noWrap/>
            <w:vAlign w:val="center"/>
          </w:tcPr>
          <w:p w14:paraId="356F285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以项目经理身份参与过的主要业绩（已完工项目）</w:t>
            </w:r>
          </w:p>
        </w:tc>
      </w:tr>
      <w:tr w14:paraId="6921A2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trPr>
        <w:tc>
          <w:tcPr>
            <w:tcW w:w="769" w:type="dxa"/>
            <w:tcBorders>
              <w:top w:val="single" w:color="auto" w:sz="6" w:space="0"/>
              <w:left w:val="single" w:color="auto" w:sz="6" w:space="0"/>
              <w:bottom w:val="single" w:color="auto" w:sz="6" w:space="0"/>
              <w:right w:val="single" w:color="auto" w:sz="4" w:space="0"/>
            </w:tcBorders>
            <w:noWrap/>
            <w:vAlign w:val="center"/>
          </w:tcPr>
          <w:p w14:paraId="627B6F9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序号</w:t>
            </w:r>
          </w:p>
        </w:tc>
        <w:tc>
          <w:tcPr>
            <w:tcW w:w="1535" w:type="dxa"/>
            <w:gridSpan w:val="2"/>
            <w:tcBorders>
              <w:top w:val="single" w:color="auto" w:sz="6" w:space="0"/>
              <w:left w:val="single" w:color="auto" w:sz="4" w:space="0"/>
              <w:bottom w:val="single" w:color="auto" w:sz="6" w:space="0"/>
              <w:right w:val="single" w:color="auto" w:sz="6" w:space="0"/>
            </w:tcBorders>
            <w:noWrap/>
            <w:vAlign w:val="center"/>
          </w:tcPr>
          <w:p w14:paraId="4013625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项目名称</w:t>
            </w:r>
          </w:p>
        </w:tc>
        <w:tc>
          <w:tcPr>
            <w:tcW w:w="1926" w:type="dxa"/>
            <w:gridSpan w:val="2"/>
            <w:tcBorders>
              <w:top w:val="single" w:color="auto" w:sz="6" w:space="0"/>
              <w:left w:val="single" w:color="auto" w:sz="6" w:space="0"/>
              <w:bottom w:val="single" w:color="auto" w:sz="6" w:space="0"/>
              <w:right w:val="single" w:color="auto" w:sz="6" w:space="0"/>
            </w:tcBorders>
            <w:noWrap/>
            <w:vAlign w:val="center"/>
          </w:tcPr>
          <w:p w14:paraId="132CF8A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建设单位</w:t>
            </w:r>
          </w:p>
        </w:tc>
        <w:tc>
          <w:tcPr>
            <w:tcW w:w="1958" w:type="dxa"/>
            <w:gridSpan w:val="2"/>
            <w:tcBorders>
              <w:top w:val="single" w:color="auto" w:sz="6" w:space="0"/>
              <w:left w:val="single" w:color="auto" w:sz="6" w:space="0"/>
              <w:bottom w:val="single" w:color="auto" w:sz="6" w:space="0"/>
              <w:right w:val="single" w:color="auto" w:sz="6" w:space="0"/>
            </w:tcBorders>
            <w:noWrap/>
            <w:vAlign w:val="center"/>
          </w:tcPr>
          <w:p w14:paraId="676DA2E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建设内容和规模</w:t>
            </w:r>
          </w:p>
        </w:tc>
        <w:tc>
          <w:tcPr>
            <w:tcW w:w="1692" w:type="dxa"/>
            <w:tcBorders>
              <w:top w:val="single" w:color="auto" w:sz="6" w:space="0"/>
              <w:left w:val="single" w:color="auto" w:sz="6" w:space="0"/>
              <w:bottom w:val="single" w:color="auto" w:sz="6" w:space="0"/>
              <w:right w:val="single" w:color="auto" w:sz="6" w:space="0"/>
            </w:tcBorders>
            <w:noWrap/>
            <w:vAlign w:val="center"/>
          </w:tcPr>
          <w:p w14:paraId="657C2FD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开、竣工日期</w:t>
            </w:r>
          </w:p>
        </w:tc>
        <w:tc>
          <w:tcPr>
            <w:tcW w:w="1316" w:type="dxa"/>
            <w:tcBorders>
              <w:top w:val="single" w:color="auto" w:sz="6" w:space="0"/>
              <w:left w:val="single" w:color="auto" w:sz="6" w:space="0"/>
              <w:bottom w:val="single" w:color="auto" w:sz="6" w:space="0"/>
              <w:right w:val="single" w:color="auto" w:sz="6" w:space="0"/>
            </w:tcBorders>
            <w:noWrap/>
            <w:vAlign w:val="center"/>
          </w:tcPr>
          <w:p w14:paraId="1FD45D7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质量等级</w:t>
            </w:r>
          </w:p>
        </w:tc>
      </w:tr>
      <w:tr w14:paraId="468EC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trPr>
        <w:tc>
          <w:tcPr>
            <w:tcW w:w="769" w:type="dxa"/>
            <w:tcBorders>
              <w:top w:val="single" w:color="auto" w:sz="6" w:space="0"/>
              <w:left w:val="single" w:color="auto" w:sz="6" w:space="0"/>
              <w:bottom w:val="single" w:color="auto" w:sz="6" w:space="0"/>
              <w:right w:val="single" w:color="auto" w:sz="4" w:space="0"/>
            </w:tcBorders>
            <w:noWrap/>
            <w:vAlign w:val="center"/>
          </w:tcPr>
          <w:p w14:paraId="6763A7F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p>
        </w:tc>
        <w:tc>
          <w:tcPr>
            <w:tcW w:w="1535" w:type="dxa"/>
            <w:gridSpan w:val="2"/>
            <w:tcBorders>
              <w:top w:val="single" w:color="auto" w:sz="6" w:space="0"/>
              <w:left w:val="single" w:color="auto" w:sz="4" w:space="0"/>
              <w:bottom w:val="single" w:color="auto" w:sz="6" w:space="0"/>
              <w:right w:val="single" w:color="auto" w:sz="6" w:space="0"/>
            </w:tcBorders>
            <w:noWrap/>
            <w:vAlign w:val="center"/>
          </w:tcPr>
          <w:p w14:paraId="6A59F68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26" w:type="dxa"/>
            <w:gridSpan w:val="2"/>
            <w:tcBorders>
              <w:top w:val="single" w:color="auto" w:sz="6" w:space="0"/>
              <w:left w:val="single" w:color="auto" w:sz="6" w:space="0"/>
              <w:bottom w:val="single" w:color="auto" w:sz="6" w:space="0"/>
              <w:right w:val="single" w:color="auto" w:sz="6" w:space="0"/>
            </w:tcBorders>
            <w:noWrap/>
            <w:vAlign w:val="center"/>
          </w:tcPr>
          <w:p w14:paraId="545A565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58" w:type="dxa"/>
            <w:gridSpan w:val="2"/>
            <w:tcBorders>
              <w:top w:val="single" w:color="auto" w:sz="6" w:space="0"/>
              <w:left w:val="single" w:color="auto" w:sz="6" w:space="0"/>
              <w:bottom w:val="single" w:color="auto" w:sz="6" w:space="0"/>
              <w:right w:val="single" w:color="auto" w:sz="6" w:space="0"/>
            </w:tcBorders>
            <w:noWrap/>
            <w:vAlign w:val="center"/>
          </w:tcPr>
          <w:p w14:paraId="24272EC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692" w:type="dxa"/>
            <w:tcBorders>
              <w:top w:val="single" w:color="auto" w:sz="6" w:space="0"/>
              <w:left w:val="single" w:color="auto" w:sz="6" w:space="0"/>
              <w:bottom w:val="single" w:color="auto" w:sz="6" w:space="0"/>
              <w:right w:val="single" w:color="auto" w:sz="6" w:space="0"/>
            </w:tcBorders>
            <w:noWrap/>
            <w:vAlign w:val="center"/>
          </w:tcPr>
          <w:p w14:paraId="7BF3CA6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16" w:type="dxa"/>
            <w:tcBorders>
              <w:top w:val="single" w:color="auto" w:sz="6" w:space="0"/>
              <w:left w:val="single" w:color="auto" w:sz="6" w:space="0"/>
              <w:bottom w:val="single" w:color="auto" w:sz="6" w:space="0"/>
              <w:right w:val="single" w:color="auto" w:sz="6" w:space="0"/>
            </w:tcBorders>
            <w:noWrap/>
            <w:vAlign w:val="center"/>
          </w:tcPr>
          <w:p w14:paraId="1F4CE40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16811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trPr>
        <w:tc>
          <w:tcPr>
            <w:tcW w:w="769" w:type="dxa"/>
            <w:tcBorders>
              <w:top w:val="single" w:color="auto" w:sz="6" w:space="0"/>
              <w:left w:val="single" w:color="auto" w:sz="6" w:space="0"/>
              <w:bottom w:val="single" w:color="auto" w:sz="6" w:space="0"/>
              <w:right w:val="single" w:color="auto" w:sz="4" w:space="0"/>
            </w:tcBorders>
            <w:noWrap/>
            <w:vAlign w:val="center"/>
          </w:tcPr>
          <w:p w14:paraId="02E4B55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w:t>
            </w:r>
          </w:p>
        </w:tc>
        <w:tc>
          <w:tcPr>
            <w:tcW w:w="1535" w:type="dxa"/>
            <w:gridSpan w:val="2"/>
            <w:tcBorders>
              <w:top w:val="single" w:color="auto" w:sz="6" w:space="0"/>
              <w:left w:val="single" w:color="auto" w:sz="4" w:space="0"/>
              <w:bottom w:val="single" w:color="auto" w:sz="6" w:space="0"/>
              <w:right w:val="single" w:color="auto" w:sz="6" w:space="0"/>
            </w:tcBorders>
            <w:noWrap/>
            <w:vAlign w:val="center"/>
          </w:tcPr>
          <w:p w14:paraId="21926A2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26" w:type="dxa"/>
            <w:gridSpan w:val="2"/>
            <w:tcBorders>
              <w:top w:val="single" w:color="auto" w:sz="6" w:space="0"/>
              <w:left w:val="single" w:color="auto" w:sz="6" w:space="0"/>
              <w:bottom w:val="single" w:color="auto" w:sz="6" w:space="0"/>
              <w:right w:val="single" w:color="auto" w:sz="6" w:space="0"/>
            </w:tcBorders>
            <w:noWrap/>
            <w:vAlign w:val="center"/>
          </w:tcPr>
          <w:p w14:paraId="14FDAD4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58" w:type="dxa"/>
            <w:gridSpan w:val="2"/>
            <w:tcBorders>
              <w:top w:val="single" w:color="auto" w:sz="6" w:space="0"/>
              <w:left w:val="single" w:color="auto" w:sz="6" w:space="0"/>
              <w:bottom w:val="single" w:color="auto" w:sz="6" w:space="0"/>
              <w:right w:val="single" w:color="auto" w:sz="6" w:space="0"/>
            </w:tcBorders>
            <w:noWrap/>
            <w:vAlign w:val="center"/>
          </w:tcPr>
          <w:p w14:paraId="641946C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692" w:type="dxa"/>
            <w:tcBorders>
              <w:top w:val="single" w:color="auto" w:sz="6" w:space="0"/>
              <w:left w:val="single" w:color="auto" w:sz="6" w:space="0"/>
              <w:bottom w:val="single" w:color="auto" w:sz="6" w:space="0"/>
              <w:right w:val="single" w:color="auto" w:sz="6" w:space="0"/>
            </w:tcBorders>
            <w:noWrap/>
            <w:vAlign w:val="center"/>
          </w:tcPr>
          <w:p w14:paraId="7CC1054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16" w:type="dxa"/>
            <w:tcBorders>
              <w:top w:val="single" w:color="auto" w:sz="6" w:space="0"/>
              <w:left w:val="single" w:color="auto" w:sz="6" w:space="0"/>
              <w:bottom w:val="single" w:color="auto" w:sz="6" w:space="0"/>
              <w:right w:val="single" w:color="auto" w:sz="6" w:space="0"/>
            </w:tcBorders>
            <w:noWrap/>
            <w:vAlign w:val="center"/>
          </w:tcPr>
          <w:p w14:paraId="2A57807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4A98C6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exact"/>
        </w:trPr>
        <w:tc>
          <w:tcPr>
            <w:tcW w:w="769" w:type="dxa"/>
            <w:tcBorders>
              <w:top w:val="single" w:color="auto" w:sz="6" w:space="0"/>
              <w:left w:val="single" w:color="auto" w:sz="6" w:space="0"/>
              <w:bottom w:val="single" w:color="auto" w:sz="6" w:space="0"/>
              <w:right w:val="single" w:color="auto" w:sz="4" w:space="0"/>
            </w:tcBorders>
            <w:noWrap/>
            <w:vAlign w:val="center"/>
          </w:tcPr>
          <w:p w14:paraId="61F63A0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w:t>
            </w:r>
          </w:p>
        </w:tc>
        <w:tc>
          <w:tcPr>
            <w:tcW w:w="1535" w:type="dxa"/>
            <w:gridSpan w:val="2"/>
            <w:tcBorders>
              <w:top w:val="single" w:color="auto" w:sz="6" w:space="0"/>
              <w:left w:val="single" w:color="auto" w:sz="4" w:space="0"/>
              <w:bottom w:val="single" w:color="auto" w:sz="6" w:space="0"/>
              <w:right w:val="single" w:color="auto" w:sz="6" w:space="0"/>
            </w:tcBorders>
            <w:noWrap/>
            <w:vAlign w:val="center"/>
          </w:tcPr>
          <w:p w14:paraId="6EA7951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26" w:type="dxa"/>
            <w:gridSpan w:val="2"/>
            <w:tcBorders>
              <w:top w:val="single" w:color="auto" w:sz="6" w:space="0"/>
              <w:left w:val="single" w:color="auto" w:sz="6" w:space="0"/>
              <w:bottom w:val="single" w:color="auto" w:sz="6" w:space="0"/>
              <w:right w:val="single" w:color="auto" w:sz="6" w:space="0"/>
            </w:tcBorders>
            <w:noWrap/>
            <w:vAlign w:val="center"/>
          </w:tcPr>
          <w:p w14:paraId="2A428B5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58" w:type="dxa"/>
            <w:gridSpan w:val="2"/>
            <w:tcBorders>
              <w:top w:val="single" w:color="auto" w:sz="6" w:space="0"/>
              <w:left w:val="single" w:color="auto" w:sz="6" w:space="0"/>
              <w:bottom w:val="single" w:color="auto" w:sz="6" w:space="0"/>
              <w:right w:val="single" w:color="auto" w:sz="6" w:space="0"/>
            </w:tcBorders>
            <w:noWrap/>
            <w:vAlign w:val="center"/>
          </w:tcPr>
          <w:p w14:paraId="7A8DF59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692" w:type="dxa"/>
            <w:tcBorders>
              <w:top w:val="single" w:color="auto" w:sz="6" w:space="0"/>
              <w:left w:val="single" w:color="auto" w:sz="6" w:space="0"/>
              <w:bottom w:val="single" w:color="auto" w:sz="6" w:space="0"/>
              <w:right w:val="single" w:color="auto" w:sz="6" w:space="0"/>
            </w:tcBorders>
            <w:noWrap/>
            <w:vAlign w:val="center"/>
          </w:tcPr>
          <w:p w14:paraId="531B0AE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16" w:type="dxa"/>
            <w:tcBorders>
              <w:top w:val="single" w:color="auto" w:sz="6" w:space="0"/>
              <w:left w:val="single" w:color="auto" w:sz="6" w:space="0"/>
              <w:bottom w:val="single" w:color="auto" w:sz="6" w:space="0"/>
              <w:right w:val="single" w:color="auto" w:sz="6" w:space="0"/>
            </w:tcBorders>
            <w:noWrap/>
            <w:vAlign w:val="center"/>
          </w:tcPr>
          <w:p w14:paraId="475A699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6B29A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exact"/>
        </w:trPr>
        <w:tc>
          <w:tcPr>
            <w:tcW w:w="769" w:type="dxa"/>
            <w:tcBorders>
              <w:top w:val="single" w:color="auto" w:sz="6" w:space="0"/>
              <w:left w:val="single" w:color="auto" w:sz="6" w:space="0"/>
              <w:bottom w:val="single" w:color="auto" w:sz="6" w:space="0"/>
              <w:right w:val="single" w:color="auto" w:sz="4" w:space="0"/>
            </w:tcBorders>
            <w:noWrap/>
            <w:vAlign w:val="center"/>
          </w:tcPr>
          <w:p w14:paraId="0D8206F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tc>
        <w:tc>
          <w:tcPr>
            <w:tcW w:w="1535" w:type="dxa"/>
            <w:gridSpan w:val="2"/>
            <w:tcBorders>
              <w:top w:val="single" w:color="auto" w:sz="6" w:space="0"/>
              <w:left w:val="single" w:color="auto" w:sz="4" w:space="0"/>
              <w:bottom w:val="single" w:color="auto" w:sz="6" w:space="0"/>
              <w:right w:val="single" w:color="auto" w:sz="6" w:space="0"/>
            </w:tcBorders>
            <w:noWrap/>
            <w:vAlign w:val="center"/>
          </w:tcPr>
          <w:p w14:paraId="57F91A0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26" w:type="dxa"/>
            <w:gridSpan w:val="2"/>
            <w:tcBorders>
              <w:top w:val="single" w:color="auto" w:sz="6" w:space="0"/>
              <w:left w:val="single" w:color="auto" w:sz="6" w:space="0"/>
              <w:bottom w:val="single" w:color="auto" w:sz="6" w:space="0"/>
              <w:right w:val="single" w:color="auto" w:sz="6" w:space="0"/>
            </w:tcBorders>
            <w:noWrap/>
            <w:vAlign w:val="center"/>
          </w:tcPr>
          <w:p w14:paraId="4DB8876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58" w:type="dxa"/>
            <w:gridSpan w:val="2"/>
            <w:tcBorders>
              <w:top w:val="single" w:color="auto" w:sz="6" w:space="0"/>
              <w:left w:val="single" w:color="auto" w:sz="6" w:space="0"/>
              <w:bottom w:val="single" w:color="auto" w:sz="6" w:space="0"/>
              <w:right w:val="single" w:color="auto" w:sz="6" w:space="0"/>
            </w:tcBorders>
            <w:noWrap/>
            <w:vAlign w:val="center"/>
          </w:tcPr>
          <w:p w14:paraId="358EC9B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692" w:type="dxa"/>
            <w:tcBorders>
              <w:top w:val="single" w:color="auto" w:sz="6" w:space="0"/>
              <w:left w:val="single" w:color="auto" w:sz="6" w:space="0"/>
              <w:bottom w:val="single" w:color="auto" w:sz="6" w:space="0"/>
              <w:right w:val="single" w:color="auto" w:sz="6" w:space="0"/>
            </w:tcBorders>
            <w:noWrap/>
            <w:vAlign w:val="center"/>
          </w:tcPr>
          <w:p w14:paraId="4316668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16" w:type="dxa"/>
            <w:tcBorders>
              <w:top w:val="single" w:color="auto" w:sz="6" w:space="0"/>
              <w:left w:val="single" w:color="auto" w:sz="6" w:space="0"/>
              <w:bottom w:val="single" w:color="auto" w:sz="6" w:space="0"/>
              <w:right w:val="single" w:color="auto" w:sz="6" w:space="0"/>
            </w:tcBorders>
            <w:noWrap/>
            <w:vAlign w:val="center"/>
          </w:tcPr>
          <w:p w14:paraId="57E1304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bl>
    <w:p w14:paraId="0B0BEAF0">
      <w:pPr>
        <w:wordWrap w:val="0"/>
        <w:adjustRightInd w:val="0"/>
        <w:snapToGrid w:val="0"/>
        <w:spacing w:line="440" w:lineRule="exact"/>
        <w:jc w:val="cente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项目经理简历表</w:t>
      </w:r>
    </w:p>
    <w:p w14:paraId="598C1A20">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44DC5543">
      <w:pPr>
        <w:pStyle w:val="48"/>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40A8A1A7">
      <w:pPr>
        <w:pStyle w:val="48"/>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项目经理：</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（签字）</w:t>
      </w:r>
    </w:p>
    <w:p w14:paraId="5E163C89">
      <w:pPr>
        <w:pStyle w:val="48"/>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596E09A4">
      <w:pPr>
        <w:wordWrap w:val="0"/>
        <w:adjustRightInd w:val="0"/>
        <w:snapToGrid w:val="0"/>
        <w:spacing w:line="400" w:lineRule="exact"/>
        <w:ind w:firstLine="57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p>
    <w:p w14:paraId="5CD3B3E0">
      <w:pPr>
        <w:outlineLvl w:val="9"/>
        <w:rPr>
          <w:rFonts w:hint="eastAsia"/>
          <w:color w:val="000000" w:themeColor="text1"/>
          <w:highlight w:val="none"/>
          <w14:textFill>
            <w14:solidFill>
              <w14:schemeClr w14:val="tx1"/>
            </w14:solidFill>
          </w14:textFill>
        </w:rPr>
      </w:pPr>
    </w:p>
    <w:p w14:paraId="39724635">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说明：《项目经理简历表》后应附拟派项目经理以下资料：</w:t>
      </w:r>
    </w:p>
    <w:p w14:paraId="234E50E1">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1．身份证彩色扫描件；</w:t>
      </w:r>
    </w:p>
    <w:p w14:paraId="62F97137">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2．建造师电子注册证书（在使用有效期内的有效电子证书）彩色扫描件；</w:t>
      </w:r>
    </w:p>
    <w:p w14:paraId="24918F13">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3．B类安全生产考核合格证书彩色扫描件或广东省建筑施工企业管理人员安全生产考核系统考核合格信息彩色扫描件；</w:t>
      </w:r>
    </w:p>
    <w:p w14:paraId="2330BC74">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4．在本单位缴纳社保的证明（</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近一个月，其中必须有2025年6月</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）彩色扫描件；拟派项目经理为退休返聘人员无法提供社保证明的，提供退休证和劳动合同彩色扫描件。</w:t>
      </w:r>
    </w:p>
    <w:p w14:paraId="01350D00">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“进粤企业和人员诚信信息登记平台”个人信息情况打印页或网页截图。（适用于省外建筑企业）</w:t>
      </w:r>
    </w:p>
    <w:p w14:paraId="32AD39E4">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2E1D7FAF">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sectPr>
          <w:endnotePr>
            <w:numFmt w:val="decimal"/>
          </w:endnotePr>
          <w:pgSz w:w="11906" w:h="16838"/>
          <w:pgMar w:top="1701" w:right="1531" w:bottom="1417" w:left="1531" w:header="850" w:footer="992" w:gutter="0"/>
          <w:pgNumType w:fmt="decimal"/>
          <w:cols w:space="720" w:num="1"/>
          <w:docGrid w:linePitch="327" w:charSpace="0"/>
        </w:sectPr>
      </w:pPr>
    </w:p>
    <w:p w14:paraId="722A95E1">
      <w:pPr>
        <w:pStyle w:val="3"/>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47" w:name="_Toc428"/>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格式九 项目经理任职声明</w:t>
      </w:r>
      <w:bookmarkEnd w:id="547"/>
    </w:p>
    <w:p w14:paraId="4ADE852D">
      <w:pPr>
        <w:wordWrap w:val="0"/>
        <w:adjustRightInd w:val="0"/>
        <w:snapToGrid w:val="0"/>
        <w:spacing w:line="440" w:lineRule="exact"/>
        <w:jc w:val="left"/>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p>
    <w:p w14:paraId="5B39C3F5">
      <w:pPr>
        <w:wordWrap w:val="0"/>
        <w:adjustRightInd w:val="0"/>
        <w:snapToGrid w:val="0"/>
        <w:spacing w:before="260" w:after="260" w:line="440" w:lineRule="exact"/>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项目经理任职声明</w:t>
      </w:r>
    </w:p>
    <w:p w14:paraId="5BBE975C">
      <w:pPr>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64C715F">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548" w:name="_Toc21599"/>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（招标人名称）：</w:t>
      </w:r>
    </w:p>
    <w:p w14:paraId="4B31BB21">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我方在此声明，我方拟派往</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（项目名称）的项目经理</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（项目经理姓名）现阶段没有担任任何在施（包括已中标未开工、已开工未竣工）建设工程项目的项目经理。</w:t>
      </w:r>
    </w:p>
    <w:p w14:paraId="243E9439">
      <w:pPr>
        <w:wordWrap w:val="0"/>
        <w:adjustRightInd w:val="0"/>
        <w:snapToGrid w:val="0"/>
        <w:spacing w:line="440" w:lineRule="exact"/>
        <w:ind w:firstLine="48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我方保证上述信息的真实和准确，并愿意承担因我方就此弄虚作假所引起的一切法律后果。</w:t>
      </w:r>
    </w:p>
    <w:p w14:paraId="5CFC49FD">
      <w:pPr>
        <w:wordWrap w:val="0"/>
        <w:adjustRightInd w:val="0"/>
        <w:snapToGrid w:val="0"/>
        <w:spacing w:line="440" w:lineRule="exact"/>
        <w:ind w:firstLine="48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w:t>
      </w:r>
    </w:p>
    <w:p w14:paraId="42D74EF3">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特此承诺　　</w:t>
      </w:r>
    </w:p>
    <w:p w14:paraId="741114B9">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w:t>
      </w:r>
    </w:p>
    <w:p w14:paraId="2024B237">
      <w:pPr>
        <w:wordWrap w:val="0"/>
        <w:adjustRightInd w:val="0"/>
        <w:snapToGrid w:val="0"/>
        <w:spacing w:line="44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w:t>
      </w:r>
    </w:p>
    <w:p w14:paraId="142252A1">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投标人：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（盖单位章）</w:t>
      </w:r>
    </w:p>
    <w:p w14:paraId="4F2DA4C9">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B18FAC1">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7DEBFFFA">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法定代表人或其委托代理人：</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（签字或盖章）</w:t>
      </w:r>
    </w:p>
    <w:p w14:paraId="2E059885">
      <w:pPr>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210DF30">
      <w:pPr>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日</w:t>
      </w:r>
    </w:p>
    <w:p w14:paraId="06228FEA">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206BB2EB">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64164BC2">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32026C24">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6BFF4F88">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1FF9C360">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49DCFF06">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14DCA274">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4724D5AB">
      <w:pPr>
        <w:spacing w:before="120"/>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46560B8D">
      <w:pPr>
        <w:pStyle w:val="3"/>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49" w:name="_Toc17179"/>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格式十 项目技术负责人简历表</w:t>
      </w:r>
      <w:bookmarkEnd w:id="548"/>
      <w:bookmarkEnd w:id="549"/>
    </w:p>
    <w:p w14:paraId="69C790BB">
      <w:pPr>
        <w:wordWrap w:val="0"/>
        <w:adjustRightInd w:val="0"/>
        <w:snapToGrid w:val="0"/>
        <w:spacing w:line="440" w:lineRule="exact"/>
        <w:jc w:val="left"/>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p>
    <w:tbl>
      <w:tblPr>
        <w:tblStyle w:val="2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38EB5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2D6AA48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   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3683FD6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68A7925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性  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27A4DC8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38B8580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   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58D6116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186C6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2476F06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369F66E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7097239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7ADE524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5311479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学   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2B67543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48548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46B699E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69DF1E0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44B5375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0E5C094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2F85F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1F832E2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以项目技术负责人身份参与过的主要业绩（已完工项目）</w:t>
            </w:r>
          </w:p>
        </w:tc>
      </w:tr>
      <w:tr w14:paraId="1EF5AD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AC1144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11D03FE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44A4AD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78E3363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66DE2BB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1CD231E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质量等级</w:t>
            </w:r>
          </w:p>
        </w:tc>
      </w:tr>
      <w:tr w14:paraId="019F1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1A06DF5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16BB8E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41503D2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B84B5A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15D18C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771F479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8DD6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B24CEB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1B8832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C54A9D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2EA8091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3A69EDA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6879669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15ACF1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1CC66C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2D86993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A70942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5813A8E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550C1E0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26A8E26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1D832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26EFD5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9310F2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FF2122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14736BC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33D7711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07EBDB3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00B954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92E004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4A1762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AF7719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03DA3EA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0B15926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A64157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bl>
    <w:p w14:paraId="371C6CAC">
      <w:pPr>
        <w:wordWrap w:val="0"/>
        <w:adjustRightInd w:val="0"/>
        <w:snapToGrid w:val="0"/>
        <w:spacing w:line="440" w:lineRule="exact"/>
        <w:jc w:val="cente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项目技术负责人简历表</w:t>
      </w:r>
    </w:p>
    <w:p w14:paraId="17AC5CE6">
      <w:pPr>
        <w:pStyle w:val="48"/>
        <w:wordWrap w:val="0"/>
        <w:adjustRightInd w:val="0"/>
        <w:snapToGrid w:val="0"/>
        <w:spacing w:line="440" w:lineRule="exact"/>
        <w:jc w:val="both"/>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15757182">
      <w:pPr>
        <w:pStyle w:val="48"/>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4D95344E">
      <w:pPr>
        <w:pStyle w:val="48"/>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项目技术负责人：</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（签字）</w:t>
      </w:r>
    </w:p>
    <w:p w14:paraId="2C0A8BBB">
      <w:pPr>
        <w:pStyle w:val="48"/>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71B8FEEF">
      <w:pPr>
        <w:pStyle w:val="48"/>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p>
    <w:p w14:paraId="1B25A8B4">
      <w:pPr>
        <w:wordWrap w:val="0"/>
        <w:adjustRightInd w:val="0"/>
        <w:snapToGrid w:val="0"/>
        <w:spacing w:line="40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31204AF5">
      <w:pPr>
        <w:pStyle w:val="48"/>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699FB7EE">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说明：《项目技术负责人简历表》后应附拟派项目技术负责人以下资料：</w:t>
      </w:r>
    </w:p>
    <w:p w14:paraId="46370442">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1．身份证彩色扫描件；</w:t>
      </w:r>
    </w:p>
    <w:p w14:paraId="333723B7">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2．职称证彩色扫描件；</w:t>
      </w:r>
    </w:p>
    <w:p w14:paraId="604E5430">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3．在本单位缴纳社保的证明（</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近一个月，其中必须有2025年6月</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）彩色扫描件；拟派技术负责人为退休返聘人员无法提供社保证明的，提供退休证和劳动合同彩色扫描件。</w:t>
      </w:r>
    </w:p>
    <w:p w14:paraId="4FDA75C7">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szCs w:val="24"/>
          <w:highlight w:val="none"/>
          <w14:textFill>
            <w14:solidFill>
              <w14:schemeClr w14:val="tx1"/>
            </w14:solidFill>
          </w14:textFill>
        </w:rPr>
        <w:sectPr>
          <w:endnotePr>
            <w:numFmt w:val="decimal"/>
          </w:endnotePr>
          <w:pgSz w:w="11906" w:h="16838"/>
          <w:pgMar w:top="1701" w:right="1531" w:bottom="1417" w:left="1531" w:header="850" w:footer="992" w:gutter="0"/>
          <w:pgNumType w:fmt="decimal"/>
          <w:cols w:space="720" w:num="1"/>
          <w:docGrid w:linePitch="327" w:charSpace="0"/>
        </w:sectPr>
      </w:pP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“进粤企业和人员诚信信息登记平台”个人信息情况打印页或网页截图。（适用于省外建筑企业）</w:t>
      </w:r>
    </w:p>
    <w:p w14:paraId="7F2BF5ED">
      <w:pPr>
        <w:pStyle w:val="3"/>
        <w:spacing w:before="120"/>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50" w:name="_Toc31518"/>
      <w:bookmarkStart w:id="551" w:name="_Toc12570"/>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格式十一 项目设计负责人简历表</w:t>
      </w:r>
      <w:bookmarkEnd w:id="550"/>
      <w:bookmarkEnd w:id="551"/>
    </w:p>
    <w:p w14:paraId="6BE0E100">
      <w:pPr>
        <w:wordWrap w:val="0"/>
        <w:adjustRightInd w:val="0"/>
        <w:snapToGrid w:val="0"/>
        <w:spacing w:line="440" w:lineRule="exact"/>
        <w:jc w:val="left"/>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p>
    <w:tbl>
      <w:tblPr>
        <w:tblStyle w:val="2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7959C1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31D87E5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   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3110D74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1E67DD1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性  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0F58B60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0E75D2C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   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36CA4E5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71D556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7B359A3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4730A62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24DA3C3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  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4BC2079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6601887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学   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412EF28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6F946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663345B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0D984A0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26FDD63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39EAC85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15F36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0D17669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以项目设计负责人身份参与过的主要业绩（已完工项目）</w:t>
            </w:r>
          </w:p>
        </w:tc>
      </w:tr>
      <w:tr w14:paraId="4F4E9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1266138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D7CE1F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21C204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0E6D81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42CA1BE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1A33B00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质量等级</w:t>
            </w:r>
          </w:p>
        </w:tc>
      </w:tr>
      <w:tr w14:paraId="6BEE2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3C2747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0C26B5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3E20D6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7976D5B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6FE87C2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5B39C68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65E975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549D15E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9DB314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67931EE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50AF41E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166BA8F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0CDE6FC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1C35CF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01E4D0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0CD1A4B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027DED1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7B6C6B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03E7EC7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16CC8DC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71616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A89ECF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1CCC90C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024051D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93B20A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2D28771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7B1062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D1B45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75FF3B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57AFE78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5A4A0CD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488E2A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38B644F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67F4709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bl>
    <w:p w14:paraId="04EB943A">
      <w:pPr>
        <w:wordWrap w:val="0"/>
        <w:adjustRightInd w:val="0"/>
        <w:snapToGrid w:val="0"/>
        <w:spacing w:line="440" w:lineRule="exact"/>
        <w:jc w:val="center"/>
        <w:rPr>
          <w:rFonts w:hint="eastAsia" w:asciiTheme="minorEastAsia" w:hAnsiTheme="minorEastAsia" w:eastAsiaTheme="minorEastAsia" w:cstheme="minorEastAsia"/>
          <w:b/>
          <w:bCs/>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项目设计负责人简历表</w:t>
      </w:r>
    </w:p>
    <w:p w14:paraId="3506B618">
      <w:pPr>
        <w:wordWrap w:val="0"/>
        <w:adjustRightInd w:val="0"/>
        <w:snapToGrid w:val="0"/>
        <w:spacing w:line="44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A8464B6">
      <w:pPr>
        <w:pStyle w:val="48"/>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25F73BA2">
      <w:pPr>
        <w:pStyle w:val="48"/>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项目</w:t>
      </w: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设计</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负责人：</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（签字）</w:t>
      </w:r>
    </w:p>
    <w:p w14:paraId="10647B72">
      <w:pPr>
        <w:pStyle w:val="48"/>
        <w:wordWrap w:val="0"/>
        <w:adjustRightInd w:val="0"/>
        <w:snapToGrid w:val="0"/>
        <w:spacing w:line="440" w:lineRule="exact"/>
        <w:jc w:val="righ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p>
    <w:p w14:paraId="74901679">
      <w:pPr>
        <w:pStyle w:val="48"/>
        <w:wordWrap w:val="0"/>
        <w:adjustRightInd w:val="0"/>
        <w:snapToGrid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年</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月</w:t>
      </w:r>
      <w:r>
        <w:rPr>
          <w:rFonts w:hint="eastAsia" w:asciiTheme="minorEastAsia" w:hAnsiTheme="minorEastAsia" w:eastAsiaTheme="minorEastAsia" w:cstheme="minorEastAsia"/>
          <w:snapToGrid w:val="0"/>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t>日</w:t>
      </w:r>
    </w:p>
    <w:p w14:paraId="01884584">
      <w:pPr>
        <w:wordWrap w:val="0"/>
        <w:adjustRightInd w:val="0"/>
        <w:snapToGrid w:val="0"/>
        <w:spacing w:line="40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59F06DFC">
      <w:pPr>
        <w:wordWrap w:val="0"/>
        <w:adjustRightInd w:val="0"/>
        <w:snapToGrid w:val="0"/>
        <w:spacing w:line="400" w:lineRule="exact"/>
        <w:ind w:firstLine="57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054F7E9E">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说明：《项目设计负责人简历表》后应附拟派项目设计负责人以下资料：</w:t>
      </w:r>
    </w:p>
    <w:p w14:paraId="4B633D08">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1．身份证彩色扫描件；</w:t>
      </w:r>
    </w:p>
    <w:p w14:paraId="586E437A">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2．</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注册</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证彩色扫描件；</w:t>
      </w:r>
    </w:p>
    <w:p w14:paraId="0B22D139">
      <w:pPr>
        <w:wordWrap w:val="0"/>
        <w:adjustRightInd w:val="0"/>
        <w:snapToGrid w:val="0"/>
        <w:spacing w:line="400" w:lineRule="exact"/>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3．在本单位缴纳社保的证明（</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近一个月，其中必须有2025年6月</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）彩色扫描件；拟派设计负责人为退休返聘人员无法提供社保证明的，提供退休证和劳动合同彩色扫描件。</w:t>
      </w:r>
      <w:bookmarkEnd w:id="541"/>
      <w:bookmarkEnd w:id="542"/>
      <w:bookmarkEnd w:id="543"/>
      <w:bookmarkEnd w:id="544"/>
      <w:bookmarkEnd w:id="545"/>
    </w:p>
    <w:p w14:paraId="07BA3762">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4．“进粤企业和人员诚信信息登记平台”个人信息情况打印页或网页截图。（适用于省外建筑企业）。</w:t>
      </w:r>
    </w:p>
    <w:p w14:paraId="4AF244B7">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br w:type="page"/>
      </w:r>
      <w:bookmarkStart w:id="552" w:name="_Toc10080"/>
      <w:bookmarkStart w:id="553" w:name="_Toc8264"/>
    </w:p>
    <w:p w14:paraId="052519CD">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p w14:paraId="5B71362B">
      <w:pPr>
        <w:pStyle w:val="3"/>
        <w:spacing w:before="120"/>
        <w:rPr>
          <w:rFonts w:hint="eastAsia" w:asciiTheme="minorEastAsia" w:hAnsiTheme="minorEastAsia" w:eastAsiaTheme="minorEastAsia" w:cstheme="minorEastAsia"/>
          <w:bCs/>
          <w:snapToGrid w:val="0"/>
          <w:color w:val="000000" w:themeColor="text1"/>
          <w:szCs w:val="24"/>
          <w:highlight w:val="none"/>
          <w14:textFill>
            <w14:solidFill>
              <w14:schemeClr w14:val="tx1"/>
            </w14:solidFill>
          </w14:textFill>
        </w:rPr>
      </w:pPr>
      <w:bookmarkStart w:id="554" w:name="_Toc27493"/>
      <w:r>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t>格式十</w:t>
      </w:r>
      <w:r>
        <w:rPr>
          <w:rFonts w:hint="eastAsia" w:asciiTheme="minorEastAsia" w:hAnsiTheme="minorEastAsia" w:eastAsiaTheme="minorEastAsia" w:cstheme="minorEastAsia"/>
          <w:b/>
          <w:snapToGrid w:val="0"/>
          <w:color w:val="000000" w:themeColor="text1"/>
          <w:szCs w:val="24"/>
          <w:highlight w:val="none"/>
          <w:lang w:val="en-US" w:eastAsia="zh-CN"/>
          <w14:textFill>
            <w14:solidFill>
              <w14:schemeClr w14:val="tx1"/>
            </w14:solidFill>
          </w14:textFill>
        </w:rPr>
        <w:t>二</w:t>
      </w:r>
      <w:r>
        <w:rPr>
          <w:rFonts w:hint="eastAsia" w:asciiTheme="minorEastAsia" w:hAnsiTheme="minorEastAsia" w:eastAsiaTheme="minorEastAsia" w:cstheme="minorEastAsia"/>
          <w:b/>
          <w:snapToGrid w:val="0"/>
          <w:color w:val="000000" w:themeColor="text1"/>
          <w:szCs w:val="24"/>
          <w:highlight w:val="none"/>
          <w14:textFill>
            <w14:solidFill>
              <w14:schemeClr w14:val="tx1"/>
            </w14:solidFill>
          </w14:textFill>
        </w:rPr>
        <w:t xml:space="preserve"> 项目管理机构组成表</w:t>
      </w:r>
      <w:bookmarkEnd w:id="552"/>
      <w:bookmarkEnd w:id="554"/>
    </w:p>
    <w:p w14:paraId="6AB277B4">
      <w:pPr>
        <w:wordWrap w:val="0"/>
        <w:adjustRightInd w:val="0"/>
        <w:snapToGrid w:val="0"/>
        <w:spacing w:before="260" w:after="260" w:line="440" w:lineRule="exact"/>
        <w:jc w:val="cente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Cs w:val="24"/>
          <w:highlight w:val="none"/>
          <w14:textFill>
            <w14:solidFill>
              <w14:schemeClr w14:val="tx1"/>
            </w14:solidFill>
          </w14:textFill>
        </w:rPr>
        <w:t>项目管理机构组成表</w:t>
      </w:r>
    </w:p>
    <w:tbl>
      <w:tblPr>
        <w:tblStyle w:val="21"/>
        <w:tblW w:w="89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44"/>
        <w:gridCol w:w="1424"/>
        <w:gridCol w:w="1358"/>
        <w:gridCol w:w="902"/>
        <w:gridCol w:w="819"/>
        <w:gridCol w:w="1541"/>
        <w:gridCol w:w="2169"/>
      </w:tblGrid>
      <w:tr w14:paraId="4266F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0" w:hRule="atLeast"/>
        </w:trPr>
        <w:tc>
          <w:tcPr>
            <w:tcW w:w="744" w:type="dxa"/>
            <w:tcBorders>
              <w:top w:val="single" w:color="auto" w:sz="6" w:space="0"/>
              <w:left w:val="single" w:color="auto" w:sz="6" w:space="0"/>
              <w:bottom w:val="single" w:color="auto" w:sz="6" w:space="0"/>
              <w:right w:val="single" w:color="auto" w:sz="6" w:space="0"/>
            </w:tcBorders>
            <w:noWrap/>
            <w:vAlign w:val="center"/>
          </w:tcPr>
          <w:p w14:paraId="605DFE1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序号</w:t>
            </w:r>
          </w:p>
        </w:tc>
        <w:tc>
          <w:tcPr>
            <w:tcW w:w="1424" w:type="dxa"/>
            <w:tcBorders>
              <w:top w:val="single" w:color="auto" w:sz="6" w:space="0"/>
              <w:left w:val="single" w:color="auto" w:sz="6" w:space="0"/>
              <w:bottom w:val="single" w:color="auto" w:sz="6" w:space="0"/>
              <w:right w:val="single" w:color="auto" w:sz="6" w:space="0"/>
            </w:tcBorders>
            <w:noWrap/>
            <w:vAlign w:val="center"/>
          </w:tcPr>
          <w:p w14:paraId="1A40264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职务</w:t>
            </w:r>
          </w:p>
        </w:tc>
        <w:tc>
          <w:tcPr>
            <w:tcW w:w="1358" w:type="dxa"/>
            <w:tcBorders>
              <w:top w:val="single" w:color="auto" w:sz="6" w:space="0"/>
              <w:left w:val="single" w:color="auto" w:sz="6" w:space="0"/>
              <w:bottom w:val="single" w:color="auto" w:sz="6" w:space="0"/>
              <w:right w:val="single" w:color="auto" w:sz="6" w:space="0"/>
            </w:tcBorders>
            <w:noWrap/>
            <w:vAlign w:val="center"/>
          </w:tcPr>
          <w:p w14:paraId="008A8A2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姓名</w:t>
            </w:r>
          </w:p>
        </w:tc>
        <w:tc>
          <w:tcPr>
            <w:tcW w:w="902" w:type="dxa"/>
            <w:tcBorders>
              <w:top w:val="single" w:color="auto" w:sz="6" w:space="0"/>
              <w:left w:val="single" w:color="auto" w:sz="6" w:space="0"/>
              <w:bottom w:val="single" w:color="auto" w:sz="6" w:space="0"/>
              <w:right w:val="single" w:color="auto" w:sz="6" w:space="0"/>
            </w:tcBorders>
            <w:noWrap/>
            <w:vAlign w:val="center"/>
          </w:tcPr>
          <w:p w14:paraId="0EA3C27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性别</w:t>
            </w:r>
          </w:p>
        </w:tc>
        <w:tc>
          <w:tcPr>
            <w:tcW w:w="819" w:type="dxa"/>
            <w:tcBorders>
              <w:top w:val="single" w:color="auto" w:sz="6" w:space="0"/>
              <w:left w:val="single" w:color="auto" w:sz="6" w:space="0"/>
              <w:bottom w:val="single" w:color="auto" w:sz="6" w:space="0"/>
              <w:right w:val="single" w:color="auto" w:sz="6" w:space="0"/>
            </w:tcBorders>
            <w:noWrap/>
            <w:vAlign w:val="center"/>
          </w:tcPr>
          <w:p w14:paraId="16E7F36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年龄</w:t>
            </w:r>
          </w:p>
        </w:tc>
        <w:tc>
          <w:tcPr>
            <w:tcW w:w="1541" w:type="dxa"/>
            <w:tcBorders>
              <w:top w:val="single" w:color="auto" w:sz="6" w:space="0"/>
              <w:left w:val="single" w:color="auto" w:sz="6" w:space="0"/>
              <w:bottom w:val="single" w:color="auto" w:sz="6" w:space="0"/>
              <w:right w:val="single" w:color="auto" w:sz="6" w:space="0"/>
            </w:tcBorders>
            <w:noWrap/>
            <w:vAlign w:val="center"/>
          </w:tcPr>
          <w:p w14:paraId="1AAB057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职称</w:t>
            </w:r>
          </w:p>
        </w:tc>
        <w:tc>
          <w:tcPr>
            <w:tcW w:w="2169" w:type="dxa"/>
            <w:tcBorders>
              <w:top w:val="single" w:color="auto" w:sz="6" w:space="0"/>
              <w:left w:val="single" w:color="auto" w:sz="6" w:space="0"/>
              <w:bottom w:val="single" w:color="auto" w:sz="6" w:space="0"/>
              <w:right w:val="single" w:color="auto" w:sz="6" w:space="0"/>
            </w:tcBorders>
            <w:noWrap/>
            <w:vAlign w:val="center"/>
          </w:tcPr>
          <w:p w14:paraId="6E76902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备注</w:t>
            </w:r>
          </w:p>
        </w:tc>
      </w:tr>
      <w:tr w14:paraId="19940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2" w:hRule="exact"/>
        </w:trPr>
        <w:tc>
          <w:tcPr>
            <w:tcW w:w="744" w:type="dxa"/>
            <w:tcBorders>
              <w:top w:val="single" w:color="auto" w:sz="6" w:space="0"/>
              <w:left w:val="single" w:color="auto" w:sz="6" w:space="0"/>
              <w:right w:val="single" w:color="auto" w:sz="6" w:space="0"/>
            </w:tcBorders>
            <w:noWrap/>
            <w:vAlign w:val="center"/>
          </w:tcPr>
          <w:p w14:paraId="256C31E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w:t>
            </w:r>
          </w:p>
        </w:tc>
        <w:tc>
          <w:tcPr>
            <w:tcW w:w="1424" w:type="dxa"/>
            <w:tcBorders>
              <w:top w:val="single" w:color="auto" w:sz="6" w:space="0"/>
              <w:left w:val="single" w:color="auto" w:sz="6" w:space="0"/>
              <w:right w:val="single" w:color="auto" w:sz="6" w:space="0"/>
            </w:tcBorders>
            <w:noWrap/>
            <w:vAlign w:val="center"/>
          </w:tcPr>
          <w:p w14:paraId="5AA3CDF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项目经理</w:t>
            </w:r>
          </w:p>
        </w:tc>
        <w:tc>
          <w:tcPr>
            <w:tcW w:w="1358" w:type="dxa"/>
            <w:tcBorders>
              <w:top w:val="single" w:color="auto" w:sz="6" w:space="0"/>
              <w:left w:val="single" w:color="auto" w:sz="6" w:space="0"/>
              <w:bottom w:val="single" w:color="auto" w:sz="6" w:space="0"/>
              <w:right w:val="single" w:color="auto" w:sz="6" w:space="0"/>
            </w:tcBorders>
            <w:noWrap/>
            <w:vAlign w:val="center"/>
          </w:tcPr>
          <w:p w14:paraId="5529107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3D46A7D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3F7343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30A522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656F953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591D49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noWrap/>
            <w:vAlign w:val="center"/>
          </w:tcPr>
          <w:p w14:paraId="59B3CC8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w:t>
            </w:r>
          </w:p>
        </w:tc>
        <w:tc>
          <w:tcPr>
            <w:tcW w:w="1424" w:type="dxa"/>
            <w:tcBorders>
              <w:top w:val="single" w:color="auto" w:sz="6" w:space="0"/>
              <w:left w:val="single" w:color="auto" w:sz="6" w:space="0"/>
              <w:right w:val="single" w:color="auto" w:sz="6" w:space="0"/>
            </w:tcBorders>
            <w:noWrap/>
            <w:vAlign w:val="center"/>
          </w:tcPr>
          <w:p w14:paraId="0A21FE6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项目技术</w:t>
            </w:r>
          </w:p>
          <w:p w14:paraId="093217D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负责人</w:t>
            </w:r>
          </w:p>
        </w:tc>
        <w:tc>
          <w:tcPr>
            <w:tcW w:w="1358" w:type="dxa"/>
            <w:tcBorders>
              <w:top w:val="single" w:color="auto" w:sz="6" w:space="0"/>
              <w:left w:val="single" w:color="auto" w:sz="6" w:space="0"/>
              <w:bottom w:val="single" w:color="auto" w:sz="6" w:space="0"/>
              <w:right w:val="single" w:color="auto" w:sz="6" w:space="0"/>
            </w:tcBorders>
            <w:noWrap/>
            <w:vAlign w:val="center"/>
          </w:tcPr>
          <w:p w14:paraId="1968084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3CB37C2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4597E1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2FD97D6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0C8D292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01857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noWrap/>
            <w:vAlign w:val="center"/>
          </w:tcPr>
          <w:p w14:paraId="710297A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w:t>
            </w:r>
          </w:p>
        </w:tc>
        <w:tc>
          <w:tcPr>
            <w:tcW w:w="1424" w:type="dxa"/>
            <w:tcBorders>
              <w:top w:val="single" w:color="auto" w:sz="6" w:space="0"/>
              <w:left w:val="single" w:color="auto" w:sz="6" w:space="0"/>
              <w:right w:val="single" w:color="auto" w:sz="6" w:space="0"/>
            </w:tcBorders>
            <w:noWrap/>
            <w:vAlign w:val="center"/>
          </w:tcPr>
          <w:p w14:paraId="2AC5FBA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项目设计</w:t>
            </w:r>
          </w:p>
          <w:p w14:paraId="3294081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负责人</w:t>
            </w:r>
          </w:p>
        </w:tc>
        <w:tc>
          <w:tcPr>
            <w:tcW w:w="1358" w:type="dxa"/>
            <w:tcBorders>
              <w:top w:val="single" w:color="auto" w:sz="6" w:space="0"/>
              <w:left w:val="single" w:color="auto" w:sz="6" w:space="0"/>
              <w:bottom w:val="single" w:color="auto" w:sz="6" w:space="0"/>
              <w:right w:val="single" w:color="auto" w:sz="6" w:space="0"/>
            </w:tcBorders>
            <w:noWrap/>
            <w:vAlign w:val="center"/>
          </w:tcPr>
          <w:p w14:paraId="721184F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FC7128D">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49E38B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543D8F2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681A542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5B40E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right w:val="single" w:color="auto" w:sz="6" w:space="0"/>
            </w:tcBorders>
            <w:shd w:val="clear" w:color="auto" w:fill="auto"/>
            <w:noWrap/>
            <w:vAlign w:val="center"/>
          </w:tcPr>
          <w:p w14:paraId="0E90B66B">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w:t>
            </w:r>
          </w:p>
        </w:tc>
        <w:tc>
          <w:tcPr>
            <w:tcW w:w="1424" w:type="dxa"/>
            <w:tcBorders>
              <w:top w:val="single" w:color="auto" w:sz="6" w:space="0"/>
              <w:left w:val="single" w:color="auto" w:sz="6" w:space="0"/>
              <w:bottom w:val="single" w:color="auto" w:sz="6" w:space="0"/>
              <w:right w:val="single" w:color="auto" w:sz="6" w:space="0"/>
            </w:tcBorders>
            <w:noWrap/>
            <w:vAlign w:val="center"/>
          </w:tcPr>
          <w:p w14:paraId="70A1A83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专职安全员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47A6AEF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0E0D289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4A77DE2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654A6BD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1BA08220">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70793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65709FC">
            <w:pPr>
              <w:wordWrap w:val="0"/>
              <w:adjustRightInd w:val="0"/>
              <w:snapToGrid w:val="0"/>
              <w:jc w:val="both"/>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w:t>
            </w:r>
          </w:p>
        </w:tc>
        <w:tc>
          <w:tcPr>
            <w:tcW w:w="1424" w:type="dxa"/>
            <w:tcBorders>
              <w:top w:val="single" w:color="auto" w:sz="6" w:space="0"/>
              <w:left w:val="single" w:color="auto" w:sz="6" w:space="0"/>
              <w:bottom w:val="single" w:color="auto" w:sz="6" w:space="0"/>
              <w:right w:val="single" w:color="auto" w:sz="6" w:space="0"/>
            </w:tcBorders>
            <w:noWrap/>
            <w:vAlign w:val="center"/>
          </w:tcPr>
          <w:p w14:paraId="30A1CB3C">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施工员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42AD16D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F5043C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0976571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6708130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5D2D9B4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6F5BF8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C19DB79">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6</w:t>
            </w:r>
          </w:p>
        </w:tc>
        <w:tc>
          <w:tcPr>
            <w:tcW w:w="1424" w:type="dxa"/>
            <w:tcBorders>
              <w:top w:val="single" w:color="auto" w:sz="6" w:space="0"/>
              <w:left w:val="single" w:color="auto" w:sz="6" w:space="0"/>
              <w:bottom w:val="single" w:color="auto" w:sz="6" w:space="0"/>
              <w:right w:val="single" w:color="auto" w:sz="6" w:space="0"/>
            </w:tcBorders>
            <w:noWrap/>
            <w:vAlign w:val="center"/>
          </w:tcPr>
          <w:p w14:paraId="4E33F5D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质量员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34FA99D6">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7957E63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FE400D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21BB1A0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581F071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091D08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404A19C">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7</w:t>
            </w:r>
          </w:p>
        </w:tc>
        <w:tc>
          <w:tcPr>
            <w:tcW w:w="1424" w:type="dxa"/>
            <w:tcBorders>
              <w:top w:val="single" w:color="auto" w:sz="6" w:space="0"/>
              <w:left w:val="single" w:color="auto" w:sz="6" w:space="0"/>
              <w:bottom w:val="single" w:color="auto" w:sz="6" w:space="0"/>
              <w:right w:val="single" w:color="auto" w:sz="6" w:space="0"/>
            </w:tcBorders>
            <w:noWrap/>
            <w:vAlign w:val="center"/>
          </w:tcPr>
          <w:p w14:paraId="6A32E8C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材料员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474891E5">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C08C0D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7F2EA53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29BF67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3109CBA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4E4F6A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30E99B9">
            <w:pPr>
              <w:wordWrap w:val="0"/>
              <w:adjustRightInd w:val="0"/>
              <w:snapToGrid w:val="0"/>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8</w:t>
            </w:r>
          </w:p>
        </w:tc>
        <w:tc>
          <w:tcPr>
            <w:tcW w:w="1424" w:type="dxa"/>
            <w:tcBorders>
              <w:top w:val="single" w:color="auto" w:sz="6" w:space="0"/>
              <w:left w:val="single" w:color="auto" w:sz="6" w:space="0"/>
              <w:bottom w:val="single" w:color="auto" w:sz="6" w:space="0"/>
              <w:right w:val="single" w:color="auto" w:sz="6" w:space="0"/>
            </w:tcBorders>
            <w:noWrap/>
            <w:vAlign w:val="center"/>
          </w:tcPr>
          <w:p w14:paraId="3CDC75F9">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资料员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001F7A4A">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01C3B98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06626CAE">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1754093">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2CAE6B7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tr w14:paraId="38F69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26"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3E5DA711">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424" w:type="dxa"/>
            <w:tcBorders>
              <w:top w:val="single" w:color="auto" w:sz="6" w:space="0"/>
              <w:left w:val="single" w:color="auto" w:sz="6" w:space="0"/>
              <w:bottom w:val="single" w:color="auto" w:sz="6" w:space="0"/>
              <w:right w:val="single" w:color="auto" w:sz="6" w:space="0"/>
            </w:tcBorders>
            <w:noWrap/>
            <w:vAlign w:val="center"/>
          </w:tcPr>
          <w:p w14:paraId="5B4D2DB4">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w:t>
            </w:r>
          </w:p>
        </w:tc>
        <w:tc>
          <w:tcPr>
            <w:tcW w:w="1358" w:type="dxa"/>
            <w:tcBorders>
              <w:top w:val="single" w:color="auto" w:sz="6" w:space="0"/>
              <w:left w:val="single" w:color="auto" w:sz="6" w:space="0"/>
              <w:bottom w:val="single" w:color="auto" w:sz="6" w:space="0"/>
              <w:right w:val="single" w:color="auto" w:sz="6" w:space="0"/>
            </w:tcBorders>
            <w:noWrap/>
            <w:vAlign w:val="center"/>
          </w:tcPr>
          <w:p w14:paraId="4CFE553B">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0917E9B8">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7E9B9D47">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11A0BCD2">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68EA27DF">
            <w:pPr>
              <w:wordWrap w:val="0"/>
              <w:adjustRightInd w:val="0"/>
              <w:snapToGrid w:val="0"/>
              <w:jc w:val="cente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p>
        </w:tc>
      </w:tr>
      <w:bookmarkEnd w:id="553"/>
    </w:tbl>
    <w:p w14:paraId="15B0C16F">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bookmarkStart w:id="555" w:name="_Toc36804690"/>
      <w:bookmarkStart w:id="556" w:name="_Toc8648"/>
      <w:bookmarkStart w:id="557" w:name="_Toc25577"/>
    </w:p>
    <w:p w14:paraId="24A36270">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说明：</w:t>
      </w:r>
    </w:p>
    <w:p w14:paraId="66447872">
      <w:pPr>
        <w:wordWrap w:val="0"/>
        <w:adjustRightInd w:val="0"/>
        <w:snapToGrid w:val="0"/>
        <w:spacing w:line="400" w:lineRule="exact"/>
        <w:ind w:firstLine="480" w:firstLineChars="200"/>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1．《项目管理机构组成表》后应附表中拟派人员（项目经理、项目技术负责人、项目设计负责人除外）以下资料：</w:t>
      </w:r>
    </w:p>
    <w:p w14:paraId="772B27CA">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（1）身份证证彩色扫描件；</w:t>
      </w:r>
    </w:p>
    <w:p w14:paraId="1944BBE8">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（2）职称证或岗位证或培训证</w:t>
      </w:r>
      <w:r>
        <w:rPr>
          <w:rFonts w:hint="eastAsia" w:asciiTheme="minorEastAsia" w:hAnsiTheme="minorEastAsia" w:eastAsiaTheme="minorEastAsia" w:cstheme="minorEastAsia"/>
          <w:snapToGrid w:val="0"/>
          <w:color w:val="000000" w:themeColor="text1"/>
          <w:kern w:val="0"/>
          <w:szCs w:val="24"/>
          <w:highlight w:val="none"/>
          <w:lang w:val="en-US" w:eastAsia="zh-CN"/>
          <w14:textFill>
            <w14:solidFill>
              <w14:schemeClr w14:val="tx1"/>
            </w14:solidFill>
          </w14:textFill>
        </w:rPr>
        <w:t>或执业证书</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彩色扫描件；</w:t>
      </w:r>
    </w:p>
    <w:p w14:paraId="076B6F6A">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（3）专职安全员须提供C类安全生产考核合格证书证彩色扫描件或“广东省建筑施工企业管理人员安全生产考核系统”考核合格信息打印页；</w:t>
      </w:r>
    </w:p>
    <w:p w14:paraId="2CA76E52">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（4）在本单位缴纳社保的证明（</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近一个月，其中必须有2025年6月</w:t>
      </w: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）彩色扫描件；拟派人员为退休返聘人员无法提供社保证明的，提供退休证和劳动合同彩色扫描件；</w:t>
      </w:r>
    </w:p>
    <w:p w14:paraId="0714650D">
      <w:pPr>
        <w:wordWrap w:val="0"/>
        <w:adjustRightInd w:val="0"/>
        <w:snapToGrid w:val="0"/>
        <w:spacing w:line="400" w:lineRule="exact"/>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（5）“进粤企业和人员诚信信息登记平台”个人信息情况打印页或网页截图。（适用于省外建筑企业）。</w:t>
      </w:r>
    </w:p>
    <w:p w14:paraId="7D66C205">
      <w:pPr>
        <w:wordWrap w:val="0"/>
        <w:adjustRightInd w:val="0"/>
        <w:snapToGrid w:val="0"/>
        <w:spacing w:line="400" w:lineRule="exac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Cs w:val="24"/>
          <w:highlight w:val="none"/>
          <w14:textFill>
            <w14:solidFill>
              <w14:schemeClr w14:val="tx1"/>
            </w14:solidFill>
          </w14:textFill>
        </w:rPr>
        <w:t xml:space="preserve">    2．联合体投标的，《项目管理机构组成表》应包括联合体成员单位参与项目管理机构的人员，并提供以上所需资料。。</w:t>
      </w:r>
    </w:p>
    <w:p w14:paraId="32BAE323">
      <w:pPr>
        <w:spacing w:before="136"/>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251EEB96">
      <w:pPr>
        <w:spacing w:before="136"/>
        <w:outlineLvl w:val="9"/>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p>
    <w:p w14:paraId="1BC61B8E">
      <w:pPr>
        <w:pStyle w:val="3"/>
        <w:spacing w:before="136"/>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pPr>
      <w:bookmarkStart w:id="558" w:name="_Toc193"/>
      <w:bookmarkStart w:id="559" w:name="_Toc7707"/>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格式十</w:t>
      </w:r>
      <w:r>
        <w:rPr>
          <w:rFonts w:hint="eastAsia" w:asciiTheme="minorEastAsia" w:hAnsiTheme="minorEastAsia" w:eastAsiaTheme="minorEastAsia" w:cstheme="minorEastAsia"/>
          <w:b/>
          <w:bCs/>
          <w:color w:val="000000" w:themeColor="text1"/>
          <w:szCs w:val="24"/>
          <w:highlight w:val="none"/>
          <w:lang w:val="en-US" w:eastAsia="zh-CN"/>
          <w14:textFill>
            <w14:solidFill>
              <w14:schemeClr w14:val="tx1"/>
            </w14:solidFill>
          </w14:textFill>
        </w:rPr>
        <w:t>三</w:t>
      </w: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 xml:space="preserve"> 原件一览表</w:t>
      </w:r>
      <w:bookmarkEnd w:id="558"/>
      <w:bookmarkEnd w:id="559"/>
    </w:p>
    <w:p w14:paraId="483AC83E">
      <w:pPr>
        <w:spacing w:line="336" w:lineRule="auto"/>
        <w:contextualSpacing/>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bl>
      <w:tblPr>
        <w:tblStyle w:val="21"/>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0"/>
        <w:gridCol w:w="1505"/>
        <w:gridCol w:w="623"/>
        <w:gridCol w:w="1369"/>
        <w:gridCol w:w="1623"/>
        <w:gridCol w:w="753"/>
        <w:gridCol w:w="957"/>
        <w:gridCol w:w="1570"/>
      </w:tblGrid>
      <w:tr w14:paraId="133A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9100" w:type="dxa"/>
            <w:gridSpan w:val="8"/>
            <w:noWrap/>
            <w:tcMar>
              <w:left w:w="108" w:type="dxa"/>
              <w:right w:w="108" w:type="dxa"/>
            </w:tcMar>
            <w:vAlign w:val="center"/>
          </w:tcPr>
          <w:p w14:paraId="7A1E61B3">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4"/>
                <w:highlight w:val="none"/>
                <w14:textFill>
                  <w14:solidFill>
                    <w14:schemeClr w14:val="tx1"/>
                  </w14:solidFill>
                </w14:textFill>
              </w:rPr>
              <w:t>原件一览表</w:t>
            </w:r>
          </w:p>
        </w:tc>
      </w:tr>
      <w:tr w14:paraId="11C1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6AA55428">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工程名称</w:t>
            </w:r>
          </w:p>
        </w:tc>
        <w:tc>
          <w:tcPr>
            <w:tcW w:w="6272" w:type="dxa"/>
            <w:gridSpan w:val="5"/>
            <w:noWrap/>
            <w:tcMar>
              <w:left w:w="108" w:type="dxa"/>
              <w:right w:w="108" w:type="dxa"/>
            </w:tcMar>
            <w:vAlign w:val="center"/>
          </w:tcPr>
          <w:p w14:paraId="6B407179">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r>
      <w:tr w14:paraId="6E9E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388CAC08">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投标人名称                （请务必填写单位全称）</w:t>
            </w:r>
          </w:p>
        </w:tc>
        <w:tc>
          <w:tcPr>
            <w:tcW w:w="6272" w:type="dxa"/>
            <w:gridSpan w:val="5"/>
            <w:noWrap/>
            <w:tcMar>
              <w:left w:w="108" w:type="dxa"/>
              <w:right w:w="108" w:type="dxa"/>
            </w:tcMar>
            <w:vAlign w:val="center"/>
          </w:tcPr>
          <w:p w14:paraId="31AA0441">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w:t>
            </w:r>
          </w:p>
        </w:tc>
      </w:tr>
      <w:tr w14:paraId="4D25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051B511F">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投标人法定代表人或其</w:t>
            </w:r>
          </w:p>
          <w:p w14:paraId="1B2DB12B">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委托代理人签名</w:t>
            </w:r>
          </w:p>
        </w:tc>
        <w:tc>
          <w:tcPr>
            <w:tcW w:w="2992" w:type="dxa"/>
            <w:gridSpan w:val="2"/>
            <w:noWrap/>
            <w:tcMar>
              <w:left w:w="108" w:type="dxa"/>
              <w:right w:w="108" w:type="dxa"/>
            </w:tcMar>
            <w:vAlign w:val="center"/>
          </w:tcPr>
          <w:p w14:paraId="5DF9AB83">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w:t>
            </w:r>
          </w:p>
        </w:tc>
        <w:tc>
          <w:tcPr>
            <w:tcW w:w="753" w:type="dxa"/>
            <w:noWrap/>
            <w:tcMar>
              <w:left w:w="108" w:type="dxa"/>
              <w:right w:w="108" w:type="dxa"/>
            </w:tcMar>
            <w:vAlign w:val="center"/>
          </w:tcPr>
          <w:p w14:paraId="5064241D">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手机号码</w:t>
            </w:r>
          </w:p>
        </w:tc>
        <w:tc>
          <w:tcPr>
            <w:tcW w:w="2527" w:type="dxa"/>
            <w:gridSpan w:val="2"/>
            <w:noWrap/>
            <w:tcMar>
              <w:left w:w="108" w:type="dxa"/>
              <w:right w:w="108" w:type="dxa"/>
            </w:tcMar>
            <w:vAlign w:val="center"/>
          </w:tcPr>
          <w:p w14:paraId="17F4AE20">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w:t>
            </w:r>
          </w:p>
        </w:tc>
      </w:tr>
      <w:tr w14:paraId="5483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100" w:type="dxa"/>
            <w:gridSpan w:val="8"/>
            <w:noWrap/>
            <w:tcMar>
              <w:left w:w="108" w:type="dxa"/>
              <w:right w:w="108" w:type="dxa"/>
            </w:tcMar>
            <w:vAlign w:val="center"/>
          </w:tcPr>
          <w:p w14:paraId="24B99115">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递交的证明材料原件如下：</w:t>
            </w:r>
          </w:p>
        </w:tc>
      </w:tr>
      <w:tr w14:paraId="2C9B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577EA55C">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序号</w:t>
            </w:r>
          </w:p>
        </w:tc>
        <w:tc>
          <w:tcPr>
            <w:tcW w:w="5120" w:type="dxa"/>
            <w:gridSpan w:val="4"/>
            <w:noWrap/>
            <w:tcMar>
              <w:left w:w="108" w:type="dxa"/>
              <w:right w:w="108" w:type="dxa"/>
            </w:tcMar>
            <w:vAlign w:val="center"/>
          </w:tcPr>
          <w:p w14:paraId="59AC2125">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证明材料原件名称</w:t>
            </w:r>
          </w:p>
        </w:tc>
        <w:tc>
          <w:tcPr>
            <w:tcW w:w="1710" w:type="dxa"/>
            <w:gridSpan w:val="2"/>
            <w:noWrap/>
            <w:tcMar>
              <w:left w:w="108" w:type="dxa"/>
              <w:right w:w="108" w:type="dxa"/>
            </w:tcMar>
            <w:vAlign w:val="center"/>
          </w:tcPr>
          <w:p w14:paraId="68DB2E0F">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单位</w:t>
            </w:r>
          </w:p>
        </w:tc>
        <w:tc>
          <w:tcPr>
            <w:tcW w:w="1570" w:type="dxa"/>
            <w:noWrap/>
            <w:tcMar>
              <w:left w:w="108" w:type="dxa"/>
              <w:right w:w="108" w:type="dxa"/>
            </w:tcMar>
            <w:vAlign w:val="center"/>
          </w:tcPr>
          <w:p w14:paraId="09C2EA9A">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数量</w:t>
            </w:r>
          </w:p>
        </w:tc>
      </w:tr>
      <w:tr w14:paraId="7B13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6CE9AF06">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w:t>
            </w:r>
          </w:p>
        </w:tc>
        <w:tc>
          <w:tcPr>
            <w:tcW w:w="5120" w:type="dxa"/>
            <w:gridSpan w:val="4"/>
            <w:noWrap/>
            <w:tcMar>
              <w:left w:w="108" w:type="dxa"/>
              <w:right w:w="108" w:type="dxa"/>
            </w:tcMar>
            <w:vAlign w:val="center"/>
          </w:tcPr>
          <w:p w14:paraId="6AA9A8AA">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710" w:type="dxa"/>
            <w:gridSpan w:val="2"/>
            <w:noWrap/>
            <w:tcMar>
              <w:left w:w="108" w:type="dxa"/>
              <w:right w:w="108" w:type="dxa"/>
            </w:tcMar>
            <w:vAlign w:val="center"/>
          </w:tcPr>
          <w:p w14:paraId="551C0982">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570" w:type="dxa"/>
            <w:noWrap/>
            <w:tcMar>
              <w:left w:w="108" w:type="dxa"/>
              <w:right w:w="108" w:type="dxa"/>
            </w:tcMar>
            <w:vAlign w:val="center"/>
          </w:tcPr>
          <w:p w14:paraId="6592B393">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w:t>
            </w:r>
          </w:p>
        </w:tc>
      </w:tr>
      <w:tr w14:paraId="5A23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3C983A57">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w:t>
            </w:r>
          </w:p>
        </w:tc>
        <w:tc>
          <w:tcPr>
            <w:tcW w:w="5120" w:type="dxa"/>
            <w:gridSpan w:val="4"/>
            <w:noWrap/>
            <w:tcMar>
              <w:left w:w="108" w:type="dxa"/>
              <w:right w:w="108" w:type="dxa"/>
            </w:tcMar>
            <w:vAlign w:val="center"/>
          </w:tcPr>
          <w:p w14:paraId="3F676136">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710" w:type="dxa"/>
            <w:gridSpan w:val="2"/>
            <w:noWrap/>
            <w:tcMar>
              <w:left w:w="108" w:type="dxa"/>
              <w:right w:w="108" w:type="dxa"/>
            </w:tcMar>
            <w:vAlign w:val="center"/>
          </w:tcPr>
          <w:p w14:paraId="6D6CEDA0">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570" w:type="dxa"/>
            <w:noWrap/>
            <w:tcMar>
              <w:left w:w="108" w:type="dxa"/>
              <w:right w:w="108" w:type="dxa"/>
            </w:tcMar>
            <w:vAlign w:val="center"/>
          </w:tcPr>
          <w:p w14:paraId="2DD7533B">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r>
      <w:tr w14:paraId="1D9C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1DAC6AE3">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w:t>
            </w:r>
          </w:p>
        </w:tc>
        <w:tc>
          <w:tcPr>
            <w:tcW w:w="5120" w:type="dxa"/>
            <w:gridSpan w:val="4"/>
            <w:noWrap/>
            <w:tcMar>
              <w:left w:w="108" w:type="dxa"/>
              <w:right w:w="108" w:type="dxa"/>
            </w:tcMar>
            <w:vAlign w:val="center"/>
          </w:tcPr>
          <w:p w14:paraId="44D0A20E">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710" w:type="dxa"/>
            <w:gridSpan w:val="2"/>
            <w:noWrap/>
            <w:tcMar>
              <w:left w:w="108" w:type="dxa"/>
              <w:right w:w="108" w:type="dxa"/>
            </w:tcMar>
            <w:vAlign w:val="center"/>
          </w:tcPr>
          <w:p w14:paraId="3488AB50">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570" w:type="dxa"/>
            <w:noWrap/>
            <w:tcMar>
              <w:left w:w="108" w:type="dxa"/>
              <w:right w:w="108" w:type="dxa"/>
            </w:tcMar>
            <w:vAlign w:val="center"/>
          </w:tcPr>
          <w:p w14:paraId="7C087D9E">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r>
      <w:tr w14:paraId="2CAE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64F799F4">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tc>
        <w:tc>
          <w:tcPr>
            <w:tcW w:w="5120" w:type="dxa"/>
            <w:gridSpan w:val="4"/>
            <w:noWrap/>
            <w:tcMar>
              <w:left w:w="108" w:type="dxa"/>
              <w:right w:w="108" w:type="dxa"/>
            </w:tcMar>
            <w:vAlign w:val="center"/>
          </w:tcPr>
          <w:p w14:paraId="1659CA85">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710" w:type="dxa"/>
            <w:gridSpan w:val="2"/>
            <w:noWrap/>
            <w:tcMar>
              <w:left w:w="108" w:type="dxa"/>
              <w:right w:w="108" w:type="dxa"/>
            </w:tcMar>
            <w:vAlign w:val="center"/>
          </w:tcPr>
          <w:p w14:paraId="3DA24B9B">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570" w:type="dxa"/>
            <w:noWrap/>
            <w:tcMar>
              <w:left w:w="108" w:type="dxa"/>
              <w:right w:w="108" w:type="dxa"/>
            </w:tcMar>
            <w:vAlign w:val="center"/>
          </w:tcPr>
          <w:p w14:paraId="155705CC">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w:t>
            </w:r>
          </w:p>
        </w:tc>
      </w:tr>
      <w:tr w14:paraId="3F24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28" w:hRule="atLeast"/>
        </w:trPr>
        <w:tc>
          <w:tcPr>
            <w:tcW w:w="700" w:type="dxa"/>
            <w:noWrap/>
            <w:tcMar>
              <w:left w:w="108" w:type="dxa"/>
              <w:right w:w="108" w:type="dxa"/>
            </w:tcMar>
            <w:vAlign w:val="center"/>
          </w:tcPr>
          <w:p w14:paraId="08DE73B5">
            <w:pPr>
              <w:ind w:left="8" w:hanging="94"/>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注意：</w:t>
            </w:r>
          </w:p>
        </w:tc>
        <w:tc>
          <w:tcPr>
            <w:tcW w:w="8400" w:type="dxa"/>
            <w:gridSpan w:val="7"/>
            <w:noWrap/>
            <w:tcMar>
              <w:left w:w="108" w:type="dxa"/>
              <w:right w:w="108" w:type="dxa"/>
            </w:tcMar>
            <w:vAlign w:val="center"/>
          </w:tcPr>
          <w:p w14:paraId="39011553">
            <w:pPr>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713E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5" w:hRule="atLeast"/>
        </w:trPr>
        <w:tc>
          <w:tcPr>
            <w:tcW w:w="2205" w:type="dxa"/>
            <w:gridSpan w:val="2"/>
            <w:noWrap/>
            <w:tcMar>
              <w:left w:w="108" w:type="dxa"/>
              <w:right w:w="108" w:type="dxa"/>
            </w:tcMar>
            <w:vAlign w:val="center"/>
          </w:tcPr>
          <w:p w14:paraId="03248E81">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接收原件经办人（招标代理）：</w:t>
            </w:r>
          </w:p>
        </w:tc>
        <w:tc>
          <w:tcPr>
            <w:tcW w:w="1992" w:type="dxa"/>
            <w:gridSpan w:val="2"/>
            <w:noWrap/>
            <w:tcMar>
              <w:left w:w="108" w:type="dxa"/>
              <w:right w:w="108" w:type="dxa"/>
            </w:tcMar>
            <w:vAlign w:val="center"/>
          </w:tcPr>
          <w:p w14:paraId="5BCE5A61">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623" w:type="dxa"/>
            <w:noWrap/>
            <w:tcMar>
              <w:left w:w="108" w:type="dxa"/>
              <w:right w:w="108" w:type="dxa"/>
            </w:tcMar>
            <w:vAlign w:val="center"/>
          </w:tcPr>
          <w:p w14:paraId="43254EA9">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接收时间：</w:t>
            </w:r>
          </w:p>
        </w:tc>
        <w:tc>
          <w:tcPr>
            <w:tcW w:w="3280" w:type="dxa"/>
            <w:gridSpan w:val="3"/>
            <w:noWrap/>
            <w:tcMar>
              <w:left w:w="108" w:type="dxa"/>
              <w:right w:w="108" w:type="dxa"/>
            </w:tcMar>
            <w:vAlign w:val="center"/>
          </w:tcPr>
          <w:p w14:paraId="6922A9E2">
            <w:pPr>
              <w:ind w:firstLine="480" w:firstLineChars="20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   月   日   时  分</w:t>
            </w:r>
          </w:p>
        </w:tc>
      </w:tr>
      <w:tr w14:paraId="44B1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89" w:hRule="atLeast"/>
        </w:trPr>
        <w:tc>
          <w:tcPr>
            <w:tcW w:w="2205" w:type="dxa"/>
            <w:gridSpan w:val="2"/>
            <w:noWrap/>
            <w:tcMar>
              <w:left w:w="108" w:type="dxa"/>
              <w:right w:w="108" w:type="dxa"/>
            </w:tcMar>
            <w:vAlign w:val="center"/>
          </w:tcPr>
          <w:p w14:paraId="1772F5DD">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退还原件接收人（投标人）：</w:t>
            </w:r>
          </w:p>
        </w:tc>
        <w:tc>
          <w:tcPr>
            <w:tcW w:w="1992" w:type="dxa"/>
            <w:gridSpan w:val="2"/>
            <w:noWrap/>
            <w:tcMar>
              <w:left w:w="108" w:type="dxa"/>
              <w:right w:w="108" w:type="dxa"/>
            </w:tcMar>
            <w:vAlign w:val="center"/>
          </w:tcPr>
          <w:p w14:paraId="74892C54">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tc>
        <w:tc>
          <w:tcPr>
            <w:tcW w:w="1623" w:type="dxa"/>
            <w:noWrap/>
            <w:tcMar>
              <w:left w:w="108" w:type="dxa"/>
              <w:right w:w="108" w:type="dxa"/>
            </w:tcMar>
            <w:vAlign w:val="center"/>
          </w:tcPr>
          <w:p w14:paraId="3627CE04">
            <w:pPr>
              <w:jc w:val="center"/>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退还时间：</w:t>
            </w:r>
          </w:p>
        </w:tc>
        <w:tc>
          <w:tcPr>
            <w:tcW w:w="3280" w:type="dxa"/>
            <w:gridSpan w:val="3"/>
            <w:noWrap/>
            <w:tcMar>
              <w:left w:w="108" w:type="dxa"/>
              <w:right w:w="108" w:type="dxa"/>
            </w:tcMar>
            <w:vAlign w:val="center"/>
          </w:tcPr>
          <w:p w14:paraId="425E27C0">
            <w:pPr>
              <w:ind w:firstLine="480" w:firstLineChars="200"/>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   月   日   时  分</w:t>
            </w:r>
          </w:p>
        </w:tc>
      </w:tr>
    </w:tbl>
    <w:p w14:paraId="75A82B2E">
      <w:pPr>
        <w:snapToGrid w:val="0"/>
        <w:spacing w:line="440" w:lineRule="exac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
          <w:snapToGrid w:val="0"/>
          <w:color w:val="000000" w:themeColor="text1"/>
          <w:highlight w:val="none"/>
          <w14:textFill>
            <w14:solidFill>
              <w14:schemeClr w14:val="tx1"/>
            </w14:solidFill>
          </w14:textFill>
        </w:rPr>
        <w:br w:type="page"/>
      </w:r>
    </w:p>
    <w:bookmarkEnd w:id="555"/>
    <w:bookmarkEnd w:id="556"/>
    <w:bookmarkEnd w:id="557"/>
    <w:p w14:paraId="2082FE14">
      <w:pPr>
        <w:pStyle w:val="2"/>
        <w:jc w:val="center"/>
        <w:rPr>
          <w:rFonts w:hint="eastAsia" w:asciiTheme="minorEastAsia" w:hAnsiTheme="minorEastAsia" w:eastAsiaTheme="minorEastAsia" w:cstheme="minorEastAsia"/>
          <w:b/>
          <w:color w:val="000000" w:themeColor="text1"/>
          <w:kern w:val="44"/>
          <w:szCs w:val="30"/>
          <w:highlight w:val="none"/>
          <w14:textFill>
            <w14:solidFill>
              <w14:schemeClr w14:val="tx1"/>
            </w14:solidFill>
          </w14:textFill>
        </w:rPr>
      </w:pPr>
      <w:bookmarkStart w:id="560" w:name="_Toc22541"/>
      <w:bookmarkStart w:id="561" w:name="_Toc26638"/>
      <w:bookmarkStart w:id="562" w:name="_Toc26622"/>
      <w:bookmarkStart w:id="563" w:name="_Toc8821"/>
      <w:bookmarkStart w:id="564" w:name="_Toc21994"/>
      <w:bookmarkStart w:id="565" w:name="_Toc8121"/>
      <w:bookmarkStart w:id="566" w:name="_Toc6918"/>
      <w:bookmarkStart w:id="567" w:name="_Toc9816"/>
      <w:bookmarkStart w:id="568" w:name="_Toc23446"/>
      <w:r>
        <w:rPr>
          <w:rFonts w:hint="eastAsia" w:asciiTheme="minorEastAsia" w:hAnsiTheme="minorEastAsia" w:eastAsiaTheme="minorEastAsia" w:cstheme="minorEastAsia"/>
          <w:b/>
          <w:color w:val="000000" w:themeColor="text1"/>
          <w:kern w:val="44"/>
          <w:szCs w:val="30"/>
          <w:highlight w:val="none"/>
          <w14:textFill>
            <w14:solidFill>
              <w14:schemeClr w14:val="tx1"/>
            </w14:solidFill>
          </w14:textFill>
        </w:rPr>
        <w:t>第</w:t>
      </w:r>
      <w:r>
        <w:rPr>
          <w:rFonts w:hint="eastAsia" w:asciiTheme="minorEastAsia" w:hAnsiTheme="minorEastAsia" w:eastAsiaTheme="minorEastAsia" w:cstheme="minorEastAsia"/>
          <w:b/>
          <w:color w:val="000000" w:themeColor="text1"/>
          <w:kern w:val="44"/>
          <w:szCs w:val="30"/>
          <w:highlight w:val="none"/>
          <w:lang w:val="en-US" w:eastAsia="zh-CN"/>
          <w14:textFill>
            <w14:solidFill>
              <w14:schemeClr w14:val="tx1"/>
            </w14:solidFill>
          </w14:textFill>
        </w:rPr>
        <w:t>七</w:t>
      </w:r>
      <w:r>
        <w:rPr>
          <w:rFonts w:hint="eastAsia" w:asciiTheme="minorEastAsia" w:hAnsiTheme="minorEastAsia" w:eastAsiaTheme="minorEastAsia" w:cstheme="minorEastAsia"/>
          <w:b/>
          <w:color w:val="000000" w:themeColor="text1"/>
          <w:kern w:val="44"/>
          <w:szCs w:val="30"/>
          <w:highlight w:val="none"/>
          <w14:textFill>
            <w14:solidFill>
              <w14:schemeClr w14:val="tx1"/>
            </w14:solidFill>
          </w14:textFill>
        </w:rPr>
        <w:t>章  廉政合同、履约保函、预付款保函、支付保函</w:t>
      </w:r>
      <w:bookmarkEnd w:id="560"/>
      <w:bookmarkEnd w:id="561"/>
      <w:bookmarkEnd w:id="562"/>
      <w:bookmarkEnd w:id="563"/>
      <w:bookmarkEnd w:id="564"/>
      <w:bookmarkEnd w:id="565"/>
      <w:bookmarkEnd w:id="566"/>
      <w:bookmarkEnd w:id="567"/>
      <w:bookmarkEnd w:id="568"/>
    </w:p>
    <w:p w14:paraId="172855D5">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92C8A41">
      <w:pPr>
        <w:pStyle w:val="4"/>
        <w:ind w:left="4511" w:leftChars="174" w:hanging="4093" w:hangingChars="1274"/>
        <w:jc w:val="cente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bookmarkStart w:id="569" w:name="_Toc8348"/>
      <w:bookmarkStart w:id="570" w:name="_Toc2994"/>
      <w:bookmarkStart w:id="571" w:name="_Toc10193"/>
      <w:bookmarkStart w:id="572" w:name="_Toc32046"/>
      <w:bookmarkStart w:id="573" w:name="_Toc16029"/>
      <w:bookmarkStart w:id="574" w:name="_Toc5845"/>
      <w:bookmarkStart w:id="575" w:name="_Toc20232"/>
      <w:bookmarkStart w:id="576" w:name="_Toc10603"/>
      <w:bookmarkStart w:id="577" w:name="_Toc30503"/>
      <w:bookmarkStart w:id="578" w:name="_Toc5870"/>
      <w:bookmarkStart w:id="579" w:name="_Toc29713"/>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廉政合同</w:t>
      </w:r>
      <w:bookmarkEnd w:id="569"/>
      <w:bookmarkEnd w:id="570"/>
      <w:bookmarkEnd w:id="571"/>
      <w:bookmarkEnd w:id="572"/>
      <w:bookmarkEnd w:id="573"/>
      <w:bookmarkEnd w:id="574"/>
      <w:bookmarkEnd w:id="575"/>
      <w:bookmarkEnd w:id="576"/>
      <w:bookmarkEnd w:id="577"/>
      <w:bookmarkEnd w:id="578"/>
      <w:bookmarkEnd w:id="579"/>
    </w:p>
    <w:p w14:paraId="4CEB01C0">
      <w:pPr>
        <w:tabs>
          <w:tab w:val="left" w:pos="9100"/>
        </w:tabs>
        <w:autoSpaceDE w:val="0"/>
        <w:autoSpaceDN w:val="0"/>
        <w:adjustRightInd w:val="0"/>
        <w:spacing w:line="460" w:lineRule="atLeast"/>
        <w:ind w:left="101" w:right="101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招标人：（全称）</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ab/>
      </w:r>
    </w:p>
    <w:p w14:paraId="767DC3F8">
      <w:pPr>
        <w:tabs>
          <w:tab w:val="left" w:pos="9100"/>
        </w:tabs>
        <w:autoSpaceDE w:val="0"/>
        <w:autoSpaceDN w:val="0"/>
        <w:adjustRightInd w:val="0"/>
        <w:spacing w:line="460" w:lineRule="atLeast"/>
        <w:ind w:left="101" w:right="101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中标人：（全称）</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ab/>
      </w:r>
    </w:p>
    <w:p w14:paraId="110241E6">
      <w:pPr>
        <w:autoSpaceDE w:val="0"/>
        <w:autoSpaceDN w:val="0"/>
        <w:adjustRightInd w:val="0"/>
        <w:spacing w:before="6" w:line="150" w:lineRule="exact"/>
        <w:jc w:val="left"/>
        <w:rPr>
          <w:rFonts w:hint="eastAsia" w:asciiTheme="minorEastAsia" w:hAnsiTheme="minorEastAsia" w:eastAsiaTheme="minorEastAsia" w:cstheme="minorEastAsia"/>
          <w:color w:val="000000" w:themeColor="text1"/>
          <w:kern w:val="0"/>
          <w:szCs w:val="15"/>
          <w:highlight w:val="none"/>
          <w14:textFill>
            <w14:solidFill>
              <w14:schemeClr w14:val="tx1"/>
            </w14:solidFill>
          </w14:textFill>
        </w:rPr>
      </w:pPr>
    </w:p>
    <w:p w14:paraId="30964C20">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1F3807F3">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44F84AE7">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position w:val="-3"/>
          <w:highlight w:val="none"/>
          <w14:textFill>
            <w14:solidFill>
              <w14:schemeClr w14:val="tx1"/>
            </w14:solidFill>
          </w14:textFill>
        </w:rPr>
        <w:t>根据国家、省有关廉政建设的规定，为做好合同工程的廉政建设，保证工程质量与施工安</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全，提高建设资金的有效使用和投资效益，合同双方当事人就加强合同工程的廉政建设，订立本合同。</w:t>
      </w:r>
    </w:p>
    <w:p w14:paraId="3524FAB7">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双方权利和义务</w:t>
      </w:r>
    </w:p>
    <w:p w14:paraId="545CBDD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1.1</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严格遵守国家、省有关法律法规的规定。</w:t>
      </w:r>
    </w:p>
    <w:p w14:paraId="7DF0856F">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1.2</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严格执行合同工程一切合同文件，自觉按合同办事。</w:t>
      </w:r>
    </w:p>
    <w:p w14:paraId="7DF08E7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1.3</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合同双方当事人的业务活动应坚持公平</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公开</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公正和诚信的原</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则</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（法律认定的商业 秘密和合同文件另有规定除外</w:t>
      </w:r>
      <w:r>
        <w:rPr>
          <w:rFonts w:hint="eastAsia" w:asciiTheme="minorEastAsia" w:hAnsiTheme="minorEastAsia" w:eastAsiaTheme="minorEastAsia" w:cstheme="minorEastAsia"/>
          <w:color w:val="000000" w:themeColor="text1"/>
          <w:spacing w:val="-12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，不得损害国家和集体利益，不得违反工程建设管理规章制度。</w:t>
      </w:r>
    </w:p>
    <w:p w14:paraId="1BBA8BB4">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1.4</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建立健全廉政制度</w:t>
      </w:r>
      <w:r>
        <w:rPr>
          <w:rFonts w:hint="eastAsia" w:asciiTheme="minorEastAsia" w:hAnsiTheme="minorEastAsia" w:eastAsiaTheme="minorEastAsia" w:cstheme="minorEastAsia"/>
          <w:color w:val="000000" w:themeColor="text1"/>
          <w:spacing w:val="-1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开展廉政教育</w:t>
      </w:r>
      <w:r>
        <w:rPr>
          <w:rFonts w:hint="eastAsia" w:asciiTheme="minorEastAsia" w:hAnsiTheme="minorEastAsia" w:eastAsiaTheme="minorEastAsia" w:cstheme="minorEastAsia"/>
          <w:color w:val="000000" w:themeColor="text1"/>
          <w:spacing w:val="-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设立廉政告示牌</w:t>
      </w:r>
      <w:r>
        <w:rPr>
          <w:rFonts w:hint="eastAsia" w:asciiTheme="minorEastAsia" w:hAnsiTheme="minorEastAsia" w:eastAsiaTheme="minorEastAsia" w:cstheme="minorEastAsia"/>
          <w:color w:val="000000" w:themeColor="text1"/>
          <w:spacing w:val="-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公布举报电话</w:t>
      </w:r>
      <w:r>
        <w:rPr>
          <w:rFonts w:hint="eastAsia" w:asciiTheme="minorEastAsia" w:hAnsiTheme="minorEastAsia" w:eastAsiaTheme="minorEastAsia" w:cstheme="minorEastAsia"/>
          <w:color w:val="000000" w:themeColor="text1"/>
          <w:spacing w:val="-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监督并认真查 处违法违纪行为。</w:t>
      </w:r>
    </w:p>
    <w:p w14:paraId="394BCC7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1.5</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发现对方在业务活动中有违反廉政建设规定的行为，应及时给予提醒和纠正。</w:t>
      </w:r>
    </w:p>
    <w:p w14:paraId="3A3CCFA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1.6</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发现对方严重违反合同的行为</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有向其上级部门举报</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建议给予处理并要求告知处理 结果的权利。没有上级部门的，可按本合同第二部分《通用条款》第87 条规定处理。</w:t>
      </w:r>
    </w:p>
    <w:p w14:paraId="7D2BCF75">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招标人义务</w:t>
      </w:r>
    </w:p>
    <w:p w14:paraId="250A1280">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2.1</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招标人及其工作人员不得索取或接受中标人的礼金</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有价证券和贵重物品</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不得在承 包人报销任何应由招标人或其工作人员个人支付的费用。</w:t>
      </w:r>
    </w:p>
    <w:p w14:paraId="224220B2">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2.2</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招标人及其工作人员不得参加中标人安排的宴</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请</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（工作餐除外</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和娱乐活动</w:t>
      </w:r>
      <w:r>
        <w:rPr>
          <w:rFonts w:hint="eastAsia" w:asciiTheme="minorEastAsia" w:hAnsiTheme="minorEastAsia" w:eastAsiaTheme="minorEastAsia" w:cstheme="minorEastAsia"/>
          <w:color w:val="000000" w:themeColor="text1"/>
          <w:spacing w:val="-12"/>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不得接受中标人提供的通讯、交通工具和高档办公用品等物品。</w:t>
      </w:r>
    </w:p>
    <w:p w14:paraId="5F6DD461">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position w:val="-2"/>
          <w:highlight w:val="none"/>
          <w14:textFill>
            <w14:solidFill>
              <w14:schemeClr w14:val="tx1"/>
            </w14:solidFill>
          </w14:textFill>
        </w:rPr>
        <w:t>2.3</w:t>
      </w:r>
      <w:r>
        <w:rPr>
          <w:rFonts w:hint="eastAsia" w:asciiTheme="minorEastAsia" w:hAnsiTheme="minorEastAsia" w:eastAsiaTheme="minorEastAsia" w:cstheme="minorEastAsia"/>
          <w:color w:val="000000" w:themeColor="text1"/>
          <w:kern w:val="0"/>
          <w:position w:val="-2"/>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position w:val="-2"/>
          <w:highlight w:val="none"/>
          <w14:textFill>
            <w14:solidFill>
              <w14:schemeClr w14:val="tx1"/>
            </w14:solidFill>
          </w14:textFill>
        </w:rPr>
        <w:t>招标人及其工作人员不得要求或者接受中标人为其住房装修</w:t>
      </w:r>
      <w:r>
        <w:rPr>
          <w:rFonts w:hint="eastAsia" w:asciiTheme="minorEastAsia" w:hAnsiTheme="minorEastAsia" w:eastAsiaTheme="minorEastAsia" w:cstheme="minorEastAsia"/>
          <w:color w:val="000000" w:themeColor="text1"/>
          <w:spacing w:val="-18"/>
          <w:kern w:val="0"/>
          <w:position w:val="-2"/>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position w:val="-2"/>
          <w:highlight w:val="none"/>
          <w14:textFill>
            <w14:solidFill>
              <w14:schemeClr w14:val="tx1"/>
            </w14:solidFill>
          </w14:textFill>
        </w:rPr>
        <w:t>婚丧嫁娶活动</w:t>
      </w:r>
      <w:r>
        <w:rPr>
          <w:rFonts w:hint="eastAsia" w:asciiTheme="minorEastAsia" w:hAnsiTheme="minorEastAsia" w:eastAsiaTheme="minorEastAsia" w:cstheme="minorEastAsia"/>
          <w:color w:val="000000" w:themeColor="text1"/>
          <w:spacing w:val="-18"/>
          <w:kern w:val="0"/>
          <w:position w:val="-2"/>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position w:val="-2"/>
          <w:highlight w:val="none"/>
          <w14:textFill>
            <w14:solidFill>
              <w14:schemeClr w14:val="tx1"/>
            </w14:solidFill>
          </w14:textFill>
        </w:rPr>
        <w:t>配偶子</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女工作安排以及出国出境、旅游等提供方便。</w:t>
      </w:r>
    </w:p>
    <w:p w14:paraId="346DF012">
      <w:pPr>
        <w:autoSpaceDE w:val="0"/>
        <w:autoSpaceDN w:val="0"/>
        <w:adjustRightInd w:val="0"/>
        <w:spacing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2.4 </w:t>
      </w:r>
      <w:r>
        <w:rPr>
          <w:rFonts w:hint="eastAsia" w:asciiTheme="minorEastAsia" w:hAnsiTheme="minorEastAsia" w:eastAsiaTheme="minorEastAsia" w:cstheme="minorEastAsia"/>
          <w:color w:val="000000" w:themeColor="text1"/>
          <w:spacing w:val="2"/>
          <w:kern w:val="0"/>
          <w:highlight w:val="none"/>
          <w14:textFill>
            <w14:solidFill>
              <w14:schemeClr w14:val="tx1"/>
            </w14:solidFill>
          </w14:textFill>
        </w:rPr>
        <w:t>招标人及其工作人员不得以任何理由向中标人推荐</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分</w:t>
      </w:r>
      <w:r>
        <w:rPr>
          <w:rFonts w:hint="eastAsia" w:asciiTheme="minorEastAsia" w:hAnsiTheme="minorEastAsia" w:eastAsiaTheme="minorEastAsia" w:cstheme="minorEastAsia"/>
          <w:color w:val="000000" w:themeColor="text1"/>
          <w:spacing w:val="2"/>
          <w:kern w:val="0"/>
          <w:highlight w:val="none"/>
          <w14:textFill>
            <w14:solidFill>
              <w14:schemeClr w14:val="tx1"/>
            </w14:solidFill>
          </w14:textFill>
        </w:rPr>
        <w:t xml:space="preserve">包人、推销材料和工程设备，不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得要求中标人购买合同以外的材料和工程设备。</w:t>
      </w:r>
    </w:p>
    <w:p w14:paraId="14AA02E8">
      <w:pPr>
        <w:autoSpaceDE w:val="0"/>
        <w:autoSpaceDN w:val="0"/>
        <w:adjustRightInd w:val="0"/>
        <w:spacing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2.5</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招标人及其工作人员要秉公办事</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不准营私舞弊</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不准利用职权私自为合同工程安排 施工队伍，也不得从事与合同工程有关的各种有偿中介活动。</w:t>
      </w:r>
    </w:p>
    <w:p w14:paraId="3B719603">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2.6 </w:t>
      </w:r>
      <w:r>
        <w:rPr>
          <w:rFonts w:hint="eastAsia" w:asciiTheme="minorEastAsia" w:hAnsiTheme="minorEastAsia" w:eastAsiaTheme="minorEastAsia" w:cstheme="minorEastAsia"/>
          <w:color w:val="000000" w:themeColor="text1"/>
          <w:spacing w:val="2"/>
          <w:kern w:val="0"/>
          <w:highlight w:val="none"/>
          <w14:textFill>
            <w14:solidFill>
              <w14:schemeClr w14:val="tx1"/>
            </w14:solidFill>
          </w14:textFill>
        </w:rPr>
        <w:t>招标人及其工作人员（含其配偶、子女）不得从事</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与</w:t>
      </w:r>
      <w:r>
        <w:rPr>
          <w:rFonts w:hint="eastAsia" w:asciiTheme="minorEastAsia" w:hAnsiTheme="minorEastAsia" w:eastAsiaTheme="minorEastAsia" w:cstheme="minorEastAsia"/>
          <w:color w:val="000000" w:themeColor="text1"/>
          <w:spacing w:val="2"/>
          <w:kern w:val="0"/>
          <w:highlight w:val="none"/>
          <w14:textFill>
            <w14:solidFill>
              <w14:schemeClr w14:val="tx1"/>
            </w14:solidFill>
          </w14:textFill>
        </w:rPr>
        <w:t xml:space="preserve">合同工程有关的材料和工程设备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供应、工程分包、劳务等经济活动。</w:t>
      </w:r>
    </w:p>
    <w:p w14:paraId="4D9BB120">
      <w:pPr>
        <w:autoSpaceDE w:val="0"/>
        <w:autoSpaceDN w:val="0"/>
        <w:adjustRightInd w:val="0"/>
        <w:spacing w:before="72" w:line="360" w:lineRule="auto"/>
        <w:ind w:right="185" w:firstLine="482" w:firstLineChars="200"/>
        <w:jc w:val="left"/>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中标人义务</w:t>
      </w:r>
    </w:p>
    <w:p w14:paraId="394B952F">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3.1</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中标人不得以任何理由向招标人及其工作人员行贿或馈赠礼金</w:t>
      </w:r>
      <w:r>
        <w:rPr>
          <w:rFonts w:hint="eastAsia" w:asciiTheme="minorEastAsia" w:hAnsiTheme="minorEastAsia" w:eastAsiaTheme="minorEastAsia" w:cstheme="minorEastAsia"/>
          <w:color w:val="000000" w:themeColor="text1"/>
          <w:spacing w:val="-7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有价证券</w:t>
      </w:r>
      <w:r>
        <w:rPr>
          <w:rFonts w:hint="eastAsia" w:asciiTheme="minorEastAsia" w:hAnsiTheme="minorEastAsia" w:eastAsiaTheme="minorEastAsia" w:cstheme="minorEastAsia"/>
          <w:color w:val="000000" w:themeColor="text1"/>
          <w:spacing w:val="-7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贵重礼品。</w:t>
      </w:r>
    </w:p>
    <w:p w14:paraId="63B51EC7">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3.2</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spacing w:val="5"/>
          <w:kern w:val="0"/>
          <w:highlight w:val="none"/>
          <w14:textFill>
            <w14:solidFill>
              <w14:schemeClr w14:val="tx1"/>
            </w14:solidFill>
          </w14:textFill>
        </w:rPr>
        <w:t>中标人不得以任何名义为招标人及其</w:t>
      </w:r>
      <w:r>
        <w:rPr>
          <w:rFonts w:hint="eastAsia" w:asciiTheme="minorEastAsia" w:hAnsiTheme="minorEastAsia" w:eastAsiaTheme="minorEastAsia" w:cstheme="minorEastAsia"/>
          <w:color w:val="000000" w:themeColor="text1"/>
          <w:spacing w:val="4"/>
          <w:kern w:val="0"/>
          <w:highlight w:val="none"/>
          <w14:textFill>
            <w14:solidFill>
              <w14:schemeClr w14:val="tx1"/>
            </w14:solidFill>
          </w14:textFill>
        </w:rPr>
        <w:t>工</w:t>
      </w:r>
      <w:r>
        <w:rPr>
          <w:rFonts w:hint="eastAsia" w:asciiTheme="minorEastAsia" w:hAnsiTheme="minorEastAsia" w:eastAsiaTheme="minorEastAsia" w:cstheme="minorEastAsia"/>
          <w:color w:val="000000" w:themeColor="text1"/>
          <w:spacing w:val="6"/>
          <w:kern w:val="0"/>
          <w:highlight w:val="none"/>
          <w14:textFill>
            <w14:solidFill>
              <w14:schemeClr w14:val="tx1"/>
            </w14:solidFill>
          </w14:textFill>
        </w:rPr>
        <w:t xml:space="preserve">作人员报销应由招标人或其工作人员个人支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付的任何费用。</w:t>
      </w:r>
    </w:p>
    <w:p w14:paraId="644D8D3B">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3.3</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中标人不得以任何理由安排招标人及其工作人员参加宴</w:t>
      </w:r>
      <w:r>
        <w:rPr>
          <w:rFonts w:hint="eastAsia" w:asciiTheme="minorEastAsia" w:hAnsiTheme="minorEastAsia" w:eastAsiaTheme="minorEastAsia" w:cstheme="minorEastAsia"/>
          <w:color w:val="000000" w:themeColor="text1"/>
          <w:spacing w:val="-78"/>
          <w:kern w:val="0"/>
          <w:highlight w:val="none"/>
          <w14:textFill>
            <w14:solidFill>
              <w14:schemeClr w14:val="tx1"/>
            </w14:solidFill>
          </w14:textFill>
        </w:rPr>
        <w:t>请</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（工作餐除外</w:t>
      </w:r>
      <w:r>
        <w:rPr>
          <w:rFonts w:hint="eastAsia" w:asciiTheme="minorEastAsia" w:hAnsiTheme="minorEastAsia" w:eastAsiaTheme="minorEastAsia" w:cstheme="minorEastAsia"/>
          <w:color w:val="000000" w:themeColor="text1"/>
          <w:spacing w:val="-7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及娱乐活动。</w:t>
      </w:r>
    </w:p>
    <w:p w14:paraId="27DD60F2">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3.4</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中标人不得为招标人和个人购置或提供通讯、交通工具和高档办公用品等物品。</w:t>
      </w:r>
    </w:p>
    <w:p w14:paraId="57149C64">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3.5</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中标人不得为招标人及其工作人员的住房装修</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婚丧嫁娶活动</w:t>
      </w:r>
      <w:r>
        <w:rPr>
          <w:rFonts w:hint="eastAsia" w:asciiTheme="minorEastAsia" w:hAnsiTheme="minorEastAsia" w:eastAsiaTheme="minorEastAsia" w:cstheme="minorEastAsia"/>
          <w:color w:val="000000" w:themeColor="text1"/>
          <w:spacing w:val="-18"/>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配偶子女工作安排以 及出国出境、旅游等提供方便。</w:t>
      </w:r>
    </w:p>
    <w:p w14:paraId="0EC4B34F">
      <w:pPr>
        <w:autoSpaceDE w:val="0"/>
        <w:autoSpaceDN w:val="0"/>
        <w:adjustRightInd w:val="0"/>
        <w:spacing w:before="72" w:line="360" w:lineRule="auto"/>
        <w:ind w:right="185" w:firstLine="482" w:firstLineChars="200"/>
        <w:jc w:val="left"/>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4</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违约责任</w:t>
      </w:r>
    </w:p>
    <w:p w14:paraId="7B8FD472">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4.1</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招标人及其工作人员违反本合同第1 条和第2 条规定</w:t>
      </w:r>
      <w:r>
        <w:rPr>
          <w:rFonts w:hint="eastAsia" w:asciiTheme="minorEastAsia" w:hAnsiTheme="minorEastAsia" w:eastAsiaTheme="minorEastAsia" w:cstheme="minorEastAsia"/>
          <w:color w:val="000000" w:themeColor="text1"/>
          <w:spacing w:val="-36"/>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应按照廉政建设的有关规定给 予处分；涉嫌犯罪的，移交司法机关追究刑事责任；给中标人造成损失的，应予赔偿。</w:t>
      </w:r>
    </w:p>
    <w:p w14:paraId="34408EEB">
      <w:pPr>
        <w:autoSpaceDE w:val="0"/>
        <w:autoSpaceDN w:val="0"/>
        <w:adjustRightInd w:val="0"/>
        <w:spacing w:before="72" w:line="360" w:lineRule="auto"/>
        <w:ind w:right="185"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4.2</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中标人及其工作人员违反本合同第1 条和第3 条规定</w:t>
      </w:r>
      <w:r>
        <w:rPr>
          <w:rFonts w:hint="eastAsia" w:asciiTheme="minorEastAsia" w:hAnsiTheme="minorEastAsia" w:eastAsiaTheme="minorEastAsia" w:cstheme="minorEastAsia"/>
          <w:color w:val="000000" w:themeColor="text1"/>
          <w:spacing w:val="-36"/>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应按照廉政建设的有关规定给 予处分</w:t>
      </w:r>
      <w:r>
        <w:rPr>
          <w:rFonts w:hint="eastAsia" w:asciiTheme="minorEastAsia" w:hAnsiTheme="minorEastAsia" w:eastAsiaTheme="minorEastAsia" w:cstheme="minorEastAsia"/>
          <w:color w:val="000000" w:themeColor="text1"/>
          <w:spacing w:val="-24"/>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情节严重的</w:t>
      </w:r>
      <w:r>
        <w:rPr>
          <w:rFonts w:hint="eastAsia" w:asciiTheme="minorEastAsia" w:hAnsiTheme="minorEastAsia" w:eastAsiaTheme="minorEastAsia" w:cstheme="minorEastAsia"/>
          <w:color w:val="000000" w:themeColor="text1"/>
          <w:spacing w:val="-24"/>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给予中标人1～3 年内不得进入工程建设市场的处罚</w:t>
      </w:r>
      <w:r>
        <w:rPr>
          <w:rFonts w:hint="eastAsia" w:asciiTheme="minorEastAsia" w:hAnsiTheme="minorEastAsia" w:eastAsiaTheme="minorEastAsia" w:cstheme="minorEastAsia"/>
          <w:color w:val="000000" w:themeColor="text1"/>
          <w:spacing w:val="-24"/>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涉嫌犯罪的</w:t>
      </w:r>
      <w:r>
        <w:rPr>
          <w:rFonts w:hint="eastAsia" w:asciiTheme="minorEastAsia" w:hAnsiTheme="minorEastAsia" w:eastAsiaTheme="minorEastAsia" w:cstheme="minorEastAsia"/>
          <w:color w:val="000000" w:themeColor="text1"/>
          <w:spacing w:val="-24"/>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移交 司法机关追究刑事责任；给招标人造成损失的，应予赔偿；</w:t>
      </w:r>
    </w:p>
    <w:p w14:paraId="731F24BE">
      <w:pPr>
        <w:autoSpaceDE w:val="0"/>
        <w:autoSpaceDN w:val="0"/>
        <w:adjustRightInd w:val="0"/>
        <w:spacing w:before="16" w:line="360" w:lineRule="auto"/>
        <w:jc w:val="left"/>
        <w:rPr>
          <w:rFonts w:hint="eastAsia" w:asciiTheme="minorEastAsia" w:hAnsiTheme="minorEastAsia" w:eastAsiaTheme="minorEastAsia" w:cstheme="minorEastAsia"/>
          <w:color w:val="000000" w:themeColor="text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 xml:space="preserve">    5</w:t>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双方约定</w:t>
      </w:r>
    </w:p>
    <w:p w14:paraId="655B6D52">
      <w:pPr>
        <w:autoSpaceDE w:val="0"/>
        <w:autoSpaceDN w:val="0"/>
        <w:adjustRightInd w:val="0"/>
        <w:spacing w:line="360" w:lineRule="auto"/>
        <w:ind w:right="184" w:firstLine="484"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本合同由合同双方当事人或其上</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级</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部门负责监督执行，并由合</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同</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 xml:space="preserve">双方当事人或其上级部门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相互约请对本合同执行情况进行检查。</w:t>
      </w:r>
    </w:p>
    <w:p w14:paraId="08A9DD8D">
      <w:pPr>
        <w:autoSpaceDE w:val="0"/>
        <w:autoSpaceDN w:val="0"/>
        <w:adjustRightInd w:val="0"/>
        <w:spacing w:line="360" w:lineRule="auto"/>
        <w:ind w:right="184" w:firstLine="482" w:firstLineChars="200"/>
        <w:jc w:val="left"/>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6</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 xml:space="preserve"> 合同法律效力</w:t>
      </w:r>
    </w:p>
    <w:p w14:paraId="2A7B8DB8">
      <w:pPr>
        <w:autoSpaceDE w:val="0"/>
        <w:autoSpaceDN w:val="0"/>
        <w:adjustRightInd w:val="0"/>
        <w:spacing w:line="360" w:lineRule="auto"/>
        <w:ind w:right="184"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本合同作为</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（工程名称） 工程施工合同的附件，与施工合同具有同等的法律效力。</w:t>
      </w:r>
    </w:p>
    <w:p w14:paraId="2BAC4CB3">
      <w:pPr>
        <w:autoSpaceDE w:val="0"/>
        <w:autoSpaceDN w:val="0"/>
        <w:adjustRightInd w:val="0"/>
        <w:spacing w:line="360" w:lineRule="auto"/>
        <w:ind w:right="184" w:firstLine="482" w:firstLineChars="200"/>
        <w:jc w:val="left"/>
        <w:rPr>
          <w:rFonts w:hint="eastAsia" w:asciiTheme="minorEastAsia" w:hAnsiTheme="minorEastAsia" w:eastAsiaTheme="minorEastAsia" w:cstheme="minorEastAsia"/>
          <w:color w:val="000000" w:themeColor="text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7</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合同生效</w:t>
      </w:r>
    </w:p>
    <w:p w14:paraId="134C56E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本合同自合同双方当事人签署之日起生效，至合同工程竣工验收合格之日后失效。</w:t>
      </w:r>
    </w:p>
    <w:p w14:paraId="1A78F3FF">
      <w:pPr>
        <w:autoSpaceDE w:val="0"/>
        <w:autoSpaceDN w:val="0"/>
        <w:adjustRightInd w:val="0"/>
        <w:spacing w:line="360" w:lineRule="auto"/>
        <w:ind w:firstLine="482" w:firstLineChars="200"/>
        <w:jc w:val="left"/>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8</w:t>
      </w:r>
      <w:r>
        <w:rPr>
          <w:rFonts w:hint="eastAsia" w:asciiTheme="minorEastAsia" w:hAnsiTheme="minorEastAsia" w:eastAsiaTheme="minorEastAsia" w:cstheme="minorEastAsia"/>
          <w:b/>
          <w:bCs/>
          <w:color w:val="000000" w:themeColor="text1"/>
          <w:kern w:val="0"/>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pacing w:val="1"/>
          <w:kern w:val="0"/>
          <w:szCs w:val="28"/>
          <w:highlight w:val="none"/>
          <w14:textFill>
            <w14:solidFill>
              <w14:schemeClr w14:val="tx1"/>
            </w14:solidFill>
          </w14:textFill>
        </w:rPr>
        <w:t>合同份数</w:t>
      </w:r>
    </w:p>
    <w:p w14:paraId="3A8DD19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本合同一</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式</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份，合同双方当事人各</w:t>
      </w:r>
      <w:r>
        <w:rPr>
          <w:rFonts w:hint="eastAsia" w:asciiTheme="minorEastAsia" w:hAnsiTheme="minorEastAsia" w:eastAsiaTheme="minorEastAsia" w:cstheme="minorEastAsia"/>
          <w:color w:val="000000" w:themeColor="text1"/>
          <w:spacing w:val="2"/>
          <w:kern w:val="0"/>
          <w:highlight w:val="none"/>
          <w14:textFill>
            <w14:solidFill>
              <w14:schemeClr w14:val="tx1"/>
            </w14:solidFill>
          </w14:textFill>
        </w:rPr>
        <w:t>执</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kern w:val="0"/>
          <w:highlight w:val="none"/>
          <w14:textFill>
            <w14:solidFill>
              <w14:schemeClr w14:val="tx1"/>
            </w14:solidFill>
          </w14:textFill>
        </w:rPr>
        <w:t>份。有上级部门的，合同双方当事人应各送</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交其上级部门一份。</w:t>
      </w:r>
    </w:p>
    <w:p w14:paraId="0C0C2F81">
      <w:pPr>
        <w:autoSpaceDE w:val="0"/>
        <w:autoSpaceDN w:val="0"/>
        <w:adjustRightInd w:val="0"/>
        <w:spacing w:before="3" w:line="130" w:lineRule="exact"/>
        <w:jc w:val="left"/>
        <w:rPr>
          <w:rFonts w:hint="eastAsia" w:asciiTheme="minorEastAsia" w:hAnsiTheme="minorEastAsia" w:eastAsiaTheme="minorEastAsia" w:cstheme="minorEastAsia"/>
          <w:color w:val="000000" w:themeColor="text1"/>
          <w:kern w:val="0"/>
          <w:szCs w:val="13"/>
          <w:highlight w:val="none"/>
          <w14:textFill>
            <w14:solidFill>
              <w14:schemeClr w14:val="tx1"/>
            </w14:solidFill>
          </w14:textFill>
        </w:rPr>
      </w:pPr>
    </w:p>
    <w:p w14:paraId="5C8AC97B">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322891EE">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2BCE59F3">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062C1492">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6303B017">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04BE5EA4">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2B51DA5E">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0A1B5A90">
      <w:pPr>
        <w:autoSpaceDE w:val="0"/>
        <w:autoSpaceDN w:val="0"/>
        <w:adjustRightInd w:val="0"/>
        <w:spacing w:line="200" w:lineRule="exact"/>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0DFF45EC">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发 包 人</w:t>
      </w:r>
      <w:r>
        <w:rPr>
          <w:rFonts w:hint="eastAsia" w:asciiTheme="minorEastAsia" w:hAnsiTheme="minorEastAsia" w:eastAsiaTheme="minorEastAsia" w:cstheme="minorEastAsia"/>
          <w:color w:val="000000" w:themeColor="text1"/>
          <w:spacing w:val="-12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（公章）</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承 包 人 </w:t>
      </w:r>
      <w:r>
        <w:rPr>
          <w:rFonts w:hint="eastAsia" w:asciiTheme="minorEastAsia" w:hAnsiTheme="minorEastAsia" w:eastAsiaTheme="minorEastAsia" w:cstheme="minorEastAsia"/>
          <w:color w:val="000000" w:themeColor="text1"/>
          <w:spacing w:val="-12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（公章） </w:t>
      </w:r>
    </w:p>
    <w:p w14:paraId="019529E9">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法定代表人</w:t>
      </w:r>
      <w:r>
        <w:rPr>
          <w:rFonts w:hint="eastAsia" w:asciiTheme="minorEastAsia" w:hAnsiTheme="minorEastAsia" w:eastAsiaTheme="minorEastAsia" w:cstheme="minorEastAsia"/>
          <w:color w:val="000000" w:themeColor="text1"/>
          <w:spacing w:val="-12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（签字）</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法定代表人</w:t>
      </w:r>
      <w:r>
        <w:rPr>
          <w:rFonts w:hint="eastAsia" w:asciiTheme="minorEastAsia" w:hAnsiTheme="minorEastAsia" w:eastAsiaTheme="minorEastAsia" w:cstheme="minorEastAsia"/>
          <w:color w:val="000000" w:themeColor="text1"/>
          <w:spacing w:val="-120"/>
          <w:kern w:val="0"/>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（签字） </w:t>
      </w:r>
    </w:p>
    <w:p w14:paraId="0BA17DB5">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联系电话：</w:t>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u w:val="single"/>
          <w14:textFill>
            <w14:solidFill>
              <w14:schemeClr w14:val="tx1"/>
            </w14:solidFill>
          </w14:textFill>
        </w:rPr>
        <w:tab/>
      </w: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联系电话：</w:t>
      </w:r>
    </w:p>
    <w:p w14:paraId="15F9B04F">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上级部门：（公章）                     上级部门：（公章）</w:t>
      </w:r>
    </w:p>
    <w:p w14:paraId="044AF42C">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7A1987DD">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p>
    <w:p w14:paraId="19C15ACC">
      <w:pPr>
        <w:autoSpaceDE w:val="0"/>
        <w:autoSpaceDN w:val="0"/>
        <w:adjustRightInd w:val="0"/>
        <w:spacing w:line="400" w:lineRule="exact"/>
        <w:ind w:firstLine="480" w:firstLineChars="200"/>
        <w:jc w:val="left"/>
        <w:rPr>
          <w:rFonts w:hint="eastAsia" w:asciiTheme="minorEastAsia" w:hAnsiTheme="minorEastAsia" w:eastAsiaTheme="minorEastAsia" w:cstheme="minorEastAsia"/>
          <w:color w:val="000000" w:themeColor="text1"/>
          <w:kern w:val="0"/>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highlight w:val="none"/>
          <w14:textFill>
            <w14:solidFill>
              <w14:schemeClr w14:val="tx1"/>
            </w14:solidFill>
          </w14:textFill>
        </w:rPr>
        <w:t xml:space="preserve">          年   月    日                                年   月   日</w:t>
      </w:r>
    </w:p>
    <w:p w14:paraId="461225E5">
      <w:pPr>
        <w:spacing w:line="360" w:lineRule="auto"/>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p>
    <w:p w14:paraId="4480BB62">
      <w:pPr>
        <w:pStyle w:val="4"/>
        <w:ind w:left="4511" w:leftChars="174" w:hanging="4093" w:hangingChars="1274"/>
        <w:jc w:val="cente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bookmarkStart w:id="580" w:name="_Toc6897"/>
      <w:bookmarkStart w:id="581" w:name="_Toc29017"/>
      <w:bookmarkStart w:id="582" w:name="_Toc18530"/>
      <w:bookmarkStart w:id="583" w:name="_Toc20715"/>
      <w:bookmarkStart w:id="584" w:name="_Toc11559"/>
      <w:bookmarkStart w:id="585" w:name="_Toc24859"/>
      <w:bookmarkStart w:id="586" w:name="_Toc28513"/>
      <w:bookmarkStart w:id="587" w:name="_Toc126"/>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br w:type="page"/>
      </w:r>
      <w:bookmarkStart w:id="588" w:name="_Toc10245"/>
      <w:bookmarkStart w:id="589" w:name="_Toc1108"/>
      <w:bookmarkStart w:id="590" w:name="_Toc30796"/>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履约保函</w:t>
      </w:r>
      <w:bookmarkEnd w:id="580"/>
      <w:bookmarkEnd w:id="581"/>
      <w:bookmarkEnd w:id="582"/>
      <w:bookmarkEnd w:id="583"/>
      <w:bookmarkEnd w:id="584"/>
      <w:bookmarkEnd w:id="585"/>
      <w:bookmarkEnd w:id="586"/>
      <w:bookmarkEnd w:id="587"/>
      <w:bookmarkEnd w:id="588"/>
      <w:bookmarkEnd w:id="589"/>
      <w:bookmarkEnd w:id="590"/>
    </w:p>
    <w:p w14:paraId="3B9F6898">
      <w:pPr>
        <w:spacing w:line="360" w:lineRule="auto"/>
        <w:jc w:val="cente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pPr>
    </w:p>
    <w:p w14:paraId="221D34C8">
      <w:pPr>
        <w:wordWrap w:val="0"/>
        <w:spacing w:line="360" w:lineRule="auto"/>
        <w:jc w:val="righ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编号：           </w:t>
      </w:r>
    </w:p>
    <w:p w14:paraId="1DEC7C4F">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申请人：</w:t>
      </w:r>
    </w:p>
    <w:p w14:paraId="6D23A14C">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739ED372">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受益人：</w:t>
      </w:r>
    </w:p>
    <w:p w14:paraId="1240D116">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2374388F">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开立人：</w:t>
      </w:r>
    </w:p>
    <w:p w14:paraId="43292334">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78C9AAC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1900612E">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（受益人名称）： </w:t>
      </w:r>
    </w:p>
    <w:p w14:paraId="7A1B804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鉴于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（以下简称“受益人”）与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（以下简称“申请人”）于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日就</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工程（以下简称“本工程”）施工和有关事项协商一致共同签订</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以下简称“基础合同”），我方（即“开立人”）根据基础合同了解到申请人为基础合同项下之中标人，受益人为基础合同项下之招标人，基于申请人的请求，我方同意就申请人履行与贵方签订的基础合同项下的义务，向贵方提供不可撤销、不可转让的见索即付独立保函（以下简称“本保函”）。 </w:t>
      </w:r>
    </w:p>
    <w:p w14:paraId="0539FD0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一、本保函担保范围：中标人未按照基础合同的约定履行义务，应当向贵方承担的违约责任和赔偿因此造成的损失、利息、律师费、诉讼费用等实现债权的费用。</w:t>
      </w:r>
    </w:p>
    <w:p w14:paraId="59B1FBF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二、本保函担保金额最高不超过人民币（大写）</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元（¥</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p w14:paraId="670D9D6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三、本保函有效期自开立之日起至基础合同约定的缺陷责任期后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日止，最迟不超过</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日。 </w:t>
      </w:r>
    </w:p>
    <w:p w14:paraId="5CD8E593">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四、我方承诺，在收到受益人发来的书面付款通知后的</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日内无条件支付，前述书面付款通知即为付款要求之单据，且应满足以下要求：</w:t>
      </w:r>
    </w:p>
    <w:p w14:paraId="3068B7B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（1）付款通知到达的日期在本保函的有效期内；</w:t>
      </w:r>
    </w:p>
    <w:p w14:paraId="123CE61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（2）载明要求支付的金额；</w:t>
      </w:r>
    </w:p>
    <w:p w14:paraId="1430F2D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（3）载明申请人违反合同义务的条款和内容；</w:t>
      </w:r>
    </w:p>
    <w:p w14:paraId="28A18F3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（4）声明不存在合同文件约定或我国法律规定免除申请人或开立人支付责任的情形；</w:t>
      </w:r>
    </w:p>
    <w:p w14:paraId="7909BCE6">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（5）付款通知应在本保函有效期内到达的地址是：</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p w14:paraId="4A12453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受益人发出的书面付款通知应由其为鉴明受益人法定代表人（负责人）或授权代理人签字并加盖公章。</w:t>
      </w:r>
    </w:p>
    <w:p w14:paraId="27CF41E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五、本保函项下的权利不得转让，不得设定担保。贵方未经我方书面同意转 让本保函或其项下任何权利，对我方不发生法律效力。 </w:t>
      </w:r>
    </w:p>
    <w:p w14:paraId="0732B51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六、与本保函有关的基础合同不成立、不生效、无效、被撤销、被解除，不影响本保函的独立有效。 </w:t>
      </w:r>
    </w:p>
    <w:p w14:paraId="071B8B5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七、贵方应在本保函到期后的七日内将本保函正本退回我方注销，但是不论贵方是否按此要求将本保函正本退回我方，我方在本保函项下的义务和责任均在保函有效期到期后自动消灭。 </w:t>
      </w:r>
    </w:p>
    <w:p w14:paraId="29A0E54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八、本保函适用的法律为中华人民共和国法律，争议裁判管辖地为中华人民共和国</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p w14:paraId="481E583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九、本保函自我方法定代表人或授权代表签字并加盖公章之日起生效。 </w:t>
      </w:r>
    </w:p>
    <w:p w14:paraId="4A73354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开 立 人：                              （公章） </w:t>
      </w:r>
    </w:p>
    <w:p w14:paraId="045BD6A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法定代表人（或授权代表）：               （签字） </w:t>
      </w:r>
    </w:p>
    <w:p w14:paraId="29DFEFD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地    址：                                       </w:t>
      </w:r>
    </w:p>
    <w:p w14:paraId="21D4725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邮政编码：                 </w:t>
      </w:r>
    </w:p>
    <w:p w14:paraId="6A252FB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电    话：                 </w:t>
      </w:r>
    </w:p>
    <w:p w14:paraId="4C1423B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传    真：                 </w:t>
      </w:r>
    </w:p>
    <w:p w14:paraId="58AA204F">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开立时间：      年      月    </w:t>
      </w:r>
    </w:p>
    <w:p w14:paraId="2C43A4FD">
      <w:pPr>
        <w:spacing w:line="374" w:lineRule="auto"/>
        <w:ind w:left="698" w:right="524"/>
        <w:jc w:val="left"/>
        <w:rPr>
          <w:rFonts w:hint="eastAsia" w:asciiTheme="minorEastAsia" w:hAnsiTheme="minorEastAsia" w:eastAsiaTheme="minorEastAsia" w:cstheme="minorEastAsia"/>
          <w:strike/>
          <w:color w:val="000000" w:themeColor="text1"/>
          <w:szCs w:val="24"/>
          <w:highlight w:val="none"/>
          <w14:textFill>
            <w14:solidFill>
              <w14:schemeClr w14:val="tx1"/>
            </w14:solidFill>
          </w14:textFill>
        </w:rPr>
        <w:sectPr>
          <w:headerReference r:id="rId8" w:type="default"/>
          <w:footerReference r:id="rId9" w:type="default"/>
          <w:pgSz w:w="11907" w:h="16840"/>
          <w:pgMar w:top="1247" w:right="1474" w:bottom="1247" w:left="1361" w:header="680" w:footer="680" w:gutter="0"/>
          <w:pgNumType w:fmt="decimal"/>
          <w:cols w:space="720" w:num="1"/>
        </w:sectPr>
      </w:pPr>
    </w:p>
    <w:p w14:paraId="56D93505">
      <w:pPr>
        <w:pStyle w:val="61"/>
        <w:spacing w:line="440" w:lineRule="exact"/>
        <w:ind w:firstLine="0" w:firstLineChars="0"/>
        <w:rPr>
          <w:rFonts w:hint="eastAsia" w:asciiTheme="minorEastAsia" w:hAnsiTheme="minorEastAsia" w:eastAsiaTheme="minorEastAsia" w:cstheme="minorEastAsia"/>
          <w:dstrike/>
          <w:color w:val="000000" w:themeColor="text1"/>
          <w:kern w:val="0"/>
          <w:highlight w:val="none"/>
          <w14:textFill>
            <w14:solidFill>
              <w14:schemeClr w14:val="tx1"/>
            </w14:solidFill>
          </w14:textFill>
        </w:rPr>
      </w:pPr>
    </w:p>
    <w:p w14:paraId="598954D0">
      <w:pPr>
        <w:pStyle w:val="4"/>
        <w:ind w:left="4511" w:leftChars="174" w:hanging="4093" w:hangingChars="1274"/>
        <w:jc w:val="cente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pPr>
      <w:bookmarkStart w:id="591" w:name="_Toc4768"/>
      <w:bookmarkStart w:id="592" w:name="_Toc3712"/>
      <w:bookmarkStart w:id="593" w:name="_Toc2375"/>
      <w:bookmarkStart w:id="594" w:name="_Toc20309"/>
      <w:bookmarkStart w:id="595" w:name="_Toc32564"/>
      <w:bookmarkStart w:id="596" w:name="_Toc26369"/>
      <w:bookmarkStart w:id="597" w:name="_Toc19146"/>
      <w:bookmarkStart w:id="598" w:name="_Toc3541"/>
      <w:bookmarkStart w:id="599" w:name="_Toc31569"/>
      <w:bookmarkStart w:id="600" w:name="_Toc24975"/>
      <w:bookmarkStart w:id="601" w:name="_Toc15298"/>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预付款保函</w:t>
      </w:r>
      <w:bookmarkEnd w:id="591"/>
      <w:bookmarkEnd w:id="592"/>
      <w:bookmarkEnd w:id="593"/>
      <w:bookmarkEnd w:id="594"/>
      <w:bookmarkEnd w:id="595"/>
      <w:bookmarkEnd w:id="596"/>
      <w:bookmarkEnd w:id="597"/>
      <w:bookmarkEnd w:id="598"/>
      <w:bookmarkEnd w:id="599"/>
      <w:bookmarkEnd w:id="600"/>
      <w:bookmarkEnd w:id="601"/>
    </w:p>
    <w:p w14:paraId="1C67E614">
      <w:pPr>
        <w:wordWrap w:val="0"/>
        <w:spacing w:line="360" w:lineRule="auto"/>
        <w:jc w:val="righ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编号：           </w:t>
      </w:r>
    </w:p>
    <w:p w14:paraId="181634F3">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49B56C3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申请人：</w:t>
      </w:r>
    </w:p>
    <w:p w14:paraId="6F85FA71">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561D8709">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受益人：</w:t>
      </w:r>
    </w:p>
    <w:p w14:paraId="1AFCAA20">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0AC82563">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开立人：</w:t>
      </w:r>
    </w:p>
    <w:p w14:paraId="3C2D6EC1">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508EFD4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6396C4EF">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（受益人名称）： </w:t>
      </w:r>
    </w:p>
    <w:p w14:paraId="551E53E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鉴于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（以下简称“受益人”）与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（以下简称“申请人”）于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日就</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工程（以下简称“本工程”）施工和有关事项协商一致共同签订</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以下简称“基础合同”），我方（即“开立人”）根据主合同了解到申请人为主合同项下之中标人，受益人为主合同项下之招标人，基于申请人的请求，我方同意就申请人按照合同约定正确和合理地为合同目的使用预付款，向贵方提供不可撤销、不可转让的见索即付独立保函（以下简称“本保函”）。 </w:t>
      </w:r>
    </w:p>
    <w:p w14:paraId="22B4A50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一、本保函担保范围：申请人未按照合同约定正确和合理地为合同目的使用预付款，应当向贵方承担的违约责任和赔偿因此造成的损失、利息、律师费、诉讼费用等实现债权的费用。</w:t>
      </w:r>
    </w:p>
    <w:p w14:paraId="2A69F37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二、本保函担保金额最高不超过人民币（大写）</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元（¥</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p w14:paraId="3A329F1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三、本保函有效期自开立之日起至招标人全额扣回预付款后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日止，最迟不超过</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w:t>
      </w:r>
    </w:p>
    <w:p w14:paraId="4793DA5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四、我方承诺，在收到受益人发来的书面付款通知后的</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日内无条件支付，前述书面付款通知即为付款要求之单据，且应满足以下要求：</w:t>
      </w:r>
    </w:p>
    <w:p w14:paraId="164254A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（1）付款通知到达的日期在本保函的有效期内；</w:t>
      </w:r>
    </w:p>
    <w:p w14:paraId="0F9939A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（2）载明要求支付的金额；</w:t>
      </w:r>
    </w:p>
    <w:p w14:paraId="5217755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（3）载明申请人违反合同义务的条款和内容；</w:t>
      </w:r>
    </w:p>
    <w:p w14:paraId="6E2F569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（4）声明不存在合同文件约定或我国法律规定免除申请人或开立人支付责任的情形；</w:t>
      </w:r>
    </w:p>
    <w:p w14:paraId="5683766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（5）付款通知应在本保函有效期内到达的地址是：</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p w14:paraId="091CD43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受益人发出的书面付款通知应由其为鉴明受益人法定代表人（负责人）或授权代理人签字并加盖公章。</w:t>
      </w:r>
    </w:p>
    <w:p w14:paraId="24AFE5CE">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五、本保函项下的权利不得转让，不得设定担保。贵方未经我方书面同意转 让本保函或其项下任何权利，对我方不发生法律效力。 </w:t>
      </w:r>
    </w:p>
    <w:p w14:paraId="6319DED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六、与本保函有关的基础合同不成立、不生效、无效、被撤销、被解除，不影响本保函的独立有效。 </w:t>
      </w:r>
    </w:p>
    <w:p w14:paraId="2AF21A0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七、贵方应在本保函到期后的七日内将本保函正本退回我方注销，但是不论贵方是否按此要求将本保函正本退回我方，我方在本保函项下的义务和责任均在保函有效期到期后自动消灭。 </w:t>
      </w:r>
    </w:p>
    <w:p w14:paraId="236310A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八、本保函适用的法律为中华人民共和国法律，争议裁判管辖地为中华人民共和国</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p w14:paraId="4513A148">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九、本保函自我方法定代表人或授权代表签字并加盖公章之日起生效。 </w:t>
      </w:r>
    </w:p>
    <w:p w14:paraId="28DEE95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37C060BF">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57122C8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开 立 人：                              （公章） </w:t>
      </w:r>
    </w:p>
    <w:p w14:paraId="29B6781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法定代表人（或授权代表）：               （签字） </w:t>
      </w:r>
    </w:p>
    <w:p w14:paraId="7C2D208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地    址：                                       </w:t>
      </w:r>
    </w:p>
    <w:p w14:paraId="67E18D19">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邮政编码：                 </w:t>
      </w:r>
    </w:p>
    <w:p w14:paraId="260AD82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电    话：                 </w:t>
      </w:r>
    </w:p>
    <w:p w14:paraId="05B2D61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传    真：                 </w:t>
      </w:r>
    </w:p>
    <w:p w14:paraId="5B834146">
      <w:pPr>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开立时间：      年      月        日</w:t>
      </w:r>
    </w:p>
    <w:p w14:paraId="5D072775">
      <w:pPr>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643B20B7">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371FFDF7">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73554A24">
      <w:pPr>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602" w:name="_Toc6524"/>
    </w:p>
    <w:p w14:paraId="0388EE1B">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1A83B68F">
      <w:pPr>
        <w:pStyle w:val="4"/>
        <w:ind w:left="3488" w:leftChars="174" w:hanging="3070" w:hangingChars="1274"/>
        <w:jc w:val="center"/>
        <w:rPr>
          <w:rFonts w:hint="eastAsia" w:asciiTheme="minorEastAsia" w:hAnsiTheme="minorEastAsia" w:eastAsiaTheme="minorEastAsia" w:cstheme="minorEastAsia"/>
          <w:bCs/>
          <w:color w:val="000000" w:themeColor="text1"/>
          <w:szCs w:val="32"/>
          <w:highlight w:val="none"/>
          <w14:textFill>
            <w14:solidFill>
              <w14:schemeClr w14:val="tx1"/>
            </w14:solidFill>
          </w14:textFill>
        </w:rPr>
      </w:pPr>
      <w:bookmarkStart w:id="603" w:name="_Toc18000"/>
      <w:bookmarkStart w:id="604" w:name="_Toc12376"/>
      <w:bookmarkStart w:id="605" w:name="_Toc1401"/>
      <w:bookmarkStart w:id="606" w:name="_Toc1606"/>
      <w:bookmarkStart w:id="607" w:name="_Toc3493"/>
      <w:bookmarkStart w:id="608" w:name="_Toc7920"/>
      <w:bookmarkStart w:id="609" w:name="_Toc27131"/>
      <w:bookmarkStart w:id="610" w:name="_Toc25691"/>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bookmarkStart w:id="611" w:name="_Toc14563"/>
      <w:bookmarkStart w:id="612" w:name="_Toc2094"/>
      <w:bookmarkStart w:id="613" w:name="_Toc9772"/>
      <w:r>
        <w:rPr>
          <w:rFonts w:hint="eastAsia" w:asciiTheme="minorEastAsia" w:hAnsiTheme="minorEastAsia" w:eastAsiaTheme="minorEastAsia" w:cstheme="minorEastAsia"/>
          <w:bCs/>
          <w:color w:val="000000" w:themeColor="text1"/>
          <w:sz w:val="32"/>
          <w:szCs w:val="32"/>
          <w:highlight w:val="none"/>
          <w14:textFill>
            <w14:solidFill>
              <w14:schemeClr w14:val="tx1"/>
            </w14:solidFill>
          </w14:textFill>
        </w:rPr>
        <w:t>支付保函</w:t>
      </w:r>
      <w:bookmarkEnd w:id="602"/>
      <w:bookmarkEnd w:id="603"/>
      <w:bookmarkEnd w:id="604"/>
      <w:bookmarkEnd w:id="605"/>
      <w:bookmarkEnd w:id="606"/>
      <w:bookmarkEnd w:id="607"/>
      <w:bookmarkEnd w:id="608"/>
      <w:bookmarkEnd w:id="609"/>
      <w:bookmarkEnd w:id="610"/>
      <w:bookmarkEnd w:id="611"/>
      <w:bookmarkEnd w:id="612"/>
      <w:bookmarkEnd w:id="613"/>
    </w:p>
    <w:p w14:paraId="607F1C3F">
      <w:pPr>
        <w:wordWrap w:val="0"/>
        <w:spacing w:line="360" w:lineRule="auto"/>
        <w:jc w:val="righ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编号：           </w:t>
      </w:r>
    </w:p>
    <w:p w14:paraId="1D883AF7">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申请人：</w:t>
      </w:r>
    </w:p>
    <w:p w14:paraId="3571A6A2">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09A12571">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受益人：</w:t>
      </w:r>
    </w:p>
    <w:p w14:paraId="32252B3F">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0E362290">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开立人：</w:t>
      </w:r>
    </w:p>
    <w:p w14:paraId="1DE9EC30">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地址：</w:t>
      </w:r>
    </w:p>
    <w:p w14:paraId="395CEEE5">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1530C631">
      <w:pPr>
        <w:spacing w:line="360" w:lineRule="auto"/>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bookmarkStart w:id="614" w:name="_Hlk40355074"/>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（受益人名称）： </w:t>
      </w:r>
    </w:p>
    <w:bookmarkEnd w:id="614"/>
    <w:p w14:paraId="605C041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鉴于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（以下简称“受益人”）与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（以下简称“申请人”）于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日就</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工程（以下简称“本工程”）施工和有关事项协商一致共同签订</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以下简称“基础合同”），我方（即“开立人”）根据基础合同了解到申请人为基础合同项下之招标人，受益人为基础合同项下之中标人，基于申请人的请求，我方同意就申请人履行与贵方签订的基础合同项下的工程款（指基础合同约定的除工程质量保修金以外的工程款）付款义务，向贵方提供不可撤销、不可转让的见索即付独立保函（以下简称“本保函”）。 </w:t>
      </w:r>
    </w:p>
    <w:p w14:paraId="5074AB72">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一、本保函担保范围：申请人未履行基础合同约定的工程款支付义务，应当向贵方承担的违约责任和赔偿因此造成的损失、利息、律师费、诉讼费用等实现债权的费用。</w:t>
      </w:r>
    </w:p>
    <w:p w14:paraId="267D714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二、本保函担保金额最高不超过人民币（大写）</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元（¥</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p w14:paraId="66B3D93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三、本保函有效期自开立之日起至基础合同约定的除工程质量保修金以外的全部工程结算款项支付之日后</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日止，最迟不超过</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日。 </w:t>
      </w:r>
    </w:p>
    <w:p w14:paraId="68ACDA2C">
      <w:pPr>
        <w:spacing w:line="360" w:lineRule="auto"/>
        <w:ind w:firstLine="48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四、我方承诺，在收到受益人发来的书面付款通知后的</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日内无条件支付，前述书面付款通知即为付款要求之单据，且应满足以下要求：</w:t>
      </w:r>
    </w:p>
    <w:p w14:paraId="36E9387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（1）付款通知到达的日期在本保函的有效期内；</w:t>
      </w:r>
    </w:p>
    <w:p w14:paraId="16604FC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（2）载明要求支付的金额；</w:t>
      </w:r>
    </w:p>
    <w:p w14:paraId="185C230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（3）载明申请人违反合同义务的条款和内容；</w:t>
      </w:r>
    </w:p>
    <w:p w14:paraId="6E90FF64">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（4）声明不存在合同文件约定或我国法律规定免除申请人或开立人支付责任的情形；</w:t>
      </w:r>
    </w:p>
    <w:p w14:paraId="0B42AB5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（5）付款通知应在本保函有效期内到达的地址是：</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w:t>
      </w:r>
    </w:p>
    <w:p w14:paraId="1D58AEF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受益人发出的书面付款通知应由其为鉴明受益人法定代表人（负责人）或授权代理人签字并加盖公章。</w:t>
      </w:r>
    </w:p>
    <w:p w14:paraId="2B69039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五、本保函项下的权利不得转让，不得设定担保。贵方未经我方书面同意转 让本保函或其项下任何权利，对我方不发生法律效力。 </w:t>
      </w:r>
    </w:p>
    <w:p w14:paraId="03F6F6B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六、与本保函有关的基础合同不成立、不生效、无效、被撤销、被解除，不影响本保函的独立有效。 </w:t>
      </w:r>
    </w:p>
    <w:p w14:paraId="708B2913">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七、贵方应在本保函到期后的七日内将本保函正本退回我方注销，但是不论贵方是否按此要求将本保函正本退回我方，我方在本保函项下的义务和责任均在保函有效期到期后自动消灭。 </w:t>
      </w:r>
    </w:p>
    <w:p w14:paraId="1BB365EC">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八、本保函适用的法律为中华人民共和国法律，争议裁判管辖地为中华人民共和国</w:t>
      </w:r>
      <w:r>
        <w:rPr>
          <w:rFonts w:hint="eastAsia" w:asciiTheme="minorEastAsia" w:hAnsiTheme="minorEastAsia" w:eastAsiaTheme="minorEastAsia" w:cstheme="minorEastAsia"/>
          <w:color w:val="000000" w:themeColor="text1"/>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p>
    <w:p w14:paraId="342C2E4D">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九、本保函自我方法定代表人</w:t>
      </w:r>
      <w:bookmarkStart w:id="615" w:name="_Hlk58487855"/>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或授权代表</w:t>
      </w:r>
      <w:bookmarkEnd w:id="615"/>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签字并加盖公章之日起生效。 </w:t>
      </w:r>
    </w:p>
    <w:p w14:paraId="669B9000">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6FCFA16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3DDD303E">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开 立 人：                              （公章） </w:t>
      </w:r>
    </w:p>
    <w:p w14:paraId="3E911487">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法定代表人（或授权代表）：               （签字） </w:t>
      </w:r>
    </w:p>
    <w:p w14:paraId="708DD72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地    址：                                       </w:t>
      </w:r>
    </w:p>
    <w:p w14:paraId="0308D6B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邮政编码：                 </w:t>
      </w:r>
    </w:p>
    <w:p w14:paraId="59CD7EE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电    话：                 </w:t>
      </w:r>
    </w:p>
    <w:p w14:paraId="73F9AA0A">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传    真：                 </w:t>
      </w:r>
    </w:p>
    <w:p w14:paraId="4C1BA48D">
      <w:pPr>
        <w:spacing w:line="360" w:lineRule="auto"/>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开立时间：      年      月        日</w:t>
      </w:r>
    </w:p>
    <w:p w14:paraId="2A47D1DD">
      <w:pPr>
        <w:spacing w:line="374" w:lineRule="auto"/>
        <w:ind w:left="698" w:right="524"/>
        <w:jc w:val="left"/>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p>
    <w:p w14:paraId="15FBFA56">
      <w:pPr>
        <w:pStyle w:val="31"/>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7C8AF6FC">
      <w:pPr>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5F5A5F2E">
      <w:pPr>
        <w:pStyle w:val="31"/>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14:paraId="54C9F0E0">
      <w:pPr>
        <w:spacing w:line="374" w:lineRule="auto"/>
        <w:ind w:left="698" w:right="524"/>
        <w:jc w:val="left"/>
        <w:rPr>
          <w:rFonts w:hint="eastAsia" w:asciiTheme="minorEastAsia" w:hAnsiTheme="minorEastAsia" w:eastAsiaTheme="minorEastAsia" w:cstheme="minorEastAsia"/>
          <w:strike/>
          <w:color w:val="000000" w:themeColor="text1"/>
          <w:szCs w:val="24"/>
          <w:highlight w:val="none"/>
          <w14:textFill>
            <w14:solidFill>
              <w14:schemeClr w14:val="tx1"/>
            </w14:solidFill>
          </w14:textFill>
        </w:rPr>
      </w:pPr>
    </w:p>
    <w:p w14:paraId="33E7C08A">
      <w:pPr>
        <w:rPr>
          <w:rFonts w:hint="eastAsia" w:asciiTheme="minorEastAsia" w:hAnsiTheme="minorEastAsia" w:eastAsiaTheme="minorEastAsia" w:cstheme="minorEastAsia"/>
          <w:color w:val="000000" w:themeColor="text1"/>
          <w:highlight w:val="none"/>
          <w14:textFill>
            <w14:solidFill>
              <w14:schemeClr w14:val="tx1"/>
            </w14:solidFill>
          </w14:textFill>
        </w:rPr>
        <w:sectPr>
          <w:pgSz w:w="11907" w:h="16840"/>
          <w:pgMar w:top="1247" w:right="1474" w:bottom="1247" w:left="1361" w:header="680" w:footer="680" w:gutter="0"/>
          <w:pgNumType w:fmt="decimal"/>
          <w:cols w:space="720" w:num="1"/>
        </w:sectPr>
      </w:pPr>
    </w:p>
    <w:p w14:paraId="30942E89">
      <w:pPr>
        <w:pStyle w:val="61"/>
        <w:spacing w:line="440" w:lineRule="exact"/>
        <w:ind w:firstLine="0" w:firstLineChars="0"/>
        <w:rPr>
          <w:rFonts w:hint="eastAsia" w:asciiTheme="minorEastAsia" w:hAnsiTheme="minorEastAsia" w:eastAsiaTheme="minorEastAsia" w:cstheme="minorEastAsia"/>
          <w:color w:val="000000" w:themeColor="text1"/>
          <w:szCs w:val="32"/>
          <w:highlight w:val="none"/>
          <w14:textFill>
            <w14:solidFill>
              <w14:schemeClr w14:val="tx1"/>
            </w14:solidFill>
          </w14:textFill>
        </w:rPr>
      </w:pPr>
    </w:p>
    <w:p w14:paraId="7205DE45">
      <w:pPr>
        <w:pStyle w:val="2"/>
        <w:jc w:val="cente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pPr>
      <w:bookmarkStart w:id="616" w:name="_Toc466640622"/>
      <w:bookmarkStart w:id="617" w:name="_Toc1879"/>
      <w:bookmarkStart w:id="618" w:name="_Toc9802"/>
      <w:bookmarkStart w:id="619" w:name="_Toc13641"/>
      <w:bookmarkStart w:id="620" w:name="_Toc3242"/>
      <w:bookmarkStart w:id="621" w:name="_Toc420"/>
      <w:bookmarkStart w:id="622" w:name="_Toc26594"/>
      <w:bookmarkStart w:id="623" w:name="_Toc3894"/>
      <w:bookmarkStart w:id="624" w:name="_Toc19434"/>
      <w:bookmarkStart w:id="625" w:name="_Toc32097"/>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第</w:t>
      </w:r>
      <w:r>
        <w:rPr>
          <w:rFonts w:hint="eastAsia" w:asciiTheme="minorEastAsia" w:hAnsiTheme="minorEastAsia" w:eastAsiaTheme="minorEastAsia" w:cstheme="minorEastAsia"/>
          <w:b/>
          <w:color w:val="000000" w:themeColor="text1"/>
          <w:kern w:val="44"/>
          <w:sz w:val="36"/>
          <w:szCs w:val="36"/>
          <w:highlight w:val="none"/>
          <w:lang w:val="en-US" w:eastAsia="zh-CN"/>
          <w14:textFill>
            <w14:solidFill>
              <w14:schemeClr w14:val="tx1"/>
            </w14:solidFill>
          </w14:textFill>
        </w:rPr>
        <w:t>八</w:t>
      </w:r>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 xml:space="preserve">章  </w:t>
      </w:r>
      <w:bookmarkEnd w:id="473"/>
      <w:bookmarkEnd w:id="474"/>
      <w:bookmarkEnd w:id="475"/>
      <w:bookmarkEnd w:id="476"/>
      <w:bookmarkEnd w:id="616"/>
      <w:r>
        <w:rPr>
          <w:rFonts w:hint="eastAsia" w:asciiTheme="minorEastAsia" w:hAnsiTheme="minorEastAsia" w:eastAsiaTheme="minorEastAsia" w:cstheme="minorEastAsia"/>
          <w:b/>
          <w:color w:val="000000" w:themeColor="text1"/>
          <w:kern w:val="44"/>
          <w:sz w:val="36"/>
          <w:szCs w:val="36"/>
          <w:highlight w:val="none"/>
          <w14:textFill>
            <w14:solidFill>
              <w14:schemeClr w14:val="tx1"/>
            </w14:solidFill>
          </w14:textFill>
        </w:rPr>
        <w:t>建设工程合同</w:t>
      </w:r>
      <w:bookmarkEnd w:id="617"/>
      <w:bookmarkEnd w:id="618"/>
      <w:bookmarkEnd w:id="619"/>
      <w:bookmarkEnd w:id="620"/>
      <w:bookmarkEnd w:id="621"/>
      <w:bookmarkEnd w:id="622"/>
      <w:bookmarkEnd w:id="623"/>
      <w:bookmarkEnd w:id="624"/>
      <w:bookmarkEnd w:id="625"/>
    </w:p>
    <w:p w14:paraId="2B1FD30E">
      <w:pPr>
        <w:rPr>
          <w:rFonts w:hint="eastAsia" w:asciiTheme="minorEastAsia" w:hAnsiTheme="minorEastAsia" w:eastAsiaTheme="minorEastAsia" w:cstheme="minorEastAsia"/>
          <w:color w:val="000000" w:themeColor="text1"/>
          <w:highlight w:val="none"/>
          <w14:textFill>
            <w14:solidFill>
              <w14:schemeClr w14:val="tx1"/>
            </w14:solidFill>
          </w14:textFill>
        </w:rPr>
      </w:pPr>
    </w:p>
    <w:bookmarkEnd w:id="477"/>
    <w:bookmarkEnd w:id="478"/>
    <w:p w14:paraId="429AE631">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略。总承包合同参照住房城乡建设部、国家工商行政管理总局制定的《建设项目工程总承包合同（示范文本）》GF-2020-0216。</w:t>
      </w:r>
    </w:p>
    <w:p w14:paraId="33E07525">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施工合同按广东省建设厅《广东省建设工程标准施工合同》范本（2009）执行。</w:t>
      </w:r>
    </w:p>
    <w:p w14:paraId="36D352AB">
      <w:pPr>
        <w:spacing w:line="360" w:lineRule="auto"/>
        <w:ind w:firstLine="480" w:firstLineChars="200"/>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设计合同按住房城乡建设部、国家工商行政管理总局制定《建设工程设计合同示范文本（专业建设工程）》（GF-2015-0210）执行。 </w:t>
      </w:r>
    </w:p>
    <w:p w14:paraId="388C85E6">
      <w:pPr>
        <w:spacing w:line="420" w:lineRule="atLeast"/>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6D486A02">
      <w:pPr>
        <w:spacing w:line="420" w:lineRule="atLeast"/>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p>
    <w:p w14:paraId="3084AB20">
      <w:pPr>
        <w:rPr>
          <w:rFonts w:hint="eastAsia" w:asciiTheme="minorEastAsia" w:hAnsiTheme="minorEastAsia" w:eastAsiaTheme="minorEastAsia" w:cstheme="minorEastAsia"/>
          <w:color w:val="000000" w:themeColor="text1"/>
          <w:highlight w:val="none"/>
          <w14:textFill>
            <w14:solidFill>
              <w14:schemeClr w14:val="tx1"/>
            </w14:solidFill>
          </w14:textFill>
        </w:rPr>
      </w:pPr>
    </w:p>
    <w:sectPr>
      <w:endnotePr>
        <w:numFmt w:val="decimal"/>
      </w:endnotePr>
      <w:pgSz w:w="11907" w:h="16840"/>
      <w:pgMar w:top="1134" w:right="1134" w:bottom="1021" w:left="1418" w:header="567" w:footer="510" w:gutter="0"/>
      <w:pgNumType w:fmt="decimal"/>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新魏">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F91F8">
    <w:pPr>
      <w:pStyle w:val="70"/>
      <w:tabs>
        <w:tab w:val="left" w:pos="4803"/>
        <w:tab w:val="clear" w:pos="4153"/>
      </w:tabs>
    </w:pPr>
    <w:r>
      <w:rPr>
        <w:rFonts w:hint="eastAsia"/>
      </w:rPr>
      <w:tab/>
    </w:r>
  </w:p>
  <w:p w14:paraId="4AFCE7F2">
    <w:pPr>
      <w:pStyle w:val="7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7DE61">
    <w:pPr>
      <w:pStyle w:val="70"/>
      <w:tabs>
        <w:tab w:val="left" w:pos="4803"/>
        <w:tab w:val="clear" w:pos="4153"/>
      </w:tabs>
    </w:pPr>
    <w:r>
      <w:rPr>
        <w:rFonts w:hint="eastAsia"/>
      </w:rPr>
      <w:tab/>
    </w:r>
  </w:p>
  <w:p w14:paraId="686904C8">
    <w:pPr>
      <w:pStyle w:val="7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45C18">
    <w:pPr>
      <w:pStyle w:val="70"/>
      <w:tabs>
        <w:tab w:val="left" w:pos="480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0430D3">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370430D3">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p w14:paraId="5C7F47BF">
    <w:pPr>
      <w:pStyle w:val="7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FFD58">
    <w:pPr>
      <w:pStyle w:val="70"/>
      <w:tabs>
        <w:tab w:val="left" w:pos="48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1000AA">
                          <w:pPr>
                            <w:pStyle w:val="13"/>
                          </w:pPr>
                          <w:r>
                            <w:fldChar w:fldCharType="begin"/>
                          </w:r>
                          <w:r>
                            <w:instrText xml:space="preserve"> PAGE  \* MERGEFORMAT </w:instrText>
                          </w:r>
                          <w:r>
                            <w:fldChar w:fldCharType="separate"/>
                          </w:r>
                          <w:r>
                            <w:t>105</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701000AA">
                    <w:pPr>
                      <w:pStyle w:val="13"/>
                    </w:pPr>
                    <w:r>
                      <w:fldChar w:fldCharType="begin"/>
                    </w:r>
                    <w:r>
                      <w:instrText xml:space="preserve"> PAGE  \* MERGEFORMAT </w:instrText>
                    </w:r>
                    <w:r>
                      <w:fldChar w:fldCharType="separate"/>
                    </w:r>
                    <w:r>
                      <w:t>105</w:t>
                    </w:r>
                    <w:r>
                      <w:fldChar w:fldCharType="end"/>
                    </w:r>
                  </w:p>
                </w:txbxContent>
              </v:textbox>
            </v:shape>
          </w:pict>
        </mc:Fallback>
      </mc:AlternateContent>
    </w:r>
    <w:r>
      <w:rPr>
        <w:rFonts w:hint="eastAsia"/>
      </w:rPr>
      <w:tab/>
    </w:r>
  </w:p>
  <w:p w14:paraId="73FD3302">
    <w:pPr>
      <w:pStyle w:val="7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7BD87">
    <w:pPr>
      <w:pStyle w:val="13"/>
      <w:jc w:val="center"/>
      <w:rPr>
        <w:rFonts w:hint="default"/>
        <w:szCs w:val="24"/>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D0D853">
                          <w:pPr>
                            <w:pStyle w:val="13"/>
                          </w:pPr>
                          <w:r>
                            <w:fldChar w:fldCharType="begin"/>
                          </w:r>
                          <w:r>
                            <w:instrText xml:space="preserve"> PAGE  \* MERGEFORMAT </w:instrText>
                          </w:r>
                          <w:r>
                            <w:fldChar w:fldCharType="separate"/>
                          </w:r>
                          <w:r>
                            <w:t>117</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61D0D853">
                    <w:pPr>
                      <w:pStyle w:val="1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1C487">
    <w:pPr>
      <w:jc w:val="center"/>
      <w:rPr>
        <w:rFonts w:hint="default"/>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4B371">
    <w:pPr>
      <w:pStyle w:val="14"/>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2DEF9"/>
    <w:multiLevelType w:val="singleLevel"/>
    <w:tmpl w:val="8152DEF9"/>
    <w:lvl w:ilvl="0" w:tentative="0">
      <w:start w:val="1"/>
      <w:numFmt w:val="decimal"/>
      <w:suff w:val="nothing"/>
      <w:lvlText w:val="（%1）"/>
      <w:lvlJc w:val="left"/>
    </w:lvl>
  </w:abstractNum>
  <w:abstractNum w:abstractNumId="1">
    <w:nsid w:val="B9E9C1E3"/>
    <w:multiLevelType w:val="singleLevel"/>
    <w:tmpl w:val="B9E9C1E3"/>
    <w:lvl w:ilvl="0" w:tentative="0">
      <w:start w:val="1"/>
      <w:numFmt w:val="decimal"/>
      <w:lvlText w:val="%1."/>
      <w:lvlJc w:val="left"/>
      <w:pPr>
        <w:tabs>
          <w:tab w:val="left" w:pos="312"/>
        </w:tabs>
      </w:pPr>
    </w:lvl>
  </w:abstractNum>
  <w:abstractNum w:abstractNumId="2">
    <w:nsid w:val="C099E3A4"/>
    <w:multiLevelType w:val="singleLevel"/>
    <w:tmpl w:val="C099E3A4"/>
    <w:lvl w:ilvl="0" w:tentative="0">
      <w:start w:val="1"/>
      <w:numFmt w:val="chineseCounting"/>
      <w:suff w:val="nothing"/>
      <w:lvlText w:val="第%1、"/>
      <w:lvlJc w:val="left"/>
      <w:rPr>
        <w:rFonts w:hint="eastAsia"/>
      </w:rPr>
    </w:lvl>
  </w:abstractNum>
  <w:abstractNum w:abstractNumId="3">
    <w:nsid w:val="CFABDD9F"/>
    <w:multiLevelType w:val="singleLevel"/>
    <w:tmpl w:val="CFABDD9F"/>
    <w:lvl w:ilvl="0" w:tentative="0">
      <w:start w:val="1"/>
      <w:numFmt w:val="decimal"/>
      <w:suff w:val="nothing"/>
      <w:lvlText w:val="（%1）"/>
      <w:lvlJc w:val="left"/>
    </w:lvl>
  </w:abstractNum>
  <w:abstractNum w:abstractNumId="4">
    <w:nsid w:val="00000009"/>
    <w:multiLevelType w:val="multilevel"/>
    <w:tmpl w:val="00000009"/>
    <w:lvl w:ilvl="0" w:tentative="0">
      <w:start w:val="1"/>
      <w:numFmt w:val="bullet"/>
      <w:lvlText w:val=""/>
      <w:lvlJc w:val="left"/>
      <w:pPr>
        <w:tabs>
          <w:tab w:val="left" w:pos="420"/>
        </w:tabs>
        <w:ind w:left="420" w:hanging="420"/>
      </w:pPr>
      <w:rPr>
        <w:rFonts w:hint="default" w:ascii="Wingdings" w:hAnsi="Wingdings"/>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5891717B"/>
    <w:multiLevelType w:val="singleLevel"/>
    <w:tmpl w:val="5891717B"/>
    <w:lvl w:ilvl="0" w:tentative="0">
      <w:start w:val="1"/>
      <w:numFmt w:val="decimal"/>
      <w:lvlText w:val="%1."/>
      <w:lvlJc w:val="left"/>
      <w:pPr>
        <w:tabs>
          <w:tab w:val="left" w:pos="312"/>
        </w:tabs>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jNTZhM2Y3Y2VjMzYxMDhmOTE1NzQzN2U4NjM5NzEifQ=="/>
    <w:docVar w:name="KSO_WPS_MARK_KEY" w:val="2b56eff9-4bef-4219-8874-9567fb1cde91"/>
  </w:docVars>
  <w:rsids>
    <w:rsidRoot w:val="4C5944B1"/>
    <w:rsid w:val="000B7698"/>
    <w:rsid w:val="000F7646"/>
    <w:rsid w:val="0011760F"/>
    <w:rsid w:val="001E0850"/>
    <w:rsid w:val="00281ECB"/>
    <w:rsid w:val="002F176F"/>
    <w:rsid w:val="003A1942"/>
    <w:rsid w:val="003B643A"/>
    <w:rsid w:val="003E2709"/>
    <w:rsid w:val="004218C1"/>
    <w:rsid w:val="004B2B21"/>
    <w:rsid w:val="004F7FD5"/>
    <w:rsid w:val="0055689E"/>
    <w:rsid w:val="005E6BB8"/>
    <w:rsid w:val="0064163D"/>
    <w:rsid w:val="007C3F91"/>
    <w:rsid w:val="008C4168"/>
    <w:rsid w:val="00901845"/>
    <w:rsid w:val="00936991"/>
    <w:rsid w:val="00943625"/>
    <w:rsid w:val="00954357"/>
    <w:rsid w:val="00954A54"/>
    <w:rsid w:val="009E5347"/>
    <w:rsid w:val="00A322B9"/>
    <w:rsid w:val="00A80EA7"/>
    <w:rsid w:val="00AF685C"/>
    <w:rsid w:val="00B16179"/>
    <w:rsid w:val="00B37196"/>
    <w:rsid w:val="00C04E0C"/>
    <w:rsid w:val="00CB07F4"/>
    <w:rsid w:val="00CB4007"/>
    <w:rsid w:val="00CD4D5B"/>
    <w:rsid w:val="00D561CD"/>
    <w:rsid w:val="00DA5A23"/>
    <w:rsid w:val="00DF3269"/>
    <w:rsid w:val="00E76514"/>
    <w:rsid w:val="00ED4B12"/>
    <w:rsid w:val="00EF5BA2"/>
    <w:rsid w:val="00F95669"/>
    <w:rsid w:val="010F7FF3"/>
    <w:rsid w:val="01284AF4"/>
    <w:rsid w:val="012C10F1"/>
    <w:rsid w:val="012F41F1"/>
    <w:rsid w:val="016A5229"/>
    <w:rsid w:val="01A93FA3"/>
    <w:rsid w:val="01C53654"/>
    <w:rsid w:val="01E704A0"/>
    <w:rsid w:val="01F123E4"/>
    <w:rsid w:val="02251150"/>
    <w:rsid w:val="025D633B"/>
    <w:rsid w:val="02665093"/>
    <w:rsid w:val="02673FAD"/>
    <w:rsid w:val="027F7030"/>
    <w:rsid w:val="028E13EB"/>
    <w:rsid w:val="029933CC"/>
    <w:rsid w:val="02AE7397"/>
    <w:rsid w:val="02D70973"/>
    <w:rsid w:val="02D84414"/>
    <w:rsid w:val="02E1151B"/>
    <w:rsid w:val="032C3B6B"/>
    <w:rsid w:val="033923C2"/>
    <w:rsid w:val="0348159A"/>
    <w:rsid w:val="03724869"/>
    <w:rsid w:val="0385459C"/>
    <w:rsid w:val="0385634A"/>
    <w:rsid w:val="038A7E04"/>
    <w:rsid w:val="038C5CCB"/>
    <w:rsid w:val="03B44328"/>
    <w:rsid w:val="03C50E3C"/>
    <w:rsid w:val="03D319EF"/>
    <w:rsid w:val="03F46BE4"/>
    <w:rsid w:val="041A1188"/>
    <w:rsid w:val="042E69E2"/>
    <w:rsid w:val="04360B53"/>
    <w:rsid w:val="049727D9"/>
    <w:rsid w:val="04C72908"/>
    <w:rsid w:val="04EA57F9"/>
    <w:rsid w:val="06204F50"/>
    <w:rsid w:val="064E3EFE"/>
    <w:rsid w:val="06656ADB"/>
    <w:rsid w:val="06826B71"/>
    <w:rsid w:val="068308FE"/>
    <w:rsid w:val="068A58D2"/>
    <w:rsid w:val="0694486B"/>
    <w:rsid w:val="06F37A6F"/>
    <w:rsid w:val="06FF1426"/>
    <w:rsid w:val="07283BBC"/>
    <w:rsid w:val="07312D1A"/>
    <w:rsid w:val="07351E35"/>
    <w:rsid w:val="0741366C"/>
    <w:rsid w:val="074A1D85"/>
    <w:rsid w:val="075E313A"/>
    <w:rsid w:val="077C17D7"/>
    <w:rsid w:val="07A10088"/>
    <w:rsid w:val="07A76DE7"/>
    <w:rsid w:val="07C21547"/>
    <w:rsid w:val="07C40809"/>
    <w:rsid w:val="07E13D6B"/>
    <w:rsid w:val="07E8334B"/>
    <w:rsid w:val="081E0766"/>
    <w:rsid w:val="082D0D5E"/>
    <w:rsid w:val="082D559A"/>
    <w:rsid w:val="083E11BD"/>
    <w:rsid w:val="08915791"/>
    <w:rsid w:val="08AA23AF"/>
    <w:rsid w:val="08C47915"/>
    <w:rsid w:val="08E27D9B"/>
    <w:rsid w:val="08E51639"/>
    <w:rsid w:val="08F54BC3"/>
    <w:rsid w:val="092752BD"/>
    <w:rsid w:val="09B554AF"/>
    <w:rsid w:val="09C86F91"/>
    <w:rsid w:val="09EB1836"/>
    <w:rsid w:val="0A006D29"/>
    <w:rsid w:val="0A0159BF"/>
    <w:rsid w:val="0A1421D6"/>
    <w:rsid w:val="0A3D0CAE"/>
    <w:rsid w:val="0A560A40"/>
    <w:rsid w:val="0A5C2888"/>
    <w:rsid w:val="0A6F38B0"/>
    <w:rsid w:val="0A873975"/>
    <w:rsid w:val="0A9E2D09"/>
    <w:rsid w:val="0AB358B7"/>
    <w:rsid w:val="0AB36DB1"/>
    <w:rsid w:val="0AB80DB3"/>
    <w:rsid w:val="0AD7112E"/>
    <w:rsid w:val="0AFD4502"/>
    <w:rsid w:val="0B633415"/>
    <w:rsid w:val="0B6D7317"/>
    <w:rsid w:val="0B8D2240"/>
    <w:rsid w:val="0BDA37C7"/>
    <w:rsid w:val="0C183B2E"/>
    <w:rsid w:val="0C3C08C2"/>
    <w:rsid w:val="0C5C7E64"/>
    <w:rsid w:val="0C7358DA"/>
    <w:rsid w:val="0C7D5BCC"/>
    <w:rsid w:val="0C8B1D7C"/>
    <w:rsid w:val="0C8F023A"/>
    <w:rsid w:val="0CBC40CB"/>
    <w:rsid w:val="0CC53C5B"/>
    <w:rsid w:val="0CDD0FA5"/>
    <w:rsid w:val="0CE869F8"/>
    <w:rsid w:val="0D1B00F8"/>
    <w:rsid w:val="0D2B56E9"/>
    <w:rsid w:val="0D5374B9"/>
    <w:rsid w:val="0D724D63"/>
    <w:rsid w:val="0D7C6A10"/>
    <w:rsid w:val="0D8D045B"/>
    <w:rsid w:val="0D9642F0"/>
    <w:rsid w:val="0DA63A8D"/>
    <w:rsid w:val="0DB937C0"/>
    <w:rsid w:val="0DBB25A8"/>
    <w:rsid w:val="0DC53787"/>
    <w:rsid w:val="0DDA28D6"/>
    <w:rsid w:val="0DE6650F"/>
    <w:rsid w:val="0DEF37FE"/>
    <w:rsid w:val="0DF73507"/>
    <w:rsid w:val="0DFA207C"/>
    <w:rsid w:val="0E554708"/>
    <w:rsid w:val="0E554C7C"/>
    <w:rsid w:val="0E625C06"/>
    <w:rsid w:val="0E86165D"/>
    <w:rsid w:val="0EAD0264"/>
    <w:rsid w:val="0EB3119A"/>
    <w:rsid w:val="0F0A0D37"/>
    <w:rsid w:val="0F4E10F7"/>
    <w:rsid w:val="0F640D2F"/>
    <w:rsid w:val="0F670CCA"/>
    <w:rsid w:val="0F930041"/>
    <w:rsid w:val="0FB14F6D"/>
    <w:rsid w:val="0FB24E29"/>
    <w:rsid w:val="0FE90846"/>
    <w:rsid w:val="101C0036"/>
    <w:rsid w:val="10264A11"/>
    <w:rsid w:val="102D3FF1"/>
    <w:rsid w:val="10667503"/>
    <w:rsid w:val="10725EA8"/>
    <w:rsid w:val="10855BDB"/>
    <w:rsid w:val="10AA7A66"/>
    <w:rsid w:val="10BD6F35"/>
    <w:rsid w:val="10CD6B01"/>
    <w:rsid w:val="11584D75"/>
    <w:rsid w:val="1180428A"/>
    <w:rsid w:val="11845E93"/>
    <w:rsid w:val="11D83F48"/>
    <w:rsid w:val="11DB4B38"/>
    <w:rsid w:val="11F8418B"/>
    <w:rsid w:val="121511E1"/>
    <w:rsid w:val="123E21E9"/>
    <w:rsid w:val="13156E63"/>
    <w:rsid w:val="131F5532"/>
    <w:rsid w:val="13426006"/>
    <w:rsid w:val="13451652"/>
    <w:rsid w:val="13491142"/>
    <w:rsid w:val="134F44BE"/>
    <w:rsid w:val="136E0B00"/>
    <w:rsid w:val="13734957"/>
    <w:rsid w:val="13BD0DD3"/>
    <w:rsid w:val="13E66B49"/>
    <w:rsid w:val="13F37300"/>
    <w:rsid w:val="143C0CA7"/>
    <w:rsid w:val="14430A9C"/>
    <w:rsid w:val="144E2788"/>
    <w:rsid w:val="148F7029"/>
    <w:rsid w:val="149763D6"/>
    <w:rsid w:val="14BB4DC8"/>
    <w:rsid w:val="14C3348E"/>
    <w:rsid w:val="14D53AC2"/>
    <w:rsid w:val="14E1675A"/>
    <w:rsid w:val="14E32ED1"/>
    <w:rsid w:val="14EC447B"/>
    <w:rsid w:val="150A49B0"/>
    <w:rsid w:val="1525173B"/>
    <w:rsid w:val="15292570"/>
    <w:rsid w:val="15B7490E"/>
    <w:rsid w:val="15BC4477"/>
    <w:rsid w:val="15C72DBA"/>
    <w:rsid w:val="160E6248"/>
    <w:rsid w:val="161F586A"/>
    <w:rsid w:val="16201F02"/>
    <w:rsid w:val="164E4741"/>
    <w:rsid w:val="168B3820"/>
    <w:rsid w:val="16E178E4"/>
    <w:rsid w:val="16E66CA8"/>
    <w:rsid w:val="175E7186"/>
    <w:rsid w:val="17A60298"/>
    <w:rsid w:val="17AF3CDA"/>
    <w:rsid w:val="17B73663"/>
    <w:rsid w:val="17C90AA4"/>
    <w:rsid w:val="17FF3E14"/>
    <w:rsid w:val="182A7068"/>
    <w:rsid w:val="18426433"/>
    <w:rsid w:val="18770500"/>
    <w:rsid w:val="18AE7C99"/>
    <w:rsid w:val="18DC49E3"/>
    <w:rsid w:val="18E25825"/>
    <w:rsid w:val="18F546F2"/>
    <w:rsid w:val="19212219"/>
    <w:rsid w:val="19363AFA"/>
    <w:rsid w:val="196547FC"/>
    <w:rsid w:val="19866520"/>
    <w:rsid w:val="19A370D2"/>
    <w:rsid w:val="19B600B0"/>
    <w:rsid w:val="19B72B7E"/>
    <w:rsid w:val="19CB261C"/>
    <w:rsid w:val="19CB4621"/>
    <w:rsid w:val="19F37903"/>
    <w:rsid w:val="1A04743A"/>
    <w:rsid w:val="1A241393"/>
    <w:rsid w:val="1A3B37AF"/>
    <w:rsid w:val="1A495ECC"/>
    <w:rsid w:val="1A602AAD"/>
    <w:rsid w:val="1A8506D5"/>
    <w:rsid w:val="1A937147"/>
    <w:rsid w:val="1AA41354"/>
    <w:rsid w:val="1AA650CC"/>
    <w:rsid w:val="1AC63078"/>
    <w:rsid w:val="1ACF42A1"/>
    <w:rsid w:val="1AE479A2"/>
    <w:rsid w:val="1B1742F2"/>
    <w:rsid w:val="1B2E4C6C"/>
    <w:rsid w:val="1B5003E0"/>
    <w:rsid w:val="1B5F6903"/>
    <w:rsid w:val="1B6034CD"/>
    <w:rsid w:val="1B690B70"/>
    <w:rsid w:val="1B754A9E"/>
    <w:rsid w:val="1B8076CB"/>
    <w:rsid w:val="1B8A59D6"/>
    <w:rsid w:val="1B8D3829"/>
    <w:rsid w:val="1B99253B"/>
    <w:rsid w:val="1BAF4AA0"/>
    <w:rsid w:val="1BC03F6C"/>
    <w:rsid w:val="1BC05D1A"/>
    <w:rsid w:val="1BC11A92"/>
    <w:rsid w:val="1BC62A56"/>
    <w:rsid w:val="1BF80445"/>
    <w:rsid w:val="1C01417E"/>
    <w:rsid w:val="1C4C1CA3"/>
    <w:rsid w:val="1C6061C5"/>
    <w:rsid w:val="1C8F1025"/>
    <w:rsid w:val="1C9A1142"/>
    <w:rsid w:val="1C9F0025"/>
    <w:rsid w:val="1CDD25B2"/>
    <w:rsid w:val="1CDD28FB"/>
    <w:rsid w:val="1CDE71ED"/>
    <w:rsid w:val="1D326551"/>
    <w:rsid w:val="1D53167C"/>
    <w:rsid w:val="1D750002"/>
    <w:rsid w:val="1D7B63DC"/>
    <w:rsid w:val="1D882867"/>
    <w:rsid w:val="1DB4365C"/>
    <w:rsid w:val="1DB7314C"/>
    <w:rsid w:val="1DC615E1"/>
    <w:rsid w:val="1DC85359"/>
    <w:rsid w:val="1DE504BC"/>
    <w:rsid w:val="1DEB51E9"/>
    <w:rsid w:val="1DF36C85"/>
    <w:rsid w:val="1E480248"/>
    <w:rsid w:val="1E5310C7"/>
    <w:rsid w:val="1E787E3F"/>
    <w:rsid w:val="1E896032"/>
    <w:rsid w:val="1EBA1146"/>
    <w:rsid w:val="1ED02718"/>
    <w:rsid w:val="1EFD7044"/>
    <w:rsid w:val="1F0B09EA"/>
    <w:rsid w:val="1F1F3C4D"/>
    <w:rsid w:val="1F26208B"/>
    <w:rsid w:val="1F27633C"/>
    <w:rsid w:val="1F4549D5"/>
    <w:rsid w:val="1F505606"/>
    <w:rsid w:val="1F657EE2"/>
    <w:rsid w:val="1F7D13AE"/>
    <w:rsid w:val="1F7F413E"/>
    <w:rsid w:val="1F9951FF"/>
    <w:rsid w:val="1FBD45F2"/>
    <w:rsid w:val="1FCA53B9"/>
    <w:rsid w:val="1FD44704"/>
    <w:rsid w:val="1FD81A51"/>
    <w:rsid w:val="1FE65F6B"/>
    <w:rsid w:val="20012DA5"/>
    <w:rsid w:val="201E74B3"/>
    <w:rsid w:val="20315438"/>
    <w:rsid w:val="206C46C2"/>
    <w:rsid w:val="206C6470"/>
    <w:rsid w:val="20941E5C"/>
    <w:rsid w:val="20B144DF"/>
    <w:rsid w:val="20CB32E8"/>
    <w:rsid w:val="20EF49EE"/>
    <w:rsid w:val="211046C7"/>
    <w:rsid w:val="211D59BC"/>
    <w:rsid w:val="214C62A1"/>
    <w:rsid w:val="21933ED0"/>
    <w:rsid w:val="21DA0780"/>
    <w:rsid w:val="222D1BEC"/>
    <w:rsid w:val="22453D2B"/>
    <w:rsid w:val="2252621C"/>
    <w:rsid w:val="225278E7"/>
    <w:rsid w:val="225615B4"/>
    <w:rsid w:val="225A40A6"/>
    <w:rsid w:val="22765C1A"/>
    <w:rsid w:val="229B05C6"/>
    <w:rsid w:val="22A26860"/>
    <w:rsid w:val="22D10014"/>
    <w:rsid w:val="22DC6741"/>
    <w:rsid w:val="22E42C35"/>
    <w:rsid w:val="23007343"/>
    <w:rsid w:val="2305495A"/>
    <w:rsid w:val="230C5CE8"/>
    <w:rsid w:val="235F6EB5"/>
    <w:rsid w:val="23A2739A"/>
    <w:rsid w:val="23A76437"/>
    <w:rsid w:val="23BE3486"/>
    <w:rsid w:val="23DF51AB"/>
    <w:rsid w:val="23F207FF"/>
    <w:rsid w:val="23F23130"/>
    <w:rsid w:val="242F6132"/>
    <w:rsid w:val="24491954"/>
    <w:rsid w:val="24704055"/>
    <w:rsid w:val="24B2486E"/>
    <w:rsid w:val="24C3687B"/>
    <w:rsid w:val="24EE1B49"/>
    <w:rsid w:val="25153BB3"/>
    <w:rsid w:val="253B5A69"/>
    <w:rsid w:val="25651834"/>
    <w:rsid w:val="2578303A"/>
    <w:rsid w:val="257D5076"/>
    <w:rsid w:val="25972C96"/>
    <w:rsid w:val="259D70CC"/>
    <w:rsid w:val="25A01B67"/>
    <w:rsid w:val="25BF256F"/>
    <w:rsid w:val="25C1100C"/>
    <w:rsid w:val="25C340B6"/>
    <w:rsid w:val="25D36F91"/>
    <w:rsid w:val="25DF2B3E"/>
    <w:rsid w:val="25E8104B"/>
    <w:rsid w:val="266F2816"/>
    <w:rsid w:val="268F110A"/>
    <w:rsid w:val="26A34BB6"/>
    <w:rsid w:val="26C0203C"/>
    <w:rsid w:val="271D6716"/>
    <w:rsid w:val="27277595"/>
    <w:rsid w:val="272F01F7"/>
    <w:rsid w:val="274572A5"/>
    <w:rsid w:val="27462BA9"/>
    <w:rsid w:val="274E2D58"/>
    <w:rsid w:val="275131CB"/>
    <w:rsid w:val="275D6250"/>
    <w:rsid w:val="276445C9"/>
    <w:rsid w:val="278C73F8"/>
    <w:rsid w:val="27AC35F6"/>
    <w:rsid w:val="27BE012C"/>
    <w:rsid w:val="27D668C5"/>
    <w:rsid w:val="27EB411E"/>
    <w:rsid w:val="27EE5228"/>
    <w:rsid w:val="280671AA"/>
    <w:rsid w:val="28310773"/>
    <w:rsid w:val="28335AC5"/>
    <w:rsid w:val="283B4DC5"/>
    <w:rsid w:val="28461C9C"/>
    <w:rsid w:val="286B079C"/>
    <w:rsid w:val="2893029D"/>
    <w:rsid w:val="28C411E9"/>
    <w:rsid w:val="28E55692"/>
    <w:rsid w:val="28FD4CC9"/>
    <w:rsid w:val="292F2731"/>
    <w:rsid w:val="294C5091"/>
    <w:rsid w:val="296A3769"/>
    <w:rsid w:val="297D16EE"/>
    <w:rsid w:val="298F4F7D"/>
    <w:rsid w:val="29B24674"/>
    <w:rsid w:val="2A187669"/>
    <w:rsid w:val="2A475858"/>
    <w:rsid w:val="2A6B3832"/>
    <w:rsid w:val="2A793900"/>
    <w:rsid w:val="2A7F1496"/>
    <w:rsid w:val="2A881CEC"/>
    <w:rsid w:val="2A994305"/>
    <w:rsid w:val="2AA85E3B"/>
    <w:rsid w:val="2AAA4765"/>
    <w:rsid w:val="2AB32EED"/>
    <w:rsid w:val="2AB80DCB"/>
    <w:rsid w:val="2AB90504"/>
    <w:rsid w:val="2AD90BA6"/>
    <w:rsid w:val="2AEA4B61"/>
    <w:rsid w:val="2B141BDE"/>
    <w:rsid w:val="2B4C6B5C"/>
    <w:rsid w:val="2B7613E8"/>
    <w:rsid w:val="2B8C7C7C"/>
    <w:rsid w:val="2BA456FE"/>
    <w:rsid w:val="2BD113C6"/>
    <w:rsid w:val="2BEF49DC"/>
    <w:rsid w:val="2C1B0D4A"/>
    <w:rsid w:val="2C302A48"/>
    <w:rsid w:val="2C5D5807"/>
    <w:rsid w:val="2C6E3570"/>
    <w:rsid w:val="2C733DC5"/>
    <w:rsid w:val="2C7F577D"/>
    <w:rsid w:val="2C856399"/>
    <w:rsid w:val="2C861EB2"/>
    <w:rsid w:val="2CD57184"/>
    <w:rsid w:val="2CE466AC"/>
    <w:rsid w:val="2CE53DF2"/>
    <w:rsid w:val="2D145EC5"/>
    <w:rsid w:val="2D2B0789"/>
    <w:rsid w:val="2D5C6602"/>
    <w:rsid w:val="2D652012"/>
    <w:rsid w:val="2D6A1F89"/>
    <w:rsid w:val="2DCD0072"/>
    <w:rsid w:val="2DFA155F"/>
    <w:rsid w:val="2E026666"/>
    <w:rsid w:val="2E100D83"/>
    <w:rsid w:val="2E162111"/>
    <w:rsid w:val="2E222864"/>
    <w:rsid w:val="2E312AA7"/>
    <w:rsid w:val="2E5A3DAC"/>
    <w:rsid w:val="2E6C637A"/>
    <w:rsid w:val="2E823302"/>
    <w:rsid w:val="2F0C7FE5"/>
    <w:rsid w:val="2F34284F"/>
    <w:rsid w:val="2F594063"/>
    <w:rsid w:val="2F77098D"/>
    <w:rsid w:val="2F7E7F6E"/>
    <w:rsid w:val="2F7F0633"/>
    <w:rsid w:val="2F8530AA"/>
    <w:rsid w:val="2FC35981"/>
    <w:rsid w:val="2FC608DA"/>
    <w:rsid w:val="2FC90D1F"/>
    <w:rsid w:val="2FEC3129"/>
    <w:rsid w:val="303625F7"/>
    <w:rsid w:val="30890978"/>
    <w:rsid w:val="30AB6B41"/>
    <w:rsid w:val="30AC28B9"/>
    <w:rsid w:val="310B75DF"/>
    <w:rsid w:val="31336B36"/>
    <w:rsid w:val="313C1E8F"/>
    <w:rsid w:val="31491327"/>
    <w:rsid w:val="3150593A"/>
    <w:rsid w:val="315947EF"/>
    <w:rsid w:val="317B7E20"/>
    <w:rsid w:val="31B45EC9"/>
    <w:rsid w:val="31C91C1F"/>
    <w:rsid w:val="31FB42D0"/>
    <w:rsid w:val="320A7220"/>
    <w:rsid w:val="32696CB3"/>
    <w:rsid w:val="326B7E18"/>
    <w:rsid w:val="326E7E26"/>
    <w:rsid w:val="32830F54"/>
    <w:rsid w:val="3286265A"/>
    <w:rsid w:val="32891103"/>
    <w:rsid w:val="329A44C1"/>
    <w:rsid w:val="32B653FC"/>
    <w:rsid w:val="32DE4292"/>
    <w:rsid w:val="32E12CEE"/>
    <w:rsid w:val="32E53E60"/>
    <w:rsid w:val="32EB37B8"/>
    <w:rsid w:val="3337290D"/>
    <w:rsid w:val="335B7731"/>
    <w:rsid w:val="33784CD4"/>
    <w:rsid w:val="33B71CA0"/>
    <w:rsid w:val="33C406F9"/>
    <w:rsid w:val="33CD3272"/>
    <w:rsid w:val="33E800AC"/>
    <w:rsid w:val="33F87B2A"/>
    <w:rsid w:val="33FB1B8D"/>
    <w:rsid w:val="343C4C08"/>
    <w:rsid w:val="34441BD5"/>
    <w:rsid w:val="344A2216"/>
    <w:rsid w:val="346317C9"/>
    <w:rsid w:val="346534AA"/>
    <w:rsid w:val="34A55F9D"/>
    <w:rsid w:val="34A5706F"/>
    <w:rsid w:val="34AB28E5"/>
    <w:rsid w:val="34B14EA3"/>
    <w:rsid w:val="34C33404"/>
    <w:rsid w:val="34FA62E8"/>
    <w:rsid w:val="35156C7E"/>
    <w:rsid w:val="35213875"/>
    <w:rsid w:val="35325511"/>
    <w:rsid w:val="355F7EFA"/>
    <w:rsid w:val="357C24B3"/>
    <w:rsid w:val="358362DE"/>
    <w:rsid w:val="35843E04"/>
    <w:rsid w:val="35A65B28"/>
    <w:rsid w:val="35C12962"/>
    <w:rsid w:val="35C4206C"/>
    <w:rsid w:val="360F7B72"/>
    <w:rsid w:val="365437D6"/>
    <w:rsid w:val="365F0C97"/>
    <w:rsid w:val="3670318E"/>
    <w:rsid w:val="36BD5820"/>
    <w:rsid w:val="36BF209F"/>
    <w:rsid w:val="36D13957"/>
    <w:rsid w:val="36D466C5"/>
    <w:rsid w:val="36F11025"/>
    <w:rsid w:val="36FA44D9"/>
    <w:rsid w:val="37133ED5"/>
    <w:rsid w:val="3728071C"/>
    <w:rsid w:val="374C7633"/>
    <w:rsid w:val="37691503"/>
    <w:rsid w:val="376E08C8"/>
    <w:rsid w:val="377C4D93"/>
    <w:rsid w:val="37AF33BA"/>
    <w:rsid w:val="37C37093"/>
    <w:rsid w:val="37D70CAE"/>
    <w:rsid w:val="37DD0002"/>
    <w:rsid w:val="37DF5322"/>
    <w:rsid w:val="37ED2BA2"/>
    <w:rsid w:val="37EF7C5B"/>
    <w:rsid w:val="37FC5ED4"/>
    <w:rsid w:val="381E5756"/>
    <w:rsid w:val="384358B1"/>
    <w:rsid w:val="386859FD"/>
    <w:rsid w:val="38A10829"/>
    <w:rsid w:val="38B44A00"/>
    <w:rsid w:val="38D03858"/>
    <w:rsid w:val="390E5CB1"/>
    <w:rsid w:val="39177E14"/>
    <w:rsid w:val="391A6E08"/>
    <w:rsid w:val="39495F16"/>
    <w:rsid w:val="39657AA9"/>
    <w:rsid w:val="397321C6"/>
    <w:rsid w:val="397D273B"/>
    <w:rsid w:val="39F8091D"/>
    <w:rsid w:val="3A0A0D7C"/>
    <w:rsid w:val="3A21319F"/>
    <w:rsid w:val="3A223F8F"/>
    <w:rsid w:val="3A350062"/>
    <w:rsid w:val="3A55125A"/>
    <w:rsid w:val="3AAF722D"/>
    <w:rsid w:val="3AB510A7"/>
    <w:rsid w:val="3AC24493"/>
    <w:rsid w:val="3ACF398B"/>
    <w:rsid w:val="3AD6600A"/>
    <w:rsid w:val="3AD959D6"/>
    <w:rsid w:val="3AFF5C22"/>
    <w:rsid w:val="3B20637D"/>
    <w:rsid w:val="3B2154F6"/>
    <w:rsid w:val="3B286FE0"/>
    <w:rsid w:val="3B3E2DB3"/>
    <w:rsid w:val="3B602C1D"/>
    <w:rsid w:val="3BB54E46"/>
    <w:rsid w:val="3BCF3541"/>
    <w:rsid w:val="3BEB24E7"/>
    <w:rsid w:val="3C090BBF"/>
    <w:rsid w:val="3C1E33AE"/>
    <w:rsid w:val="3C3001B4"/>
    <w:rsid w:val="3C335C3C"/>
    <w:rsid w:val="3C340332"/>
    <w:rsid w:val="3C421D7A"/>
    <w:rsid w:val="3C836701"/>
    <w:rsid w:val="3CA52FDE"/>
    <w:rsid w:val="3CC22946"/>
    <w:rsid w:val="3CD01F3B"/>
    <w:rsid w:val="3CD7328C"/>
    <w:rsid w:val="3CE753A4"/>
    <w:rsid w:val="3CF96E86"/>
    <w:rsid w:val="3D204801"/>
    <w:rsid w:val="3D287F80"/>
    <w:rsid w:val="3D361E88"/>
    <w:rsid w:val="3D3A3C3D"/>
    <w:rsid w:val="3D4C4431"/>
    <w:rsid w:val="3D697A37"/>
    <w:rsid w:val="3D7D7AB7"/>
    <w:rsid w:val="3D87623F"/>
    <w:rsid w:val="3D9646D4"/>
    <w:rsid w:val="3D995F73"/>
    <w:rsid w:val="3DC95243"/>
    <w:rsid w:val="3DE07FF0"/>
    <w:rsid w:val="3DF21BF1"/>
    <w:rsid w:val="3DFB1EF6"/>
    <w:rsid w:val="3E047890"/>
    <w:rsid w:val="3E06185A"/>
    <w:rsid w:val="3E0D42F0"/>
    <w:rsid w:val="3E2449C7"/>
    <w:rsid w:val="3E2C6DE7"/>
    <w:rsid w:val="3E3363C7"/>
    <w:rsid w:val="3E976956"/>
    <w:rsid w:val="3F0538C0"/>
    <w:rsid w:val="3F073ADC"/>
    <w:rsid w:val="3F2008F3"/>
    <w:rsid w:val="3F2F6B8F"/>
    <w:rsid w:val="3F390778"/>
    <w:rsid w:val="3F3D6161"/>
    <w:rsid w:val="3F5F71E0"/>
    <w:rsid w:val="3F9966FE"/>
    <w:rsid w:val="3FB5786C"/>
    <w:rsid w:val="3FB672B0"/>
    <w:rsid w:val="3FE306FB"/>
    <w:rsid w:val="3FEA0D08"/>
    <w:rsid w:val="3FEB51AC"/>
    <w:rsid w:val="400242A3"/>
    <w:rsid w:val="400358C7"/>
    <w:rsid w:val="4004001B"/>
    <w:rsid w:val="400B3176"/>
    <w:rsid w:val="401122A5"/>
    <w:rsid w:val="40112738"/>
    <w:rsid w:val="40582115"/>
    <w:rsid w:val="408F11E5"/>
    <w:rsid w:val="4099576A"/>
    <w:rsid w:val="40DC29CF"/>
    <w:rsid w:val="410B1343"/>
    <w:rsid w:val="411C1395"/>
    <w:rsid w:val="414E5376"/>
    <w:rsid w:val="41626E05"/>
    <w:rsid w:val="418952B9"/>
    <w:rsid w:val="418C2076"/>
    <w:rsid w:val="4196079D"/>
    <w:rsid w:val="419D0246"/>
    <w:rsid w:val="41C31810"/>
    <w:rsid w:val="41D0313B"/>
    <w:rsid w:val="41DD28D2"/>
    <w:rsid w:val="41E33C60"/>
    <w:rsid w:val="41E41548"/>
    <w:rsid w:val="42114C71"/>
    <w:rsid w:val="42150157"/>
    <w:rsid w:val="421C10AE"/>
    <w:rsid w:val="422E1516"/>
    <w:rsid w:val="425D3A13"/>
    <w:rsid w:val="42912938"/>
    <w:rsid w:val="429E3AD6"/>
    <w:rsid w:val="42B44D10"/>
    <w:rsid w:val="42BA41B0"/>
    <w:rsid w:val="42C13FA2"/>
    <w:rsid w:val="42C910A8"/>
    <w:rsid w:val="42DB3C12"/>
    <w:rsid w:val="42DE1E2E"/>
    <w:rsid w:val="430C15CB"/>
    <w:rsid w:val="430C699F"/>
    <w:rsid w:val="433F4523"/>
    <w:rsid w:val="435D2698"/>
    <w:rsid w:val="437943F5"/>
    <w:rsid w:val="439E2535"/>
    <w:rsid w:val="43A80694"/>
    <w:rsid w:val="43B6162D"/>
    <w:rsid w:val="43DF5FA7"/>
    <w:rsid w:val="43F403A7"/>
    <w:rsid w:val="44220A07"/>
    <w:rsid w:val="442C5D93"/>
    <w:rsid w:val="442C7B41"/>
    <w:rsid w:val="445F5FF9"/>
    <w:rsid w:val="44A578BE"/>
    <w:rsid w:val="44AD5AB7"/>
    <w:rsid w:val="44AD6ED3"/>
    <w:rsid w:val="44BA339E"/>
    <w:rsid w:val="44F93EC7"/>
    <w:rsid w:val="44FA73AF"/>
    <w:rsid w:val="45045C1E"/>
    <w:rsid w:val="45280308"/>
    <w:rsid w:val="45322F35"/>
    <w:rsid w:val="453E7B2C"/>
    <w:rsid w:val="45967968"/>
    <w:rsid w:val="459D6B25"/>
    <w:rsid w:val="45AC718B"/>
    <w:rsid w:val="45AD39D7"/>
    <w:rsid w:val="45BC08E0"/>
    <w:rsid w:val="46100AF5"/>
    <w:rsid w:val="46144D30"/>
    <w:rsid w:val="466C06C8"/>
    <w:rsid w:val="46717A8D"/>
    <w:rsid w:val="46893028"/>
    <w:rsid w:val="46A02C50"/>
    <w:rsid w:val="46A674BD"/>
    <w:rsid w:val="46B458C0"/>
    <w:rsid w:val="46C40504"/>
    <w:rsid w:val="46CB0A3C"/>
    <w:rsid w:val="46E77832"/>
    <w:rsid w:val="46EA736D"/>
    <w:rsid w:val="47134122"/>
    <w:rsid w:val="47213261"/>
    <w:rsid w:val="472879B0"/>
    <w:rsid w:val="474D3AEE"/>
    <w:rsid w:val="474E0CD4"/>
    <w:rsid w:val="47615D53"/>
    <w:rsid w:val="47617388"/>
    <w:rsid w:val="47623A9A"/>
    <w:rsid w:val="47694C08"/>
    <w:rsid w:val="4796702E"/>
    <w:rsid w:val="47A31000"/>
    <w:rsid w:val="47CD33E9"/>
    <w:rsid w:val="481608EC"/>
    <w:rsid w:val="484418FD"/>
    <w:rsid w:val="485D29BF"/>
    <w:rsid w:val="487429ED"/>
    <w:rsid w:val="487E3BD5"/>
    <w:rsid w:val="48BB1493"/>
    <w:rsid w:val="48C37705"/>
    <w:rsid w:val="48D11064"/>
    <w:rsid w:val="48D577B9"/>
    <w:rsid w:val="48D6451F"/>
    <w:rsid w:val="48FA020D"/>
    <w:rsid w:val="490620D6"/>
    <w:rsid w:val="49105C83"/>
    <w:rsid w:val="49350787"/>
    <w:rsid w:val="493E5947"/>
    <w:rsid w:val="49697141"/>
    <w:rsid w:val="497004D0"/>
    <w:rsid w:val="49A53A73"/>
    <w:rsid w:val="49B36F80"/>
    <w:rsid w:val="49BA59AE"/>
    <w:rsid w:val="49BE748D"/>
    <w:rsid w:val="49C460CC"/>
    <w:rsid w:val="49D97E23"/>
    <w:rsid w:val="4A080708"/>
    <w:rsid w:val="4A17094B"/>
    <w:rsid w:val="4A1B043B"/>
    <w:rsid w:val="4A4C4A99"/>
    <w:rsid w:val="4A91694F"/>
    <w:rsid w:val="4ABD14F2"/>
    <w:rsid w:val="4B3D2633"/>
    <w:rsid w:val="4B524331"/>
    <w:rsid w:val="4B5E0F27"/>
    <w:rsid w:val="4B9366F7"/>
    <w:rsid w:val="4BC55F37"/>
    <w:rsid w:val="4C03562B"/>
    <w:rsid w:val="4C1454C5"/>
    <w:rsid w:val="4C1E4213"/>
    <w:rsid w:val="4C35155C"/>
    <w:rsid w:val="4C3C03DF"/>
    <w:rsid w:val="4C51283A"/>
    <w:rsid w:val="4C5944B1"/>
    <w:rsid w:val="4C6F3A23"/>
    <w:rsid w:val="4C8F5C62"/>
    <w:rsid w:val="4CA26BF2"/>
    <w:rsid w:val="4CA77A88"/>
    <w:rsid w:val="4CEC60BF"/>
    <w:rsid w:val="4D0168EA"/>
    <w:rsid w:val="4D027EED"/>
    <w:rsid w:val="4D355CB8"/>
    <w:rsid w:val="4D4001B9"/>
    <w:rsid w:val="4D4B557E"/>
    <w:rsid w:val="4D4F2E7D"/>
    <w:rsid w:val="4D5D520F"/>
    <w:rsid w:val="4D6E32E7"/>
    <w:rsid w:val="4DA370C6"/>
    <w:rsid w:val="4DB320D6"/>
    <w:rsid w:val="4DD67651"/>
    <w:rsid w:val="4DD75848"/>
    <w:rsid w:val="4DD958BA"/>
    <w:rsid w:val="4DEB3918"/>
    <w:rsid w:val="4DEF4911"/>
    <w:rsid w:val="4E192EE4"/>
    <w:rsid w:val="4E1C4782"/>
    <w:rsid w:val="4E267A1C"/>
    <w:rsid w:val="4E3221F7"/>
    <w:rsid w:val="4E74636C"/>
    <w:rsid w:val="4EA9414C"/>
    <w:rsid w:val="4EC779CB"/>
    <w:rsid w:val="4EE87ACC"/>
    <w:rsid w:val="4EEF1E97"/>
    <w:rsid w:val="4EFE47D1"/>
    <w:rsid w:val="4F122A8C"/>
    <w:rsid w:val="4F244236"/>
    <w:rsid w:val="4F802EB1"/>
    <w:rsid w:val="4FC7696F"/>
    <w:rsid w:val="4FE00907"/>
    <w:rsid w:val="4FE97FF4"/>
    <w:rsid w:val="4FF05EC6"/>
    <w:rsid w:val="4FF63749"/>
    <w:rsid w:val="50102AE1"/>
    <w:rsid w:val="50605398"/>
    <w:rsid w:val="507408A5"/>
    <w:rsid w:val="50832EE6"/>
    <w:rsid w:val="508A67B9"/>
    <w:rsid w:val="509E39F8"/>
    <w:rsid w:val="509E3AE8"/>
    <w:rsid w:val="50DE6894"/>
    <w:rsid w:val="510150F1"/>
    <w:rsid w:val="512322CB"/>
    <w:rsid w:val="512A23E5"/>
    <w:rsid w:val="51417EDC"/>
    <w:rsid w:val="51654692"/>
    <w:rsid w:val="51B03B5F"/>
    <w:rsid w:val="51C13FBE"/>
    <w:rsid w:val="51D14ACF"/>
    <w:rsid w:val="51E073BF"/>
    <w:rsid w:val="51FA638D"/>
    <w:rsid w:val="5200056D"/>
    <w:rsid w:val="52181704"/>
    <w:rsid w:val="52291B63"/>
    <w:rsid w:val="523429E2"/>
    <w:rsid w:val="5237602E"/>
    <w:rsid w:val="52392F23"/>
    <w:rsid w:val="525A17EE"/>
    <w:rsid w:val="525A3919"/>
    <w:rsid w:val="52741030"/>
    <w:rsid w:val="527E5A0B"/>
    <w:rsid w:val="527F1783"/>
    <w:rsid w:val="52923265"/>
    <w:rsid w:val="529951F6"/>
    <w:rsid w:val="52A42F98"/>
    <w:rsid w:val="52B11F76"/>
    <w:rsid w:val="52B551A5"/>
    <w:rsid w:val="52C37BA3"/>
    <w:rsid w:val="52D3458B"/>
    <w:rsid w:val="52ED43B9"/>
    <w:rsid w:val="53014291"/>
    <w:rsid w:val="53043E75"/>
    <w:rsid w:val="53084363"/>
    <w:rsid w:val="533D4D64"/>
    <w:rsid w:val="535B3F9E"/>
    <w:rsid w:val="537C0DFA"/>
    <w:rsid w:val="53BF452D"/>
    <w:rsid w:val="53F944C5"/>
    <w:rsid w:val="543A0058"/>
    <w:rsid w:val="545A24A8"/>
    <w:rsid w:val="547509DC"/>
    <w:rsid w:val="54A454D1"/>
    <w:rsid w:val="54A82930"/>
    <w:rsid w:val="54DE6C35"/>
    <w:rsid w:val="5521008A"/>
    <w:rsid w:val="553E1687"/>
    <w:rsid w:val="55564A1D"/>
    <w:rsid w:val="555C3AC6"/>
    <w:rsid w:val="556402C9"/>
    <w:rsid w:val="55750DBC"/>
    <w:rsid w:val="558772CD"/>
    <w:rsid w:val="55985036"/>
    <w:rsid w:val="55A44331"/>
    <w:rsid w:val="55C20305"/>
    <w:rsid w:val="55E1008E"/>
    <w:rsid w:val="55E97640"/>
    <w:rsid w:val="55F07786"/>
    <w:rsid w:val="55FE3948"/>
    <w:rsid w:val="56186177"/>
    <w:rsid w:val="561D6585"/>
    <w:rsid w:val="5624780D"/>
    <w:rsid w:val="56290384"/>
    <w:rsid w:val="565A6D84"/>
    <w:rsid w:val="565F5B54"/>
    <w:rsid w:val="56862083"/>
    <w:rsid w:val="569F509D"/>
    <w:rsid w:val="56B20706"/>
    <w:rsid w:val="56F73FDE"/>
    <w:rsid w:val="56F774F1"/>
    <w:rsid w:val="570F1E19"/>
    <w:rsid w:val="571738AF"/>
    <w:rsid w:val="571E5A0F"/>
    <w:rsid w:val="57454278"/>
    <w:rsid w:val="574A6804"/>
    <w:rsid w:val="577C3646"/>
    <w:rsid w:val="57827F81"/>
    <w:rsid w:val="57961A49"/>
    <w:rsid w:val="579730CB"/>
    <w:rsid w:val="57CF7F7D"/>
    <w:rsid w:val="57D91936"/>
    <w:rsid w:val="57DF13E7"/>
    <w:rsid w:val="57E304CE"/>
    <w:rsid w:val="58160494"/>
    <w:rsid w:val="582B5282"/>
    <w:rsid w:val="5835523D"/>
    <w:rsid w:val="583D3C73"/>
    <w:rsid w:val="585A4825"/>
    <w:rsid w:val="587B0C5A"/>
    <w:rsid w:val="587D7E5A"/>
    <w:rsid w:val="58874E91"/>
    <w:rsid w:val="5889335C"/>
    <w:rsid w:val="58B8109E"/>
    <w:rsid w:val="58D00F8B"/>
    <w:rsid w:val="58D04CC8"/>
    <w:rsid w:val="58D357E0"/>
    <w:rsid w:val="58D77C23"/>
    <w:rsid w:val="58EF1411"/>
    <w:rsid w:val="58F419FA"/>
    <w:rsid w:val="590B1FC3"/>
    <w:rsid w:val="591E1CF6"/>
    <w:rsid w:val="594340A3"/>
    <w:rsid w:val="596021C9"/>
    <w:rsid w:val="59725B9E"/>
    <w:rsid w:val="59B166C6"/>
    <w:rsid w:val="59DD570D"/>
    <w:rsid w:val="5A250E62"/>
    <w:rsid w:val="5A627366"/>
    <w:rsid w:val="5A78276B"/>
    <w:rsid w:val="5AA9356E"/>
    <w:rsid w:val="5AC5796A"/>
    <w:rsid w:val="5AE34FA5"/>
    <w:rsid w:val="5AE66844"/>
    <w:rsid w:val="5AF820D3"/>
    <w:rsid w:val="5B1D63D9"/>
    <w:rsid w:val="5B2E3D47"/>
    <w:rsid w:val="5B3B494B"/>
    <w:rsid w:val="5BA1276A"/>
    <w:rsid w:val="5BA142A2"/>
    <w:rsid w:val="5BA32F4B"/>
    <w:rsid w:val="5BC22E0D"/>
    <w:rsid w:val="5BC40C35"/>
    <w:rsid w:val="5BDC19F5"/>
    <w:rsid w:val="5BDD7C46"/>
    <w:rsid w:val="5C0C052C"/>
    <w:rsid w:val="5C0E3D80"/>
    <w:rsid w:val="5C2A09B2"/>
    <w:rsid w:val="5C3754AC"/>
    <w:rsid w:val="5C6A0DAE"/>
    <w:rsid w:val="5C6C38DE"/>
    <w:rsid w:val="5C9658DF"/>
    <w:rsid w:val="5C9B365E"/>
    <w:rsid w:val="5CA5200E"/>
    <w:rsid w:val="5CE943C9"/>
    <w:rsid w:val="5CEA18F9"/>
    <w:rsid w:val="5D5A7075"/>
    <w:rsid w:val="5D641CA2"/>
    <w:rsid w:val="5D6F2B20"/>
    <w:rsid w:val="5D8D288B"/>
    <w:rsid w:val="5DE80ECD"/>
    <w:rsid w:val="5DE828D3"/>
    <w:rsid w:val="5E062D59"/>
    <w:rsid w:val="5E190CDE"/>
    <w:rsid w:val="5E2D1110"/>
    <w:rsid w:val="5E6006BB"/>
    <w:rsid w:val="5E677C9B"/>
    <w:rsid w:val="5E6A778C"/>
    <w:rsid w:val="5EA70098"/>
    <w:rsid w:val="5EAA7148"/>
    <w:rsid w:val="5ED25E09"/>
    <w:rsid w:val="5F217E4A"/>
    <w:rsid w:val="5FA35AB4"/>
    <w:rsid w:val="5FB02275"/>
    <w:rsid w:val="5FB4382E"/>
    <w:rsid w:val="600D2A18"/>
    <w:rsid w:val="600F05EB"/>
    <w:rsid w:val="60152BED"/>
    <w:rsid w:val="601C6864"/>
    <w:rsid w:val="605635E0"/>
    <w:rsid w:val="60885E2E"/>
    <w:rsid w:val="60A03B80"/>
    <w:rsid w:val="60C03693"/>
    <w:rsid w:val="60C77753"/>
    <w:rsid w:val="613A1697"/>
    <w:rsid w:val="613B0F6B"/>
    <w:rsid w:val="615C359C"/>
    <w:rsid w:val="615D7326"/>
    <w:rsid w:val="61A415D4"/>
    <w:rsid w:val="61B72CE8"/>
    <w:rsid w:val="61E0223F"/>
    <w:rsid w:val="62065A1D"/>
    <w:rsid w:val="620A016C"/>
    <w:rsid w:val="6219424F"/>
    <w:rsid w:val="622163B3"/>
    <w:rsid w:val="6256605D"/>
    <w:rsid w:val="62774225"/>
    <w:rsid w:val="62813D56"/>
    <w:rsid w:val="628A3F58"/>
    <w:rsid w:val="62AD76C0"/>
    <w:rsid w:val="62B66AFB"/>
    <w:rsid w:val="62C507C9"/>
    <w:rsid w:val="62D11B87"/>
    <w:rsid w:val="62DA698E"/>
    <w:rsid w:val="62DB40E8"/>
    <w:rsid w:val="630D7CD1"/>
    <w:rsid w:val="63272A98"/>
    <w:rsid w:val="63411071"/>
    <w:rsid w:val="63422A85"/>
    <w:rsid w:val="634405AB"/>
    <w:rsid w:val="638906B4"/>
    <w:rsid w:val="6390559E"/>
    <w:rsid w:val="63B30F2E"/>
    <w:rsid w:val="63B53257"/>
    <w:rsid w:val="640161A2"/>
    <w:rsid w:val="640C1C55"/>
    <w:rsid w:val="643B7C00"/>
    <w:rsid w:val="644B5969"/>
    <w:rsid w:val="64557053"/>
    <w:rsid w:val="645A795A"/>
    <w:rsid w:val="646B1B68"/>
    <w:rsid w:val="64754DD6"/>
    <w:rsid w:val="647E0D38"/>
    <w:rsid w:val="64986EFA"/>
    <w:rsid w:val="64A60857"/>
    <w:rsid w:val="64AB2B3B"/>
    <w:rsid w:val="64ED0C9E"/>
    <w:rsid w:val="64F102BF"/>
    <w:rsid w:val="65041398"/>
    <w:rsid w:val="650A75D2"/>
    <w:rsid w:val="65285AD1"/>
    <w:rsid w:val="65433F0C"/>
    <w:rsid w:val="65532B79"/>
    <w:rsid w:val="65885901"/>
    <w:rsid w:val="65A63177"/>
    <w:rsid w:val="65B25CA0"/>
    <w:rsid w:val="65D5198E"/>
    <w:rsid w:val="65DE028D"/>
    <w:rsid w:val="660D2ED6"/>
    <w:rsid w:val="662C2107"/>
    <w:rsid w:val="666920D7"/>
    <w:rsid w:val="66A93C9E"/>
    <w:rsid w:val="66BE6020"/>
    <w:rsid w:val="66E77BCB"/>
    <w:rsid w:val="66F525EC"/>
    <w:rsid w:val="66F66060"/>
    <w:rsid w:val="66F93129"/>
    <w:rsid w:val="674E6C15"/>
    <w:rsid w:val="675114E9"/>
    <w:rsid w:val="6760004A"/>
    <w:rsid w:val="67867202"/>
    <w:rsid w:val="679D40EC"/>
    <w:rsid w:val="67A96C2F"/>
    <w:rsid w:val="67AC671F"/>
    <w:rsid w:val="67AE2497"/>
    <w:rsid w:val="67AF7FBD"/>
    <w:rsid w:val="67C617E9"/>
    <w:rsid w:val="67C63C85"/>
    <w:rsid w:val="67E450CE"/>
    <w:rsid w:val="67F52622"/>
    <w:rsid w:val="68282249"/>
    <w:rsid w:val="68300192"/>
    <w:rsid w:val="685D37E3"/>
    <w:rsid w:val="68641653"/>
    <w:rsid w:val="68645737"/>
    <w:rsid w:val="687F09E7"/>
    <w:rsid w:val="688356D2"/>
    <w:rsid w:val="688A4CB2"/>
    <w:rsid w:val="688F59BE"/>
    <w:rsid w:val="68CF0D4C"/>
    <w:rsid w:val="68DE4FFE"/>
    <w:rsid w:val="68E32614"/>
    <w:rsid w:val="68F13666"/>
    <w:rsid w:val="692718FA"/>
    <w:rsid w:val="692D1AE1"/>
    <w:rsid w:val="693410C2"/>
    <w:rsid w:val="693B7312"/>
    <w:rsid w:val="694401A7"/>
    <w:rsid w:val="6949691B"/>
    <w:rsid w:val="697274F4"/>
    <w:rsid w:val="69787200"/>
    <w:rsid w:val="697F233D"/>
    <w:rsid w:val="69B2159C"/>
    <w:rsid w:val="69BE7BAE"/>
    <w:rsid w:val="69C90AA3"/>
    <w:rsid w:val="69D106BF"/>
    <w:rsid w:val="69EF3163"/>
    <w:rsid w:val="6A060AF0"/>
    <w:rsid w:val="6A387B61"/>
    <w:rsid w:val="6A542DAB"/>
    <w:rsid w:val="6A616103"/>
    <w:rsid w:val="6A9736B6"/>
    <w:rsid w:val="6ABA1153"/>
    <w:rsid w:val="6ABE0C43"/>
    <w:rsid w:val="6AD13784"/>
    <w:rsid w:val="6AE663EC"/>
    <w:rsid w:val="6B3158B9"/>
    <w:rsid w:val="6B37171D"/>
    <w:rsid w:val="6B3A2BB1"/>
    <w:rsid w:val="6B493A4E"/>
    <w:rsid w:val="6B601CFA"/>
    <w:rsid w:val="6BD75E7E"/>
    <w:rsid w:val="6BE566A3"/>
    <w:rsid w:val="6C3F4006"/>
    <w:rsid w:val="6C4F72C1"/>
    <w:rsid w:val="6C7A503E"/>
    <w:rsid w:val="6C946959"/>
    <w:rsid w:val="6CB9494B"/>
    <w:rsid w:val="6CEB1A97"/>
    <w:rsid w:val="6CF84455"/>
    <w:rsid w:val="6D162FB8"/>
    <w:rsid w:val="6D1B2659"/>
    <w:rsid w:val="6D390A55"/>
    <w:rsid w:val="6D4A2C62"/>
    <w:rsid w:val="6D561607"/>
    <w:rsid w:val="6D5D0BE7"/>
    <w:rsid w:val="6D744821"/>
    <w:rsid w:val="6D8F5206"/>
    <w:rsid w:val="6D91263F"/>
    <w:rsid w:val="6DAF51BB"/>
    <w:rsid w:val="6DD5080B"/>
    <w:rsid w:val="6DEE254B"/>
    <w:rsid w:val="6DF2723B"/>
    <w:rsid w:val="6DFD5F26"/>
    <w:rsid w:val="6E100C6D"/>
    <w:rsid w:val="6E105C5A"/>
    <w:rsid w:val="6E290AC9"/>
    <w:rsid w:val="6E4006B2"/>
    <w:rsid w:val="6E427DDD"/>
    <w:rsid w:val="6E4C65BD"/>
    <w:rsid w:val="6E5B5D88"/>
    <w:rsid w:val="6E62222D"/>
    <w:rsid w:val="6E8B3532"/>
    <w:rsid w:val="6E8F4FD4"/>
    <w:rsid w:val="6E9D4ECA"/>
    <w:rsid w:val="6EF83998"/>
    <w:rsid w:val="6F1060F6"/>
    <w:rsid w:val="6F541B76"/>
    <w:rsid w:val="6F5953DE"/>
    <w:rsid w:val="6F7E1B58"/>
    <w:rsid w:val="6F8B7B20"/>
    <w:rsid w:val="6FA64AAB"/>
    <w:rsid w:val="6FE0165C"/>
    <w:rsid w:val="6FE74798"/>
    <w:rsid w:val="70593DDE"/>
    <w:rsid w:val="70633D9B"/>
    <w:rsid w:val="706A0C87"/>
    <w:rsid w:val="7072466B"/>
    <w:rsid w:val="708741CD"/>
    <w:rsid w:val="709A7A5C"/>
    <w:rsid w:val="70B30B1E"/>
    <w:rsid w:val="70B76860"/>
    <w:rsid w:val="70C66AA3"/>
    <w:rsid w:val="70CE7706"/>
    <w:rsid w:val="70E76A1A"/>
    <w:rsid w:val="70F16E84"/>
    <w:rsid w:val="70F9549B"/>
    <w:rsid w:val="70FA04FB"/>
    <w:rsid w:val="70FF3D63"/>
    <w:rsid w:val="71092E34"/>
    <w:rsid w:val="710E3FA6"/>
    <w:rsid w:val="71127F06"/>
    <w:rsid w:val="713C6D66"/>
    <w:rsid w:val="71445C1A"/>
    <w:rsid w:val="71765B16"/>
    <w:rsid w:val="71A208FD"/>
    <w:rsid w:val="71B11502"/>
    <w:rsid w:val="71C07997"/>
    <w:rsid w:val="71D074AE"/>
    <w:rsid w:val="71F80EDE"/>
    <w:rsid w:val="72203F91"/>
    <w:rsid w:val="724203AC"/>
    <w:rsid w:val="725026E2"/>
    <w:rsid w:val="725325B9"/>
    <w:rsid w:val="725351DA"/>
    <w:rsid w:val="727A15DA"/>
    <w:rsid w:val="72987FCC"/>
    <w:rsid w:val="72D54D7C"/>
    <w:rsid w:val="72E41463"/>
    <w:rsid w:val="72EA7879"/>
    <w:rsid w:val="730F43F8"/>
    <w:rsid w:val="73104006"/>
    <w:rsid w:val="733A1083"/>
    <w:rsid w:val="7343262D"/>
    <w:rsid w:val="7346093C"/>
    <w:rsid w:val="73490DFC"/>
    <w:rsid w:val="736F3422"/>
    <w:rsid w:val="73734595"/>
    <w:rsid w:val="73B9469D"/>
    <w:rsid w:val="73DD1399"/>
    <w:rsid w:val="73EE0CA0"/>
    <w:rsid w:val="74356371"/>
    <w:rsid w:val="74485A21"/>
    <w:rsid w:val="744F0B5E"/>
    <w:rsid w:val="74885923"/>
    <w:rsid w:val="749E6B82"/>
    <w:rsid w:val="74D66009"/>
    <w:rsid w:val="752244C4"/>
    <w:rsid w:val="754461E9"/>
    <w:rsid w:val="75623F7A"/>
    <w:rsid w:val="757203DB"/>
    <w:rsid w:val="75750A98"/>
    <w:rsid w:val="757D05AD"/>
    <w:rsid w:val="75862CA5"/>
    <w:rsid w:val="75C010BA"/>
    <w:rsid w:val="76092CCA"/>
    <w:rsid w:val="76257DC8"/>
    <w:rsid w:val="763837E6"/>
    <w:rsid w:val="76426A32"/>
    <w:rsid w:val="766C59F7"/>
    <w:rsid w:val="767C11D2"/>
    <w:rsid w:val="768A40CF"/>
    <w:rsid w:val="76AF7FDA"/>
    <w:rsid w:val="76DA5057"/>
    <w:rsid w:val="76EA0007"/>
    <w:rsid w:val="76FD0D45"/>
    <w:rsid w:val="77130569"/>
    <w:rsid w:val="7714093C"/>
    <w:rsid w:val="771A5453"/>
    <w:rsid w:val="771D5238"/>
    <w:rsid w:val="77242776"/>
    <w:rsid w:val="77764653"/>
    <w:rsid w:val="77784870"/>
    <w:rsid w:val="77B238DE"/>
    <w:rsid w:val="77B358A8"/>
    <w:rsid w:val="77B876AC"/>
    <w:rsid w:val="77C41863"/>
    <w:rsid w:val="77C43611"/>
    <w:rsid w:val="77C80DE4"/>
    <w:rsid w:val="77C83101"/>
    <w:rsid w:val="77E13BA0"/>
    <w:rsid w:val="77FC724F"/>
    <w:rsid w:val="783B1B25"/>
    <w:rsid w:val="786646C8"/>
    <w:rsid w:val="7871571C"/>
    <w:rsid w:val="78B33397"/>
    <w:rsid w:val="78B54414"/>
    <w:rsid w:val="78BF0CEF"/>
    <w:rsid w:val="78EA76EE"/>
    <w:rsid w:val="78FE2050"/>
    <w:rsid w:val="7955517B"/>
    <w:rsid w:val="79586707"/>
    <w:rsid w:val="79664F44"/>
    <w:rsid w:val="79DF579A"/>
    <w:rsid w:val="79F77CCE"/>
    <w:rsid w:val="79FA5A10"/>
    <w:rsid w:val="7A067F11"/>
    <w:rsid w:val="7A1A0F94"/>
    <w:rsid w:val="7A1B1294"/>
    <w:rsid w:val="7A1B74E4"/>
    <w:rsid w:val="7A1C7878"/>
    <w:rsid w:val="7A2111EE"/>
    <w:rsid w:val="7A2544C3"/>
    <w:rsid w:val="7A37631C"/>
    <w:rsid w:val="7A401675"/>
    <w:rsid w:val="7A603412"/>
    <w:rsid w:val="7A910FA6"/>
    <w:rsid w:val="7A925C48"/>
    <w:rsid w:val="7A955AA3"/>
    <w:rsid w:val="7AB17498"/>
    <w:rsid w:val="7AB20E73"/>
    <w:rsid w:val="7AEB57A3"/>
    <w:rsid w:val="7AF70927"/>
    <w:rsid w:val="7B3B008E"/>
    <w:rsid w:val="7B4231CA"/>
    <w:rsid w:val="7B424F78"/>
    <w:rsid w:val="7B4B7865"/>
    <w:rsid w:val="7B62481E"/>
    <w:rsid w:val="7B902188"/>
    <w:rsid w:val="7B971942"/>
    <w:rsid w:val="7B9E3DFA"/>
    <w:rsid w:val="7BB63A0E"/>
    <w:rsid w:val="7BD210AC"/>
    <w:rsid w:val="7C137C33"/>
    <w:rsid w:val="7C1C1C6D"/>
    <w:rsid w:val="7C1F2ED6"/>
    <w:rsid w:val="7C501917"/>
    <w:rsid w:val="7C5E5EE7"/>
    <w:rsid w:val="7C7C270C"/>
    <w:rsid w:val="7C857813"/>
    <w:rsid w:val="7CBE4AD3"/>
    <w:rsid w:val="7CC9189C"/>
    <w:rsid w:val="7CD40EEA"/>
    <w:rsid w:val="7CDC31AB"/>
    <w:rsid w:val="7CF60710"/>
    <w:rsid w:val="7D40373A"/>
    <w:rsid w:val="7D7F551F"/>
    <w:rsid w:val="7D9B4867"/>
    <w:rsid w:val="7DC3365B"/>
    <w:rsid w:val="7E2F3AA9"/>
    <w:rsid w:val="7E4F2B52"/>
    <w:rsid w:val="7E68119A"/>
    <w:rsid w:val="7E6E5448"/>
    <w:rsid w:val="7E955D07"/>
    <w:rsid w:val="7EC14203"/>
    <w:rsid w:val="7EC16AFC"/>
    <w:rsid w:val="7EDE145C"/>
    <w:rsid w:val="7EEA1BAF"/>
    <w:rsid w:val="7F053548"/>
    <w:rsid w:val="7F1B620C"/>
    <w:rsid w:val="7F231565"/>
    <w:rsid w:val="7F403D11"/>
    <w:rsid w:val="7F631961"/>
    <w:rsid w:val="7F932247"/>
    <w:rsid w:val="7F9E2999"/>
    <w:rsid w:val="7FCA5830"/>
    <w:rsid w:val="7FDD1714"/>
    <w:rsid w:val="7FE42AA2"/>
    <w:rsid w:val="7FF274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宋体" w:hAnsi="等线" w:eastAsia="等线" w:cs="Times New Roman"/>
      <w:kern w:val="2"/>
      <w:sz w:val="24"/>
      <w:lang w:val="en-US" w:eastAsia="zh-CN" w:bidi="ar-SA"/>
    </w:rPr>
  </w:style>
  <w:style w:type="paragraph" w:styleId="2">
    <w:name w:val="heading 1"/>
    <w:basedOn w:val="1"/>
    <w:next w:val="1"/>
    <w:qFormat/>
    <w:uiPriority w:val="0"/>
    <w:pPr>
      <w:autoSpaceDE w:val="0"/>
      <w:autoSpaceDN w:val="0"/>
      <w:adjustRightInd w:val="0"/>
      <w:jc w:val="left"/>
      <w:outlineLvl w:val="0"/>
    </w:pPr>
    <w:rPr>
      <w:kern w:val="0"/>
      <w:sz w:val="30"/>
    </w:rPr>
  </w:style>
  <w:style w:type="paragraph" w:styleId="3">
    <w:name w:val="heading 2"/>
    <w:basedOn w:val="1"/>
    <w:next w:val="1"/>
    <w:qFormat/>
    <w:uiPriority w:val="0"/>
    <w:pPr>
      <w:autoSpaceDE w:val="0"/>
      <w:autoSpaceDN w:val="0"/>
      <w:adjustRightInd w:val="0"/>
      <w:jc w:val="left"/>
      <w:outlineLvl w:val="1"/>
    </w:pPr>
    <w:rPr>
      <w:kern w:val="0"/>
    </w:rPr>
  </w:style>
  <w:style w:type="paragraph" w:styleId="4">
    <w:name w:val="heading 3"/>
    <w:basedOn w:val="1"/>
    <w:next w:val="1"/>
    <w:link w:val="50"/>
    <w:qFormat/>
    <w:uiPriority w:val="0"/>
    <w:pPr>
      <w:keepNext/>
      <w:keepLines/>
      <w:outlineLvl w:val="2"/>
    </w:pPr>
    <w:rPr>
      <w:rFonts w:hint="default" w:ascii="Times New Roman" w:hAnsi="Times New Roman" w:eastAsia="宋体"/>
      <w:b/>
    </w:rPr>
  </w:style>
  <w:style w:type="paragraph" w:styleId="5">
    <w:name w:val="heading 4"/>
    <w:basedOn w:val="1"/>
    <w:next w:val="1"/>
    <w:qFormat/>
    <w:uiPriority w:val="0"/>
    <w:pPr>
      <w:keepNext/>
      <w:keepLines/>
      <w:spacing w:line="372" w:lineRule="auto"/>
      <w:outlineLvl w:val="3"/>
    </w:pPr>
    <w:rPr>
      <w:rFonts w:ascii="Arial" w:hAnsi="Arial" w:eastAsia="黑体"/>
      <w:b/>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rPr>
  </w:style>
  <w:style w:type="paragraph" w:styleId="7">
    <w:name w:val="annotation text"/>
    <w:basedOn w:val="1"/>
    <w:next w:val="1"/>
    <w:qFormat/>
    <w:uiPriority w:val="0"/>
    <w:pPr>
      <w:jc w:val="left"/>
    </w:pPr>
    <w:rPr>
      <w:rFonts w:hint="default" w:ascii="Times New Roman" w:hAnsi="Times New Roman" w:eastAsia="宋体"/>
      <w:sz w:val="21"/>
    </w:rPr>
  </w:style>
  <w:style w:type="paragraph" w:styleId="8">
    <w:name w:val="Body Text"/>
    <w:basedOn w:val="1"/>
    <w:qFormat/>
    <w:uiPriority w:val="0"/>
  </w:style>
  <w:style w:type="paragraph" w:styleId="9">
    <w:name w:val="Body Text Indent"/>
    <w:basedOn w:val="1"/>
    <w:qFormat/>
    <w:uiPriority w:val="0"/>
    <w:pPr>
      <w:ind w:firstLine="560" w:firstLineChars="200"/>
    </w:pPr>
  </w:style>
  <w:style w:type="paragraph" w:styleId="10">
    <w:name w:val="toc 3"/>
    <w:basedOn w:val="1"/>
    <w:next w:val="1"/>
    <w:qFormat/>
    <w:uiPriority w:val="39"/>
    <w:pPr>
      <w:ind w:left="840" w:leftChars="400"/>
    </w:pPr>
  </w:style>
  <w:style w:type="paragraph" w:styleId="11">
    <w:name w:val="Body Text Indent 2"/>
    <w:basedOn w:val="1"/>
    <w:qFormat/>
    <w:uiPriority w:val="0"/>
    <w:pPr>
      <w:spacing w:line="480" w:lineRule="auto"/>
      <w:ind w:firstLine="561"/>
    </w:pPr>
  </w:style>
  <w:style w:type="paragraph" w:styleId="12">
    <w:name w:val="Balloon Text"/>
    <w:basedOn w:val="1"/>
    <w:link w:val="71"/>
    <w:qFormat/>
    <w:uiPriority w:val="0"/>
    <w:rPr>
      <w:sz w:val="18"/>
      <w:szCs w:val="18"/>
    </w:rPr>
  </w:style>
  <w:style w:type="paragraph" w:styleId="13">
    <w:name w:val="footer"/>
    <w:basedOn w:val="1"/>
    <w:next w:val="1"/>
    <w:qFormat/>
    <w:uiPriority w:val="0"/>
    <w:pPr>
      <w:tabs>
        <w:tab w:val="center" w:pos="4153"/>
        <w:tab w:val="right" w:pos="8306"/>
      </w:tabs>
      <w:snapToGrid w:val="0"/>
      <w:jc w:val="left"/>
    </w:pPr>
    <w:rPr>
      <w:sz w:val="18"/>
    </w:rPr>
  </w:style>
  <w:style w:type="paragraph" w:styleId="14">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5">
    <w:name w:val="toc 1"/>
    <w:basedOn w:val="16"/>
    <w:next w:val="1"/>
    <w:qFormat/>
    <w:uiPriority w:val="39"/>
  </w:style>
  <w:style w:type="paragraph" w:styleId="16">
    <w:name w:val="index 1"/>
    <w:basedOn w:val="1"/>
    <w:next w:val="1"/>
    <w:unhideWhenUsed/>
    <w:qFormat/>
    <w:uiPriority w:val="0"/>
  </w:style>
  <w:style w:type="paragraph" w:styleId="17">
    <w:name w:val="toc 4"/>
    <w:basedOn w:val="1"/>
    <w:next w:val="1"/>
    <w:qFormat/>
    <w:uiPriority w:val="0"/>
    <w:pPr>
      <w:ind w:left="1260" w:leftChars="600"/>
    </w:pPr>
  </w:style>
  <w:style w:type="paragraph" w:styleId="18">
    <w:name w:val="toc 2"/>
    <w:basedOn w:val="1"/>
    <w:next w:val="1"/>
    <w:qFormat/>
    <w:uiPriority w:val="39"/>
    <w:pPr>
      <w:ind w:left="420" w:leftChars="200"/>
    </w:pPr>
  </w:style>
  <w:style w:type="paragraph" w:styleId="19">
    <w:name w:val="Body Text 2"/>
    <w:basedOn w:val="1"/>
    <w:qFormat/>
    <w:uiPriority w:val="0"/>
    <w:pPr>
      <w:spacing w:line="500" w:lineRule="exact"/>
    </w:pPr>
  </w:style>
  <w:style w:type="paragraph" w:styleId="20">
    <w:name w:val="Normal (Web)"/>
    <w:basedOn w:val="1"/>
    <w:qFormat/>
    <w:uiPriority w:val="0"/>
    <w:pPr>
      <w:widowControl/>
      <w:spacing w:beforeAutospacing="1" w:afterAutospacing="1"/>
      <w:jc w:val="left"/>
    </w:pPr>
    <w:rPr>
      <w:rFonts w:hAnsi="宋体" w:cs="宋体"/>
      <w:color w:val="000000"/>
      <w:kern w:val="0"/>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FollowedHyperlink"/>
    <w:basedOn w:val="23"/>
    <w:qFormat/>
    <w:uiPriority w:val="0"/>
    <w:rPr>
      <w:color w:val="333333"/>
      <w:u w:val="none"/>
    </w:rPr>
  </w:style>
  <w:style w:type="character" w:styleId="26">
    <w:name w:val="Emphasis"/>
    <w:basedOn w:val="23"/>
    <w:qFormat/>
    <w:uiPriority w:val="0"/>
    <w:rPr>
      <w:i/>
    </w:rPr>
  </w:style>
  <w:style w:type="character" w:styleId="27">
    <w:name w:val="HTML Variable"/>
    <w:basedOn w:val="23"/>
    <w:qFormat/>
    <w:uiPriority w:val="0"/>
    <w:rPr>
      <w:i/>
    </w:rPr>
  </w:style>
  <w:style w:type="character" w:styleId="28">
    <w:name w:val="Hyperlink"/>
    <w:basedOn w:val="23"/>
    <w:qFormat/>
    <w:uiPriority w:val="0"/>
    <w:rPr>
      <w:color w:val="333333"/>
      <w:u w:val="none"/>
    </w:rPr>
  </w:style>
  <w:style w:type="character" w:styleId="29">
    <w:name w:val="HTML Code"/>
    <w:basedOn w:val="23"/>
    <w:qFormat/>
    <w:uiPriority w:val="0"/>
    <w:rPr>
      <w:rFonts w:ascii="Courier New" w:hAnsi="Courier New"/>
      <w:sz w:val="20"/>
    </w:rPr>
  </w:style>
  <w:style w:type="character" w:styleId="30">
    <w:name w:val="HTML Cite"/>
    <w:basedOn w:val="23"/>
    <w:qFormat/>
    <w:uiPriority w:val="0"/>
    <w:rPr>
      <w:i/>
    </w:rPr>
  </w:style>
  <w:style w:type="paragraph" w:customStyle="1" w:styleId="31">
    <w:name w:val="样式 宋体 行距: 1.5 倍行距"/>
    <w:basedOn w:val="32"/>
    <w:next w:val="1"/>
    <w:qFormat/>
    <w:uiPriority w:val="0"/>
    <w:pPr>
      <w:jc w:val="center"/>
    </w:pPr>
    <w:rPr>
      <w:rFonts w:ascii="Times New Roman" w:hAnsi="Times New Roman" w:cs="Times New Roman"/>
      <w:b/>
    </w:rPr>
  </w:style>
  <w:style w:type="paragraph" w:customStyle="1" w:styleId="3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1"/>
    <w:qFormat/>
    <w:uiPriority w:val="0"/>
    <w:pPr>
      <w:widowControl w:val="0"/>
      <w:jc w:val="both"/>
    </w:pPr>
    <w:rPr>
      <w:rFonts w:ascii="Calibri" w:hAnsi="Calibri" w:eastAsia="宋体" w:cs="黑体"/>
      <w:kern w:val="2"/>
      <w:sz w:val="21"/>
      <w:szCs w:val="24"/>
      <w:lang w:val="en-US" w:eastAsia="zh-CN" w:bidi="ar-SA"/>
    </w:rPr>
  </w:style>
  <w:style w:type="paragraph" w:customStyle="1" w:styleId="3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1"/>
    <w:qFormat/>
    <w:uiPriority w:val="0"/>
    <w:pPr>
      <w:widowControl w:val="0"/>
      <w:jc w:val="both"/>
    </w:pPr>
    <w:rPr>
      <w:rFonts w:ascii="Calibri" w:hAnsi="Calibri" w:eastAsia="宋体" w:cs="黑体"/>
      <w:kern w:val="2"/>
      <w:sz w:val="21"/>
      <w:szCs w:val="24"/>
      <w:lang w:val="en-US" w:eastAsia="zh-CN" w:bidi="ar-SA"/>
    </w:rPr>
  </w:style>
  <w:style w:type="paragraph" w:customStyle="1" w:styleId="34">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5">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6">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7">
    <w:name w:val="标题 1 New"/>
    <w:basedOn w:val="36"/>
    <w:next w:val="36"/>
    <w:qFormat/>
    <w:uiPriority w:val="0"/>
    <w:pPr>
      <w:autoSpaceDE w:val="0"/>
      <w:autoSpaceDN w:val="0"/>
      <w:adjustRightInd w:val="0"/>
      <w:jc w:val="left"/>
      <w:outlineLvl w:val="0"/>
    </w:pPr>
    <w:rPr>
      <w:kern w:val="0"/>
      <w:sz w:val="30"/>
    </w:rPr>
  </w:style>
  <w:style w:type="paragraph" w:customStyle="1" w:styleId="38">
    <w:name w:val="标题 2 New New"/>
    <w:basedOn w:val="36"/>
    <w:next w:val="36"/>
    <w:qFormat/>
    <w:uiPriority w:val="0"/>
    <w:pPr>
      <w:autoSpaceDE w:val="0"/>
      <w:autoSpaceDN w:val="0"/>
      <w:adjustRightInd w:val="0"/>
      <w:jc w:val="left"/>
      <w:outlineLvl w:val="1"/>
    </w:pPr>
    <w:rPr>
      <w:kern w:val="0"/>
    </w:rPr>
  </w:style>
  <w:style w:type="paragraph" w:customStyle="1" w:styleId="3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Normal Indent1"/>
    <w:basedOn w:val="1"/>
    <w:qFormat/>
    <w:uiPriority w:val="0"/>
    <w:pPr>
      <w:widowControl/>
      <w:spacing w:line="360" w:lineRule="auto"/>
      <w:ind w:firstLine="420"/>
      <w:jc w:val="left"/>
    </w:pPr>
    <w:rPr>
      <w:rFonts w:hAnsi="Times New Roman"/>
      <w:kern w:val="0"/>
      <w:sz w:val="20"/>
    </w:rPr>
  </w:style>
  <w:style w:type="paragraph" w:customStyle="1" w:styleId="41">
    <w:name w:val="正文缩进1"/>
    <w:basedOn w:val="1"/>
    <w:qFormat/>
    <w:uiPriority w:val="0"/>
    <w:pPr>
      <w:widowControl/>
      <w:spacing w:line="360" w:lineRule="auto"/>
      <w:ind w:firstLine="420"/>
      <w:jc w:val="left"/>
    </w:pPr>
    <w:rPr>
      <w:rFonts w:hAnsi="Times New Roman"/>
      <w:kern w:val="0"/>
      <w:sz w:val="20"/>
    </w:rPr>
  </w:style>
  <w:style w:type="paragraph" w:customStyle="1" w:styleId="42">
    <w:name w:val="正文 New New New New New New New New New New New New New New New New New New New New New New New New New New New New New New New New New New New New New New New New New New New New New New New New New New New New New New New New New New New New New New Ne1"/>
    <w:next w:val="31"/>
    <w:qFormat/>
    <w:uiPriority w:val="0"/>
    <w:pPr>
      <w:widowControl w:val="0"/>
      <w:jc w:val="both"/>
    </w:pPr>
    <w:rPr>
      <w:rFonts w:ascii="Calibri" w:hAnsi="Calibri" w:eastAsia="宋体" w:cs="黑体"/>
      <w:kern w:val="2"/>
      <w:sz w:val="21"/>
      <w:szCs w:val="24"/>
      <w:lang w:val="en-US" w:eastAsia="zh-CN" w:bidi="ar-SA"/>
    </w:rPr>
  </w:style>
  <w:style w:type="paragraph" w:customStyle="1" w:styleId="43">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Bodoni MT" w:hAnsi="Bodoni MT" w:eastAsia="宋体" w:cs="Bodoni MT"/>
      <w:kern w:val="2"/>
      <w:sz w:val="21"/>
      <w:szCs w:val="24"/>
      <w:lang w:val="en-US" w:eastAsia="zh-CN" w:bidi="ar-SA"/>
    </w:rPr>
  </w:style>
  <w:style w:type="paragraph" w:customStyle="1" w:styleId="44">
    <w:name w:val="正文文本缩进 New New"/>
    <w:basedOn w:val="36"/>
    <w:qFormat/>
    <w:uiPriority w:val="0"/>
    <w:pPr>
      <w:ind w:firstLine="560" w:firstLineChars="200"/>
    </w:pPr>
  </w:style>
  <w:style w:type="paragraph" w:customStyle="1" w:styleId="45">
    <w:name w:val="正文文本缩进 3 New"/>
    <w:basedOn w:val="36"/>
    <w:qFormat/>
    <w:uiPriority w:val="0"/>
    <w:pPr>
      <w:ind w:firstLine="560"/>
    </w:pPr>
    <w:rPr>
      <w:color w:val="FF0000"/>
    </w:rPr>
  </w:style>
  <w:style w:type="paragraph" w:customStyle="1" w:styleId="46">
    <w:name w:val="标题 3 New New New"/>
    <w:basedOn w:val="47"/>
    <w:next w:val="47"/>
    <w:qFormat/>
    <w:uiPriority w:val="0"/>
    <w:pPr>
      <w:keepNext/>
      <w:keepLines/>
      <w:jc w:val="center"/>
      <w:outlineLvl w:val="2"/>
    </w:pPr>
    <w:rPr>
      <w:sz w:val="24"/>
    </w:rPr>
  </w:style>
  <w:style w:type="paragraph" w:customStyle="1" w:styleId="47">
    <w:name w:val="正文缩进 New"/>
    <w:basedOn w:val="48"/>
    <w:qFormat/>
    <w:uiPriority w:val="0"/>
    <w:pPr>
      <w:widowControl/>
      <w:ind w:firstLine="420"/>
      <w:jc w:val="left"/>
    </w:pPr>
    <w:rPr>
      <w:kern w:val="0"/>
      <w:sz w:val="20"/>
    </w:rPr>
  </w:style>
  <w:style w:type="paragraph" w:customStyle="1" w:styleId="48">
    <w:name w:val="正文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9">
    <w:name w:val="正文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50">
    <w:name w:val="标题 3 Char"/>
    <w:link w:val="4"/>
    <w:qFormat/>
    <w:uiPriority w:val="0"/>
    <w:rPr>
      <w:rFonts w:hint="default" w:ascii="Times New Roman" w:hAnsi="Times New Roman" w:eastAsia="宋体"/>
      <w:b/>
    </w:rPr>
  </w:style>
  <w:style w:type="character" w:customStyle="1" w:styleId="51">
    <w:name w:val="NormalCharacter"/>
    <w:semiHidden/>
    <w:qFormat/>
    <w:uiPriority w:val="0"/>
    <w:rPr>
      <w:rFonts w:ascii="宋体"/>
      <w:kern w:val="2"/>
      <w:sz w:val="24"/>
      <w:lang w:val="en-US" w:eastAsia="zh-CN" w:bidi="ar-SA"/>
    </w:rPr>
  </w:style>
  <w:style w:type="paragraph" w:customStyle="1" w:styleId="52">
    <w:name w:val="标题 2 New New New"/>
    <w:basedOn w:val="53"/>
    <w:next w:val="53"/>
    <w:qFormat/>
    <w:uiPriority w:val="0"/>
    <w:pPr>
      <w:autoSpaceDE w:val="0"/>
      <w:autoSpaceDN w:val="0"/>
      <w:adjustRightInd w:val="0"/>
      <w:jc w:val="left"/>
      <w:outlineLvl w:val="1"/>
    </w:pPr>
  </w:style>
  <w:style w:type="paragraph" w:customStyle="1" w:styleId="53">
    <w:name w:val="正文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4">
    <w:name w:val="普通(网站) New"/>
    <w:basedOn w:val="55"/>
    <w:qFormat/>
    <w:uiPriority w:val="0"/>
    <w:rPr>
      <w:sz w:val="24"/>
    </w:rPr>
  </w:style>
  <w:style w:type="paragraph" w:customStyle="1" w:styleId="55">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6">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57">
    <w:name w:val="正文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5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9">
    <w:name w:val="YJ22 Char"/>
    <w:link w:val="60"/>
    <w:qFormat/>
    <w:uiPriority w:val="0"/>
    <w:rPr>
      <w:rFonts w:ascii="Times New Roman" w:hAnsi="宋体"/>
      <w:b/>
      <w:kern w:val="0"/>
      <w:sz w:val="20"/>
    </w:rPr>
  </w:style>
  <w:style w:type="paragraph" w:customStyle="1" w:styleId="60">
    <w:name w:val="YJ22"/>
    <w:basedOn w:val="36"/>
    <w:next w:val="36"/>
    <w:link w:val="59"/>
    <w:qFormat/>
    <w:uiPriority w:val="0"/>
    <w:pPr>
      <w:autoSpaceDE w:val="0"/>
      <w:autoSpaceDN w:val="0"/>
      <w:adjustRightInd w:val="0"/>
      <w:jc w:val="left"/>
      <w:outlineLvl w:val="1"/>
    </w:pPr>
    <w:rPr>
      <w:rFonts w:ascii="Times New Roman" w:hAnsi="宋体"/>
      <w:b/>
      <w:kern w:val="0"/>
      <w:sz w:val="20"/>
    </w:rPr>
  </w:style>
  <w:style w:type="paragraph" w:customStyle="1" w:styleId="61">
    <w:name w:val="正文文本缩进 New"/>
    <w:basedOn w:val="62"/>
    <w:qFormat/>
    <w:uiPriority w:val="0"/>
    <w:pPr>
      <w:ind w:firstLine="560" w:firstLineChars="200"/>
    </w:pPr>
  </w:style>
  <w:style w:type="paragraph" w:customStyle="1" w:styleId="62">
    <w:name w:val="正文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3">
    <w:name w:val="正文文本缩进 New New New New"/>
    <w:basedOn w:val="64"/>
    <w:qFormat/>
    <w:uiPriority w:val="0"/>
    <w:pPr>
      <w:ind w:firstLine="560" w:firstLineChars="200"/>
    </w:pPr>
    <w:rPr>
      <w:szCs w:val="28"/>
    </w:rPr>
  </w:style>
  <w:style w:type="paragraph" w:customStyle="1" w:styleId="64">
    <w:name w:val="正文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5">
    <w:name w:val="正文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6">
    <w:name w:val="正文文本缩进 New New New New New New New"/>
    <w:basedOn w:val="65"/>
    <w:qFormat/>
    <w:uiPriority w:val="0"/>
    <w:pPr>
      <w:ind w:left="420" w:leftChars="200"/>
    </w:pPr>
    <w:rPr>
      <w:szCs w:val="24"/>
    </w:rPr>
  </w:style>
  <w:style w:type="paragraph" w:customStyle="1" w:styleId="67">
    <w:name w:val="正文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8">
    <w:name w:val="正文文本缩进 New New New New New New New New"/>
    <w:basedOn w:val="67"/>
    <w:qFormat/>
    <w:uiPriority w:val="0"/>
    <w:pPr>
      <w:ind w:left="420" w:leftChars="200"/>
    </w:pPr>
    <w:rPr>
      <w:szCs w:val="24"/>
    </w:rPr>
  </w:style>
  <w:style w:type="paragraph" w:customStyle="1" w:styleId="69">
    <w:name w:val="正文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0">
    <w:name w:val="页脚 New"/>
    <w:basedOn w:val="36"/>
    <w:qFormat/>
    <w:uiPriority w:val="0"/>
    <w:pPr>
      <w:widowControl/>
      <w:tabs>
        <w:tab w:val="center" w:pos="4153"/>
        <w:tab w:val="right" w:pos="8306"/>
      </w:tabs>
      <w:snapToGrid w:val="0"/>
      <w:jc w:val="left"/>
    </w:pPr>
    <w:rPr>
      <w:kern w:val="0"/>
      <w:sz w:val="18"/>
    </w:rPr>
  </w:style>
  <w:style w:type="character" w:customStyle="1" w:styleId="71">
    <w:name w:val="批注框文本 Char"/>
    <w:basedOn w:val="23"/>
    <w:link w:val="12"/>
    <w:qFormat/>
    <w:uiPriority w:val="0"/>
    <w:rPr>
      <w:rFonts w:ascii="宋体" w:hAnsi="等线" w:eastAsia="等线" w:cs="Times New Roman"/>
      <w:kern w:val="2"/>
      <w:sz w:val="18"/>
      <w:szCs w:val="18"/>
    </w:rPr>
  </w:style>
  <w:style w:type="character" w:customStyle="1" w:styleId="72">
    <w:name w:val="hover21"/>
    <w:basedOn w:val="23"/>
    <w:qFormat/>
    <w:uiPriority w:val="0"/>
    <w:rPr>
      <w:color w:val="5FB878"/>
    </w:rPr>
  </w:style>
  <w:style w:type="character" w:customStyle="1" w:styleId="73">
    <w:name w:val="hover22"/>
    <w:basedOn w:val="23"/>
    <w:qFormat/>
    <w:uiPriority w:val="0"/>
    <w:rPr>
      <w:color w:val="5FB878"/>
    </w:rPr>
  </w:style>
  <w:style w:type="character" w:customStyle="1" w:styleId="74">
    <w:name w:val="hover23"/>
    <w:basedOn w:val="23"/>
    <w:qFormat/>
    <w:uiPriority w:val="0"/>
    <w:rPr>
      <w:color w:val="FFFFFF"/>
    </w:rPr>
  </w:style>
  <w:style w:type="paragraph" w:customStyle="1" w:styleId="75">
    <w:name w:val="正文1"/>
    <w:qFormat/>
    <w:uiPriority w:val="0"/>
    <w:pPr>
      <w:widowControl w:val="0"/>
      <w:spacing w:line="360" w:lineRule="auto"/>
      <w:jc w:val="both"/>
    </w:pPr>
    <w:rPr>
      <w:rFonts w:hint="eastAsia" w:ascii="宋体" w:hAnsi="Calibri" w:eastAsia="宋体" w:cs="Times New Roman"/>
      <w:kern w:val="2"/>
      <w:sz w:val="24"/>
      <w:lang w:val="en-US" w:eastAsia="zh-CN" w:bidi="ar-SA"/>
    </w:rPr>
  </w:style>
  <w:style w:type="paragraph" w:customStyle="1" w:styleId="76">
    <w:name w:val="Default"/>
    <w:basedOn w:val="77"/>
    <w:qFormat/>
    <w:uiPriority w:val="0"/>
    <w:pPr>
      <w:widowControl w:val="0"/>
      <w:autoSpaceDE w:val="0"/>
      <w:autoSpaceDN w:val="0"/>
      <w:adjustRightInd w:val="0"/>
    </w:pPr>
    <w:rPr>
      <w:rFonts w:ascii="华文新魏" w:hAnsi="华文新魏" w:eastAsia="宋体" w:cs="华文新魏"/>
      <w:color w:val="000000"/>
      <w:sz w:val="24"/>
      <w:szCs w:val="24"/>
      <w:lang w:val="en-US" w:eastAsia="zh-CN" w:bidi="ar-SA"/>
    </w:rPr>
  </w:style>
  <w:style w:type="paragraph" w:customStyle="1" w:styleId="77">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78">
    <w:name w:val="Table Text"/>
    <w:basedOn w:val="1"/>
    <w:semiHidden/>
    <w:qFormat/>
    <w:uiPriority w:val="0"/>
    <w:rPr>
      <w:rFonts w:ascii="宋体" w:hAnsi="宋体" w:eastAsia="宋体" w:cs="宋体"/>
      <w:sz w:val="18"/>
      <w:szCs w:val="18"/>
      <w:lang w:val="en-US" w:eastAsia="en-US" w:bidi="ar-SA"/>
    </w:rPr>
  </w:style>
  <w:style w:type="table" w:customStyle="1" w:styleId="7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115</Pages>
  <Words>5684</Words>
  <Characters>6098</Characters>
  <Lines>731</Lines>
  <Paragraphs>205</Paragraphs>
  <TotalTime>2</TotalTime>
  <ScaleCrop>false</ScaleCrop>
  <LinksUpToDate>false</LinksUpToDate>
  <CharactersWithSpaces>6203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2023-11-10T02:36:00Z</dcterms:created>
  <dc:creator>Chen~小璇</dc:creator>
  <cp:lastModifiedBy>Administrator</cp:lastModifiedBy>
  <cp:lastPrinted>2025-03-25T06:35:00Z</cp:lastPrinted>
  <dcterms:modified xsi:type="dcterms:W3CDTF">2025-07-17T08:08:51Z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1B806E38D727462CAFB4745D023DFC03_13</vt:lpwstr>
  </property>
  <property fmtid="{D5CDD505-2E9C-101B-9397-08002B2CF9AE}" pid="4" name="KSOTemplateDocerSaveRecord">
    <vt:lpwstr>eyJoZGlkIjoiOTk3YmY4ZmQ2Y2RhNThjY2JhMzI3NmFjZjM2YTY5MTgiLCJ1c2VySWQiOiIzNTEyNjg2NDQifQ==</vt:lpwstr>
  </property>
</Properties>
</file>