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02F72">
      <w:pPr>
        <w:spacing w:line="240" w:lineRule="auto"/>
        <w:jc w:val="center"/>
        <w:rPr>
          <w:color w:val="000000" w:themeColor="text1"/>
          <w:highlight w:val="none"/>
          <w14:textFill>
            <w14:solidFill>
              <w14:schemeClr w14:val="tx1"/>
            </w14:solidFill>
          </w14:textFill>
        </w:rPr>
      </w:pPr>
    </w:p>
    <w:p w14:paraId="40C9BBC1">
      <w:pPr>
        <w:spacing w:line="240" w:lineRule="auto"/>
        <w:jc w:val="center"/>
        <w:rPr>
          <w:rFonts w:hint="eastAsia" w:hAnsi="宋体" w:eastAsia="宋体"/>
          <w:b/>
          <w:bCs/>
          <w:color w:val="000000" w:themeColor="text1"/>
          <w:sz w:val="36"/>
          <w:szCs w:val="32"/>
          <w:highlight w:val="none"/>
          <w:lang w:eastAsia="zh-CN"/>
          <w14:textFill>
            <w14:solidFill>
              <w14:schemeClr w14:val="tx1"/>
            </w14:solidFill>
          </w14:textFill>
        </w:rPr>
      </w:pPr>
      <w:r>
        <w:rPr>
          <w:rFonts w:hint="eastAsia" w:hAnsi="宋体" w:eastAsia="宋体"/>
          <w:b/>
          <w:bCs/>
          <w:color w:val="000000" w:themeColor="text1"/>
          <w:sz w:val="36"/>
          <w:szCs w:val="32"/>
          <w:highlight w:val="none"/>
          <w:lang w:eastAsia="zh-CN"/>
          <w14:textFill>
            <w14:solidFill>
              <w14:schemeClr w14:val="tx1"/>
            </w14:solidFill>
          </w14:textFill>
        </w:rPr>
        <w:drawing>
          <wp:inline distT="0" distB="0" distL="114300" distR="114300">
            <wp:extent cx="5748020" cy="8047990"/>
            <wp:effectExtent l="0" t="0" r="5080" b="10160"/>
            <wp:docPr id="5" name="图片 5"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招标文件封面_01"/>
                    <pic:cNvPicPr>
                      <a:picLocks noChangeAspect="1"/>
                    </pic:cNvPicPr>
                  </pic:nvPicPr>
                  <pic:blipFill>
                    <a:blip r:embed="rId9"/>
                    <a:stretch>
                      <a:fillRect/>
                    </a:stretch>
                  </pic:blipFill>
                  <pic:spPr>
                    <a:xfrm>
                      <a:off x="0" y="0"/>
                      <a:ext cx="5748020" cy="8047990"/>
                    </a:xfrm>
                    <a:prstGeom prst="rect">
                      <a:avLst/>
                    </a:prstGeom>
                  </pic:spPr>
                </pic:pic>
              </a:graphicData>
            </a:graphic>
          </wp:inline>
        </w:drawing>
      </w:r>
    </w:p>
    <w:p w14:paraId="373F8E86">
      <w:pPr>
        <w:spacing w:line="240" w:lineRule="auto"/>
        <w:jc w:val="both"/>
        <w:rPr>
          <w:rFonts w:hAnsi="宋体"/>
          <w:b/>
          <w:bCs/>
          <w:color w:val="000000" w:themeColor="text1"/>
          <w:sz w:val="36"/>
          <w:szCs w:val="32"/>
          <w:highlight w:val="none"/>
          <w14:textFill>
            <w14:solidFill>
              <w14:schemeClr w14:val="tx1"/>
            </w14:solidFill>
          </w14:textFill>
        </w:rPr>
      </w:pPr>
    </w:p>
    <w:p w14:paraId="4A395720">
      <w:pPr>
        <w:spacing w:line="240" w:lineRule="auto"/>
        <w:jc w:val="center"/>
        <w:rPr>
          <w:rFonts w:hAnsi="宋体"/>
          <w:b/>
          <w:bCs/>
          <w:color w:val="000000" w:themeColor="text1"/>
          <w:sz w:val="36"/>
          <w:szCs w:val="32"/>
          <w:highlight w:val="none"/>
          <w14:textFill>
            <w14:solidFill>
              <w14:schemeClr w14:val="tx1"/>
            </w14:solidFill>
          </w14:textFill>
        </w:rPr>
      </w:pPr>
    </w:p>
    <w:p w14:paraId="163ED4BA">
      <w:pPr>
        <w:spacing w:line="240" w:lineRule="auto"/>
        <w:jc w:val="both"/>
        <w:rPr>
          <w:rFonts w:hAnsi="宋体"/>
          <w:b/>
          <w:bCs/>
          <w:color w:val="000000" w:themeColor="text1"/>
          <w:sz w:val="36"/>
          <w:szCs w:val="32"/>
          <w:highlight w:val="none"/>
          <w14:textFill>
            <w14:solidFill>
              <w14:schemeClr w14:val="tx1"/>
            </w14:solidFill>
          </w14:textFill>
        </w:rPr>
        <w:sectPr>
          <w:footerReference r:id="rId5" w:type="default"/>
          <w:endnotePr>
            <w:numFmt w:val="decimal"/>
          </w:endnotePr>
          <w:pgSz w:w="11906" w:h="16838"/>
          <w:pgMar w:top="1417" w:right="1417" w:bottom="1417" w:left="1417" w:header="850" w:footer="992" w:gutter="0"/>
          <w:pgNumType w:start="1"/>
          <w:cols w:space="0" w:num="1"/>
          <w:docGrid w:linePitch="327" w:charSpace="0"/>
        </w:sectPr>
      </w:pPr>
    </w:p>
    <w:p w14:paraId="65C97C1D">
      <w:pPr>
        <w:spacing w:line="240" w:lineRule="auto"/>
        <w:jc w:val="center"/>
        <w:rPr>
          <w:b/>
          <w:bCs/>
          <w:color w:val="000000" w:themeColor="text1"/>
          <w:sz w:val="44"/>
          <w:szCs w:val="32"/>
          <w:highlight w:val="none"/>
          <w14:textFill>
            <w14:solidFill>
              <w14:schemeClr w14:val="tx1"/>
            </w14:solidFill>
          </w14:textFill>
        </w:rPr>
      </w:pPr>
      <w:r>
        <w:rPr>
          <w:rFonts w:hAnsi="宋体"/>
          <w:b/>
          <w:bCs/>
          <w:color w:val="000000" w:themeColor="text1"/>
          <w:sz w:val="36"/>
          <w:szCs w:val="32"/>
          <w:highlight w:val="none"/>
          <w14:textFill>
            <w14:solidFill>
              <w14:schemeClr w14:val="tx1"/>
            </w14:solidFill>
          </w14:textFill>
        </w:rPr>
        <w:t>目</w:t>
      </w:r>
      <w:r>
        <w:rPr>
          <w:rFonts w:hint="eastAsia" w:hAnsi="宋体"/>
          <w:b/>
          <w:bCs/>
          <w:color w:val="000000" w:themeColor="text1"/>
          <w:sz w:val="36"/>
          <w:szCs w:val="32"/>
          <w:highlight w:val="none"/>
          <w14:textFill>
            <w14:solidFill>
              <w14:schemeClr w14:val="tx1"/>
            </w14:solidFill>
          </w14:textFill>
        </w:rPr>
        <w:t xml:space="preserve">  </w:t>
      </w:r>
      <w:r>
        <w:rPr>
          <w:rFonts w:hAnsi="宋体"/>
          <w:b/>
          <w:bCs/>
          <w:color w:val="000000" w:themeColor="text1"/>
          <w:sz w:val="36"/>
          <w:szCs w:val="32"/>
          <w:highlight w:val="none"/>
          <w14:textFill>
            <w14:solidFill>
              <w14:schemeClr w14:val="tx1"/>
            </w14:solidFill>
          </w14:textFill>
        </w:rPr>
        <w:t>录</w:t>
      </w:r>
    </w:p>
    <w:p w14:paraId="44B17FCD">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TOC \o "1-3" \h \u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_Toc583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第一章 投标人须知</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_Toc583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3</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74D3E77C">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_Toc2314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C3002D5">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_Toc24141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9DE17C1">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_Toc25618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0E8F4F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_Toc15236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snapToGrid w:val="0"/>
          <w:color w:val="000000" w:themeColor="text1"/>
          <w:kern w:val="0"/>
          <w:highlight w:val="none"/>
          <w14:textFill>
            <w14:solidFill>
              <w14:schemeClr w14:val="tx1"/>
            </w14:solidFill>
          </w14:textFill>
        </w:rPr>
        <w:t>1．项目概况、招标范围和标段划分、投标费用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46D23EE">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_Toc20122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2．投标人资格要求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A85E7C2">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_Toc3586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3．获取招标文件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B7EE403">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_Toc22267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_Toc22267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FDDEB47">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_Toc21232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5．服务标准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_Toc21232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2D00EDE">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_Toc21795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6．现场踏勘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_Toc21795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FEF18DD">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_Toc15426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7．招标文件的提问和答疑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DAAEF9">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_Toc3570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8．最高投标限价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EC53B17">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_Toc21289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9．投标报价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_Toc21289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2C2824D">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_Toc9820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_Toc9820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2A998F2">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_Toc3889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11．电子投标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91802A9">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_Toc3222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12. 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8269DFF">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_Toc3878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13．投标有效期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7D97B62">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_Toc28651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14．开标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9786486">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_Toc18989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15．评标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ABEF84C">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_Toc25572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表1 综合评分表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574E628">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_Toc703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16．推荐中标候选人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B2C4A19">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_Toc29147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17．中标候选人公示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_Toc29147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9B0CA99">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_Toc21097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9677B3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_Toc13388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_Toc13388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ACC3B14">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_Toc7280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_Toc7280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6F0AC09">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_Toc12619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578021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_Toc26327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_Toc26327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F95F188">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_Toc5642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hAnsi="宋体" w:cs="宋体"/>
          <w:b/>
          <w:bCs/>
          <w:snapToGrid w:val="0"/>
          <w:color w:val="000000" w:themeColor="text1"/>
          <w:szCs w:val="22"/>
          <w:highlight w:val="none"/>
          <w14:textFill>
            <w14:solidFill>
              <w14:schemeClr w14:val="tx1"/>
            </w14:solidFill>
          </w14:textFill>
        </w:rPr>
        <w:t>第二章 中标人须知</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_Toc5642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38</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51E4FE53">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rFonts w:hint="eastAsia" w:eastAsia="宋体"/>
          <w:b/>
          <w:bCs/>
          <w:color w:val="000000" w:themeColor="text1"/>
          <w:highlight w:val="none"/>
          <w:lang w:val="en-US" w:eastAsia="zh-CN"/>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_Toc3380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hAnsi="宋体" w:cs="宋体"/>
          <w:b/>
          <w:bCs/>
          <w:snapToGrid w:val="0"/>
          <w:color w:val="000000" w:themeColor="text1"/>
          <w:szCs w:val="32"/>
          <w:highlight w:val="none"/>
          <w14:textFill>
            <w14:solidFill>
              <w14:schemeClr w14:val="tx1"/>
            </w14:solidFill>
          </w14:textFill>
        </w:rPr>
        <w:t>第三章 拟签订合同的主要条款</w:t>
      </w:r>
      <w:r>
        <w:rPr>
          <w:b/>
          <w:bCs/>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4</w:t>
      </w:r>
      <w:r>
        <w:rPr>
          <w:rFonts w:hint="eastAsia" w:hAnsi="宋体" w:cs="宋体"/>
          <w:b/>
          <w:bCs/>
          <w:color w:val="000000" w:themeColor="text1"/>
          <w:szCs w:val="24"/>
          <w:highlight w:val="none"/>
          <w14:textFill>
            <w14:solidFill>
              <w14:schemeClr w14:val="tx1"/>
            </w14:solidFill>
          </w14:textFill>
        </w:rPr>
        <w:fldChar w:fldCharType="end"/>
      </w:r>
      <w:r>
        <w:rPr>
          <w:rFonts w:hint="eastAsia" w:hAnsi="宋体" w:cs="宋体"/>
          <w:b/>
          <w:bCs/>
          <w:color w:val="000000" w:themeColor="text1"/>
          <w:szCs w:val="24"/>
          <w:highlight w:val="none"/>
          <w:lang w:val="en-US" w:eastAsia="zh-CN"/>
          <w14:textFill>
            <w14:solidFill>
              <w14:schemeClr w14:val="tx1"/>
            </w14:solidFill>
          </w14:textFill>
        </w:rPr>
        <w:t>1</w:t>
      </w:r>
    </w:p>
    <w:p w14:paraId="4F7C972F">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_Toc17128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第四章 技术要求</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_Toc17128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46</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27C8678B">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_Toc22785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Times New Roman"/>
          <w:b/>
          <w:bCs/>
          <w:snapToGrid w:val="0"/>
          <w:color w:val="000000" w:themeColor="text1"/>
          <w:szCs w:val="22"/>
          <w:highlight w:val="none"/>
          <w14:textFill>
            <w14:solidFill>
              <w14:schemeClr w14:val="tx1"/>
            </w14:solidFill>
          </w14:textFill>
        </w:rPr>
        <w:t>第五章 投标文件格式</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_Toc22785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46</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7775900F">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_Toc23773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_Toc23773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62E79D6">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_Toc12548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_Toc12548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EC20B1E">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_Toc16076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_Toc16076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707CB17">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_Toc14957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5E0F59A">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_Toc19854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FB7664C">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_Toc25416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格式六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12AA9ED">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_Toc20791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格式七  总监理工程师任职声明（适用于无任职项目）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_Toc20791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D5FE55A">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_Toc25801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格式八 总监理工程师任职声明（适用于有任职项目）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0E3C5EF">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_Toc4580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格式九 总监理工程师任职项目情况表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_Toc4580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D9CDD4E">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_Toc4940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w:t>
      </w:r>
      <w:r>
        <w:rPr>
          <w:rFonts w:hint="eastAsia" w:hAnsi="宋体" w:cs="宋体"/>
          <w:bCs/>
          <w:snapToGrid w:val="0"/>
          <w:color w:val="000000" w:themeColor="text1"/>
          <w:kern w:val="0"/>
          <w:szCs w:val="24"/>
          <w:highlight w:val="none"/>
          <w14:textFill>
            <w14:solidFill>
              <w14:schemeClr w14:val="tx1"/>
            </w14:solidFill>
          </w14:textFill>
        </w:rPr>
        <w:t>十 项目监理机构组成人员汇总表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5A49AC3">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_Toc29786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格式十一  总监理工程师简历表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BC167FD">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_Toc25360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格式十二  其他拟派人员简历表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_Toc25360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DDF10DA">
      <w:pPr>
        <w:pStyle w:val="25"/>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_Toc23609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lang w:val="en-US" w:eastAsia="zh-CN"/>
          <w14:textFill>
            <w14:solidFill>
              <w14:schemeClr w14:val="tx1"/>
            </w14:solidFill>
          </w14:textFill>
        </w:rPr>
        <w:t>格式十三 原件一览表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11E68EA">
      <w:pPr>
        <w:pStyle w:val="21"/>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fldChar w:fldCharType="begin"/>
      </w:r>
      <w:r>
        <w:rPr>
          <w:rFonts w:hint="eastAsia" w:hAnsi="宋体" w:cs="宋体"/>
          <w:b/>
          <w:bCs/>
          <w:color w:val="000000" w:themeColor="text1"/>
          <w:szCs w:val="24"/>
          <w:highlight w:val="none"/>
          <w14:textFill>
            <w14:solidFill>
              <w14:schemeClr w14:val="tx1"/>
            </w14:solidFill>
          </w14:textFill>
        </w:rPr>
        <w:instrText xml:space="preserve"> HYPERLINK \l _Toc28689 </w:instrText>
      </w:r>
      <w:r>
        <w:rPr>
          <w:rFonts w:hint="eastAsia" w:hAnsi="宋体" w:cs="宋体"/>
          <w:b/>
          <w:bCs/>
          <w:color w:val="000000" w:themeColor="text1"/>
          <w:szCs w:val="24"/>
          <w:highlight w:val="none"/>
          <w14:textFill>
            <w14:solidFill>
              <w14:schemeClr w14:val="tx1"/>
            </w14:solidFill>
          </w14:textFill>
        </w:rPr>
        <w:fldChar w:fldCharType="separate"/>
      </w:r>
      <w:r>
        <w:rPr>
          <w:rFonts w:hint="eastAsia" w:ascii="宋体" w:hAnsi="宋体" w:cs="宋体"/>
          <w:b/>
          <w:bCs/>
          <w:color w:val="000000" w:themeColor="text1"/>
          <w:kern w:val="44"/>
          <w:szCs w:val="22"/>
          <w:highlight w:val="none"/>
          <w14:textFill>
            <w14:solidFill>
              <w14:schemeClr w14:val="tx1"/>
            </w14:solidFill>
          </w14:textFill>
        </w:rPr>
        <w:t>第六章 建设工程监理合同</w:t>
      </w:r>
      <w:r>
        <w:rPr>
          <w:b/>
          <w:bCs/>
          <w:color w:val="000000" w:themeColor="text1"/>
          <w:highlight w:val="none"/>
          <w14:textFill>
            <w14:solidFill>
              <w14:schemeClr w14:val="tx1"/>
            </w14:solidFill>
          </w14:textFill>
        </w:rPr>
        <w:tab/>
      </w:r>
      <w:r>
        <w:rPr>
          <w:b/>
          <w:bCs/>
          <w:color w:val="000000" w:themeColor="text1"/>
          <w:highlight w:val="none"/>
          <w14:textFill>
            <w14:solidFill>
              <w14:schemeClr w14:val="tx1"/>
            </w14:solidFill>
          </w14:textFill>
        </w:rPr>
        <w:fldChar w:fldCharType="begin"/>
      </w:r>
      <w:r>
        <w:rPr>
          <w:b/>
          <w:bCs/>
          <w:color w:val="000000" w:themeColor="text1"/>
          <w:highlight w:val="none"/>
          <w14:textFill>
            <w14:solidFill>
              <w14:schemeClr w14:val="tx1"/>
            </w14:solidFill>
          </w14:textFill>
        </w:rPr>
        <w:instrText xml:space="preserve"> PAGEREF _Toc28689 \h </w:instrText>
      </w:r>
      <w:r>
        <w:rPr>
          <w:b/>
          <w:bCs/>
          <w:color w:val="000000" w:themeColor="text1"/>
          <w:highlight w:val="none"/>
          <w14:textFill>
            <w14:solidFill>
              <w14:schemeClr w14:val="tx1"/>
            </w14:solidFill>
          </w14:textFill>
        </w:rPr>
        <w:fldChar w:fldCharType="separate"/>
      </w:r>
      <w:r>
        <w:rPr>
          <w:b/>
          <w:bCs/>
          <w:color w:val="000000" w:themeColor="text1"/>
          <w:highlight w:val="none"/>
          <w14:textFill>
            <w14:solidFill>
              <w14:schemeClr w14:val="tx1"/>
            </w14:solidFill>
          </w14:textFill>
        </w:rPr>
        <w:t>62</w:t>
      </w:r>
      <w:r>
        <w:rPr>
          <w:b/>
          <w:bCs/>
          <w:color w:val="000000" w:themeColor="text1"/>
          <w:highlight w:val="none"/>
          <w14:textFill>
            <w14:solidFill>
              <w14:schemeClr w14:val="tx1"/>
            </w14:solidFill>
          </w14:textFill>
        </w:rPr>
        <w:fldChar w:fldCharType="end"/>
      </w:r>
      <w:r>
        <w:rPr>
          <w:rFonts w:hint="eastAsia" w:hAnsi="宋体" w:cs="宋体"/>
          <w:b/>
          <w:bCs/>
          <w:color w:val="000000" w:themeColor="text1"/>
          <w:szCs w:val="24"/>
          <w:highlight w:val="none"/>
          <w14:textFill>
            <w14:solidFill>
              <w14:schemeClr w14:val="tx1"/>
            </w14:solidFill>
          </w14:textFill>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end"/>
      </w:r>
    </w:p>
    <w:p w14:paraId="73AD38DD">
      <w:pPr>
        <w:pStyle w:val="2"/>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bookmarkStart w:id="0" w:name="_Toc583"/>
      <w:r>
        <w:rPr>
          <w:rFonts w:hint="eastAsia" w:ascii="Times New Roman"/>
          <w:b/>
          <w:snapToGrid w:val="0"/>
          <w:color w:val="000000" w:themeColor="text1"/>
          <w:sz w:val="32"/>
          <w:szCs w:val="22"/>
          <w:highlight w:val="none"/>
          <w14:textFill>
            <w14:solidFill>
              <w14:schemeClr w14:val="tx1"/>
            </w14:solidFill>
          </w14:textFill>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000000" w:themeColor="text1"/>
          <w:highlight w:val="none"/>
          <w14:textFill>
            <w14:solidFill>
              <w14:schemeClr w14:val="tx1"/>
            </w14:solidFill>
          </w14:textFill>
        </w:rPr>
      </w:pPr>
      <w:bookmarkStart w:id="1" w:name="_Hlt127175444"/>
      <w:bookmarkEnd w:id="1"/>
      <w:bookmarkStart w:id="2" w:name="_Toc2314"/>
      <w:bookmarkStart w:id="3" w:name="_Toc4883"/>
      <w:bookmarkStart w:id="4" w:name="_Hlt120077520"/>
      <w:r>
        <w:rPr>
          <w:rFonts w:hint="eastAsia" w:ascii="Times New Roman"/>
          <w:b/>
          <w:snapToGrid w:val="0"/>
          <w:color w:val="000000" w:themeColor="text1"/>
          <w:highlight w:val="none"/>
          <w14:textFill>
            <w14:solidFill>
              <w14:schemeClr w14:val="tx1"/>
            </w14:solidFill>
          </w14:textFill>
        </w:rPr>
        <w:t>第一节 投标人须知前附表</w:t>
      </w:r>
      <w:bookmarkEnd w:id="2"/>
      <w:bookmarkEnd w:id="3"/>
    </w:p>
    <w:tbl>
      <w:tblPr>
        <w:tblStyle w:val="30"/>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翁源县“百千万工程”之全域推进农村人居环境整治建设项目（三期）（江尾镇二期）监理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6"/>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翁发改投审〔2025〕25号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6"/>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kern w:val="0"/>
                <w:szCs w:val="24"/>
                <w:highlight w:val="none"/>
                <w14:textFill>
                  <w14:solidFill>
                    <w14:schemeClr w14:val="tx1"/>
                  </w14:solidFill>
                </w14:textFill>
              </w:rPr>
            </w:pPr>
            <w:r>
              <w:rPr>
                <w:rFonts w:hint="eastAsia" w:hAnsi="宋体" w:eastAsia="宋体" w:cs="宋体"/>
                <w:color w:val="000000" w:themeColor="text1"/>
                <w:szCs w:val="22"/>
                <w:highlight w:val="none"/>
                <w:lang w:val="en-US" w:eastAsia="zh-CN"/>
                <w14:textFill>
                  <w14:solidFill>
                    <w14:schemeClr w14:val="tx1"/>
                  </w14:solidFill>
                </w14:textFill>
              </w:rPr>
              <w:t>争取地方政府专项债券资金及上级专项资金解决，不足部分由县级财政统筹解决</w:t>
            </w:r>
            <w:r>
              <w:rPr>
                <w:rFonts w:hint="eastAsia" w:hAnsi="宋体" w:cs="宋体"/>
                <w:color w:val="000000" w:themeColor="text1"/>
                <w:kern w:val="0"/>
                <w:szCs w:val="24"/>
                <w:highlight w:val="none"/>
                <w14:textFill>
                  <w14:solidFill>
                    <w14:schemeClr w14:val="tx1"/>
                  </w14:solidFill>
                </w14:textFill>
              </w:rPr>
              <w:t xml:space="preserve"> </w:t>
            </w:r>
            <w:r>
              <w:rPr>
                <w:rFonts w:hint="eastAsia" w:hAnsi="宋体" w:cs="宋体"/>
                <w:color w:val="000000" w:themeColor="text1"/>
                <w:kern w:val="0"/>
                <w:szCs w:val="24"/>
                <w:highlight w:val="none"/>
                <w:lang w:eastAsia="zh-CN"/>
                <w14:textFill>
                  <w14:solidFill>
                    <w14:schemeClr w14:val="tx1"/>
                  </w14:solidFill>
                </w14:textFill>
              </w:rPr>
              <w:t>；</w:t>
            </w:r>
            <w:r>
              <w:rPr>
                <w:rFonts w:hint="eastAsia" w:hAnsi="宋体" w:cs="宋体"/>
                <w:color w:val="000000" w:themeColor="text1"/>
                <w:kern w:val="0"/>
                <w:szCs w:val="24"/>
                <w:highlight w:val="none"/>
                <w14:textFill>
                  <w14:solidFill>
                    <w14:schemeClr w14:val="tx1"/>
                  </w14:solidFill>
                </w14:textFill>
              </w:rPr>
              <w:t>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val="zh-CN"/>
                <w14:textFill>
                  <w14:solidFill>
                    <w14:schemeClr w14:val="tx1"/>
                  </w14:solidFill>
                </w14:textFill>
              </w:rPr>
              <w:t>翁源县江尾镇人民政府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广东志达建设监理有限公司</w:t>
            </w:r>
            <w:r>
              <w:rPr>
                <w:rFonts w:hint="eastAsia" w:hAnsi="宋体" w:cs="宋体"/>
                <w:snapToGrid w:val="0"/>
                <w:color w:val="000000" w:themeColor="text1"/>
                <w:kern w:val="0"/>
                <w:szCs w:val="24"/>
                <w:highlight w:val="none"/>
                <w14:textFill>
                  <w14:solidFill>
                    <w14:schemeClr w14:val="tx1"/>
                  </w14:solidFill>
                </w14:textFill>
              </w:rPr>
              <w:t xml:space="preserve"> </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000000" w:themeColor="text1"/>
                <w:kern w:val="0"/>
                <w:szCs w:val="24"/>
                <w:highlight w:val="none"/>
                <w:lang w:val="en-US" w:eastAsia="zh-CN"/>
                <w14:textFill>
                  <w14:solidFill>
                    <w14:schemeClr w14:val="tx1"/>
                  </w14:solidFill>
                </w14:textFill>
              </w:rPr>
            </w:pPr>
            <w:r>
              <w:rPr>
                <w:rFonts w:hint="eastAsia" w:hAnsi="宋体" w:cs="宋体"/>
                <w:bCs/>
                <w:snapToGrid w:val="0"/>
                <w:color w:val="000000" w:themeColor="text1"/>
                <w:kern w:val="0"/>
                <w:szCs w:val="24"/>
                <w:highlight w:val="none"/>
                <w:lang w:val="en-US" w:eastAsia="zh-CN"/>
                <w14:textFill>
                  <w14:solidFill>
                    <w14:schemeClr w14:val="tx1"/>
                  </w14:solidFill>
                </w14:textFill>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韶关市翁源县江尾镇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0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项目拟通过实施人居环境综合整治工程和基础设施改造工程，提高江尾镇人居环境与生活质量，改善乡容村貌，提升生活配套服务水平，实现“百县千镇万村高质量发展工程”的具体目标任务。建设内容主要包含圩镇主街综合改造工程、圩镇基础设施改造工程、农村人居环境整治提升、农房风貌管控、农村污水治理、农村道路升级改造、河道清理打造提升、水圳三面光建设、绿美生态建设、鱼塘及河堤升级改造、生态停车场建设、村民健身广场建设、绿美生态公园建设、“四小园”建设、“三线”整治等基础设施工程及其他配套设施工程。</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53"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本项目概算总投资约</w:t>
            </w:r>
            <w:r>
              <w:rPr>
                <w:rFonts w:hint="eastAsia" w:hAnsi="宋体" w:cs="宋体"/>
                <w:color w:val="000000" w:themeColor="text1"/>
                <w:kern w:val="0"/>
                <w:sz w:val="24"/>
                <w:szCs w:val="24"/>
                <w:highlight w:val="none"/>
                <w:lang w:val="en-US" w:eastAsia="zh-CN" w:bidi="ar-SA"/>
                <w14:textFill>
                  <w14:solidFill>
                    <w14:schemeClr w14:val="tx1"/>
                  </w14:solidFill>
                </w14:textFill>
              </w:rPr>
              <w:t>2108.39</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万元</w:t>
            </w:r>
            <w:r>
              <w:rPr>
                <w:rFonts w:hint="eastAsia" w:hAnsi="宋体" w:cs="宋体"/>
                <w:color w:val="000000" w:themeColor="text1"/>
                <w:szCs w:val="22"/>
                <w:highlight w:val="none"/>
                <w:lang w:val="en-US" w:eastAsia="zh-CN"/>
                <w14:textFill>
                  <w14:solidFill>
                    <w14:schemeClr w14:val="tx1"/>
                  </w14:solidFill>
                </w14:textFill>
              </w:rPr>
              <w:t>，</w:t>
            </w:r>
            <w:r>
              <w:rPr>
                <w:rFonts w:hint="eastAsia" w:ascii="宋体" w:hAnsi="宋体" w:eastAsia="宋体" w:cs="宋体"/>
                <w:color w:val="000000" w:themeColor="text1"/>
                <w:szCs w:val="22"/>
                <w:highlight w:val="none"/>
                <w:lang w:val="en-US" w:eastAsia="zh-CN"/>
                <w14:textFill>
                  <w14:solidFill>
                    <w14:schemeClr w14:val="tx1"/>
                  </w14:solidFill>
                </w14:textFill>
              </w:rPr>
              <w:t>本次招标监理服务费为</w:t>
            </w:r>
            <w:r>
              <w:rPr>
                <w:rFonts w:hint="eastAsia" w:hAnsi="宋体" w:cs="宋体"/>
                <w:color w:val="000000" w:themeColor="text1"/>
                <w:szCs w:val="22"/>
                <w:highlight w:val="none"/>
                <w:lang w:val="en-US" w:eastAsia="zh-CN"/>
                <w14:textFill>
                  <w14:solidFill>
                    <w14:schemeClr w14:val="tx1"/>
                  </w14:solidFill>
                </w14:textFill>
              </w:rPr>
              <w:t>39.44万元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hAnsi="宋体" w:eastAsia="宋体" w:cs="宋体"/>
                <w:bCs/>
                <w:snapToGrid w:val="0"/>
                <w:color w:val="000000" w:themeColor="text1"/>
                <w:kern w:val="0"/>
                <w:szCs w:val="24"/>
                <w:highlight w:val="none"/>
                <w:lang w:eastAsia="zh-CN"/>
                <w14:textFill>
                  <w14:solidFill>
                    <w14:schemeClr w14:val="tx1"/>
                  </w14:solidFill>
                </w14:textFill>
              </w:rPr>
            </w:pPr>
            <w:r>
              <w:rPr>
                <w:rFonts w:hint="eastAsia" w:hAnsi="宋体" w:cs="宋体"/>
                <w:bCs/>
                <w:snapToGrid w:val="0"/>
                <w:color w:val="000000" w:themeColor="text1"/>
                <w:kern w:val="0"/>
                <w:szCs w:val="24"/>
                <w:highlight w:val="none"/>
                <w:lang w:eastAsia="zh-CN"/>
                <w14:textFill>
                  <w14:solidFill>
                    <w14:schemeClr w14:val="tx1"/>
                  </w14:solidFill>
                </w14:textFill>
              </w:rPr>
              <w:t>项目建设施工阶段监理（含施工准备阶段、施工阶段、工程竣工验收及结算阶段和缺陷责任保修期阶段的监理服务）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 xml:space="preserve">2.2 </w:t>
            </w:r>
            <w:r>
              <w:rPr>
                <w:rFonts w:hint="eastAsia" w:ascii="宋体" w:hAnsi="宋体" w:eastAsia="宋体" w:cs="宋体"/>
                <w:color w:val="000000" w:themeColor="text1"/>
                <w:szCs w:val="24"/>
                <w:highlight w:val="none"/>
                <w14:textFill>
                  <w14:solidFill>
                    <w14:schemeClr w14:val="tx1"/>
                  </w14:solidFill>
                </w14:textFill>
              </w:rPr>
              <w:t>投标人须具备以下资质之一：①工程监理综合资质；②市政公用工程监理</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级以上（含</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级）资质及房屋建筑工程监理</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级以上（含</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3.1 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2 </w:t>
            </w:r>
            <w:r>
              <w:rPr>
                <w:rFonts w:hint="eastAsia" w:hAnsi="宋体" w:cs="宋体"/>
                <w:color w:val="000000" w:themeColor="text1"/>
                <w:szCs w:val="24"/>
                <w:highlight w:val="none"/>
                <w14:textFill>
                  <w14:solidFill>
                    <w14:schemeClr w14:val="tx1"/>
                  </w14:solidFill>
                </w14:textFill>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sym w:font="Wingdings" w:char="00D8"/>
            </w:r>
            <w:r>
              <w:rPr>
                <w:rFonts w:hint="eastAsia" w:hAnsi="宋体" w:cs="宋体"/>
                <w:color w:val="000000" w:themeColor="text1"/>
                <w:szCs w:val="24"/>
                <w:highlight w:val="none"/>
                <w14:textFill>
                  <w14:solidFill>
                    <w14:schemeClr w14:val="tx1"/>
                  </w14:solidFill>
                </w14:textFill>
              </w:rPr>
              <w:t xml:space="preserve"> （14）</w:t>
            </w:r>
            <w:r>
              <w:rPr>
                <w:rFonts w:hint="eastAsia" w:hAnsi="宋体" w:cs="宋体"/>
                <w:color w:val="000000" w:themeColor="text1"/>
                <w:kern w:val="0"/>
                <w:highlight w:val="none"/>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highlight w:val="none"/>
                <w14:textFill>
                  <w14:solidFill>
                    <w14:schemeClr w14:val="tx1"/>
                  </w14:solidFill>
                </w14:textFill>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4.2 招标人拒绝以下名单中的单位参加本次投标：</w:t>
            </w:r>
          </w:p>
          <w:tbl>
            <w:tblPr>
              <w:tblStyle w:val="30"/>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701"/>
              <w:gridCol w:w="3177"/>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2701"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3177"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2701" w:type="dxa"/>
                  <w:noWrap w:val="0"/>
                  <w:vAlign w:val="center"/>
                </w:tcPr>
                <w:p w14:paraId="33309A4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翁源县农业农村局</w:t>
                  </w:r>
                </w:p>
              </w:tc>
              <w:tc>
                <w:tcPr>
                  <w:tcW w:w="3177" w:type="dxa"/>
                  <w:noWrap w:val="0"/>
                  <w:vAlign w:val="center"/>
                </w:tcPr>
                <w:p w14:paraId="3109F4A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为本招标项目的项目业主</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2701" w:type="dxa"/>
                  <w:noWrap w:val="0"/>
                  <w:vAlign w:val="center"/>
                </w:tcPr>
                <w:p w14:paraId="22B974F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翁源县江尾镇人民政府</w:t>
                  </w:r>
                </w:p>
              </w:tc>
              <w:tc>
                <w:tcPr>
                  <w:tcW w:w="3177" w:type="dxa"/>
                  <w:noWrap w:val="0"/>
                  <w:vAlign w:val="center"/>
                </w:tcPr>
                <w:p w14:paraId="3A221F21">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highlight w:val="none"/>
                      <w14:textFill>
                        <w14:solidFill>
                          <w14:schemeClr w14:val="tx1"/>
                        </w14:solidFill>
                      </w14:textFill>
                    </w:rPr>
                    <w:t>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411821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2701" w:type="dxa"/>
                  <w:noWrap w:val="0"/>
                  <w:vAlign w:val="center"/>
                </w:tcPr>
                <w:p w14:paraId="0A3FF80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highlight w:val="none"/>
                      <w:lang w:eastAsia="zh-CN"/>
                      <w14:textFill>
                        <w14:solidFill>
                          <w14:schemeClr w14:val="tx1"/>
                        </w14:solidFill>
                      </w14:textFill>
                    </w:rPr>
                    <w:t>广东志达建设监理有限公司</w:t>
                  </w:r>
                </w:p>
              </w:tc>
              <w:tc>
                <w:tcPr>
                  <w:tcW w:w="3177" w:type="dxa"/>
                  <w:noWrap w:val="0"/>
                  <w:vAlign w:val="center"/>
                </w:tcPr>
                <w:p w14:paraId="5C95264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0D97E1E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2701" w:type="dxa"/>
                  <w:noWrap w:val="0"/>
                  <w:vAlign w:val="center"/>
                </w:tcPr>
                <w:p w14:paraId="5DD32DF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广东省国际工程咨询有限公司</w:t>
                  </w:r>
                </w:p>
              </w:tc>
              <w:tc>
                <w:tcPr>
                  <w:tcW w:w="3177" w:type="dxa"/>
                  <w:noWrap w:val="0"/>
                  <w:vAlign w:val="center"/>
                </w:tcPr>
                <w:p w14:paraId="0884CAA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项目的可研编制单位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1.投标人须缴纳金额为人民币</w:t>
            </w:r>
            <w:r>
              <w:rPr>
                <w:rFonts w:hint="eastAsia" w:hAnsi="宋体" w:cs="宋体"/>
                <w:color w:val="000000" w:themeColor="text1"/>
                <w:highlight w:val="none"/>
                <w:u w:val="single"/>
                <w:lang w:val="en-US" w:eastAsia="zh-CN"/>
                <w14:textFill>
                  <w14:solidFill>
                    <w14:schemeClr w14:val="tx1"/>
                  </w14:solidFill>
                </w14:textFill>
              </w:rPr>
              <w:t>伍仟</w:t>
            </w:r>
            <w:r>
              <w:rPr>
                <w:rFonts w:hint="eastAsia" w:hAnsi="宋体" w:cs="宋体"/>
                <w:color w:val="000000" w:themeColor="text1"/>
                <w:highlight w:val="none"/>
                <w14:textFill>
                  <w14:solidFill>
                    <w14:schemeClr w14:val="tx1"/>
                  </w14:solidFill>
                </w14:textFill>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本次招标的投标有效期为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本次招标监理大纲</w:t>
            </w:r>
            <w:r>
              <w:rPr>
                <w:rFonts w:hint="eastAsia" w:hAnsi="宋体" w:cs="宋体"/>
                <w:snapToGrid w:val="0"/>
                <w:color w:val="000000" w:themeColor="text1"/>
                <w:kern w:val="0"/>
                <w:szCs w:val="24"/>
                <w:highlight w:val="none"/>
                <w:u w:val="single"/>
                <w14:textFill>
                  <w14:solidFill>
                    <w14:schemeClr w14:val="tx1"/>
                  </w14:solidFill>
                </w14:textFill>
              </w:rPr>
              <w:t xml:space="preserve"> 不采用 </w:t>
            </w:r>
            <w:r>
              <w:rPr>
                <w:rFonts w:hint="eastAsia" w:hAnsi="宋体" w:cs="宋体"/>
                <w:snapToGrid w:val="0"/>
                <w:color w:val="000000" w:themeColor="text1"/>
                <w:kern w:val="0"/>
                <w:szCs w:val="24"/>
                <w:highlight w:val="none"/>
                <w14:textFill>
                  <w14:solidFill>
                    <w14:schemeClr w14:val="tx1"/>
                  </w14:solidFill>
                </w14:textFill>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评标委员会由</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人组成，其中招标人代表</w:t>
            </w:r>
            <w:r>
              <w:rPr>
                <w:rFonts w:hint="eastAsia" w:hAnsi="宋体" w:cs="宋体"/>
                <w:snapToGrid w:val="0"/>
                <w:color w:val="000000" w:themeColor="text1"/>
                <w:kern w:val="0"/>
                <w:szCs w:val="24"/>
                <w:highlight w:val="none"/>
                <w:u w:val="single"/>
                <w14:textFill>
                  <w14:solidFill>
                    <w14:schemeClr w14:val="tx1"/>
                  </w14:solidFill>
                </w14:textFill>
              </w:rPr>
              <w:t xml:space="preserve"> 0 </w:t>
            </w:r>
            <w:r>
              <w:rPr>
                <w:rFonts w:hint="eastAsia" w:hAnsi="宋体" w:cs="宋体"/>
                <w:snapToGrid w:val="0"/>
                <w:color w:val="000000" w:themeColor="text1"/>
                <w:kern w:val="0"/>
                <w:szCs w:val="24"/>
                <w:highlight w:val="none"/>
                <w14:textFill>
                  <w14:solidFill>
                    <w14:schemeClr w14:val="tx1"/>
                  </w14:solidFill>
                </w14:textFill>
              </w:rPr>
              <w:t>人，专家</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szCs w:val="24"/>
                <w:highlight w:val="none"/>
                <w14:textFill>
                  <w14:solidFill>
                    <w14:schemeClr w14:val="tx1"/>
                  </w14:solidFill>
                </w14:textFill>
              </w:rPr>
              <w:t>中随机抽取，其中技术类专家</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人，经济类专家</w:t>
            </w:r>
            <w:r>
              <w:rPr>
                <w:rFonts w:hint="eastAsia" w:hAnsi="宋体" w:cs="宋体"/>
                <w:snapToGrid w:val="0"/>
                <w:color w:val="000000" w:themeColor="text1"/>
                <w:kern w:val="0"/>
                <w:szCs w:val="24"/>
                <w:highlight w:val="none"/>
                <w:u w:val="single"/>
                <w14:textFill>
                  <w14:solidFill>
                    <w14:schemeClr w14:val="tx1"/>
                  </w14:solidFill>
                </w14:textFill>
              </w:rPr>
              <w:t xml:space="preserve"> 2 </w:t>
            </w:r>
            <w:r>
              <w:rPr>
                <w:rFonts w:hint="eastAsia" w:hAnsi="宋体" w:cs="宋体"/>
                <w:snapToGrid w:val="0"/>
                <w:color w:val="000000" w:themeColor="text1"/>
                <w:kern w:val="0"/>
                <w:szCs w:val="24"/>
                <w:highlight w:val="none"/>
                <w14:textFill>
                  <w14:solidFill>
                    <w14:schemeClr w14:val="tx1"/>
                  </w14:solidFill>
                </w14:textFill>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招标文件要求提交的用于评审的证书、证件、证明原件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如有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投标人提交用于评审的证书、证件、证明原件的，应自行准备两张“原件一览表”(详见格式十</w:t>
            </w: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三</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BD5D38F">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翁源县江尾镇人民政府</w:t>
            </w:r>
          </w:p>
          <w:p w14:paraId="4B7EE0A4">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办公地址：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翁源县江尾镇江松路24号201房</w:t>
            </w:r>
          </w:p>
          <w:p w14:paraId="5C2448A2">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联系人（部门）：</w:t>
            </w:r>
            <w:r>
              <w:rPr>
                <w:rFonts w:hint="eastAsia" w:hAnsi="宋体" w:cs="宋体"/>
                <w:snapToGrid w:val="0"/>
                <w:color w:val="000000" w:themeColor="text1"/>
                <w:kern w:val="0"/>
                <w:sz w:val="24"/>
                <w:szCs w:val="24"/>
                <w:highlight w:val="none"/>
                <w:lang w:val="en-US" w:eastAsia="zh-CN"/>
                <w14:textFill>
                  <w14:solidFill>
                    <w14:schemeClr w14:val="tx1"/>
                  </w14:solidFill>
                </w14:textFill>
              </w:rPr>
              <w:t>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工</w:t>
            </w:r>
          </w:p>
          <w:p w14:paraId="35BB337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联系电话：</w:t>
            </w:r>
            <w:r>
              <w:rPr>
                <w:rFonts w:hint="eastAsia" w:ascii="宋体" w:hAnsi="宋体" w:eastAsia="宋体" w:cs="宋体"/>
                <w:i w:val="0"/>
                <w:color w:val="000000" w:themeColor="text1"/>
                <w:sz w:val="24"/>
                <w:szCs w:val="24"/>
                <w:highlight w:val="none"/>
                <w:u w:val="none"/>
                <w14:textFill>
                  <w14:solidFill>
                    <w14:schemeClr w14:val="tx1"/>
                  </w14:solidFill>
                </w14:textFill>
              </w:rPr>
              <w:t>0751-2569108</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62A977CB">
            <w:pPr>
              <w:pStyle w:val="116"/>
              <w:keepNext w:val="0"/>
              <w:keepLines w:val="0"/>
              <w:pageBreakBefore w:val="0"/>
              <w:widowControl w:val="0"/>
              <w:tabs>
                <w:tab w:val="left" w:pos="1890"/>
              </w:tabs>
              <w:kinsoku/>
              <w:wordWrap/>
              <w:overflowPunct/>
              <w:topLinePunct w:val="0"/>
              <w:autoSpaceDE/>
              <w:autoSpaceDN/>
              <w:bidi w:val="0"/>
              <w:adjustRightInd/>
              <w:snapToGrid/>
              <w:spacing w:line="500" w:lineRule="exact"/>
              <w:ind w:firstLine="480" w:firstLineChars="200"/>
              <w:jc w:val="left"/>
              <w:textAlignment w:val="auto"/>
              <w:rPr>
                <w:rFonts w:hint="eastAsia" w:hAnsi="宋体" w:eastAsia="宋体" w:cs="宋体"/>
                <w:snapToGrid w:val="0"/>
                <w:color w:val="000000" w:themeColor="text1"/>
                <w:kern w:val="0"/>
                <w:sz w:val="24"/>
                <w:highlight w:val="none"/>
                <w:lang w:eastAsia="zh-CN"/>
                <w14:textFill>
                  <w14:solidFill>
                    <w14:schemeClr w14:val="tx1"/>
                  </w14:solidFill>
                </w14:textFill>
              </w:rPr>
            </w:pPr>
            <w:r>
              <w:rPr>
                <w:rFonts w:hint="eastAsia" w:hAnsi="宋体" w:eastAsia="宋体" w:cs="宋体"/>
                <w:snapToGrid w:val="0"/>
                <w:color w:val="000000" w:themeColor="text1"/>
                <w:kern w:val="0"/>
                <w:sz w:val="24"/>
                <w:highlight w:val="none"/>
                <w:lang w:eastAsia="zh-CN"/>
                <w14:textFill>
                  <w14:solidFill>
                    <w14:schemeClr w14:val="tx1"/>
                  </w14:solidFill>
                </w14:textFill>
              </w:rPr>
              <w:t>单位名称：</w:t>
            </w:r>
            <w:r>
              <w:rPr>
                <w:rFonts w:hint="eastAsia" w:hAnsi="宋体" w:cs="宋体"/>
                <w:snapToGrid w:val="0"/>
                <w:color w:val="000000" w:themeColor="text1"/>
                <w:kern w:val="0"/>
                <w:sz w:val="24"/>
                <w:highlight w:val="none"/>
                <w:lang w:eastAsia="zh-CN"/>
                <w14:textFill>
                  <w14:solidFill>
                    <w14:schemeClr w14:val="tx1"/>
                  </w14:solidFill>
                </w14:textFill>
              </w:rPr>
              <w:t>广东志达建设监理有限公司</w:t>
            </w:r>
          </w:p>
          <w:p w14:paraId="5E8E747E">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办公地址：韶关市翁源县龙仙镇龙仙大道金悦华府商业内2-07商铺</w:t>
            </w:r>
          </w:p>
          <w:p w14:paraId="65598BE7">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Cs w:val="24"/>
                <w:highlight w:val="none"/>
                <w:lang w:eastAsia="zh-CN"/>
                <w14:textFill>
                  <w14:solidFill>
                    <w14:schemeClr w14:val="tx1"/>
                  </w14:solidFill>
                </w14:textFill>
              </w:rPr>
              <w:t>联系人：</w:t>
            </w:r>
            <w:r>
              <w:rPr>
                <w:rFonts w:hint="eastAsia" w:hAnsi="宋体" w:eastAsia="宋体" w:cs="宋体"/>
                <w:color w:val="000000" w:themeColor="text1"/>
                <w:szCs w:val="24"/>
                <w:highlight w:val="none"/>
                <w:lang w:val="en-US" w:eastAsia="zh-CN"/>
                <w14:textFill>
                  <w14:solidFill>
                    <w14:schemeClr w14:val="tx1"/>
                  </w14:solidFill>
                </w14:textFill>
              </w:rPr>
              <w:t>张</w:t>
            </w:r>
            <w:r>
              <w:rPr>
                <w:rFonts w:hint="eastAsia" w:ascii="宋体" w:hAnsi="宋体" w:eastAsia="宋体" w:cs="宋体"/>
                <w:color w:val="000000" w:themeColor="text1"/>
                <w:szCs w:val="24"/>
                <w:highlight w:val="none"/>
                <w:lang w:eastAsia="zh-CN"/>
                <w14:textFill>
                  <w14:solidFill>
                    <w14:schemeClr w14:val="tx1"/>
                  </w14:solidFill>
                </w14:textFill>
              </w:rPr>
              <w:t>工</w:t>
            </w:r>
          </w:p>
          <w:p w14:paraId="3B5662E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Cs w:val="24"/>
                <w:highlight w:val="none"/>
                <w:lang w:val="zh-CN" w:eastAsia="zh-CN"/>
                <w14:textFill>
                  <w14:solidFill>
                    <w14:schemeClr w14:val="tx1"/>
                  </w14:solidFill>
                </w14:textFill>
              </w:rPr>
              <w:t>：</w:t>
            </w:r>
            <w:r>
              <w:rPr>
                <w:rFonts w:hint="eastAsia" w:hAnsi="宋体" w:eastAsia="宋体" w:cs="宋体"/>
                <w:i w:val="0"/>
                <w:color w:val="000000" w:themeColor="text1"/>
                <w:sz w:val="24"/>
                <w:szCs w:val="24"/>
                <w:highlight w:val="none"/>
                <w:u w:val="none"/>
                <w:lang w:val="en-US" w:eastAsia="zh-CN"/>
                <w14:textFill>
                  <w14:solidFill>
                    <w14:schemeClr w14:val="tx1"/>
                  </w14:solidFill>
                </w14:textFill>
              </w:rPr>
              <w:t>0751-2815328</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29</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3E5441F">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单位名称：翁源县农业农村局</w:t>
            </w:r>
          </w:p>
          <w:p w14:paraId="0B767426">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办公地址：翁源县龙仙镇建设一路253号</w:t>
            </w:r>
          </w:p>
          <w:p w14:paraId="0781883D">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联系人(部门)：农促股</w:t>
            </w:r>
          </w:p>
          <w:p w14:paraId="199EA6B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联系电话：0751-2873197</w:t>
            </w:r>
            <w:r>
              <w:rPr>
                <w:rFonts w:hint="eastAsia" w:ascii="宋体" w:hAnsi="宋体" w:eastAsia="宋体" w:cs="宋体"/>
                <w:color w:val="000000" w:themeColor="text1"/>
                <w:sz w:val="24"/>
                <w:szCs w:val="24"/>
                <w:highlight w:val="none"/>
                <w14:textFill>
                  <w14:solidFill>
                    <w14:schemeClr w14:val="tx1"/>
                  </w14:solidFill>
                </w14:textFill>
              </w:rPr>
              <w:t> </w:t>
            </w:r>
            <w:r>
              <w:rPr>
                <w:rFonts w:hint="eastAsia" w:hAnsi="宋体" w:cs="宋体"/>
                <w:snapToGrid w:val="0"/>
                <w:color w:val="000000" w:themeColor="text1"/>
                <w:kern w:val="0"/>
                <w:szCs w:val="24"/>
                <w:highlight w:val="none"/>
                <w14:textFill>
                  <w14:solidFill>
                    <w14:schemeClr w14:val="tx1"/>
                  </w14:solidFill>
                </w14:textFill>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bookmarkStart w:id="5" w:name="_Toc122769943"/>
            <w:bookmarkStart w:id="6" w:name="_Toc122671103"/>
            <w:bookmarkStart w:id="7" w:name="_Toc122859103"/>
            <w:r>
              <w:rPr>
                <w:rFonts w:hint="eastAsia" w:hAnsi="宋体" w:cs="宋体"/>
                <w:snapToGrid w:val="0"/>
                <w:color w:val="000000" w:themeColor="text1"/>
                <w:kern w:val="0"/>
                <w:szCs w:val="24"/>
                <w:highlight w:val="none"/>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kern w:val="2"/>
                <w:sz w:val="24"/>
                <w:highlight w:val="none"/>
                <w:lang w:val="en-US" w:eastAsia="zh-CN" w:bidi="ar-SA"/>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000000" w:themeColor="text1"/>
                <w:szCs w:val="24"/>
                <w:highlight w:val="none"/>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rPr>
              <w:t>本项目的招标代理服务费和评标专家酬劳由中标人支付。</w:t>
            </w:r>
            <w:r>
              <w:rPr>
                <w:rFonts w:hint="eastAsia" w:ascii="宋体" w:hAnsi="宋体" w:eastAsia="宋体" w:cs="宋体"/>
                <w:color w:val="000000"/>
                <w:sz w:val="24"/>
                <w:szCs w:val="24"/>
                <w:highlight w:val="none"/>
                <w:lang w:val="en-US" w:eastAsia="zh-CN"/>
              </w:rPr>
              <w:t>招标代理服务费参照《招标代理服务收费管理暂行办法》计价格[2002]1980号文计算，不足壹万按壹万收取</w:t>
            </w:r>
            <w:r>
              <w:rPr>
                <w:rFonts w:hint="eastAsia" w:hAnsi="宋体" w:cs="宋体"/>
                <w:color w:val="000000"/>
                <w:kern w:val="2"/>
                <w:highlight w:val="none"/>
              </w:rPr>
              <w:t>。</w:t>
            </w:r>
            <w:r>
              <w:rPr>
                <w:rFonts w:hint="eastAsia" w:ascii="宋体" w:hAnsi="宋体" w:eastAsia="宋体" w:cs="宋体"/>
                <w:snapToGrid w:val="0"/>
                <w:color w:val="000000"/>
                <w:kern w:val="0"/>
                <w:sz w:val="24"/>
                <w:szCs w:val="24"/>
                <w:highlight w:val="none"/>
                <w:lang w:val="en-US" w:eastAsia="zh-CN"/>
              </w:rPr>
              <w:t>该费用不再另行报价，由投标人在投标报价时综合考虑在内。中标人在领取中标通知书前须向招标代理机构一次性支付（评标专家酬劳先由招标代理垫付，评标专家酬劳以评标结束当日的评标专家酬劳签收表总额为准）。</w:t>
            </w:r>
          </w:p>
        </w:tc>
      </w:tr>
    </w:tbl>
    <w:p w14:paraId="237E07B0">
      <w:pPr>
        <w:pStyle w:val="3"/>
        <w:wordWrap w:val="0"/>
        <w:autoSpaceDE/>
        <w:autoSpaceDN/>
        <w:snapToGrid w:val="0"/>
        <w:spacing w:before="260" w:after="260" w:line="440" w:lineRule="exact"/>
        <w:jc w:val="both"/>
        <w:rPr>
          <w:rFonts w:ascii="Times New Roman"/>
          <w:b/>
          <w:snapToGrid w:val="0"/>
          <w:color w:val="000000" w:themeColor="text1"/>
          <w:highlight w:val="none"/>
          <w14:textFill>
            <w14:solidFill>
              <w14:schemeClr w14:val="tx1"/>
            </w14:solidFill>
          </w14:textFill>
        </w:rPr>
        <w:sectPr>
          <w:footerReference r:id="rId6"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000000" w:themeColor="text1"/>
          <w:highlight w:val="none"/>
          <w14:textFill>
            <w14:solidFill>
              <w14:schemeClr w14:val="tx1"/>
            </w14:solidFill>
          </w14:textFill>
        </w:rPr>
      </w:pPr>
      <w:bookmarkStart w:id="8" w:name="_Toc714"/>
      <w:bookmarkStart w:id="9" w:name="_Toc24141"/>
      <w:r>
        <w:rPr>
          <w:rFonts w:hint="eastAsia" w:ascii="Times New Roman"/>
          <w:b/>
          <w:snapToGrid w:val="0"/>
          <w:color w:val="000000" w:themeColor="text1"/>
          <w:highlight w:val="none"/>
          <w14:textFill>
            <w14:solidFill>
              <w14:schemeClr w14:val="tx1"/>
            </w14:solidFill>
          </w14:textFill>
        </w:rPr>
        <w:t>第二节 重要事项时间地点一览表</w:t>
      </w:r>
      <w:bookmarkEnd w:id="8"/>
      <w:bookmarkEnd w:id="9"/>
    </w:p>
    <w:tbl>
      <w:tblPr>
        <w:tblStyle w:val="30"/>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440"/>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7"/>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highlight w:val="none"/>
                <w14:textFill>
                  <w14:solidFill>
                    <w14:schemeClr w14:val="tx1"/>
                  </w14:solidFill>
                </w14:textFill>
              </w:rPr>
              <w:t>1</w:t>
            </w:r>
          </w:p>
        </w:tc>
        <w:tc>
          <w:tcPr>
            <w:tcW w:w="1500" w:type="dxa"/>
            <w:noWrap w:val="0"/>
            <w:vAlign w:val="center"/>
          </w:tcPr>
          <w:p w14:paraId="19E2040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招标公告</w:t>
            </w:r>
          </w:p>
          <w:p w14:paraId="5CBF80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发布时间</w:t>
            </w:r>
          </w:p>
        </w:tc>
        <w:tc>
          <w:tcPr>
            <w:tcW w:w="7440" w:type="dxa"/>
            <w:noWrap w:val="0"/>
            <w:vAlign w:val="center"/>
          </w:tcPr>
          <w:p w14:paraId="48ECE305">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 xml:space="preserve"> 04 </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 xml:space="preserve"> 2 </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 xml:space="preserve"> 1</w:t>
            </w:r>
            <w:r>
              <w:rPr>
                <w:rFonts w:hint="eastAsia" w:cs="宋体"/>
                <w:i w:val="0"/>
                <w:caps w:val="0"/>
                <w:color w:val="000000"/>
                <w:spacing w:val="0"/>
                <w:sz w:val="24"/>
                <w:szCs w:val="24"/>
                <w:highlight w:val="none"/>
                <w:u w:val="single"/>
                <w:lang w:val="en-US" w:eastAsia="zh-CN"/>
              </w:rPr>
              <w:t>7</w:t>
            </w:r>
            <w:r>
              <w:rPr>
                <w:rFonts w:hint="eastAsia" w:ascii="宋体" w:cs="宋体"/>
                <w:i w:val="0"/>
                <w:caps w:val="0"/>
                <w:color w:val="000000"/>
                <w:spacing w:val="0"/>
                <w:sz w:val="24"/>
                <w:szCs w:val="24"/>
                <w:highlight w:val="none"/>
                <w:u w:val="single"/>
                <w:lang w:val="en-US" w:eastAsia="zh-CN"/>
              </w:rPr>
              <w:t xml:space="preserve"> </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 xml:space="preserve"> </w:t>
            </w:r>
            <w:r>
              <w:rPr>
                <w:rFonts w:hint="eastAsia" w:cs="宋体"/>
                <w:i w:val="0"/>
                <w:caps w:val="0"/>
                <w:color w:val="000000"/>
                <w:spacing w:val="0"/>
                <w:sz w:val="24"/>
                <w:szCs w:val="24"/>
                <w:highlight w:val="none"/>
                <w:u w:val="single"/>
                <w:lang w:val="en-US" w:eastAsia="zh-CN"/>
              </w:rPr>
              <w:t>3</w:t>
            </w:r>
            <w:r>
              <w:rPr>
                <w:rFonts w:hint="eastAsia" w:ascii="宋体" w:cs="宋体"/>
                <w:i w:val="0"/>
                <w:caps w:val="0"/>
                <w:color w:val="000000"/>
                <w:spacing w:val="0"/>
                <w:sz w:val="24"/>
                <w:szCs w:val="24"/>
                <w:highlight w:val="none"/>
                <w:u w:val="single"/>
                <w:lang w:val="en-US" w:eastAsia="zh-CN"/>
              </w:rPr>
              <w:t xml:space="preserve">0 </w:t>
            </w:r>
            <w:r>
              <w:rPr>
                <w:rFonts w:hint="eastAsia" w:ascii="宋体" w:hAnsi="宋体" w:eastAsia="宋体" w:cs="宋体"/>
                <w:i w:val="0"/>
                <w:caps w:val="0"/>
                <w:color w:val="000000"/>
                <w:spacing w:val="0"/>
                <w:sz w:val="24"/>
                <w:szCs w:val="24"/>
                <w:highlight w:val="none"/>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2</w:t>
            </w:r>
          </w:p>
        </w:tc>
        <w:tc>
          <w:tcPr>
            <w:tcW w:w="1500" w:type="dxa"/>
            <w:noWrap w:val="0"/>
            <w:vAlign w:val="center"/>
          </w:tcPr>
          <w:p w14:paraId="3AA628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lang w:val="en-US" w:eastAsia="zh-CN"/>
                <w14:textFill>
                  <w14:solidFill>
                    <w14:schemeClr w14:val="tx1"/>
                  </w14:solidFill>
                </w14:textFill>
              </w:rPr>
              <w:t>获取招标文件截止时</w:t>
            </w:r>
            <w:r>
              <w:rPr>
                <w:rFonts w:hint="eastAsia" w:ascii="宋体" w:hAnsi="宋体" w:eastAsia="宋体" w:cs="宋体"/>
                <w:i w:val="0"/>
                <w:caps w:val="0"/>
                <w:color w:val="000000" w:themeColor="text1"/>
                <w:spacing w:val="0"/>
                <w:sz w:val="24"/>
                <w:szCs w:val="24"/>
                <w:highlight w:val="none"/>
                <w14:textFill>
                  <w14:solidFill>
                    <w14:schemeClr w14:val="tx1"/>
                  </w14:solidFill>
                </w14:textFill>
              </w:rPr>
              <w:t>间</w:t>
            </w:r>
          </w:p>
        </w:tc>
        <w:tc>
          <w:tcPr>
            <w:tcW w:w="7440" w:type="dxa"/>
            <w:noWrap w:val="0"/>
            <w:vAlign w:val="center"/>
          </w:tcPr>
          <w:p w14:paraId="3A3A589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 xml:space="preserve"> 04 </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 xml:space="preserve"> 2</w:t>
            </w:r>
            <w:r>
              <w:rPr>
                <w:rFonts w:hint="eastAsia" w:cs="宋体"/>
                <w:i w:val="0"/>
                <w:caps w:val="0"/>
                <w:color w:val="000000"/>
                <w:spacing w:val="0"/>
                <w:sz w:val="24"/>
                <w:szCs w:val="24"/>
                <w:highlight w:val="none"/>
                <w:u w:val="single"/>
                <w:lang w:val="en-US" w:eastAsia="zh-CN"/>
              </w:rPr>
              <w:t>8</w:t>
            </w:r>
            <w:r>
              <w:rPr>
                <w:rFonts w:hint="eastAsia" w:ascii="宋体" w:cs="宋体"/>
                <w:i w:val="0"/>
                <w:caps w:val="0"/>
                <w:color w:val="000000"/>
                <w:spacing w:val="0"/>
                <w:sz w:val="24"/>
                <w:szCs w:val="24"/>
                <w:highlight w:val="none"/>
                <w:u w:val="single"/>
                <w:lang w:val="en-US" w:eastAsia="zh-CN"/>
              </w:rPr>
              <w:t xml:space="preserve"> </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3</w:t>
            </w:r>
          </w:p>
        </w:tc>
        <w:tc>
          <w:tcPr>
            <w:tcW w:w="1500" w:type="dxa"/>
            <w:noWrap w:val="0"/>
            <w:vAlign w:val="center"/>
          </w:tcPr>
          <w:p w14:paraId="00A5E7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网上提问</w:t>
            </w:r>
          </w:p>
          <w:p w14:paraId="2200D0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截止时间</w:t>
            </w:r>
          </w:p>
        </w:tc>
        <w:tc>
          <w:tcPr>
            <w:tcW w:w="7440" w:type="dxa"/>
            <w:noWrap w:val="0"/>
            <w:vAlign w:val="center"/>
          </w:tcPr>
          <w:p w14:paraId="5D81FA5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 xml:space="preserve"> 04 </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 xml:space="preserve"> </w:t>
            </w:r>
            <w:r>
              <w:rPr>
                <w:rFonts w:hint="eastAsia" w:cs="宋体"/>
                <w:i w:val="0"/>
                <w:caps w:val="0"/>
                <w:color w:val="000000"/>
                <w:spacing w:val="0"/>
                <w:sz w:val="24"/>
                <w:szCs w:val="24"/>
                <w:highlight w:val="none"/>
                <w:u w:val="single"/>
                <w:lang w:val="en-US" w:eastAsia="zh-CN"/>
              </w:rPr>
              <w:t>18</w:t>
            </w:r>
            <w:r>
              <w:rPr>
                <w:rFonts w:hint="eastAsia" w:ascii="宋体" w:cs="宋体"/>
                <w:i w:val="0"/>
                <w:caps w:val="0"/>
                <w:color w:val="000000"/>
                <w:spacing w:val="0"/>
                <w:sz w:val="24"/>
                <w:szCs w:val="24"/>
                <w:highlight w:val="none"/>
                <w:u w:val="single"/>
                <w:lang w:val="en-US" w:eastAsia="zh-CN"/>
              </w:rPr>
              <w:t xml:space="preserve"> </w:t>
            </w:r>
            <w:r>
              <w:rPr>
                <w:rFonts w:hint="eastAsia" w:ascii="宋体" w:hAnsi="宋体" w:eastAsia="宋体" w:cs="宋体"/>
                <w:i w:val="0"/>
                <w:caps w:val="0"/>
                <w:color w:val="000000"/>
                <w:spacing w:val="0"/>
                <w:sz w:val="24"/>
                <w:szCs w:val="24"/>
                <w:highlight w:val="none"/>
              </w:rPr>
              <w:t>日</w:t>
            </w:r>
            <w:r>
              <w:rPr>
                <w:rFonts w:hint="eastAsia" w:ascii="宋体" w:hAnsi="宋体" w:eastAsia="宋体" w:cs="宋体"/>
                <w:color w:val="000000"/>
                <w:kern w:val="2"/>
                <w:sz w:val="24"/>
                <w:szCs w:val="24"/>
                <w:highlight w:val="none"/>
                <w:u w:val="single"/>
                <w:lang w:val="en-US" w:eastAsia="zh-CN" w:bidi="ar-SA"/>
              </w:rPr>
              <w:t>16</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00</w:t>
            </w:r>
            <w:r>
              <w:rPr>
                <w:rFonts w:hint="eastAsia" w:ascii="宋体" w:hAnsi="宋体" w:eastAsia="宋体" w:cs="宋体"/>
                <w:color w:val="000000"/>
                <w:kern w:val="2"/>
                <w:sz w:val="24"/>
                <w:szCs w:val="24"/>
                <w:highlight w:val="none"/>
                <w:lang w:val="en-US" w:eastAsia="zh-CN" w:bidi="ar-SA"/>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4</w:t>
            </w:r>
          </w:p>
        </w:tc>
        <w:tc>
          <w:tcPr>
            <w:tcW w:w="1500" w:type="dxa"/>
            <w:noWrap w:val="0"/>
            <w:vAlign w:val="center"/>
          </w:tcPr>
          <w:p w14:paraId="324E6A3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网上答疑</w:t>
            </w:r>
          </w:p>
          <w:p w14:paraId="2BDAE57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时间</w:t>
            </w:r>
          </w:p>
        </w:tc>
        <w:tc>
          <w:tcPr>
            <w:tcW w:w="7440" w:type="dxa"/>
            <w:noWrap w:val="0"/>
            <w:vAlign w:val="center"/>
          </w:tcPr>
          <w:p w14:paraId="4EF9A1D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 xml:space="preserve"> 04 </w:t>
            </w:r>
            <w:r>
              <w:rPr>
                <w:rFonts w:hint="eastAsia" w:ascii="宋体" w:hAnsi="宋体" w:eastAsia="宋体" w:cs="宋体"/>
                <w:i w:val="0"/>
                <w:caps w:val="0"/>
                <w:color w:val="000000"/>
                <w:spacing w:val="0"/>
                <w:sz w:val="24"/>
                <w:szCs w:val="24"/>
                <w:highlight w:val="none"/>
              </w:rPr>
              <w:t>月</w:t>
            </w:r>
            <w:r>
              <w:rPr>
                <w:rFonts w:hint="eastAsia" w:cs="宋体"/>
                <w:i w:val="0"/>
                <w:caps w:val="0"/>
                <w:color w:val="000000"/>
                <w:spacing w:val="0"/>
                <w:sz w:val="24"/>
                <w:szCs w:val="24"/>
                <w:highlight w:val="none"/>
                <w:u w:val="single"/>
                <w:lang w:val="en-US" w:eastAsia="zh-CN"/>
              </w:rPr>
              <w:t>18</w:t>
            </w:r>
            <w:r>
              <w:rPr>
                <w:rFonts w:hint="eastAsia" w:ascii="宋体" w:cs="宋体"/>
                <w:i w:val="0"/>
                <w:caps w:val="0"/>
                <w:color w:val="000000"/>
                <w:spacing w:val="0"/>
                <w:sz w:val="24"/>
                <w:szCs w:val="24"/>
                <w:highlight w:val="none"/>
                <w:u w:val="single"/>
                <w:lang w:val="en-US" w:eastAsia="zh-CN"/>
              </w:rPr>
              <w:t xml:space="preserve"> </w:t>
            </w:r>
            <w:r>
              <w:rPr>
                <w:rFonts w:hint="eastAsia" w:ascii="宋体" w:hAnsi="宋体" w:eastAsia="宋体" w:cs="宋体"/>
                <w:i w:val="0"/>
                <w:caps w:val="0"/>
                <w:color w:val="000000"/>
                <w:spacing w:val="0"/>
                <w:sz w:val="24"/>
                <w:szCs w:val="24"/>
                <w:highlight w:val="none"/>
              </w:rPr>
              <w:t>日</w:t>
            </w:r>
            <w:r>
              <w:rPr>
                <w:rFonts w:hint="eastAsia" w:ascii="宋体" w:hAnsi="宋体" w:eastAsia="宋体" w:cs="宋体"/>
                <w:color w:val="000000"/>
                <w:kern w:val="2"/>
                <w:sz w:val="24"/>
                <w:szCs w:val="24"/>
                <w:highlight w:val="none"/>
                <w:u w:val="single"/>
                <w:lang w:val="en-US" w:eastAsia="zh-CN" w:bidi="ar-SA"/>
              </w:rPr>
              <w:t xml:space="preserve">16 </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分至</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 xml:space="preserve"> 04 </w:t>
            </w:r>
            <w:r>
              <w:rPr>
                <w:rFonts w:hint="eastAsia" w:ascii="宋体" w:hAnsi="宋体" w:eastAsia="宋体" w:cs="宋体"/>
                <w:i w:val="0"/>
                <w:caps w:val="0"/>
                <w:color w:val="000000"/>
                <w:spacing w:val="0"/>
                <w:sz w:val="24"/>
                <w:szCs w:val="24"/>
                <w:highlight w:val="none"/>
              </w:rPr>
              <w:t>月</w:t>
            </w:r>
            <w:r>
              <w:rPr>
                <w:rFonts w:hint="eastAsia" w:cs="宋体"/>
                <w:i w:val="0"/>
                <w:caps w:val="0"/>
                <w:color w:val="000000"/>
                <w:spacing w:val="0"/>
                <w:sz w:val="24"/>
                <w:szCs w:val="24"/>
                <w:highlight w:val="none"/>
                <w:u w:val="single"/>
                <w:lang w:val="en-US" w:eastAsia="zh-CN"/>
              </w:rPr>
              <w:t>21</w:t>
            </w:r>
            <w:bookmarkStart w:id="378" w:name="_GoBack"/>
            <w:bookmarkEnd w:id="378"/>
            <w:r>
              <w:rPr>
                <w:rFonts w:hint="eastAsia" w:ascii="宋体" w:hAnsi="宋体" w:eastAsia="宋体" w:cs="宋体"/>
                <w:i w:val="0"/>
                <w:caps w:val="0"/>
                <w:color w:val="000000"/>
                <w:spacing w:val="0"/>
                <w:sz w:val="24"/>
                <w:szCs w:val="24"/>
                <w:highlight w:val="none"/>
              </w:rPr>
              <w:t>日</w:t>
            </w:r>
            <w:r>
              <w:rPr>
                <w:rFonts w:hint="eastAsia" w:ascii="宋体" w:hAnsi="宋体" w:eastAsia="宋体" w:cs="宋体"/>
                <w:color w:val="000000"/>
                <w:kern w:val="2"/>
                <w:sz w:val="24"/>
                <w:szCs w:val="24"/>
                <w:highlight w:val="none"/>
                <w:u w:val="single"/>
                <w:lang w:val="en-US" w:eastAsia="zh-CN" w:bidi="ar-SA"/>
              </w:rPr>
              <w:t>16</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00</w:t>
            </w:r>
            <w:r>
              <w:rPr>
                <w:rFonts w:hint="eastAsia" w:ascii="宋体" w:hAnsi="宋体" w:eastAsia="宋体" w:cs="宋体"/>
                <w:color w:val="000000"/>
                <w:kern w:val="2"/>
                <w:sz w:val="24"/>
                <w:szCs w:val="24"/>
                <w:highlight w:val="none"/>
                <w:lang w:val="en-US" w:eastAsia="zh-CN" w:bidi="ar-SA"/>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5</w:t>
            </w:r>
          </w:p>
        </w:tc>
        <w:tc>
          <w:tcPr>
            <w:tcW w:w="1500" w:type="dxa"/>
            <w:noWrap w:val="0"/>
            <w:vAlign w:val="center"/>
          </w:tcPr>
          <w:p w14:paraId="5062C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投标保证缴</w:t>
            </w:r>
          </w:p>
          <w:p w14:paraId="7AA21E8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纳截止时间</w:t>
            </w:r>
          </w:p>
        </w:tc>
        <w:tc>
          <w:tcPr>
            <w:tcW w:w="7440" w:type="dxa"/>
            <w:noWrap w:val="0"/>
            <w:vAlign w:val="center"/>
          </w:tcPr>
          <w:p w14:paraId="617B618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000000"/>
                <w:sz w:val="24"/>
                <w:szCs w:val="24"/>
                <w:highlight w:val="none"/>
              </w:rPr>
            </w:pPr>
            <w:r>
              <w:rPr>
                <w:rFonts w:hint="eastAsia" w:ascii="宋体" w:hAnsi="宋体" w:eastAsia="宋体" w:cs="宋体"/>
                <w:i w:val="0"/>
                <w:caps w:val="0"/>
                <w:color w:val="000000"/>
                <w:spacing w:val="0"/>
                <w:sz w:val="24"/>
                <w:szCs w:val="24"/>
                <w:highlight w:val="none"/>
              </w:rPr>
              <w:t>投标保证金到账截止时间：</w:t>
            </w:r>
            <w:r>
              <w:rPr>
                <w:rFonts w:hint="eastAsia" w:ascii="宋体" w:hAnsi="宋体" w:eastAsia="宋体" w:cs="宋体"/>
                <w:i w:val="0"/>
                <w:caps w:val="0"/>
                <w:color w:val="000000"/>
                <w:spacing w:val="0"/>
                <w:sz w:val="24"/>
                <w:szCs w:val="24"/>
                <w:highlight w:val="none"/>
                <w:lang w:val="en-US" w:eastAsia="zh-CN"/>
              </w:rPr>
              <w:t xml:space="preserve">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w:t>
            </w:r>
            <w:r>
              <w:rPr>
                <w:rFonts w:hint="eastAsia" w:cs="宋体"/>
                <w:i w:val="0"/>
                <w:caps w:val="0"/>
                <w:color w:val="000000"/>
                <w:spacing w:val="0"/>
                <w:sz w:val="24"/>
                <w:szCs w:val="24"/>
                <w:highlight w:val="none"/>
                <w:u w:val="single"/>
                <w:lang w:val="en-US" w:eastAsia="zh-CN"/>
              </w:rPr>
              <w:t>7</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p>
          <w:p w14:paraId="7EF631CE">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000000"/>
                <w:spacing w:val="0"/>
                <w:sz w:val="24"/>
                <w:szCs w:val="24"/>
                <w:highlight w:val="none"/>
                <w:lang w:val="en-US" w:eastAsia="zh-CN"/>
              </w:rPr>
            </w:pPr>
            <w:r>
              <w:rPr>
                <w:rFonts w:hint="eastAsia" w:ascii="宋体" w:hAnsi="宋体" w:eastAsia="宋体" w:cs="宋体"/>
                <w:i w:val="0"/>
                <w:caps w:val="0"/>
                <w:color w:val="000000"/>
                <w:spacing w:val="0"/>
                <w:sz w:val="24"/>
                <w:szCs w:val="24"/>
                <w:highlight w:val="none"/>
              </w:rPr>
              <w:t>投标保证担保</w:t>
            </w:r>
            <w:r>
              <w:rPr>
                <w:rFonts w:hint="eastAsia" w:ascii="宋体" w:hAnsi="宋体" w:eastAsia="宋体" w:cs="宋体"/>
                <w:i w:val="0"/>
                <w:caps w:val="0"/>
                <w:color w:val="000000"/>
                <w:spacing w:val="0"/>
                <w:sz w:val="24"/>
                <w:szCs w:val="24"/>
                <w:highlight w:val="none"/>
                <w:lang w:val="en-US" w:eastAsia="zh-CN"/>
              </w:rPr>
              <w:t>办理</w:t>
            </w:r>
            <w:r>
              <w:rPr>
                <w:rFonts w:hint="eastAsia" w:ascii="宋体" w:hAnsi="宋体" w:eastAsia="宋体" w:cs="宋体"/>
                <w:i w:val="0"/>
                <w:caps w:val="0"/>
                <w:color w:val="000000"/>
                <w:spacing w:val="0"/>
                <w:sz w:val="24"/>
                <w:szCs w:val="24"/>
                <w:highlight w:val="none"/>
              </w:rPr>
              <w:t>截止时间：</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w:t>
            </w:r>
            <w:r>
              <w:rPr>
                <w:rFonts w:hint="eastAsia" w:cs="宋体"/>
                <w:i w:val="0"/>
                <w:caps w:val="0"/>
                <w:color w:val="000000"/>
                <w:spacing w:val="0"/>
                <w:sz w:val="24"/>
                <w:szCs w:val="24"/>
                <w:highlight w:val="none"/>
                <w:u w:val="single"/>
                <w:lang w:val="en-US" w:eastAsia="zh-CN"/>
              </w:rPr>
              <w:t>7</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r>
              <w:rPr>
                <w:rFonts w:hint="eastAsia" w:ascii="宋体" w:hAnsi="宋体" w:eastAsia="宋体" w:cs="宋体"/>
                <w:i w:val="0"/>
                <w:caps w:val="0"/>
                <w:color w:val="000000"/>
                <w:spacing w:val="0"/>
                <w:sz w:val="24"/>
                <w:szCs w:val="24"/>
                <w:highlight w:val="none"/>
                <w:lang w:val="en-US" w:eastAsia="zh-CN"/>
              </w:rPr>
              <w:t>；</w:t>
            </w:r>
          </w:p>
          <w:p w14:paraId="075366F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aps w:val="0"/>
                <w:smallCaps w:val="0"/>
                <w:snapToGrid w:val="0"/>
                <w:color w:val="000000"/>
                <w:spacing w:val="0"/>
                <w:kern w:val="0"/>
                <w:sz w:val="24"/>
                <w:szCs w:val="24"/>
                <w:highlight w:val="none"/>
                <w:lang w:eastAsia="zh-CN"/>
              </w:rPr>
              <w:t>投标保证保险投保截止时间：</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w:t>
            </w:r>
            <w:r>
              <w:rPr>
                <w:rFonts w:hint="eastAsia" w:cs="宋体"/>
                <w:i w:val="0"/>
                <w:caps w:val="0"/>
                <w:color w:val="000000"/>
                <w:spacing w:val="0"/>
                <w:sz w:val="24"/>
                <w:szCs w:val="24"/>
                <w:highlight w:val="none"/>
                <w:u w:val="single"/>
                <w:lang w:val="en-US" w:eastAsia="zh-CN"/>
              </w:rPr>
              <w:t>7</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r>
              <w:rPr>
                <w:rFonts w:hint="eastAsia" w:ascii="宋体" w:hAnsi="宋体" w:eastAsia="宋体" w:cs="宋体"/>
                <w:caps w:val="0"/>
                <w:smallCaps w:val="0"/>
                <w:snapToGrid w:val="0"/>
                <w:color w:val="000000"/>
                <w:spacing w:val="0"/>
                <w:kern w:val="0"/>
                <w:sz w:val="24"/>
                <w:szCs w:val="24"/>
                <w:highlight w:val="none"/>
                <w:lang w:eastAsia="zh-CN"/>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6</w:t>
            </w:r>
          </w:p>
        </w:tc>
        <w:tc>
          <w:tcPr>
            <w:tcW w:w="1500" w:type="dxa"/>
            <w:noWrap w:val="0"/>
            <w:vAlign w:val="center"/>
          </w:tcPr>
          <w:p w14:paraId="5F274BE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电子投标</w:t>
            </w:r>
          </w:p>
          <w:p w14:paraId="735AD7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截止时间</w:t>
            </w:r>
          </w:p>
        </w:tc>
        <w:tc>
          <w:tcPr>
            <w:tcW w:w="7440" w:type="dxa"/>
            <w:noWrap w:val="0"/>
            <w:vAlign w:val="center"/>
          </w:tcPr>
          <w:p w14:paraId="797729D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w:t>
            </w:r>
            <w:r>
              <w:rPr>
                <w:rFonts w:hint="eastAsia" w:cs="宋体"/>
                <w:i w:val="0"/>
                <w:caps w:val="0"/>
                <w:color w:val="000000"/>
                <w:spacing w:val="0"/>
                <w:sz w:val="24"/>
                <w:szCs w:val="24"/>
                <w:highlight w:val="none"/>
                <w:u w:val="single"/>
                <w:lang w:val="en-US" w:eastAsia="zh-CN"/>
              </w:rPr>
              <w:t>8</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7</w:t>
            </w:r>
          </w:p>
        </w:tc>
        <w:tc>
          <w:tcPr>
            <w:tcW w:w="1500" w:type="dxa"/>
            <w:noWrap w:val="0"/>
            <w:vAlign w:val="center"/>
          </w:tcPr>
          <w:p w14:paraId="4209B30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投标相关资料（如有）</w:t>
            </w:r>
          </w:p>
          <w:p w14:paraId="340DF603">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递交时间</w:t>
            </w:r>
          </w:p>
        </w:tc>
        <w:tc>
          <w:tcPr>
            <w:tcW w:w="7440" w:type="dxa"/>
            <w:noWrap w:val="0"/>
            <w:vAlign w:val="center"/>
          </w:tcPr>
          <w:p w14:paraId="57CAD6DB">
            <w:pPr>
              <w:pStyle w:val="87"/>
              <w:tabs>
                <w:tab w:val="left" w:pos="1890"/>
              </w:tabs>
              <w:wordWrap w:val="0"/>
              <w:adjustRightInd w:val="0"/>
              <w:snapToGrid w:val="0"/>
              <w:spacing w:line="400" w:lineRule="exact"/>
              <w:jc w:val="left"/>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highlight w:val="none"/>
                <w:lang w:val="en-US" w:eastAsia="zh-CN" w:bidi="ar-SA"/>
              </w:rPr>
              <w:t xml:space="preserve"> </w:t>
            </w:r>
            <w:r>
              <w:rPr>
                <w:rFonts w:hint="eastAsia" w:ascii="宋体" w:hAnsi="宋体" w:cs="宋体"/>
                <w:i w:val="0"/>
                <w:caps w:val="0"/>
                <w:color w:val="000000"/>
                <w:spacing w:val="0"/>
                <w:kern w:val="0"/>
                <w:sz w:val="24"/>
                <w:szCs w:val="24"/>
                <w:highlight w:val="none"/>
                <w:lang w:val="en-US" w:eastAsia="zh-CN" w:bidi="ar-SA"/>
              </w:rPr>
              <w:t xml:space="preserve">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28</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00</w:t>
            </w:r>
            <w:r>
              <w:rPr>
                <w:rFonts w:hint="eastAsia" w:ascii="宋体" w:hAnsi="宋体" w:eastAsia="宋体" w:cs="宋体"/>
                <w:i w:val="0"/>
                <w:caps w:val="0"/>
                <w:color w:val="000000"/>
                <w:spacing w:val="0"/>
                <w:sz w:val="24"/>
                <w:szCs w:val="24"/>
                <w:highlight w:val="none"/>
              </w:rPr>
              <w:t>分</w:t>
            </w:r>
            <w:r>
              <w:rPr>
                <w:rFonts w:hint="eastAsia" w:ascii="宋体" w:hAnsi="宋体" w:eastAsia="宋体" w:cs="宋体"/>
                <w:color w:val="000000"/>
                <w:kern w:val="2"/>
                <w:sz w:val="24"/>
                <w:szCs w:val="24"/>
                <w:highlight w:val="none"/>
                <w:lang w:val="en-US" w:eastAsia="zh-CN" w:bidi="ar-SA"/>
              </w:rPr>
              <w:t>至</w:t>
            </w:r>
            <w:r>
              <w:rPr>
                <w:rFonts w:hint="eastAsia" w:ascii="宋体" w:hAnsi="宋体" w:eastAsia="宋体" w:cs="宋体"/>
                <w:i w:val="0"/>
                <w:caps w:val="0"/>
                <w:color w:val="000000"/>
                <w:spacing w:val="0"/>
                <w:sz w:val="24"/>
                <w:szCs w:val="24"/>
                <w:highlight w:val="none"/>
                <w:u w:val="single"/>
                <w:lang w:val="en-US" w:eastAsia="zh-CN"/>
              </w:rPr>
              <w:t>2026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28</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8</w:t>
            </w:r>
          </w:p>
        </w:tc>
        <w:tc>
          <w:tcPr>
            <w:tcW w:w="1500" w:type="dxa"/>
            <w:noWrap w:val="0"/>
            <w:vAlign w:val="center"/>
          </w:tcPr>
          <w:p w14:paraId="48A8E2B1">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投标相关资料（如有）</w:t>
            </w:r>
          </w:p>
          <w:p w14:paraId="42D1080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递交地点</w:t>
            </w:r>
          </w:p>
        </w:tc>
        <w:tc>
          <w:tcPr>
            <w:tcW w:w="7440" w:type="dxa"/>
            <w:noWrap w:val="0"/>
            <w:vAlign w:val="center"/>
          </w:tcPr>
          <w:p w14:paraId="13FB77B0">
            <w:pPr>
              <w:pStyle w:val="87"/>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highlight w:val="none"/>
                <w:lang w:val="en-US" w:eastAsia="zh-CN" w:bidi="ar-SA"/>
              </w:rPr>
              <w:t>递交场所：</w:t>
            </w:r>
            <w:r>
              <w:rPr>
                <w:rFonts w:hint="eastAsia" w:ascii="宋体" w:hAnsi="宋体" w:eastAsia="宋体" w:cs="宋体"/>
                <w:color w:val="000000"/>
                <w:kern w:val="2"/>
                <w:sz w:val="24"/>
                <w:szCs w:val="24"/>
                <w:highlight w:val="none"/>
                <w:u w:val="single"/>
                <w:lang w:val="en-US" w:eastAsia="zh-CN" w:bidi="ar-SA"/>
              </w:rPr>
              <w:t>韶关市公共资源交易中心翁源分中心</w:t>
            </w:r>
            <w:r>
              <w:rPr>
                <w:rFonts w:hint="eastAsia" w:ascii="宋体" w:hAnsi="宋体" w:eastAsia="宋体" w:cs="宋体"/>
                <w:color w:val="000000"/>
                <w:kern w:val="2"/>
                <w:sz w:val="24"/>
                <w:szCs w:val="24"/>
                <w:highlight w:val="none"/>
                <w:lang w:val="en-US" w:eastAsia="zh-CN" w:bidi="ar-SA"/>
              </w:rPr>
              <w:t>，地址：</w:t>
            </w:r>
            <w:r>
              <w:rPr>
                <w:rFonts w:hint="eastAsia" w:ascii="宋体" w:hAnsi="宋体" w:eastAsia="宋体" w:cs="宋体"/>
                <w:color w:val="000000"/>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000000"/>
                <w:kern w:val="2"/>
                <w:sz w:val="24"/>
                <w:szCs w:val="24"/>
                <w:highlight w:val="none"/>
                <w:lang w:val="en-US" w:eastAsia="zh-CN" w:bidi="ar-SA"/>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1500" w:type="dxa"/>
            <w:noWrap w:val="0"/>
            <w:vAlign w:val="center"/>
          </w:tcPr>
          <w:p w14:paraId="2687BB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开标时间</w:t>
            </w:r>
          </w:p>
        </w:tc>
        <w:tc>
          <w:tcPr>
            <w:tcW w:w="7440" w:type="dxa"/>
            <w:noWrap w:val="0"/>
            <w:vAlign w:val="center"/>
          </w:tcPr>
          <w:p w14:paraId="18C16CCA">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spacing w:val="0"/>
                <w:sz w:val="24"/>
                <w:szCs w:val="24"/>
                <w:highlight w:val="none"/>
              </w:rPr>
              <w:t> </w:t>
            </w:r>
            <w:r>
              <w:rPr>
                <w:rFonts w:hint="eastAsia" w:ascii="宋体" w:hAnsi="宋体" w:eastAsia="宋体" w:cs="宋体"/>
                <w:i w:val="0"/>
                <w:caps w:val="0"/>
                <w:color w:val="000000"/>
                <w:spacing w:val="0"/>
                <w:sz w:val="24"/>
                <w:szCs w:val="24"/>
                <w:highlight w:val="none"/>
                <w:u w:val="single"/>
                <w:lang w:val="en-US" w:eastAsia="zh-CN"/>
              </w:rPr>
              <w:t>202</w:t>
            </w:r>
            <w:r>
              <w:rPr>
                <w:rFonts w:hint="eastAsia" w:ascii="宋体" w:eastAsia="宋体" w:cs="宋体"/>
                <w:i w:val="0"/>
                <w:caps w:val="0"/>
                <w:color w:val="000000"/>
                <w:spacing w:val="0"/>
                <w:sz w:val="24"/>
                <w:szCs w:val="24"/>
                <w:highlight w:val="none"/>
                <w:u w:val="single"/>
                <w:lang w:val="en-US" w:eastAsia="zh-CN"/>
              </w:rPr>
              <w:t>6</w:t>
            </w:r>
            <w:r>
              <w:rPr>
                <w:rFonts w:hint="eastAsia" w:ascii="宋体" w:hAnsi="宋体" w:eastAsia="宋体" w:cs="宋体"/>
                <w:i w:val="0"/>
                <w:caps w:val="0"/>
                <w:color w:val="000000"/>
                <w:spacing w:val="0"/>
                <w:sz w:val="24"/>
                <w:szCs w:val="24"/>
                <w:highlight w:val="none"/>
              </w:rPr>
              <w:t>年</w:t>
            </w:r>
            <w:r>
              <w:rPr>
                <w:rFonts w:hint="eastAsia" w:ascii="宋体" w:cs="宋体"/>
                <w:i w:val="0"/>
                <w:caps w:val="0"/>
                <w:color w:val="000000"/>
                <w:spacing w:val="0"/>
                <w:sz w:val="24"/>
                <w:szCs w:val="24"/>
                <w:highlight w:val="none"/>
                <w:u w:val="single"/>
                <w:lang w:val="en-US" w:eastAsia="zh-CN"/>
              </w:rPr>
              <w:t>04</w:t>
            </w:r>
            <w:r>
              <w:rPr>
                <w:rFonts w:hint="eastAsia" w:ascii="宋体" w:hAnsi="宋体" w:eastAsia="宋体" w:cs="宋体"/>
                <w:i w:val="0"/>
                <w:caps w:val="0"/>
                <w:color w:val="000000"/>
                <w:spacing w:val="0"/>
                <w:sz w:val="24"/>
                <w:szCs w:val="24"/>
                <w:highlight w:val="none"/>
              </w:rPr>
              <w:t>月</w:t>
            </w:r>
            <w:r>
              <w:rPr>
                <w:rFonts w:hint="eastAsia" w:ascii="宋体" w:cs="宋体"/>
                <w:i w:val="0"/>
                <w:caps w:val="0"/>
                <w:color w:val="000000"/>
                <w:spacing w:val="0"/>
                <w:sz w:val="24"/>
                <w:szCs w:val="24"/>
                <w:highlight w:val="none"/>
                <w:u w:val="single"/>
                <w:lang w:val="en-US" w:eastAsia="zh-CN"/>
              </w:rPr>
              <w:t>2</w:t>
            </w:r>
            <w:r>
              <w:rPr>
                <w:rFonts w:hint="eastAsia" w:cs="宋体"/>
                <w:i w:val="0"/>
                <w:caps w:val="0"/>
                <w:color w:val="000000"/>
                <w:spacing w:val="0"/>
                <w:sz w:val="24"/>
                <w:szCs w:val="24"/>
                <w:highlight w:val="none"/>
                <w:u w:val="single"/>
                <w:lang w:val="en-US" w:eastAsia="zh-CN"/>
              </w:rPr>
              <w:t>8</w:t>
            </w:r>
            <w:r>
              <w:rPr>
                <w:rFonts w:hint="eastAsia" w:ascii="宋体" w:hAnsi="宋体" w:eastAsia="宋体" w:cs="宋体"/>
                <w:i w:val="0"/>
                <w:caps w:val="0"/>
                <w:color w:val="000000"/>
                <w:spacing w:val="0"/>
                <w:sz w:val="24"/>
                <w:szCs w:val="24"/>
                <w:highlight w:val="none"/>
              </w:rPr>
              <w:t>日</w:t>
            </w:r>
            <w:r>
              <w:rPr>
                <w:rFonts w:hint="eastAsia" w:ascii="宋体" w:cs="宋体"/>
                <w:i w:val="0"/>
                <w:caps w:val="0"/>
                <w:color w:val="000000"/>
                <w:spacing w:val="0"/>
                <w:sz w:val="24"/>
                <w:szCs w:val="24"/>
                <w:highlight w:val="none"/>
                <w:u w:val="single"/>
                <w:lang w:val="en-US" w:eastAsia="zh-CN"/>
              </w:rPr>
              <w:t>09</w:t>
            </w:r>
            <w:r>
              <w:rPr>
                <w:rFonts w:hint="eastAsia" w:ascii="宋体" w:hAnsi="宋体" w:eastAsia="宋体" w:cs="宋体"/>
                <w:i w:val="0"/>
                <w:caps w:val="0"/>
                <w:color w:val="000000"/>
                <w:spacing w:val="0"/>
                <w:sz w:val="24"/>
                <w:szCs w:val="24"/>
                <w:highlight w:val="none"/>
              </w:rPr>
              <w:t>时</w:t>
            </w:r>
            <w:r>
              <w:rPr>
                <w:rFonts w:hint="eastAsia" w:ascii="宋体" w:cs="宋体"/>
                <w:i w:val="0"/>
                <w:caps w:val="0"/>
                <w:color w:val="000000"/>
                <w:spacing w:val="0"/>
                <w:sz w:val="24"/>
                <w:szCs w:val="24"/>
                <w:highlight w:val="none"/>
                <w:u w:val="single"/>
                <w:lang w:val="en-US" w:eastAsia="zh-CN"/>
              </w:rPr>
              <w:t>30</w:t>
            </w:r>
            <w:r>
              <w:rPr>
                <w:rFonts w:hint="eastAsia" w:ascii="宋体" w:hAnsi="宋体" w:eastAsia="宋体" w:cs="宋体"/>
                <w:i w:val="0"/>
                <w:caps w:val="0"/>
                <w:color w:val="000000"/>
                <w:spacing w:val="0"/>
                <w:sz w:val="24"/>
                <w:szCs w:val="24"/>
                <w:highlight w:val="none"/>
              </w:rPr>
              <w:t>分</w:t>
            </w:r>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p>
        </w:tc>
        <w:tc>
          <w:tcPr>
            <w:tcW w:w="1500" w:type="dxa"/>
            <w:noWrap w:val="0"/>
            <w:vAlign w:val="center"/>
          </w:tcPr>
          <w:p w14:paraId="5947FA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caps w:val="0"/>
                <w:color w:val="000000" w:themeColor="text1"/>
                <w:spacing w:val="0"/>
                <w:sz w:val="24"/>
                <w:szCs w:val="24"/>
                <w:highlight w:val="none"/>
                <w14:textFill>
                  <w14:solidFill>
                    <w14:schemeClr w14:val="tx1"/>
                  </w14:solidFill>
                </w14:textFill>
              </w:rPr>
              <w:t>开标地点</w:t>
            </w:r>
          </w:p>
        </w:tc>
        <w:tc>
          <w:tcPr>
            <w:tcW w:w="7440" w:type="dxa"/>
            <w:noWrap w:val="0"/>
            <w:vAlign w:val="center"/>
          </w:tcPr>
          <w:p w14:paraId="0E4F678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kern w:val="2"/>
                <w:sz w:val="24"/>
                <w:szCs w:val="24"/>
                <w:highlight w:val="none"/>
                <w:lang w:val="en-US" w:eastAsia="zh-CN" w:bidi="ar-SA"/>
              </w:rPr>
              <w:t>开标场所：</w:t>
            </w:r>
            <w:r>
              <w:rPr>
                <w:rFonts w:hint="eastAsia" w:ascii="宋体" w:hAnsi="宋体" w:eastAsia="宋体" w:cs="宋体"/>
                <w:color w:val="000000"/>
                <w:kern w:val="2"/>
                <w:sz w:val="24"/>
                <w:szCs w:val="24"/>
                <w:highlight w:val="none"/>
                <w:u w:val="single"/>
                <w:lang w:val="en-US" w:eastAsia="zh-CN" w:bidi="ar-SA"/>
              </w:rPr>
              <w:t>韶关市公共资源交易中心翁源分中心</w:t>
            </w:r>
            <w:r>
              <w:rPr>
                <w:rFonts w:hint="eastAsia" w:ascii="宋体" w:hAnsi="宋体" w:eastAsia="宋体" w:cs="宋体"/>
                <w:color w:val="000000"/>
                <w:kern w:val="2"/>
                <w:sz w:val="24"/>
                <w:szCs w:val="24"/>
                <w:highlight w:val="none"/>
                <w:lang w:val="en-US" w:eastAsia="zh-CN" w:bidi="ar-SA"/>
              </w:rPr>
              <w:t>，地址：</w:t>
            </w:r>
            <w:r>
              <w:rPr>
                <w:rFonts w:hint="eastAsia" w:ascii="宋体" w:hAnsi="宋体" w:eastAsia="宋体" w:cs="宋体"/>
                <w:color w:val="000000"/>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000000"/>
                <w:kern w:val="2"/>
                <w:sz w:val="24"/>
                <w:szCs w:val="24"/>
                <w:highlight w:val="none"/>
                <w:lang w:val="en-US" w:eastAsia="zh-CN" w:bidi="ar-SA"/>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000000" w:themeColor="text1"/>
                <w:spacing w:val="0"/>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1500" w:type="dxa"/>
            <w:noWrap w:val="0"/>
            <w:vAlign w:val="center"/>
          </w:tcPr>
          <w:p w14:paraId="2DCA885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t>其他</w:t>
            </w:r>
          </w:p>
        </w:tc>
        <w:tc>
          <w:tcPr>
            <w:tcW w:w="7440" w:type="dxa"/>
            <w:noWrap w:val="0"/>
            <w:vAlign w:val="center"/>
          </w:tcPr>
          <w:p w14:paraId="01236237">
            <w:pPr>
              <w:pStyle w:val="87"/>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4BD8C815">
      <w:pPr>
        <w:pStyle w:val="39"/>
        <w:rPr>
          <w:color w:val="000000" w:themeColor="text1"/>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000000" w:themeColor="text1"/>
          <w:highlight w:val="none"/>
          <w14:textFill>
            <w14:solidFill>
              <w14:schemeClr w14:val="tx1"/>
            </w14:solidFill>
          </w14:textFill>
        </w:rPr>
      </w:pPr>
      <w:bookmarkStart w:id="10" w:name="_Hlt87793819"/>
      <w:bookmarkEnd w:id="10"/>
      <w:bookmarkStart w:id="11" w:name="_Toc29916"/>
      <w:bookmarkStart w:id="12" w:name="_Toc25618"/>
      <w:bookmarkStart w:id="13" w:name="_Hlt69698754"/>
      <w:bookmarkStart w:id="14" w:name="_Hlt69698705"/>
      <w:r>
        <w:rPr>
          <w:rFonts w:hint="eastAsia"/>
          <w:b/>
          <w:bCs/>
          <w:color w:val="000000" w:themeColor="text1"/>
          <w:highlight w:val="none"/>
          <w14:textFill>
            <w14:solidFill>
              <w14:schemeClr w14:val="tx1"/>
            </w14:solidFill>
          </w14:textFill>
        </w:rPr>
        <w:t>第三节 投标人须知</w:t>
      </w:r>
      <w:bookmarkStart w:id="15" w:name="_Hlt69669159"/>
      <w:bookmarkEnd w:id="15"/>
      <w:r>
        <w:rPr>
          <w:rFonts w:hint="eastAsia"/>
          <w:b/>
          <w:bCs/>
          <w:color w:val="000000" w:themeColor="text1"/>
          <w:highlight w:val="none"/>
          <w14:textFill>
            <w14:solidFill>
              <w14:schemeClr w14:val="tx1"/>
            </w14:solidFill>
          </w14:textFill>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bookmarkStart w:id="16" w:name="_Toc15236"/>
      <w:r>
        <w:rPr>
          <w:rFonts w:hint="eastAsia" w:ascii="宋体" w:hAnsi="宋体" w:eastAsia="宋体" w:cs="宋体"/>
          <w:color w:val="000000" w:themeColor="text1"/>
          <w:sz w:val="24"/>
          <w:szCs w:val="24"/>
          <w:highlight w:val="none"/>
          <w:u w:val="single"/>
          <w:lang w:eastAsia="zh-CN"/>
          <w14:textFill>
            <w14:solidFill>
              <w14:schemeClr w14:val="tx1"/>
            </w14:solidFill>
          </w14:textFill>
        </w:rPr>
        <w:t>翁源县“百千万工程”之全域推进农村人居环境整治建设项目</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业</w:t>
      </w:r>
      <w:r>
        <w:rPr>
          <w:rFonts w:hint="eastAsia" w:ascii="宋体" w:hAnsi="宋体" w:eastAsia="宋体" w:cs="宋体"/>
          <w:color w:val="000000" w:themeColor="text1"/>
          <w:kern w:val="0"/>
          <w:sz w:val="24"/>
          <w:szCs w:val="22"/>
          <w:highlight w:val="none"/>
          <w14:textFill>
            <w14:solidFill>
              <w14:schemeClr w14:val="tx1"/>
            </w14:solidFill>
          </w14:textFill>
        </w:rPr>
        <w:t>经</w:t>
      </w:r>
      <w:r>
        <w:rPr>
          <w:rFonts w:hint="eastAsia" w:ascii="宋体" w:hAnsi="宋体" w:eastAsia="宋体" w:cs="宋体"/>
          <w:b w:val="0"/>
          <w:bCs w:val="0"/>
          <w:color w:val="000000" w:themeColor="text1"/>
          <w:kern w:val="0"/>
          <w:sz w:val="24"/>
          <w:szCs w:val="22"/>
          <w:highlight w:val="none"/>
          <w:u w:val="single"/>
          <w:lang w:val="en-US" w:eastAsia="zh-CN"/>
          <w14:textFill>
            <w14:solidFill>
              <w14:schemeClr w14:val="tx1"/>
            </w14:solidFill>
          </w14:textFill>
        </w:rPr>
        <w:t>翁</w:t>
      </w:r>
      <w:r>
        <w:rPr>
          <w:rFonts w:hint="eastAsia" w:ascii="宋体" w:hAnsi="宋体" w:eastAsia="宋体" w:cs="宋体"/>
          <w:b w:val="0"/>
          <w:bCs w:val="0"/>
          <w:color w:val="000000" w:themeColor="text1"/>
          <w:kern w:val="0"/>
          <w:sz w:val="24"/>
          <w:szCs w:val="22"/>
          <w:highlight w:val="none"/>
          <w:u w:val="single"/>
          <w:lang w:eastAsia="zh-CN"/>
          <w14:textFill>
            <w14:solidFill>
              <w14:schemeClr w14:val="tx1"/>
            </w14:solidFill>
          </w14:textFill>
        </w:rPr>
        <w:t>源县发展和改革局</w:t>
      </w:r>
      <w:r>
        <w:rPr>
          <w:rFonts w:hint="eastAsia" w:ascii="宋体" w:hAnsi="宋体" w:eastAsia="宋体" w:cs="宋体"/>
          <w:color w:val="000000" w:themeColor="text1"/>
          <w:kern w:val="0"/>
          <w:sz w:val="24"/>
          <w:szCs w:val="22"/>
          <w:highlight w:val="none"/>
          <w14:textFill>
            <w14:solidFill>
              <w14:schemeClr w14:val="tx1"/>
            </w14:solidFill>
          </w14:textFill>
        </w:rPr>
        <w:t>以</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14:textFill>
            <w14:solidFill>
              <w14:schemeClr w14:val="tx1"/>
            </w14:solidFill>
          </w14:textFill>
        </w:rPr>
        <w:t>翁源县发展和改革局关于翁源县“百千万工程”之全域推进农村人居环境整治建设项目可行性研究报告的批复</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翁发改投审〔2025〕25号文</w:t>
      </w:r>
      <w:r>
        <w:rPr>
          <w:rFonts w:hint="eastAsia" w:ascii="宋体" w:hAnsi="宋体" w:eastAsia="宋体" w:cs="宋体"/>
          <w:color w:val="000000" w:themeColor="text1"/>
          <w:kern w:val="0"/>
          <w:sz w:val="24"/>
          <w:szCs w:val="22"/>
          <w:highlight w:val="none"/>
          <w14:textFill>
            <w14:solidFill>
              <w14:schemeClr w14:val="tx1"/>
            </w14:solidFill>
          </w14:textFill>
        </w:rPr>
        <w:t>批准建设，项目代码为</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2412-440229-04-01-525170</w:t>
      </w:r>
      <w:r>
        <w:rPr>
          <w:rFonts w:hint="eastAsia" w:ascii="宋体" w:hAnsi="宋体" w:eastAsia="宋体" w:cs="宋体"/>
          <w:color w:val="000000" w:themeColor="text1"/>
          <w:kern w:val="0"/>
          <w:sz w:val="24"/>
          <w:szCs w:val="22"/>
          <w:highlight w:val="none"/>
          <w14:textFill>
            <w14:solidFill>
              <w14:schemeClr w14:val="tx1"/>
            </w14:solidFill>
          </w14:textFill>
        </w:rPr>
        <w:t>。本项目业主为</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翁源县农业农村局</w:t>
      </w:r>
      <w:r>
        <w:rPr>
          <w:rFonts w:hint="eastAsia" w:ascii="宋体" w:hAnsi="宋体" w:eastAsia="宋体" w:cs="宋体"/>
          <w:color w:val="000000" w:themeColor="text1"/>
          <w:kern w:val="0"/>
          <w:sz w:val="24"/>
          <w:szCs w:val="22"/>
          <w:highlight w:val="none"/>
          <w14:textFill>
            <w14:solidFill>
              <w14:schemeClr w14:val="tx1"/>
            </w14:solidFill>
          </w14:textFill>
        </w:rPr>
        <w:t>，建设资金来自</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争取地方政府专项债券资金及上级专项资金解决，不足部分由县级财政统筹解决</w:t>
      </w:r>
      <w:r>
        <w:rPr>
          <w:rFonts w:hint="eastAsia" w:ascii="宋体" w:hAnsi="宋体" w:eastAsia="宋体" w:cs="宋体"/>
          <w:color w:val="000000" w:themeColor="text1"/>
          <w:kern w:val="0"/>
          <w:sz w:val="24"/>
          <w:szCs w:val="22"/>
          <w:highlight w:val="none"/>
          <w14:textFill>
            <w14:solidFill>
              <w14:schemeClr w14:val="tx1"/>
            </w14:solidFill>
          </w14:textFill>
        </w:rPr>
        <w:t>，招标人为</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翁源县江尾镇人民政府</w:t>
      </w:r>
      <w:r>
        <w:rPr>
          <w:rFonts w:hint="eastAsia" w:ascii="宋体" w:hAnsi="宋体" w:eastAsia="宋体" w:cs="宋体"/>
          <w:color w:val="000000" w:themeColor="text1"/>
          <w:kern w:val="0"/>
          <w:sz w:val="24"/>
          <w:szCs w:val="22"/>
          <w:highlight w:val="none"/>
          <w14:textFill>
            <w14:solidFill>
              <w14:schemeClr w14:val="tx1"/>
            </w14:solidFill>
          </w14:textFill>
        </w:rPr>
        <w:t>，招标代理机构为</w:t>
      </w:r>
      <w:r>
        <w:rPr>
          <w:rFonts w:hint="eastAsia" w:hAnsi="宋体" w:cs="宋体"/>
          <w:color w:val="000000" w:themeColor="text1"/>
          <w:kern w:val="0"/>
          <w:sz w:val="24"/>
          <w:szCs w:val="22"/>
          <w:highlight w:val="none"/>
          <w:u w:val="single"/>
          <w:lang w:val="en-US" w:eastAsia="zh-CN"/>
          <w14:textFill>
            <w14:solidFill>
              <w14:schemeClr w14:val="tx1"/>
            </w14:solidFill>
          </w14:textFill>
        </w:rPr>
        <w:t>广东志达建设监理有限公司</w:t>
      </w:r>
      <w:r>
        <w:rPr>
          <w:rFonts w:hint="eastAsia" w:ascii="宋体" w:hAnsi="宋体" w:eastAsia="宋体" w:cs="宋体"/>
          <w:color w:val="000000" w:themeColor="text1"/>
          <w:kern w:val="0"/>
          <w:sz w:val="24"/>
          <w:szCs w:val="22"/>
          <w:highlight w:val="none"/>
          <w14:textFill>
            <w14:solidFill>
              <w14:schemeClr w14:val="tx1"/>
            </w14:solidFill>
          </w14:textFill>
        </w:rPr>
        <w:t>。项目已具备招标条件，现对该项目</w:t>
      </w:r>
      <w:r>
        <w:rPr>
          <w:rFonts w:hint="eastAsia" w:ascii="宋体" w:hAnsi="宋体" w:eastAsia="宋体" w:cs="宋体"/>
          <w:color w:val="000000" w:themeColor="text1"/>
          <w:kern w:val="0"/>
          <w:sz w:val="24"/>
          <w:szCs w:val="22"/>
          <w:highlight w:val="none"/>
          <w:lang w:val="en-US" w:eastAsia="zh-CN"/>
          <w14:textFill>
            <w14:solidFill>
              <w14:schemeClr w14:val="tx1"/>
            </w14:solidFill>
          </w14:textFill>
        </w:rPr>
        <w:t>的</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监理</w:t>
      </w:r>
      <w:r>
        <w:rPr>
          <w:rFonts w:hint="eastAsia" w:ascii="宋体" w:hAnsi="宋体" w:eastAsia="宋体" w:cs="宋体"/>
          <w:color w:val="000000" w:themeColor="text1"/>
          <w:kern w:val="0"/>
          <w:sz w:val="24"/>
          <w:szCs w:val="22"/>
          <w:highlight w:val="none"/>
          <w14:textFill>
            <w14:solidFill>
              <w14:schemeClr w14:val="tx1"/>
            </w14:solidFill>
          </w14:textFill>
        </w:rPr>
        <w:t>进行公开招标。</w:t>
      </w:r>
    </w:p>
    <w:p w14:paraId="6E939B6A">
      <w:pPr>
        <w:pStyle w:val="87"/>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000000" w:themeColor="text1"/>
          <w:kern w:val="0"/>
          <w:sz w:val="24"/>
          <w:highlight w:val="none"/>
          <w14:textFill>
            <w14:solidFill>
              <w14:schemeClr w14:val="tx1"/>
            </w14:solidFill>
          </w14:textFill>
        </w:rPr>
      </w:pPr>
      <w:r>
        <w:rPr>
          <w:rFonts w:hint="eastAsia"/>
          <w:b/>
          <w:bCs/>
          <w:snapToGrid w:val="0"/>
          <w:color w:val="000000" w:themeColor="text1"/>
          <w:kern w:val="0"/>
          <w:sz w:val="24"/>
          <w:highlight w:val="none"/>
          <w14:textFill>
            <w14:solidFill>
              <w14:schemeClr w14:val="tx1"/>
            </w14:solidFill>
          </w14:textFill>
        </w:rPr>
        <w:t>1．项目概况、招标范围和标段划分、投标费用</w:t>
      </w:r>
      <w:bookmarkEnd w:id="16"/>
    </w:p>
    <w:p w14:paraId="5A9B532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w:t>
      </w:r>
      <w:r>
        <w:rPr>
          <w:rFonts w:hint="eastAsia" w:ascii="宋体" w:hAnsi="宋体" w:cs="宋体"/>
          <w:snapToGrid w:val="0"/>
          <w:color w:val="000000" w:themeColor="text1"/>
          <w:kern w:val="0"/>
          <w:sz w:val="24"/>
          <w:highlight w:val="none"/>
          <w14:textFill>
            <w14:solidFill>
              <w14:schemeClr w14:val="tx1"/>
            </w14:solidFill>
          </w14:textFill>
        </w:rPr>
        <w:t xml:space="preserve"> 项目概况</w:t>
      </w:r>
    </w:p>
    <w:p w14:paraId="457EF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 xml:space="preserve"> 建设地点：</w:t>
      </w:r>
      <w:r>
        <w:rPr>
          <w:rFonts w:hint="eastAsia" w:hAnsi="宋体" w:eastAsia="宋体" w:cs="宋体"/>
          <w:snapToGrid w:val="0"/>
          <w:color w:val="000000" w:themeColor="text1"/>
          <w:kern w:val="0"/>
          <w:sz w:val="24"/>
          <w:szCs w:val="24"/>
          <w:highlight w:val="none"/>
          <w:lang w:eastAsia="zh-CN"/>
          <w14:textFill>
            <w14:solidFill>
              <w14:schemeClr w14:val="tx1"/>
            </w14:solidFill>
          </w14:textFill>
        </w:rPr>
        <w:t>韶关市翁源县江尾镇。</w:t>
      </w:r>
    </w:p>
    <w:p w14:paraId="74BEFDF3">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Times New Roman"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 xml:space="preserve">1.1.2 </w:t>
      </w:r>
      <w:r>
        <w:rPr>
          <w:rFonts w:hint="eastAsia" w:ascii="宋体" w:hAnsi="宋体" w:cs="宋体"/>
          <w:b w:val="0"/>
          <w:bCs w:val="0"/>
          <w:snapToGrid w:val="0"/>
          <w:color w:val="000000" w:themeColor="text1"/>
          <w:kern w:val="0"/>
          <w:sz w:val="24"/>
          <w:highlight w:val="none"/>
          <w:lang w:val="en-US" w:eastAsia="zh-CN"/>
          <w14:textFill>
            <w14:solidFill>
              <w14:schemeClr w14:val="tx1"/>
            </w14:solidFill>
          </w14:textFill>
        </w:rPr>
        <w:t>建设内容：</w:t>
      </w:r>
      <w:r>
        <w:rPr>
          <w:rFonts w:hint="eastAsia" w:ascii="Times New Roman" w:hAnsi="宋体" w:eastAsia="宋体" w:cs="宋体"/>
          <w:snapToGrid w:val="0"/>
          <w:color w:val="000000" w:themeColor="text1"/>
          <w:kern w:val="0"/>
          <w:sz w:val="24"/>
          <w:szCs w:val="24"/>
          <w:highlight w:val="none"/>
          <w:lang w:val="en-US" w:eastAsia="zh-CN"/>
          <w14:textFill>
            <w14:solidFill>
              <w14:schemeClr w14:val="tx1"/>
            </w14:solidFill>
          </w14:textFill>
        </w:rPr>
        <w:t>项目拟通过实施人居环境综合整治工程和基础设施改造工程，提高江尾镇人居环境与生活质量，改善乡容村貌，提升生活配套服务水平，实现“百县千镇万村高质量发展工程”的具体目标任务。建设内容主要包含圩镇主街综合改造工程、圩镇基础设施改造工程、农村人居环境整治提升、农房风貌管控、农村污水治理、农村道路升级改造、河道清理打造提升、水圳三面光建设、绿美生态建设、鱼塘及河堤升级改造、生态停车场建设、村民健身广场建设、绿美生态公园建设、“四小园”建设、“三线”整治等基础设施工程及其他配套设施工程。</w:t>
      </w:r>
    </w:p>
    <w:p w14:paraId="4DFB9618">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1.1.3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项目总投资：</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本项目概算总投资约</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2108.39</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万元</w:t>
      </w:r>
      <w:r>
        <w:rPr>
          <w:rFonts w:hint="eastAsia" w:hAnsi="宋体" w:cs="宋体"/>
          <w:color w:val="000000" w:themeColor="text1"/>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本次招标监理服务费为39.44万元</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p>
    <w:p w14:paraId="737B544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 </w:t>
      </w:r>
      <w:r>
        <w:rPr>
          <w:rFonts w:hint="eastAsia" w:ascii="宋体" w:hAnsi="宋体" w:cs="宋体"/>
          <w:snapToGrid w:val="0"/>
          <w:color w:val="000000" w:themeColor="text1"/>
          <w:kern w:val="0"/>
          <w:sz w:val="24"/>
          <w:highlight w:val="none"/>
          <w14:textFill>
            <w14:solidFill>
              <w14:schemeClr w14:val="tx1"/>
            </w14:solidFill>
          </w14:textFill>
        </w:rPr>
        <w:t>招标范围和标段划分</w:t>
      </w:r>
    </w:p>
    <w:p w14:paraId="5C8BB66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招标范围</w:t>
      </w:r>
    </w:p>
    <w:p w14:paraId="0F812CFE">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w:t>
      </w:r>
      <w:r>
        <w:rPr>
          <w:rFonts w:hint="eastAsia" w:ascii="宋体" w:hAnsi="宋体" w:cs="宋体"/>
          <w:snapToGrid w:val="0"/>
          <w:color w:val="000000" w:themeColor="text1"/>
          <w:kern w:val="0"/>
          <w:sz w:val="24"/>
          <w:highlight w:val="none"/>
          <w:lang w:eastAsia="zh-CN"/>
          <w14:textFill>
            <w14:solidFill>
              <w14:schemeClr w14:val="tx1"/>
            </w14:solidFill>
          </w14:textFill>
        </w:rPr>
        <w:t>项目建设施工阶段监理（含施工准备阶段、施工阶段、工程竣工验收及结算阶段和缺陷责任保修期阶段的监理服务）</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1.2.2</w:t>
      </w:r>
      <w:r>
        <w:rPr>
          <w:rFonts w:hint="eastAsia" w:hAnsi="宋体" w:cs="宋体"/>
          <w:snapToGrid w:val="0"/>
          <w:color w:val="000000" w:themeColor="text1"/>
          <w:kern w:val="0"/>
          <w:szCs w:val="24"/>
          <w:highlight w:val="none"/>
          <w14:textFill>
            <w14:solidFill>
              <w14:schemeClr w14:val="tx1"/>
            </w14:solidFill>
          </w14:textFill>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 xml:space="preserve"> 投标费用：投标人应承担所有准备和参加投标的相关费用，不论投标结果如何，招标人均无义务和责任承担这些费用。</w:t>
      </w:r>
    </w:p>
    <w:p w14:paraId="6BE91A1C">
      <w:pPr>
        <w:pStyle w:val="87"/>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000000" w:themeColor="text1"/>
          <w:kern w:val="0"/>
          <w:sz w:val="24"/>
          <w:highlight w:val="none"/>
          <w14:textFill>
            <w14:solidFill>
              <w14:schemeClr w14:val="tx1"/>
            </w14:solidFill>
          </w14:textFill>
        </w:rPr>
      </w:pPr>
      <w:bookmarkStart w:id="17" w:name="_Toc20122"/>
      <w:bookmarkStart w:id="18" w:name="_Toc31795"/>
      <w:r>
        <w:rPr>
          <w:rFonts w:hint="eastAsia"/>
          <w:b/>
          <w:bCs/>
          <w:snapToGrid w:val="0"/>
          <w:color w:val="000000" w:themeColor="text1"/>
          <w:kern w:val="0"/>
          <w:sz w:val="24"/>
          <w:highlight w:val="none"/>
          <w14:textFill>
            <w14:solidFill>
              <w14:schemeClr w14:val="tx1"/>
            </w14:solidFill>
          </w14:textFill>
        </w:rPr>
        <w:t>2．投标人资格要求</w:t>
      </w:r>
      <w:bookmarkEnd w:id="17"/>
      <w:bookmarkEnd w:id="18"/>
      <w:bookmarkStart w:id="19" w:name="_Hlt74496495"/>
      <w:bookmarkEnd w:id="19"/>
    </w:p>
    <w:p w14:paraId="229AFBA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2.1</w:t>
      </w:r>
      <w:r>
        <w:rPr>
          <w:rFonts w:hint="eastAsia" w:ascii="宋体" w:hAnsi="宋体" w:cs="宋体"/>
          <w:snapToGrid w:val="0"/>
          <w:color w:val="000000" w:themeColor="text1"/>
          <w:kern w:val="0"/>
          <w:sz w:val="24"/>
          <w:highlight w:val="none"/>
          <w14:textFill>
            <w14:solidFill>
              <w14:schemeClr w14:val="tx1"/>
            </w14:solidFill>
          </w14:textFill>
        </w:rPr>
        <w:t xml:space="preserve"> 本次招标不接受联合体投标。</w:t>
      </w:r>
    </w:p>
    <w:p w14:paraId="376870E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w:t>
      </w:r>
      <w:r>
        <w:rPr>
          <w:rFonts w:hint="eastAsia" w:ascii="宋体" w:hAnsi="宋体" w:cs="宋体"/>
          <w:snapToGrid w:val="0"/>
          <w:color w:val="000000" w:themeColor="text1"/>
          <w:kern w:val="0"/>
          <w:sz w:val="24"/>
          <w:highlight w:val="none"/>
          <w14:textFill>
            <w14:solidFill>
              <w14:schemeClr w14:val="tx1"/>
            </w14:solidFill>
          </w14:textFill>
        </w:rPr>
        <w:t xml:space="preserve"> 资格资质要求</w:t>
      </w:r>
    </w:p>
    <w:p w14:paraId="296608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2.2.1</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2.2.2</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投标人须具备以下资质之一：①工程监理综合资质；②市政公用工程监理</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级以上（含</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级）资质及房屋建筑工程监理</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级以上（含</w:t>
      </w:r>
      <w:r>
        <w:rPr>
          <w:rFonts w:hint="eastAsia" w:hAnsi="宋体" w:cs="宋体"/>
          <w:color w:val="000000" w:themeColor="text1"/>
          <w:szCs w:val="24"/>
          <w:highlight w:val="none"/>
          <w:lang w:val="en-US" w:eastAsia="zh-CN"/>
          <w14:textFill>
            <w14:solidFill>
              <w14:schemeClr w14:val="tx1"/>
            </w14:solidFill>
          </w14:textFill>
        </w:rPr>
        <w:t>乙</w:t>
      </w:r>
      <w:r>
        <w:rPr>
          <w:rFonts w:hint="eastAsia" w:ascii="宋体" w:hAnsi="宋体" w:eastAsia="宋体" w:cs="宋体"/>
          <w:color w:val="000000" w:themeColor="text1"/>
          <w:szCs w:val="24"/>
          <w:highlight w:val="none"/>
          <w14:textFill>
            <w14:solidFill>
              <w14:schemeClr w14:val="tx1"/>
            </w14:solidFill>
          </w14:textFill>
        </w:rPr>
        <w:t>级）资质</w:t>
      </w:r>
      <w:r>
        <w:rPr>
          <w:rFonts w:hint="eastAsia" w:hAnsi="宋体" w:cs="宋体"/>
          <w:snapToGrid w:val="0"/>
          <w:color w:val="000000" w:themeColor="text1"/>
          <w:kern w:val="0"/>
          <w:szCs w:val="24"/>
          <w:highlight w:val="none"/>
          <w14:textFill>
            <w14:solidFill>
              <w14:schemeClr w14:val="tx1"/>
            </w14:solidFill>
          </w14:textFill>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2.2.3</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ascii="宋体" w:hAnsi="宋体" w:cs="宋体"/>
          <w:snapToGrid w:val="0"/>
          <w:color w:val="000000" w:themeColor="text1"/>
          <w:kern w:val="0"/>
          <w:sz w:val="24"/>
          <w:highlight w:val="none"/>
          <w14:textFill>
            <w14:solidFill>
              <w14:schemeClr w14:val="tx1"/>
            </w14:solidFill>
          </w14:textFill>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2.3.1</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2 </w:t>
      </w:r>
      <w:r>
        <w:rPr>
          <w:rFonts w:hint="eastAsia" w:hAnsi="宋体" w:cs="宋体"/>
          <w:color w:val="000000" w:themeColor="text1"/>
          <w:szCs w:val="24"/>
          <w:highlight w:val="none"/>
          <w14:textFill>
            <w14:solidFill>
              <w14:schemeClr w14:val="tx1"/>
            </w14:solidFill>
          </w14:textFill>
        </w:rPr>
        <w:t>个。</w:t>
      </w:r>
    </w:p>
    <w:p w14:paraId="1B937DB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729B3FC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2.3.2</w:t>
      </w:r>
      <w:r>
        <w:rPr>
          <w:rFonts w:hint="eastAsia" w:ascii="宋体" w:hAnsi="宋体" w:cs="宋体"/>
          <w:snapToGrid w:val="0"/>
          <w:color w:val="000000" w:themeColor="text1"/>
          <w:kern w:val="0"/>
          <w:sz w:val="24"/>
          <w:highlight w:val="none"/>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51D5C15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w:t>
      </w:r>
      <w:r>
        <w:rPr>
          <w:rFonts w:hint="eastAsia" w:ascii="宋体" w:hAnsi="宋体" w:cs="宋体"/>
          <w:snapToGrid w:val="0"/>
          <w:color w:val="000000" w:themeColor="text1"/>
          <w:kern w:val="0"/>
          <w:sz w:val="24"/>
          <w:highlight w:val="none"/>
          <w14:textFill>
            <w14:solidFill>
              <w14:schemeClr w14:val="tx1"/>
            </w14:solidFill>
          </w14:textFill>
        </w:rPr>
        <w:t xml:space="preserve"> 禁止投标条款</w:t>
      </w:r>
    </w:p>
    <w:p w14:paraId="7D7AD0E4">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2.4.1</w:t>
      </w:r>
      <w:r>
        <w:rPr>
          <w:rFonts w:hint="eastAsia" w:ascii="宋体" w:hAnsi="宋体" w:cs="宋体"/>
          <w:snapToGrid w:val="0"/>
          <w:color w:val="000000" w:themeColor="text1"/>
          <w:kern w:val="0"/>
          <w:sz w:val="24"/>
          <w:highlight w:val="none"/>
          <w14:textFill>
            <w14:solidFill>
              <w14:schemeClr w14:val="tx1"/>
            </w14:solidFill>
          </w14:textFill>
        </w:rPr>
        <w:t xml:space="preserve"> 投标人不得存在下列情形之一：</w:t>
      </w:r>
    </w:p>
    <w:p w14:paraId="23B2DC3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（1）为招标人不具有独立法人资格的附属机构（单位）；</w:t>
      </w:r>
    </w:p>
    <w:p w14:paraId="7B77E29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（2）与招标人存在利害关系且可能影响招标公正性；</w:t>
      </w:r>
    </w:p>
    <w:p w14:paraId="66A8637F">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（3）与本招标项目的其他投标人为同一个单位负责人；</w:t>
      </w:r>
    </w:p>
    <w:p w14:paraId="6445557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（4）与本招标项目的其他投标人存在控股、管理关系；</w:t>
      </w:r>
    </w:p>
    <w:p w14:paraId="66EBD7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（5）为本招标项目的代建人；</w:t>
      </w:r>
    </w:p>
    <w:p w14:paraId="2102A47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（6）为本招标项目的招标代理机构；</w:t>
      </w:r>
    </w:p>
    <w:p w14:paraId="22A7EB6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3FC11BF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12857A0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（9）与本招标项目的施工承包人以及建筑材料、建筑构配件和设备供应商有隶属关系或者其他利害关系；</w:t>
      </w:r>
    </w:p>
    <w:p w14:paraId="4A6FC44A">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（10）被依法暂停或者取消投标资格；</w:t>
      </w:r>
    </w:p>
    <w:p w14:paraId="68E70B2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75517A3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40C30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（13）在最近三年内发生重大监理质量问题（以相关行业主管部门的行政处罚决定或司法机关出具的有关法律文书为准）；</w:t>
      </w:r>
    </w:p>
    <w:p w14:paraId="331A83D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sym w:font="Wingdings" w:char="00D8"/>
      </w:r>
      <w:r>
        <w:rPr>
          <w:rFonts w:hint="eastAsia" w:ascii="宋体" w:hAnsi="宋体" w:cs="宋体"/>
          <w:snapToGrid w:val="0"/>
          <w:color w:val="000000" w:themeColor="text1"/>
          <w:kern w:val="0"/>
          <w:sz w:val="24"/>
          <w:highlight w:val="none"/>
          <w14:textFill>
            <w14:solidFill>
              <w14:schemeClr w14:val="tx1"/>
            </w14:solidFill>
          </w14:textFill>
        </w:rPr>
        <w:t xml:space="preserve"> （14）</w:t>
      </w:r>
      <w:r>
        <w:rPr>
          <w:rFonts w:hint="eastAsia" w:ascii="宋体" w:hAnsi="宋体" w:cs="宋体"/>
          <w:color w:val="000000" w:themeColor="text1"/>
          <w:kern w:val="0"/>
          <w:sz w:val="24"/>
          <w:highlight w:val="none"/>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highlight w:val="none"/>
          <w14:textFill>
            <w14:solidFill>
              <w14:schemeClr w14:val="tx1"/>
            </w14:solidFill>
          </w14:textFill>
        </w:rPr>
        <w:t>。</w:t>
      </w:r>
    </w:p>
    <w:p w14:paraId="6D2A9BC1">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2.4.2</w:t>
      </w:r>
      <w:r>
        <w:rPr>
          <w:rFonts w:hint="eastAsia" w:ascii="宋体" w:hAnsi="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30"/>
        <w:tblW w:w="9238"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3951"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4377"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247CC67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3951" w:type="dxa"/>
            <w:noWrap w:val="0"/>
            <w:vAlign w:val="center"/>
          </w:tcPr>
          <w:p w14:paraId="48F92AA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翁源县农业农村局</w:t>
            </w:r>
          </w:p>
        </w:tc>
        <w:tc>
          <w:tcPr>
            <w:tcW w:w="4377" w:type="dxa"/>
            <w:noWrap w:val="0"/>
            <w:vAlign w:val="center"/>
          </w:tcPr>
          <w:p w14:paraId="1CA7E40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为本招标项目的项目业主</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308BACF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3951" w:type="dxa"/>
            <w:noWrap w:val="0"/>
            <w:vAlign w:val="center"/>
          </w:tcPr>
          <w:p w14:paraId="2C7FB050">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翁源县江尾镇人民政府</w:t>
            </w:r>
          </w:p>
        </w:tc>
        <w:tc>
          <w:tcPr>
            <w:tcW w:w="4377" w:type="dxa"/>
            <w:noWrap w:val="0"/>
            <w:vAlign w:val="center"/>
          </w:tcPr>
          <w:p w14:paraId="3659449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highlight w:val="none"/>
                <w14:textFill>
                  <w14:solidFill>
                    <w14:schemeClr w14:val="tx1"/>
                  </w14:solidFill>
                </w14:textFill>
              </w:rPr>
              <w:t>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0082812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3951" w:type="dxa"/>
            <w:noWrap w:val="0"/>
            <w:vAlign w:val="center"/>
          </w:tcPr>
          <w:p w14:paraId="76EC56A5">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highlight w:val="none"/>
                <w:lang w:eastAsia="zh-CN"/>
                <w14:textFill>
                  <w14:solidFill>
                    <w14:schemeClr w14:val="tx1"/>
                  </w14:solidFill>
                </w14:textFill>
              </w:rPr>
              <w:t>广东志达建设监理有限公司</w:t>
            </w:r>
          </w:p>
        </w:tc>
        <w:tc>
          <w:tcPr>
            <w:tcW w:w="4377" w:type="dxa"/>
            <w:noWrap w:val="0"/>
            <w:vAlign w:val="center"/>
          </w:tcPr>
          <w:p w14:paraId="7789CE8C">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18896A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3951" w:type="dxa"/>
            <w:noWrap w:val="0"/>
            <w:vAlign w:val="center"/>
          </w:tcPr>
          <w:p w14:paraId="6D80EC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广东省国际工程咨询有限公司</w:t>
            </w:r>
          </w:p>
        </w:tc>
        <w:tc>
          <w:tcPr>
            <w:tcW w:w="4377" w:type="dxa"/>
            <w:noWrap w:val="0"/>
            <w:vAlign w:val="center"/>
          </w:tcPr>
          <w:p w14:paraId="0C8722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项目的可研编制单位</w:t>
            </w:r>
          </w:p>
        </w:tc>
      </w:tr>
    </w:tbl>
    <w:p w14:paraId="436A391F">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2.5</w:t>
      </w:r>
      <w:r>
        <w:rPr>
          <w:rFonts w:hint="eastAsia" w:ascii="宋体" w:hAnsi="宋体" w:cs="宋体"/>
          <w:snapToGrid w:val="0"/>
          <w:color w:val="000000" w:themeColor="text1"/>
          <w:kern w:val="0"/>
          <w:sz w:val="24"/>
          <w:highlight w:val="none"/>
          <w14:textFill>
            <w14:solidFill>
              <w14:schemeClr w14:val="tx1"/>
            </w14:solidFill>
          </w14:textFill>
        </w:rPr>
        <w:t xml:space="preserve"> 其他要求</w:t>
      </w:r>
    </w:p>
    <w:p w14:paraId="574A12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000000" w:themeColor="text1"/>
          <w:kern w:val="0"/>
          <w:sz w:val="24"/>
          <w:highlight w:val="none"/>
          <w14:textFill>
            <w14:solidFill>
              <w14:schemeClr w14:val="tx1"/>
            </w14:solidFill>
          </w14:textFill>
        </w:rPr>
      </w:pPr>
      <w:bookmarkStart w:id="20" w:name="_Toc3586"/>
      <w:r>
        <w:rPr>
          <w:rFonts w:hint="eastAsia" w:ascii="宋体" w:hAnsi="宋体" w:cs="宋体"/>
          <w:b/>
          <w:bCs/>
          <w:snapToGrid w:val="0"/>
          <w:color w:val="000000" w:themeColor="text1"/>
          <w:kern w:val="0"/>
          <w:sz w:val="24"/>
          <w:highlight w:val="none"/>
          <w14:textFill>
            <w14:solidFill>
              <w14:schemeClr w14:val="tx1"/>
            </w14:solidFill>
          </w14:textFill>
        </w:rPr>
        <w:t>3．获取招标文件</w:t>
      </w:r>
      <w:bookmarkEnd w:id="20"/>
    </w:p>
    <w:p w14:paraId="1DF04FBD">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 xml:space="preserve">3.1 </w:t>
      </w:r>
      <w:r>
        <w:rPr>
          <w:rFonts w:hint="eastAsia" w:ascii="宋体" w:hAnsi="宋体" w:cs="宋体"/>
          <w:color w:val="000000" w:themeColor="text1"/>
          <w:sz w:val="24"/>
          <w:highlight w:val="none"/>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highlight w:val="none"/>
          <w14:textFill>
            <w14:solidFill>
              <w14:schemeClr w14:val="tx1"/>
            </w14:solidFill>
          </w14:textFill>
        </w:rPr>
        <w:t xml:space="preserve"> </w:t>
      </w:r>
    </w:p>
    <w:p w14:paraId="3710C64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5349E3D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 投标保证</w:t>
      </w:r>
    </w:p>
    <w:p w14:paraId="71FD51A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3.3.1 投标人须缴纳金额为人民币</w:t>
      </w:r>
      <w:r>
        <w:rPr>
          <w:rFonts w:hint="eastAsia" w:hAnsi="宋体" w:cs="宋体"/>
          <w:color w:val="000000" w:themeColor="text1"/>
          <w:sz w:val="24"/>
          <w:szCs w:val="32"/>
          <w:highlight w:val="none"/>
          <w:u w:val="single"/>
          <w:lang w:val="en-US" w:eastAsia="zh-CN"/>
          <w14:textFill>
            <w14:solidFill>
              <w14:schemeClr w14:val="tx1"/>
            </w14:solidFill>
          </w14:textFill>
        </w:rPr>
        <w:t>伍仟</w:t>
      </w:r>
      <w:r>
        <w:rPr>
          <w:rFonts w:hint="eastAsia" w:ascii="宋体" w:hAnsi="宋体" w:cs="宋体"/>
          <w:color w:val="000000" w:themeColor="text1"/>
          <w:sz w:val="24"/>
          <w:highlight w:val="none"/>
          <w:shd w:val="clear" w:color="auto" w:fill="FFFFFF"/>
          <w14:textFill>
            <w14:solidFill>
              <w14:schemeClr w14:val="tx1"/>
            </w14:solidFill>
          </w14:textFill>
        </w:rPr>
        <w:t xml:space="preserve">元的投标保证。 </w:t>
      </w:r>
    </w:p>
    <w:p w14:paraId="081C9AA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000000" w:themeColor="text1"/>
          <w:highlight w:val="none"/>
          <w:lang w:val="en-US" w:eastAsia="zh-CN"/>
          <w14:textFill>
            <w14:solidFill>
              <w14:schemeClr w14:val="tx1"/>
            </w14:solidFill>
          </w14:textFill>
        </w:rPr>
        <w:t>见</w:t>
      </w:r>
      <w:r>
        <w:rPr>
          <w:rFonts w:hint="eastAsia" w:hAnsi="宋体" w:cs="宋体"/>
          <w:color w:val="000000" w:themeColor="text1"/>
          <w:highlight w:val="none"/>
          <w14:textFill>
            <w14:solidFill>
              <w14:schemeClr w14:val="tx1"/>
            </w14:solidFill>
          </w14:textFill>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highlight w:val="none"/>
          <w14:textFill>
            <w14:solidFill>
              <w14:schemeClr w14:val="tx1"/>
            </w14:solidFill>
          </w14:textFill>
        </w:rPr>
        <w:t>延长</w:t>
      </w:r>
      <w:r>
        <w:rPr>
          <w:rFonts w:hint="eastAsia" w:ascii="宋体" w:hAnsi="宋体" w:cs="宋体"/>
          <w:color w:val="000000" w:themeColor="text1"/>
          <w:sz w:val="24"/>
          <w:highlight w:val="none"/>
          <w14:textFill>
            <w14:solidFill>
              <w14:schemeClr w14:val="tx1"/>
            </w14:solidFill>
          </w14:textFill>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3.4</w:t>
      </w:r>
      <w:r>
        <w:rPr>
          <w:rFonts w:hint="eastAsia" w:hAnsi="宋体" w:cs="宋体"/>
          <w:snapToGrid w:val="0"/>
          <w:color w:val="000000" w:themeColor="text1"/>
          <w:kern w:val="0"/>
          <w:highlight w:val="none"/>
          <w14:textFill>
            <w14:solidFill>
              <w14:schemeClr w14:val="tx1"/>
            </w14:solidFill>
          </w14:textFill>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highlight w:val="none"/>
          <w14:textFill>
            <w14:solidFill>
              <w14:schemeClr w14:val="tx1"/>
            </w14:solidFill>
          </w14:textFill>
        </w:rPr>
      </w:pPr>
      <w:bookmarkStart w:id="21" w:name="_Toc22267"/>
      <w:r>
        <w:rPr>
          <w:rFonts w:hint="eastAsia" w:hAnsi="宋体" w:cs="宋体"/>
          <w:b/>
          <w:bCs/>
          <w:snapToGrid w:val="0"/>
          <w:color w:val="000000" w:themeColor="text1"/>
          <w:kern w:val="0"/>
          <w:highlight w:val="none"/>
          <w14:textFill>
            <w14:solidFill>
              <w14:schemeClr w14:val="tx1"/>
            </w14:solidFill>
          </w14:textFill>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hAnsi="宋体" w:eastAsia="宋体" w:cs="宋体"/>
          <w:snapToGrid w:val="0"/>
          <w:color w:val="000000" w:themeColor="text1"/>
          <w:kern w:val="0"/>
          <w:highlight w:val="none"/>
          <w:lang w:eastAsia="zh-CN"/>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4.1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snapToGrid w:val="0"/>
          <w:color w:val="000000" w:themeColor="text1"/>
          <w:kern w:val="0"/>
          <w:highlight w:val="none"/>
          <w:lang w:eastAsia="zh-CN"/>
          <w14:textFill>
            <w14:solidFill>
              <w14:schemeClr w14:val="tx1"/>
            </w14:solidFill>
          </w14:textFill>
        </w:rPr>
        <w:t>监理服务期从监理合同签订之日起计，至本工程缺陷责任保修期结束且本工程结算金额经政府主管部门审定且双方的责任义务履行完毕时止。</w:t>
      </w:r>
    </w:p>
    <w:p w14:paraId="4006A3C3">
      <w:pPr>
        <w:pStyle w:val="3"/>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22" w:name="_Toc21232"/>
      <w:bookmarkStart w:id="23" w:name="_Toc10746"/>
      <w:r>
        <w:rPr>
          <w:rFonts w:hint="eastAsia" w:hAnsi="宋体" w:cs="宋体"/>
          <w:b/>
          <w:snapToGrid w:val="0"/>
          <w:color w:val="000000" w:themeColor="text1"/>
          <w:highlight w:val="none"/>
          <w14:textFill>
            <w14:solidFill>
              <w14:schemeClr w14:val="tx1"/>
            </w14:solidFill>
          </w14:textFill>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color w:val="000000" w:themeColor="text1"/>
          <w:szCs w:val="24"/>
          <w:highlight w:val="none"/>
          <w14:textFill>
            <w14:solidFill>
              <w14:schemeClr w14:val="tx1"/>
            </w14:solidFill>
          </w14:textFill>
        </w:rPr>
        <w:t>工程质量达到合格标准。</w:t>
      </w:r>
      <w:r>
        <w:rPr>
          <w:rFonts w:hint="eastAsia" w:hAnsi="宋体" w:cs="宋体"/>
          <w:snapToGrid w:val="0"/>
          <w:color w:val="000000" w:themeColor="text1"/>
          <w:kern w:val="0"/>
          <w:highlight w:val="none"/>
          <w14:textFill>
            <w14:solidFill>
              <w14:schemeClr w14:val="tx1"/>
            </w14:solidFill>
          </w14:textFill>
        </w:rPr>
        <w:t xml:space="preserve"> </w:t>
      </w:r>
    </w:p>
    <w:p w14:paraId="4CCCF34C">
      <w:pPr>
        <w:pStyle w:val="3"/>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24" w:name="_Toc21795"/>
      <w:bookmarkStart w:id="25" w:name="_Toc32757"/>
      <w:r>
        <w:rPr>
          <w:rFonts w:hint="eastAsia" w:hAnsi="宋体" w:cs="宋体"/>
          <w:b/>
          <w:snapToGrid w:val="0"/>
          <w:color w:val="000000" w:themeColor="text1"/>
          <w:highlight w:val="none"/>
          <w14:textFill>
            <w14:solidFill>
              <w14:schemeClr w14:val="tx1"/>
            </w14:solidFill>
          </w14:textFill>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6.1</w:t>
      </w:r>
      <w:r>
        <w:rPr>
          <w:rFonts w:hint="eastAsia" w:hAnsi="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6.2</w:t>
      </w:r>
      <w:r>
        <w:rPr>
          <w:rFonts w:hint="eastAsia" w:hAnsi="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6.3</w:t>
      </w:r>
      <w:r>
        <w:rPr>
          <w:rFonts w:hint="eastAsia" w:hAnsi="宋体" w:cs="宋体"/>
          <w:snapToGrid w:val="0"/>
          <w:color w:val="000000" w:themeColor="text1"/>
          <w:kern w:val="0"/>
          <w:highlight w:val="none"/>
          <w14:textFill>
            <w14:solidFill>
              <w14:schemeClr w14:val="tx1"/>
            </w14:solidFill>
          </w14:textFill>
        </w:rPr>
        <w:t xml:space="preserve"> 现场踏勘期间的交通、食宿由投标人自行安排，费用自理。</w:t>
      </w:r>
    </w:p>
    <w:p w14:paraId="7ACE9C36">
      <w:pPr>
        <w:pStyle w:val="3"/>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26" w:name="_Toc15426"/>
      <w:bookmarkStart w:id="27" w:name="_Toc8198"/>
      <w:r>
        <w:rPr>
          <w:rFonts w:hint="eastAsia" w:hAnsi="宋体" w:cs="宋体"/>
          <w:b/>
          <w:snapToGrid w:val="0"/>
          <w:color w:val="000000" w:themeColor="text1"/>
          <w:highlight w:val="none"/>
          <w14:textFill>
            <w14:solidFill>
              <w14:schemeClr w14:val="tx1"/>
            </w14:solidFill>
          </w14:textFill>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lang w:bidi="ar"/>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7.1</w:t>
      </w:r>
      <w:r>
        <w:rPr>
          <w:rFonts w:hint="eastAsia" w:hAnsi="宋体" w:cs="宋体"/>
          <w:snapToGrid w:val="0"/>
          <w:color w:val="000000" w:themeColor="text1"/>
          <w:kern w:val="0"/>
          <w:highlight w:val="none"/>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highlight w:val="none"/>
          <w:lang w:bidi="ar"/>
          <w14:textFill>
            <w14:solidFill>
              <w14:schemeClr w14:val="tx1"/>
            </w14:solidFill>
          </w14:textFill>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7.2 </w:t>
      </w:r>
      <w:r>
        <w:rPr>
          <w:rFonts w:hint="eastAsia" w:hAnsi="宋体" w:cs="宋体"/>
          <w:snapToGrid w:val="0"/>
          <w:color w:val="000000" w:themeColor="text1"/>
          <w:kern w:val="0"/>
          <w:highlight w:val="none"/>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7.3</w:t>
      </w:r>
      <w:r>
        <w:rPr>
          <w:rFonts w:hint="eastAsia" w:hAnsi="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3906303B">
      <w:pPr>
        <w:pStyle w:val="3"/>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29" w:name="_Hlt92513711"/>
      <w:bookmarkEnd w:id="29"/>
      <w:bookmarkStart w:id="30" w:name="_Hlt69699188"/>
      <w:bookmarkEnd w:id="30"/>
      <w:bookmarkStart w:id="31" w:name="_Hlt92513715"/>
      <w:bookmarkEnd w:id="31"/>
      <w:bookmarkStart w:id="32" w:name="_Toc23036"/>
      <w:bookmarkStart w:id="33" w:name="_Toc3570"/>
      <w:r>
        <w:rPr>
          <w:rFonts w:hint="eastAsia" w:hAnsi="宋体" w:cs="宋体"/>
          <w:b/>
          <w:snapToGrid w:val="0"/>
          <w:color w:val="000000" w:themeColor="text1"/>
          <w:highlight w:val="none"/>
          <w14:textFill>
            <w14:solidFill>
              <w14:schemeClr w14:val="tx1"/>
            </w14:solidFill>
          </w14:textFill>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8.1</w:t>
      </w:r>
      <w:r>
        <w:rPr>
          <w:rFonts w:hint="eastAsia" w:hAnsi="宋体" w:cs="宋体"/>
          <w:snapToGrid w:val="0"/>
          <w:color w:val="000000" w:themeColor="text1"/>
          <w:kern w:val="0"/>
          <w:highlight w:val="none"/>
          <w14:textFill>
            <w14:solidFill>
              <w14:schemeClr w14:val="tx1"/>
            </w14:solidFill>
          </w14:textFill>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（1）项目</w:t>
      </w:r>
      <w:r>
        <w:rPr>
          <w:rFonts w:hint="eastAsia" w:ascii="Times New Roman"/>
          <w:snapToGrid w:val="0"/>
          <w:color w:val="000000" w:themeColor="text1"/>
          <w:kern w:val="0"/>
          <w:highlight w:val="none"/>
          <w14:textFill>
            <w14:solidFill>
              <w14:schemeClr w14:val="tx1"/>
            </w14:solidFill>
          </w14:textFill>
        </w:rPr>
        <w:t>概算</w:t>
      </w:r>
      <w:r>
        <w:rPr>
          <w:rFonts w:hint="eastAsia" w:hAnsi="宋体" w:cs="宋体"/>
          <w:snapToGrid w:val="0"/>
          <w:color w:val="000000" w:themeColor="text1"/>
          <w:kern w:val="0"/>
          <w:highlight w:val="none"/>
          <w14:textFill>
            <w14:solidFill>
              <w14:schemeClr w14:val="tx1"/>
            </w14:solidFill>
          </w14:textFill>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（5）项目所在地市场价格。</w:t>
      </w:r>
    </w:p>
    <w:p w14:paraId="729BA8FC">
      <w:pPr>
        <w:pStyle w:val="39"/>
        <w:keepNext w:val="0"/>
        <w:keepLines w:val="0"/>
        <w:pageBreakBefore w:val="0"/>
        <w:topLinePunct w:val="0"/>
        <w:bidi w:val="0"/>
        <w:spacing w:line="500" w:lineRule="exact"/>
        <w:jc w:val="left"/>
        <w:textAlignment w:val="auto"/>
        <w:rPr>
          <w:rFonts w:hint="eastAsia" w:ascii="宋体" w:hAnsi="宋体" w:eastAsia="宋体" w:cs="宋体"/>
          <w:b w:val="0"/>
          <w:bCs/>
          <w:color w:val="000000" w:themeColor="text1"/>
          <w:sz w:val="24"/>
          <w:highlight w:val="none"/>
          <w:u w:val="none"/>
          <w14:textFill>
            <w14:solidFill>
              <w14:schemeClr w14:val="tx1"/>
            </w14:solidFill>
          </w14:textFill>
        </w:rPr>
      </w:pPr>
      <w:r>
        <w:rPr>
          <w:rFonts w:hint="eastAsia" w:ascii="宋体" w:hAnsi="宋体" w:cs="宋体"/>
          <w:bCs/>
          <w:snapToGrid w:val="0"/>
          <w:color w:val="000000" w:themeColor="text1"/>
          <w:kern w:val="0"/>
          <w:sz w:val="24"/>
          <w:highlight w:val="none"/>
          <w14:textFill>
            <w14:solidFill>
              <w14:schemeClr w14:val="tx1"/>
            </w14:solidFill>
          </w14:textFill>
        </w:rPr>
        <w:t xml:space="preserve">   8.2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b w:val="0"/>
          <w:bCs/>
          <w:snapToGrid w:val="0"/>
          <w:color w:val="000000" w:themeColor="text1"/>
          <w:kern w:val="0"/>
          <w:sz w:val="24"/>
          <w:highlight w:val="none"/>
          <w14:textFill>
            <w14:solidFill>
              <w14:schemeClr w14:val="tx1"/>
            </w14:solidFill>
          </w14:textFill>
        </w:rPr>
        <w:t>本次招标最高投标限价为人民币（大写）：</w:t>
      </w:r>
      <w:r>
        <w:rPr>
          <w:rFonts w:hint="eastAsia" w:hAnsi="宋体" w:cs="宋体"/>
          <w:b w:val="0"/>
          <w:bCs/>
          <w:snapToGrid w:val="0"/>
          <w:color w:val="000000" w:themeColor="text1"/>
          <w:kern w:val="0"/>
          <w:sz w:val="24"/>
          <w:highlight w:val="none"/>
          <w:u w:val="none"/>
          <w:lang w:val="en-US" w:eastAsia="zh-CN"/>
          <w14:textFill>
            <w14:solidFill>
              <w14:schemeClr w14:val="tx1"/>
            </w14:solidFill>
          </w14:textFill>
        </w:rPr>
        <w:t>叁拾玖万肆仟肆佰元整（小写：</w:t>
      </w:r>
      <w:r>
        <w:rPr>
          <w:rFonts w:hint="eastAsia" w:ascii="宋体" w:hAnsi="宋体" w:eastAsia="宋体" w:cs="宋体"/>
          <w:b w:val="0"/>
          <w:bCs/>
          <w:snapToGrid w:val="0"/>
          <w:color w:val="000000" w:themeColor="text1"/>
          <w:kern w:val="0"/>
          <w:sz w:val="24"/>
          <w:highlight w:val="none"/>
          <w:u w:val="none"/>
          <w:lang w:val="en-US" w:eastAsia="zh-CN"/>
          <w14:textFill>
            <w14:solidFill>
              <w14:schemeClr w14:val="tx1"/>
            </w14:solidFill>
          </w14:textFill>
        </w:rPr>
        <w:t>￥</w:t>
      </w:r>
      <w:r>
        <w:rPr>
          <w:rFonts w:hint="eastAsia" w:ascii="宋体" w:hAnsi="宋体" w:cs="宋体"/>
          <w:b w:val="0"/>
          <w:bCs/>
          <w:snapToGrid w:val="0"/>
          <w:color w:val="000000" w:themeColor="text1"/>
          <w:kern w:val="0"/>
          <w:sz w:val="24"/>
          <w:highlight w:val="none"/>
          <w:u w:val="none"/>
          <w:lang w:val="en-US" w:eastAsia="zh-CN"/>
          <w14:textFill>
            <w14:solidFill>
              <w14:schemeClr w14:val="tx1"/>
            </w14:solidFill>
          </w14:textFill>
        </w:rPr>
        <w:t>394400</w:t>
      </w:r>
      <w:r>
        <w:rPr>
          <w:rFonts w:hint="eastAsia" w:ascii="宋体" w:hAnsi="宋体" w:eastAsia="宋体" w:cs="宋体"/>
          <w:b w:val="0"/>
          <w:bCs/>
          <w:snapToGrid w:val="0"/>
          <w:color w:val="000000" w:themeColor="text1"/>
          <w:kern w:val="0"/>
          <w:sz w:val="24"/>
          <w:highlight w:val="none"/>
          <w:u w:val="none"/>
          <w:lang w:val="en-US" w:eastAsia="zh-CN"/>
          <w14:textFill>
            <w14:solidFill>
              <w14:schemeClr w14:val="tx1"/>
            </w14:solidFill>
          </w14:textFill>
        </w:rPr>
        <w:t>.00元）</w:t>
      </w:r>
      <w:r>
        <w:rPr>
          <w:rFonts w:hint="eastAsia" w:ascii="宋体" w:hAnsi="宋体" w:eastAsia="宋体" w:cs="宋体"/>
          <w:b w:val="0"/>
          <w:bCs/>
          <w:snapToGrid w:val="0"/>
          <w:color w:val="000000" w:themeColor="text1"/>
          <w:kern w:val="0"/>
          <w:sz w:val="24"/>
          <w:highlight w:val="none"/>
          <w:u w:val="none"/>
          <w:lang w:eastAsia="zh-CN"/>
          <w14:textFill>
            <w14:solidFill>
              <w14:schemeClr w14:val="tx1"/>
            </w14:solidFill>
          </w14:textFill>
        </w:rPr>
        <w:t>，监理服务费投标取费费率上限为</w:t>
      </w:r>
      <w:r>
        <w:rPr>
          <w:rFonts w:hint="eastAsia" w:ascii="宋体" w:hAnsi="宋体" w:cs="宋体"/>
          <w:b w:val="0"/>
          <w:bCs/>
          <w:snapToGrid w:val="0"/>
          <w:color w:val="000000" w:themeColor="text1"/>
          <w:kern w:val="0"/>
          <w:sz w:val="24"/>
          <w:highlight w:val="none"/>
          <w:u w:val="none"/>
          <w:lang w:val="en-US" w:eastAsia="zh-CN"/>
          <w14:textFill>
            <w14:solidFill>
              <w14:schemeClr w14:val="tx1"/>
            </w14:solidFill>
          </w14:textFill>
        </w:rPr>
        <w:t>2.169</w:t>
      </w:r>
      <w:r>
        <w:rPr>
          <w:rFonts w:hint="eastAsia" w:ascii="宋体" w:hAnsi="宋体" w:eastAsia="宋体" w:cs="宋体"/>
          <w:b w:val="0"/>
          <w:bCs/>
          <w:snapToGrid w:val="0"/>
          <w:color w:val="000000" w:themeColor="text1"/>
          <w:kern w:val="0"/>
          <w:sz w:val="24"/>
          <w:highlight w:val="none"/>
          <w:u w:val="none"/>
          <w:lang w:eastAsia="zh-CN"/>
          <w14:textFill>
            <w14:solidFill>
              <w14:schemeClr w14:val="tx1"/>
            </w14:solidFill>
          </w14:textFill>
        </w:rPr>
        <w:t>%</w:t>
      </w:r>
      <w:r>
        <w:rPr>
          <w:rFonts w:hint="eastAsia" w:ascii="宋体" w:hAnsi="宋体" w:eastAsia="宋体" w:cs="宋体"/>
          <w:b w:val="0"/>
          <w:bCs/>
          <w:snapToGrid w:val="0"/>
          <w:color w:val="000000" w:themeColor="text1"/>
          <w:kern w:val="0"/>
          <w:sz w:val="24"/>
          <w:highlight w:val="none"/>
          <w:u w:val="none"/>
          <w14:textFill>
            <w14:solidFill>
              <w14:schemeClr w14:val="tx1"/>
            </w14:solidFill>
          </w14:textFill>
        </w:rPr>
        <w:t>。</w:t>
      </w:r>
    </w:p>
    <w:p w14:paraId="08F85732">
      <w:pPr>
        <w:pStyle w:val="3"/>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4" w:name="_Toc7437"/>
      <w:bookmarkStart w:id="35" w:name="_Toc21289"/>
      <w:r>
        <w:rPr>
          <w:rFonts w:hint="eastAsia" w:hAnsi="宋体" w:cs="宋体"/>
          <w:b/>
          <w:snapToGrid w:val="0"/>
          <w:color w:val="000000" w:themeColor="text1"/>
          <w:highlight w:val="none"/>
          <w14:textFill>
            <w14:solidFill>
              <w14:schemeClr w14:val="tx1"/>
            </w14:solidFill>
          </w14:textFill>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9.1</w:t>
      </w:r>
      <w:r>
        <w:rPr>
          <w:rFonts w:hint="eastAsia" w:hAnsi="宋体" w:cs="宋体"/>
          <w:snapToGrid w:val="0"/>
          <w:color w:val="000000" w:themeColor="text1"/>
          <w:kern w:val="0"/>
          <w:highlight w:val="none"/>
          <w14:textFill>
            <w14:solidFill>
              <w14:schemeClr w14:val="tx1"/>
            </w14:solidFill>
          </w14:textFill>
        </w:rPr>
        <w:t xml:space="preserve"> 本次招标采用填报</w:t>
      </w:r>
      <w:r>
        <w:rPr>
          <w:rFonts w:hint="eastAsia" w:hAnsi="宋体" w:cs="宋体"/>
          <w:snapToGrid w:val="0"/>
          <w:color w:val="000000" w:themeColor="text1"/>
          <w:kern w:val="0"/>
          <w:highlight w:val="none"/>
          <w:u w:val="single"/>
          <w14:textFill>
            <w14:solidFill>
              <w14:schemeClr w14:val="tx1"/>
            </w14:solidFill>
          </w14:textFill>
        </w:rPr>
        <w:t xml:space="preserve"> 投标报价及取费费率 </w:t>
      </w:r>
      <w:r>
        <w:rPr>
          <w:rFonts w:hint="eastAsia" w:hAnsi="宋体" w:cs="宋体"/>
          <w:snapToGrid w:val="0"/>
          <w:color w:val="000000" w:themeColor="text1"/>
          <w:kern w:val="0"/>
          <w:highlight w:val="none"/>
          <w14:textFill>
            <w14:solidFill>
              <w14:schemeClr w14:val="tx1"/>
            </w14:solidFill>
          </w14:textFill>
        </w:rPr>
        <w:t>的方式进行报价。投标人应在《投标函》（格式二）中进行报价。</w:t>
      </w:r>
    </w:p>
    <w:p w14:paraId="13E29C9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9.2</w:t>
      </w:r>
      <w:r>
        <w:rPr>
          <w:rFonts w:hint="eastAsia" w:hAnsi="宋体" w:cs="宋体"/>
          <w:snapToGrid w:val="0"/>
          <w:color w:val="000000" w:themeColor="text1"/>
          <w:kern w:val="0"/>
          <w:highlight w:val="none"/>
          <w14:textFill>
            <w14:solidFill>
              <w14:schemeClr w14:val="tx1"/>
            </w14:solidFill>
          </w14:textFill>
        </w:rPr>
        <w:t xml:space="preserve"> 所有报价均以人民币“元”为单位，并保留两位小数。投标取费费率=投标总价÷建安工程费暂定价×100%，并保留</w:t>
      </w:r>
      <w:r>
        <w:rPr>
          <w:rFonts w:hint="eastAsia" w:hAnsi="宋体" w:cs="宋体"/>
          <w:snapToGrid w:val="0"/>
          <w:color w:val="000000" w:themeColor="text1"/>
          <w:kern w:val="0"/>
          <w:highlight w:val="none"/>
          <w:lang w:val="en-US" w:eastAsia="zh-CN"/>
          <w14:textFill>
            <w14:solidFill>
              <w14:schemeClr w14:val="tx1"/>
            </w14:solidFill>
          </w14:textFill>
        </w:rPr>
        <w:t>三</w:t>
      </w:r>
      <w:r>
        <w:rPr>
          <w:rFonts w:hint="eastAsia" w:hAnsi="宋体" w:cs="宋体"/>
          <w:snapToGrid w:val="0"/>
          <w:color w:val="000000" w:themeColor="text1"/>
          <w:kern w:val="0"/>
          <w:highlight w:val="none"/>
          <w14:textFill>
            <w14:solidFill>
              <w14:schemeClr w14:val="tx1"/>
            </w14:solidFill>
          </w14:textFill>
        </w:rPr>
        <w:t>位小数。</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val="0"/>
          <w:bCs w:val="0"/>
          <w:snapToGrid w:val="0"/>
          <w:color w:val="000000" w:themeColor="text1"/>
          <w:kern w:val="0"/>
          <w:highlight w:val="none"/>
          <w14:textFill>
            <w14:solidFill>
              <w14:schemeClr w14:val="tx1"/>
            </w14:solidFill>
          </w14:textFill>
        </w:rPr>
        <w:t>本项目的建安工程费暂定价为人民币</w:t>
      </w:r>
      <w:r>
        <w:rPr>
          <w:rFonts w:hint="eastAsia" w:hAnsi="宋体" w:cs="宋体"/>
          <w:b w:val="0"/>
          <w:bCs w:val="0"/>
          <w:snapToGrid w:val="0"/>
          <w:color w:val="000000" w:themeColor="text1"/>
          <w:kern w:val="0"/>
          <w:highlight w:val="none"/>
          <w:lang w:val="en-US" w:eastAsia="zh-CN"/>
          <w14:textFill>
            <w14:solidFill>
              <w14:schemeClr w14:val="tx1"/>
            </w14:solidFill>
          </w14:textFill>
        </w:rPr>
        <w:t>1817.94</w:t>
      </w:r>
      <w:r>
        <w:rPr>
          <w:rFonts w:hint="eastAsia" w:hAnsi="宋体" w:cs="宋体"/>
          <w:b w:val="0"/>
          <w:bCs w:val="0"/>
          <w:snapToGrid w:val="0"/>
          <w:color w:val="000000" w:themeColor="text1"/>
          <w:kern w:val="0"/>
          <w:highlight w:val="none"/>
          <w14:textFill>
            <w14:solidFill>
              <w14:schemeClr w14:val="tx1"/>
            </w14:solidFill>
          </w14:textFill>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9.3 </w:t>
      </w:r>
      <w:r>
        <w:rPr>
          <w:rFonts w:hint="eastAsia" w:hAnsi="宋体" w:cs="宋体"/>
          <w:b w:val="0"/>
          <w:bCs w:val="0"/>
          <w:snapToGrid w:val="0"/>
          <w:color w:val="000000" w:themeColor="text1"/>
          <w:kern w:val="0"/>
          <w:highlight w:val="none"/>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9.4</w:t>
      </w:r>
      <w:r>
        <w:rPr>
          <w:rFonts w:hint="eastAsia" w:hAnsi="宋体" w:cs="宋体"/>
          <w:snapToGrid w:val="0"/>
          <w:color w:val="000000" w:themeColor="text1"/>
          <w:kern w:val="0"/>
          <w:szCs w:val="24"/>
          <w:highlight w:val="none"/>
          <w:lang w:val="en-US" w:eastAsia="zh-CN"/>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5 </w:t>
      </w:r>
      <w:r>
        <w:rPr>
          <w:rFonts w:hint="eastAsia" w:hAnsi="宋体" w:cs="宋体"/>
          <w:snapToGrid w:val="0"/>
          <w:color w:val="000000" w:themeColor="text1"/>
          <w:kern w:val="0"/>
          <w:szCs w:val="24"/>
          <w:highlight w:val="none"/>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highlight w:val="none"/>
          <w:u w:val="single"/>
          <w14:textFill>
            <w14:solidFill>
              <w14:schemeClr w14:val="tx1"/>
            </w14:solidFill>
          </w14:textFill>
        </w:rPr>
        <w:t xml:space="preserve"> 一般 </w:t>
      </w:r>
      <w:r>
        <w:rPr>
          <w:rFonts w:hint="eastAsia" w:hAnsi="宋体" w:cs="宋体"/>
          <w:snapToGrid w:val="0"/>
          <w:color w:val="000000" w:themeColor="text1"/>
          <w:kern w:val="0"/>
          <w:szCs w:val="24"/>
          <w:highlight w:val="none"/>
          <w14:textFill>
            <w14:solidFill>
              <w14:schemeClr w14:val="tx1"/>
            </w14:solidFill>
          </w14:textFill>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6 </w:t>
      </w:r>
      <w:r>
        <w:rPr>
          <w:rFonts w:hint="eastAsia" w:ascii="Times New Roman"/>
          <w:snapToGrid w:val="0"/>
          <w:color w:val="000000" w:themeColor="text1"/>
          <w:kern w:val="0"/>
          <w:highlight w:val="none"/>
          <w14:textFill>
            <w14:solidFill>
              <w14:schemeClr w14:val="tx1"/>
            </w14:solidFill>
          </w14:textFill>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w:t>
      </w:r>
      <w:r>
        <w:rPr>
          <w:rFonts w:hint="eastAsia" w:hAnsi="宋体" w:cs="宋体"/>
          <w:b/>
          <w:bCs/>
          <w:snapToGrid w:val="0"/>
          <w:color w:val="000000" w:themeColor="text1"/>
          <w:kern w:val="0"/>
          <w:szCs w:val="24"/>
          <w:highlight w:val="none"/>
          <w:lang w:val="en-US" w:eastAsia="zh-CN"/>
          <w14:textFill>
            <w14:solidFill>
              <w14:schemeClr w14:val="tx1"/>
            </w14:solidFill>
          </w14:textFill>
        </w:rPr>
        <w:t xml:space="preserve">7 </w:t>
      </w:r>
      <w:r>
        <w:rPr>
          <w:rFonts w:hint="eastAsia" w:hAnsi="宋体" w:cs="宋体"/>
          <w:snapToGrid w:val="0"/>
          <w:color w:val="000000" w:themeColor="text1"/>
          <w:kern w:val="0"/>
          <w:szCs w:val="24"/>
          <w:highlight w:val="none"/>
          <w14:textFill>
            <w14:solidFill>
              <w14:schemeClr w14:val="tx1"/>
            </w14:solidFill>
          </w14:textFill>
        </w:rPr>
        <w:t>投标人应充分了解招标项目的总体情况以及影响投标报价的其他要素。</w:t>
      </w:r>
      <w:bookmarkStart w:id="37" w:name="_（十）投标文件的编制、包装、密封"/>
      <w:bookmarkEnd w:id="37"/>
    </w:p>
    <w:p w14:paraId="182D9B17">
      <w:pPr>
        <w:pStyle w:val="3"/>
        <w:keepNext w:val="0"/>
        <w:keepLines w:val="0"/>
        <w:pageBreakBefore w:val="0"/>
        <w:wordWrap w:val="0"/>
        <w:topLinePunct w:val="0"/>
        <w:autoSpaceDE/>
        <w:autoSpaceDN/>
        <w:bidi w:val="0"/>
        <w:snapToGrid w:val="0"/>
        <w:spacing w:line="500" w:lineRule="exact"/>
        <w:ind w:firstLine="480"/>
        <w:jc w:val="both"/>
        <w:textAlignment w:val="auto"/>
        <w:rPr>
          <w:rFonts w:hAnsi="宋体" w:cs="宋体"/>
          <w:b/>
          <w:strike/>
          <w:snapToGrid w:val="0"/>
          <w:color w:val="000000" w:themeColor="text1"/>
          <w:szCs w:val="24"/>
          <w:highlight w:val="none"/>
          <w14:textFill>
            <w14:solidFill>
              <w14:schemeClr w14:val="tx1"/>
            </w14:solidFill>
          </w14:textFill>
        </w:rPr>
      </w:pPr>
      <w:bookmarkStart w:id="38" w:name="_Toc9820"/>
      <w:bookmarkStart w:id="39" w:name="_Toc684"/>
      <w:r>
        <w:rPr>
          <w:rFonts w:hint="eastAsia" w:hAnsi="宋体" w:cs="宋体"/>
          <w:b/>
          <w:snapToGrid w:val="0"/>
          <w:color w:val="000000" w:themeColor="text1"/>
          <w:szCs w:val="24"/>
          <w:highlight w:val="none"/>
          <w14:textFill>
            <w14:solidFill>
              <w14:schemeClr w14:val="tx1"/>
            </w14:solidFill>
          </w14:textFill>
        </w:rPr>
        <w:t>10．投标文件的编制</w:t>
      </w:r>
      <w:bookmarkStart w:id="40" w:name="_Hlt69332370"/>
      <w:bookmarkEnd w:id="40"/>
      <w:bookmarkStart w:id="41" w:name="_Hlt69208262"/>
      <w:bookmarkEnd w:id="41"/>
      <w:r>
        <w:rPr>
          <w:rFonts w:hint="eastAsia" w:hAnsi="宋体" w:cs="宋体"/>
          <w:b/>
          <w:snapToGrid w:val="0"/>
          <w:color w:val="000000" w:themeColor="text1"/>
          <w:szCs w:val="24"/>
          <w:highlight w:val="none"/>
          <w14:textFill>
            <w14:solidFill>
              <w14:schemeClr w14:val="tx1"/>
            </w14:solidFill>
          </w14:textFill>
        </w:rPr>
        <w:t>要求</w:t>
      </w:r>
      <w:bookmarkEnd w:id="38"/>
      <w:bookmarkEnd w:id="39"/>
      <w:bookmarkStart w:id="42" w:name="_Hlt78768224"/>
      <w:bookmarkEnd w:id="42"/>
      <w:bookmarkStart w:id="43" w:name="_Hlt74497202"/>
      <w:bookmarkEnd w:id="43"/>
      <w:bookmarkStart w:id="44" w:name="_Hlt7449559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w:t>
      </w:r>
      <w:r>
        <w:rPr>
          <w:rFonts w:hint="eastAsia" w:hAnsi="宋体" w:cs="宋体"/>
          <w:bCs/>
          <w:snapToGrid w:val="0"/>
          <w:color w:val="000000" w:themeColor="text1"/>
          <w:kern w:val="0"/>
          <w:szCs w:val="24"/>
          <w:highlight w:val="none"/>
          <w14:textFill>
            <w14:solidFill>
              <w14:schemeClr w14:val="tx1"/>
            </w14:solidFill>
          </w14:textFill>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bookmarkStart w:id="45" w:name="_Hlt74496890"/>
      <w:bookmarkEnd w:id="45"/>
      <w:r>
        <w:rPr>
          <w:rFonts w:hint="eastAsia" w:hAnsi="宋体" w:cs="宋体"/>
          <w:snapToGrid w:val="0"/>
          <w:color w:val="000000" w:themeColor="text1"/>
          <w:kern w:val="0"/>
          <w:szCs w:val="24"/>
          <w:highlight w:val="none"/>
          <w14:textFill>
            <w14:solidFill>
              <w14:schemeClr w14:val="tx1"/>
            </w14:solidFill>
          </w14:textFill>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10.1.1</w:t>
      </w:r>
      <w:r>
        <w:rPr>
          <w:rFonts w:hint="eastAsia" w:hAnsi="宋体" w:cs="宋体"/>
          <w:snapToGrid w:val="0"/>
          <w:color w:val="000000" w:themeColor="text1"/>
          <w:kern w:val="0"/>
          <w:szCs w:val="24"/>
          <w:highlight w:val="none"/>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10.1.2</w:t>
      </w:r>
      <w:r>
        <w:rPr>
          <w:rFonts w:hint="eastAsia" w:hAnsi="宋体" w:cs="宋体"/>
          <w:snapToGrid w:val="0"/>
          <w:color w:val="000000" w:themeColor="text1"/>
          <w:kern w:val="0"/>
          <w:szCs w:val="24"/>
          <w:highlight w:val="none"/>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w:t>
      </w:r>
      <w:r>
        <w:rPr>
          <w:rFonts w:hint="eastAsia" w:hAnsi="宋体" w:cs="宋体"/>
          <w:snapToGrid w:val="0"/>
          <w:color w:val="000000" w:themeColor="text1"/>
          <w:kern w:val="0"/>
          <w:szCs w:val="24"/>
          <w:highlight w:val="none"/>
          <w14:textFill>
            <w14:solidFill>
              <w14:schemeClr w14:val="tx1"/>
            </w14:solidFill>
          </w14:textFill>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10.1.3.1</w:t>
      </w:r>
      <w:r>
        <w:rPr>
          <w:rFonts w:hint="eastAsia" w:hAnsi="宋体" w:cs="宋体"/>
          <w:snapToGrid w:val="0"/>
          <w:color w:val="000000" w:themeColor="text1"/>
          <w:kern w:val="0"/>
          <w:szCs w:val="24"/>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10.1.3.2</w:t>
      </w:r>
      <w:r>
        <w:rPr>
          <w:rFonts w:hint="eastAsia" w:hAnsi="宋体" w:cs="宋体"/>
          <w:snapToGrid w:val="0"/>
          <w:color w:val="000000" w:themeColor="text1"/>
          <w:kern w:val="0"/>
          <w:szCs w:val="24"/>
          <w:highlight w:val="none"/>
          <w14:textFill>
            <w14:solidFill>
              <w14:schemeClr w14:val="tx1"/>
            </w14:solidFill>
          </w14:textFill>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10.1.3.3</w:t>
      </w:r>
      <w:r>
        <w:rPr>
          <w:rFonts w:hint="eastAsia" w:hAnsi="宋体" w:cs="宋体"/>
          <w:snapToGrid w:val="0"/>
          <w:color w:val="000000" w:themeColor="text1"/>
          <w:kern w:val="0"/>
          <w:szCs w:val="24"/>
          <w:highlight w:val="none"/>
          <w14:textFill>
            <w14:solidFill>
              <w14:schemeClr w14:val="tx1"/>
            </w14:solidFill>
          </w14:textFill>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kern w:val="0"/>
          <w:szCs w:val="24"/>
          <w:highlight w:val="none"/>
          <w14:textFill>
            <w14:solidFill>
              <w14:schemeClr w14:val="tx1"/>
            </w14:solidFill>
          </w14:textFill>
        </w:rPr>
      </w:pPr>
      <w:bookmarkStart w:id="46" w:name="_Toc274313880"/>
      <w:bookmarkStart w:id="47" w:name="_Toc257031159"/>
      <w:r>
        <w:rPr>
          <w:rFonts w:hint="eastAsia" w:hAnsi="宋体" w:cs="宋体"/>
          <w:b/>
          <w:bCs/>
          <w:snapToGrid w:val="0"/>
          <w:color w:val="000000" w:themeColor="text1"/>
          <w:kern w:val="0"/>
          <w:szCs w:val="24"/>
          <w:highlight w:val="none"/>
          <w14:textFill>
            <w14:solidFill>
              <w14:schemeClr w14:val="tx1"/>
            </w14:solidFill>
          </w14:textFill>
        </w:rPr>
        <w:t>10.2</w:t>
      </w:r>
      <w:r>
        <w:rPr>
          <w:rFonts w:hint="eastAsia" w:hAnsi="宋体" w:cs="宋体"/>
          <w:bCs/>
          <w:snapToGrid w:val="0"/>
          <w:color w:val="000000" w:themeColor="text1"/>
          <w:kern w:val="0"/>
          <w:szCs w:val="24"/>
          <w:highlight w:val="none"/>
          <w14:textFill>
            <w14:solidFill>
              <w14:schemeClr w14:val="tx1"/>
            </w14:solidFill>
          </w14:textFill>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000000" w:themeColor="text1"/>
          <w:kern w:val="0"/>
          <w:szCs w:val="24"/>
          <w:highlight w:val="none"/>
          <w:u w:val="singl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商务标书</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highlight w:val="none"/>
          <w14:textFill>
            <w14:solidFill>
              <w14:schemeClr w14:val="tx1"/>
            </w14:solidFill>
          </w14:textFill>
        </w:rPr>
        <w:t>15.5.1</w:t>
      </w:r>
      <w:r>
        <w:rPr>
          <w:rFonts w:hint="eastAsia" w:hAnsi="宋体" w:cs="宋体"/>
          <w:snapToGrid w:val="0"/>
          <w:color w:val="000000" w:themeColor="text1"/>
          <w:kern w:val="0"/>
          <w:szCs w:val="24"/>
          <w:highlight w:val="none"/>
          <w14:textFill>
            <w14:solidFill>
              <w14:schemeClr w14:val="tx1"/>
            </w14:solidFill>
          </w14:textFill>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10.2.2</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目中所列出的商务标书组成内容中，第（1）至第（13）项所有投标人均应提供。</w:t>
      </w:r>
      <w:r>
        <w:rPr>
          <w:rFonts w:hint="eastAsia" w:hAnsi="宋体" w:cs="宋体"/>
          <w:b/>
          <w:bCs/>
          <w:snapToGrid w:val="0"/>
          <w:color w:val="000000" w:themeColor="text1"/>
          <w:kern w:val="0"/>
          <w:szCs w:val="24"/>
          <w:highlight w:val="none"/>
          <w14:textFill>
            <w14:solidFill>
              <w14:schemeClr w14:val="tx1"/>
            </w14:solidFill>
          </w14:textFill>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10.2.3</w:t>
      </w:r>
      <w:r>
        <w:rPr>
          <w:rFonts w:hint="eastAsia" w:hAnsi="宋体" w:cs="宋体"/>
          <w:snapToGrid w:val="0"/>
          <w:color w:val="000000" w:themeColor="text1"/>
          <w:kern w:val="0"/>
          <w:szCs w:val="24"/>
          <w:highlight w:val="none"/>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w:t>
      </w:r>
      <w:r>
        <w:rPr>
          <w:rFonts w:hint="eastAsia" w:hAnsi="宋体" w:cs="宋体"/>
          <w:bCs/>
          <w:snapToGrid w:val="0"/>
          <w:color w:val="000000" w:themeColor="text1"/>
          <w:kern w:val="0"/>
          <w:szCs w:val="24"/>
          <w:highlight w:val="none"/>
          <w14:textFill>
            <w14:solidFill>
              <w14:schemeClr w14:val="tx1"/>
            </w14:solidFill>
          </w14:textFill>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10.3.1</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的编制依据包括且不限于</w:t>
      </w:r>
      <w:r>
        <w:rPr>
          <w:rFonts w:hint="eastAsia" w:hAnsi="宋体" w:cs="宋体"/>
          <w:bCs/>
          <w:snapToGrid w:val="0"/>
          <w:color w:val="000000" w:themeColor="text1"/>
          <w:kern w:val="0"/>
          <w:szCs w:val="24"/>
          <w:highlight w:val="none"/>
          <w14:textFill>
            <w14:solidFill>
              <w14:schemeClr w14:val="tx1"/>
            </w14:solidFill>
          </w14:textFill>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（1）招标文件及</w:t>
      </w:r>
      <w:r>
        <w:rPr>
          <w:rFonts w:hint="eastAsia" w:hAnsi="宋体" w:cs="宋体"/>
          <w:snapToGrid w:val="0"/>
          <w:color w:val="000000" w:themeColor="text1"/>
          <w:kern w:val="0"/>
          <w:szCs w:val="24"/>
          <w:highlight w:val="none"/>
          <w14:textFill>
            <w14:solidFill>
              <w14:schemeClr w14:val="tx1"/>
            </w14:solidFill>
          </w14:textFill>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10.3.2</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10.3.3</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目中所列出的</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10.3.4</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的组成内容按本节第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9A97868">
      <w:pPr>
        <w:pStyle w:val="3"/>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48" w:name="_Toc2864"/>
      <w:bookmarkStart w:id="49" w:name="_Toc3889"/>
      <w:r>
        <w:rPr>
          <w:rFonts w:hint="eastAsia" w:hAnsi="宋体" w:cs="宋体"/>
          <w:b/>
          <w:snapToGrid w:val="0"/>
          <w:color w:val="000000" w:themeColor="text1"/>
          <w:szCs w:val="24"/>
          <w:highlight w:val="none"/>
          <w14:textFill>
            <w14:solidFill>
              <w14:schemeClr w14:val="tx1"/>
            </w14:solidFill>
          </w14:textFill>
        </w:rPr>
        <w:t>11．</w:t>
      </w:r>
      <w:bookmarkEnd w:id="48"/>
      <w:r>
        <w:rPr>
          <w:rFonts w:hint="eastAsia" w:hAnsi="宋体" w:cs="宋体"/>
          <w:b/>
          <w:snapToGrid w:val="0"/>
          <w:color w:val="000000" w:themeColor="text1"/>
          <w:szCs w:val="24"/>
          <w:highlight w:val="none"/>
          <w14:textFill>
            <w14:solidFill>
              <w14:schemeClr w14:val="tx1"/>
            </w14:solidFill>
          </w14:textFill>
        </w:rPr>
        <w:t>电子投标</w:t>
      </w:r>
      <w:bookmarkEnd w:id="49"/>
    </w:p>
    <w:p w14:paraId="72F1BB7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000000" w:themeColor="text1"/>
          <w:kern w:val="0"/>
          <w:sz w:val="24"/>
          <w:highlight w:val="none"/>
          <w14:textFill>
            <w14:solidFill>
              <w14:schemeClr w14:val="tx1"/>
            </w14:solidFill>
          </w14:textFill>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11.2</w:t>
      </w:r>
      <w:r>
        <w:rPr>
          <w:rFonts w:hint="eastAsia" w:ascii="宋体" w:hAnsi="宋体" w:cs="宋体"/>
          <w:snapToGrid w:val="0"/>
          <w:color w:val="000000" w:themeColor="text1"/>
          <w:kern w:val="0"/>
          <w:sz w:val="24"/>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11.3 </w:t>
      </w:r>
      <w:r>
        <w:rPr>
          <w:rFonts w:hint="eastAsia" w:hAnsi="宋体" w:cs="宋体"/>
          <w:snapToGrid w:val="0"/>
          <w:color w:val="000000" w:themeColor="text1"/>
          <w:kern w:val="0"/>
          <w:szCs w:val="24"/>
          <w:highlight w:val="none"/>
          <w14:textFill>
            <w14:solidFill>
              <w14:schemeClr w14:val="tx1"/>
            </w14:solidFill>
          </w14:textFill>
        </w:rPr>
        <w:t>电子投标解密失败及突发情况的补救</w:t>
      </w:r>
    </w:p>
    <w:p w14:paraId="55067ABC">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11.3.1</w:t>
      </w:r>
      <w:r>
        <w:rPr>
          <w:rFonts w:hint="eastAsia" w:ascii="宋体" w:hAnsi="宋体" w:cs="宋体"/>
          <w:snapToGrid w:val="0"/>
          <w:color w:val="000000" w:themeColor="text1"/>
          <w:kern w:val="0"/>
          <w:sz w:val="24"/>
          <w:highlight w:val="none"/>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11.3.2</w:t>
      </w:r>
      <w:r>
        <w:rPr>
          <w:rFonts w:hint="eastAsia" w:ascii="宋体" w:hAnsi="宋体" w:cs="宋体"/>
          <w:snapToGrid w:val="0"/>
          <w:color w:val="000000" w:themeColor="text1"/>
          <w:kern w:val="0"/>
          <w:sz w:val="24"/>
          <w:highlight w:val="none"/>
          <w14:textFill>
            <w14:solidFill>
              <w14:schemeClr w14:val="tx1"/>
            </w14:solidFill>
          </w14:textFill>
        </w:rPr>
        <w:t>补救方案：</w:t>
      </w:r>
    </w:p>
    <w:p w14:paraId="0B52C66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（3）除发生上述情况外，开标评标均以投标人通过交易平台网上提交的电子投标文件为准。</w:t>
      </w:r>
    </w:p>
    <w:p w14:paraId="07C6E646">
      <w:pPr>
        <w:pStyle w:val="3"/>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0" w:name="_Toc3222"/>
      <w:r>
        <w:rPr>
          <w:rFonts w:hint="eastAsia" w:hAnsi="宋体" w:cs="宋体"/>
          <w:b/>
          <w:snapToGrid w:val="0"/>
          <w:color w:val="000000" w:themeColor="text1"/>
          <w:szCs w:val="24"/>
          <w:highlight w:val="none"/>
          <w14:textFill>
            <w14:solidFill>
              <w14:schemeClr w14:val="tx1"/>
            </w14:solidFill>
          </w14:textFill>
        </w:rPr>
        <w:t>12. 投标文件的提交</w:t>
      </w:r>
      <w:bookmarkEnd w:id="50"/>
    </w:p>
    <w:p w14:paraId="63A3794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7CF91D7D">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12.2</w:t>
      </w:r>
      <w:r>
        <w:rPr>
          <w:rFonts w:hint="eastAsia" w:ascii="宋体" w:hAnsi="宋体" w:cs="宋体"/>
          <w:snapToGrid w:val="0"/>
          <w:color w:val="000000" w:themeColor="text1"/>
          <w:kern w:val="0"/>
          <w:sz w:val="24"/>
          <w:highlight w:val="none"/>
          <w14:textFill>
            <w14:solidFill>
              <w14:schemeClr w14:val="tx1"/>
            </w14:solidFill>
          </w14:textFill>
        </w:rPr>
        <w:t>投标文件提交截止时间（同电子投标截止时间）：见本章第二节“重要事项时间地点一览表”。</w:t>
      </w:r>
    </w:p>
    <w:p w14:paraId="348B16E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12.3</w:t>
      </w:r>
      <w:r>
        <w:rPr>
          <w:rFonts w:hint="eastAsia" w:ascii="宋体" w:hAnsi="宋体" w:cs="宋体"/>
          <w:snapToGrid w:val="0"/>
          <w:color w:val="000000" w:themeColor="text1"/>
          <w:kern w:val="0"/>
          <w:sz w:val="24"/>
          <w:highlight w:val="none"/>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p>
    <w:p w14:paraId="16456DE3">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12.4 </w:t>
      </w:r>
      <w:r>
        <w:rPr>
          <w:rFonts w:hint="eastAsia" w:ascii="宋体" w:hAnsi="宋体" w:cs="宋体"/>
          <w:snapToGrid w:val="0"/>
          <w:color w:val="000000" w:themeColor="text1"/>
          <w:kern w:val="0"/>
          <w:sz w:val="24"/>
          <w:highlight w:val="none"/>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highlight w:val="none"/>
          <w14:textFill>
            <w14:solidFill>
              <w14:schemeClr w14:val="tx1"/>
            </w14:solidFill>
          </w14:textFill>
        </w:rPr>
        <w:t>（如有）</w:t>
      </w:r>
      <w:r>
        <w:rPr>
          <w:rFonts w:hint="eastAsia" w:ascii="宋体" w:hAnsi="宋体" w:cs="宋体"/>
          <w:snapToGrid w:val="0"/>
          <w:color w:val="000000" w:themeColor="text1"/>
          <w:kern w:val="0"/>
          <w:sz w:val="24"/>
          <w:highlight w:val="none"/>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两 </w:t>
      </w:r>
      <w:r>
        <w:rPr>
          <w:rFonts w:hint="eastAsia" w:ascii="宋体" w:hAnsi="宋体" w:cs="宋体"/>
          <w:snapToGrid w:val="0"/>
          <w:color w:val="000000" w:themeColor="text1"/>
          <w:kern w:val="0"/>
          <w:sz w:val="24"/>
          <w:highlight w:val="none"/>
          <w14:textFill>
            <w14:solidFill>
              <w14:schemeClr w14:val="tx1"/>
            </w14:solidFill>
          </w14:textFill>
        </w:rPr>
        <w:t>份清单）。</w:t>
      </w:r>
    </w:p>
    <w:p w14:paraId="513CE89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12.5</w:t>
      </w:r>
      <w:r>
        <w:rPr>
          <w:rFonts w:hint="eastAsia" w:ascii="宋体" w:hAnsi="宋体" w:cs="宋体"/>
          <w:snapToGrid w:val="0"/>
          <w:color w:val="000000" w:themeColor="text1"/>
          <w:kern w:val="0"/>
          <w:sz w:val="24"/>
          <w:highlight w:val="none"/>
          <w14:textFill>
            <w14:solidFill>
              <w14:schemeClr w14:val="tx1"/>
            </w14:solidFill>
          </w14:textFill>
        </w:rPr>
        <w:t>出现下述情形之一，属于未成功提交投标文件，按无效投标处理：</w:t>
      </w:r>
    </w:p>
    <w:p w14:paraId="06E3DFD5">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（1）至电子投标截止时间时，投标文件未完整上传或未提交投标。</w:t>
      </w:r>
    </w:p>
    <w:p w14:paraId="0ED72BA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（2）投标文件未按投标格式中注明需签字盖章的要求进行签名（含电子签名）和加盖电子印章，或签名（含电子签名）或电子印章不完整的。</w:t>
      </w:r>
    </w:p>
    <w:p w14:paraId="393C44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（3）解密失败且在规定时间内未重新提交投标文件的；</w:t>
      </w:r>
    </w:p>
    <w:p w14:paraId="1C2ECEA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1" w:name="_Toc3878"/>
      <w:r>
        <w:rPr>
          <w:rFonts w:hint="eastAsia" w:hAnsi="宋体" w:cs="宋体"/>
          <w:b/>
          <w:snapToGrid w:val="0"/>
          <w:color w:val="000000" w:themeColor="text1"/>
          <w:kern w:val="0"/>
          <w:szCs w:val="24"/>
          <w:highlight w:val="none"/>
          <w14:textFill>
            <w14:solidFill>
              <w14:schemeClr w14:val="tx1"/>
            </w14:solidFill>
          </w14:textFill>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2" w:name="_Toc28651"/>
      <w:r>
        <w:rPr>
          <w:rFonts w:hint="eastAsia" w:hAnsi="宋体" w:cs="宋体"/>
          <w:b/>
          <w:snapToGrid w:val="0"/>
          <w:color w:val="000000" w:themeColor="text1"/>
          <w:kern w:val="0"/>
          <w:szCs w:val="24"/>
          <w:highlight w:val="none"/>
          <w14:textFill>
            <w14:solidFill>
              <w14:schemeClr w14:val="tx1"/>
            </w14:solidFill>
          </w14:textFill>
        </w:rPr>
        <w:t>14．开标</w:t>
      </w:r>
      <w:bookmarkEnd w:id="52"/>
    </w:p>
    <w:p w14:paraId="36A9A77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w:t>
      </w:r>
      <w:r>
        <w:rPr>
          <w:rFonts w:hint="eastAsia" w:ascii="宋体" w:hAnsi="宋体" w:cs="宋体"/>
          <w:snapToGrid w:val="0"/>
          <w:color w:val="000000" w:themeColor="text1"/>
          <w:kern w:val="0"/>
          <w:sz w:val="24"/>
          <w:highlight w:val="none"/>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14.1.1</w:t>
      </w:r>
      <w:r>
        <w:rPr>
          <w:rFonts w:hint="eastAsia" w:ascii="宋体" w:hAnsi="宋体" w:cs="宋体"/>
          <w:snapToGrid w:val="0"/>
          <w:color w:val="000000" w:themeColor="text1"/>
          <w:kern w:val="0"/>
          <w:sz w:val="24"/>
          <w:highlight w:val="none"/>
          <w14:textFill>
            <w14:solidFill>
              <w14:schemeClr w14:val="tx1"/>
            </w14:solidFill>
          </w14:textFill>
        </w:rPr>
        <w:t xml:space="preserve"> 开标时间和地点：见本章第二节“重要事项时间地点一览表”。</w:t>
      </w:r>
    </w:p>
    <w:p w14:paraId="4500A2D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14.1.2</w:t>
      </w:r>
      <w:r>
        <w:rPr>
          <w:rFonts w:hint="eastAsia" w:ascii="宋体" w:hAnsi="宋体" w:cs="宋体"/>
          <w:snapToGrid w:val="0"/>
          <w:color w:val="000000" w:themeColor="text1"/>
          <w:kern w:val="0"/>
          <w:sz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14.2</w:t>
      </w:r>
      <w:r>
        <w:rPr>
          <w:rFonts w:hint="eastAsia" w:hAnsi="宋体" w:cs="宋体"/>
          <w:snapToGrid w:val="0"/>
          <w:color w:val="000000" w:themeColor="text1"/>
          <w:kern w:val="0"/>
          <w:szCs w:val="24"/>
          <w:highlight w:val="none"/>
          <w14:textFill>
            <w14:solidFill>
              <w14:schemeClr w14:val="tx1"/>
            </w14:solidFill>
          </w14:textFill>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14.3</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14.4</w:t>
      </w:r>
      <w:r>
        <w:rPr>
          <w:rFonts w:hint="eastAsia" w:hAnsi="宋体" w:cs="宋体"/>
          <w:snapToGrid w:val="0"/>
          <w:color w:val="000000" w:themeColor="text1"/>
          <w:kern w:val="0"/>
          <w:highlight w:val="none"/>
          <w14:textFill>
            <w14:solidFill>
              <w14:schemeClr w14:val="tx1"/>
            </w14:solidFill>
          </w14:textFill>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000000" w:themeColor="text1"/>
          <w:kern w:val="0"/>
          <w:highlight w:val="none"/>
          <w14:textFill>
            <w14:solidFill>
              <w14:schemeClr w14:val="tx1"/>
            </w14:solidFill>
          </w14:textFill>
        </w:rPr>
      </w:pPr>
      <w:bookmarkStart w:id="53" w:name="_Hlt127093805"/>
      <w:bookmarkEnd w:id="53"/>
      <w:bookmarkStart w:id="54" w:name="_Toc18989"/>
      <w:r>
        <w:rPr>
          <w:rFonts w:hint="eastAsia" w:hAnsi="宋体" w:cs="宋体"/>
          <w:b/>
          <w:snapToGrid w:val="0"/>
          <w:color w:val="000000" w:themeColor="text1"/>
          <w:kern w:val="0"/>
          <w:highlight w:val="none"/>
          <w14:textFill>
            <w14:solidFill>
              <w14:schemeClr w14:val="tx1"/>
            </w14:solidFill>
          </w14:textFill>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w:t>
      </w:r>
      <w:r>
        <w:rPr>
          <w:rFonts w:hint="eastAsia" w:hAnsi="宋体" w:cs="宋体"/>
          <w:bCs/>
          <w:snapToGrid w:val="0"/>
          <w:color w:val="000000" w:themeColor="text1"/>
          <w:kern w:val="0"/>
          <w:highlight w:val="none"/>
          <w14:textFill>
            <w14:solidFill>
              <w14:schemeClr w14:val="tx1"/>
            </w14:solidFill>
          </w14:textFill>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15.1.1</w:t>
      </w:r>
      <w:r>
        <w:rPr>
          <w:rFonts w:hint="eastAsia" w:hAnsi="宋体" w:cs="宋体"/>
          <w:snapToGrid w:val="0"/>
          <w:color w:val="000000" w:themeColor="text1"/>
          <w:kern w:val="0"/>
          <w:highlight w:val="none"/>
          <w14:textFill>
            <w14:solidFill>
              <w14:schemeClr w14:val="tx1"/>
            </w14:solidFill>
          </w14:textFill>
        </w:rPr>
        <w:t xml:space="preserve"> 评标委员会由</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人组成，其中招标人代表</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人，专家</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highlight w:val="none"/>
          <w14:textFill>
            <w14:solidFill>
              <w14:schemeClr w14:val="tx1"/>
            </w14:solidFill>
          </w14:textFill>
        </w:rPr>
        <w:t>中随机抽取，其中技术类专家</w:t>
      </w:r>
      <w:r>
        <w:rPr>
          <w:rFonts w:hint="eastAsia" w:hAnsi="宋体" w:cs="宋体"/>
          <w:snapToGrid w:val="0"/>
          <w:color w:val="000000" w:themeColor="text1"/>
          <w:kern w:val="0"/>
          <w:highlight w:val="none"/>
          <w:u w:val="single"/>
          <w14:textFill>
            <w14:solidFill>
              <w14:schemeClr w14:val="tx1"/>
            </w14:solidFill>
          </w14:textFill>
        </w:rPr>
        <w:t xml:space="preserve">3 </w:t>
      </w:r>
      <w:r>
        <w:rPr>
          <w:rFonts w:hint="eastAsia" w:hAnsi="宋体" w:cs="宋体"/>
          <w:snapToGrid w:val="0"/>
          <w:color w:val="000000" w:themeColor="text1"/>
          <w:kern w:val="0"/>
          <w:highlight w:val="none"/>
          <w14:textFill>
            <w14:solidFill>
              <w14:schemeClr w14:val="tx1"/>
            </w14:solidFill>
          </w14:textFill>
        </w:rPr>
        <w:t>人，经济类专家</w:t>
      </w:r>
      <w:r>
        <w:rPr>
          <w:rFonts w:hint="eastAsia" w:hAnsi="宋体" w:cs="宋体"/>
          <w:snapToGrid w:val="0"/>
          <w:color w:val="000000" w:themeColor="text1"/>
          <w:kern w:val="0"/>
          <w:highlight w:val="none"/>
          <w:u w:val="single"/>
          <w14:textFill>
            <w14:solidFill>
              <w14:schemeClr w14:val="tx1"/>
            </w14:solidFill>
          </w14:textFill>
        </w:rPr>
        <w:t xml:space="preserve"> 2</w:t>
      </w:r>
      <w:r>
        <w:rPr>
          <w:rFonts w:hint="eastAsia" w:hAnsi="宋体" w:cs="宋体"/>
          <w:snapToGrid w:val="0"/>
          <w:color w:val="000000" w:themeColor="text1"/>
          <w:kern w:val="0"/>
          <w:highlight w:val="none"/>
          <w14:textFill>
            <w14:solidFill>
              <w14:schemeClr w14:val="tx1"/>
            </w14:solidFill>
          </w14:textFill>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15.1.2</w:t>
      </w:r>
      <w:r>
        <w:rPr>
          <w:rFonts w:hint="eastAsia" w:hAnsi="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15.1.3</w:t>
      </w:r>
      <w:r>
        <w:rPr>
          <w:rFonts w:hint="eastAsia" w:hAnsi="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0931A33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15.1.4</w:t>
      </w:r>
      <w:r>
        <w:rPr>
          <w:rFonts w:hint="eastAsia" w:hAnsi="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15.1.5</w:t>
      </w:r>
      <w:r>
        <w:rPr>
          <w:rFonts w:hint="eastAsia" w:hAnsi="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15.2</w:t>
      </w:r>
      <w:r>
        <w:rPr>
          <w:rFonts w:hint="eastAsia" w:hAnsi="宋体" w:cs="宋体"/>
          <w:bCs/>
          <w:snapToGrid w:val="0"/>
          <w:color w:val="000000" w:themeColor="text1"/>
          <w:kern w:val="0"/>
          <w:szCs w:val="22"/>
          <w:highlight w:val="none"/>
          <w14:textFill>
            <w14:solidFill>
              <w14:schemeClr w14:val="tx1"/>
            </w14:solidFill>
          </w14:textFill>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15.3</w:t>
      </w:r>
      <w:r>
        <w:rPr>
          <w:rFonts w:hint="eastAsia" w:hAnsi="宋体" w:cs="宋体"/>
          <w:bCs/>
          <w:snapToGrid w:val="0"/>
          <w:color w:val="000000" w:themeColor="text1"/>
          <w:kern w:val="0"/>
          <w:szCs w:val="22"/>
          <w:highlight w:val="none"/>
          <w14:textFill>
            <w14:solidFill>
              <w14:schemeClr w14:val="tx1"/>
            </w14:solidFill>
          </w14:textFill>
        </w:rPr>
        <w:t xml:space="preserve"> 评审范围：</w:t>
      </w:r>
      <w:r>
        <w:rPr>
          <w:rFonts w:hint="eastAsia" w:hAnsi="宋体" w:cs="宋体"/>
          <w:snapToGrid w:val="0"/>
          <w:color w:val="000000" w:themeColor="text1"/>
          <w:kern w:val="0"/>
          <w:highlight w:val="none"/>
          <w14:textFill>
            <w14:solidFill>
              <w14:schemeClr w14:val="tx1"/>
            </w14:solidFill>
          </w14:textFill>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w:t>
      </w:r>
      <w:r>
        <w:rPr>
          <w:rFonts w:hint="eastAsia" w:hAnsi="宋体" w:cs="宋体"/>
          <w:snapToGrid w:val="0"/>
          <w:color w:val="000000" w:themeColor="text1"/>
          <w:kern w:val="0"/>
          <w:highlight w:val="none"/>
          <w14:textFill>
            <w14:solidFill>
              <w14:schemeClr w14:val="tx1"/>
            </w14:solidFill>
          </w14:textFill>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15.4.1</w:t>
      </w:r>
      <w:r>
        <w:rPr>
          <w:rFonts w:hint="eastAsia" w:hAnsi="宋体" w:cs="宋体"/>
          <w:snapToGrid w:val="0"/>
          <w:color w:val="000000" w:themeColor="text1"/>
          <w:kern w:val="0"/>
          <w:highlight w:val="none"/>
          <w14:textFill>
            <w14:solidFill>
              <w14:schemeClr w14:val="tx1"/>
            </w14:solidFill>
          </w14:textFill>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是否符合本章第三节第4.4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5</w:t>
      </w:r>
      <w:r>
        <w:rPr>
          <w:rFonts w:hint="eastAsia" w:hAnsi="宋体" w:cs="宋体"/>
          <w:snapToGrid w:val="0"/>
          <w:color w:val="000000" w:themeColor="text1"/>
          <w:kern w:val="0"/>
          <w:highlight w:val="none"/>
          <w14:textFill>
            <w14:solidFill>
              <w14:schemeClr w14:val="tx1"/>
            </w14:solidFill>
          </w14:textFill>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15.4.2</w:t>
      </w:r>
      <w:r>
        <w:rPr>
          <w:rFonts w:hint="eastAsia" w:hAnsi="宋体" w:cs="宋体"/>
          <w:snapToGrid w:val="0"/>
          <w:color w:val="000000" w:themeColor="text1"/>
          <w:kern w:val="0"/>
          <w:highlight w:val="none"/>
          <w14:textFill>
            <w14:solidFill>
              <w14:schemeClr w14:val="tx1"/>
            </w14:solidFill>
          </w14:textFill>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（2）本节第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15.4.3</w:t>
      </w:r>
      <w:r>
        <w:rPr>
          <w:rFonts w:hint="eastAsia" w:hAnsi="宋体" w:cs="宋体"/>
          <w:snapToGrid w:val="0"/>
          <w:color w:val="000000" w:themeColor="text1"/>
          <w:kern w:val="0"/>
          <w:highlight w:val="none"/>
          <w14:textFill>
            <w14:solidFill>
              <w14:schemeClr w14:val="tx1"/>
            </w14:solidFill>
          </w14:textFill>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15.4.4</w:t>
      </w:r>
      <w:r>
        <w:rPr>
          <w:rFonts w:hint="eastAsia" w:hAnsi="宋体" w:cs="宋体"/>
          <w:snapToGrid w:val="0"/>
          <w:color w:val="000000" w:themeColor="text1"/>
          <w:kern w:val="0"/>
          <w:highlight w:val="none"/>
          <w14:textFill>
            <w14:solidFill>
              <w14:schemeClr w14:val="tx1"/>
            </w14:solidFill>
          </w14:textFill>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条至第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w:t>
      </w:r>
      <w:r>
        <w:rPr>
          <w:rFonts w:hint="eastAsia" w:hAnsi="宋体" w:cs="宋体"/>
          <w:snapToGrid w:val="0"/>
          <w:color w:val="000000" w:themeColor="text1"/>
          <w:kern w:val="0"/>
          <w:highlight w:val="none"/>
          <w14:textFill>
            <w14:solidFill>
              <w14:schemeClr w14:val="tx1"/>
            </w14:solidFill>
          </w14:textFill>
        </w:rPr>
        <w:t xml:space="preserve"> 详细评审</w:t>
      </w:r>
      <w:bookmarkStart w:id="55" w:name="_Hlt121629839"/>
      <w:r>
        <w:rPr>
          <w:rFonts w:hint="eastAsia" w:hAnsi="宋体" w:cs="宋体"/>
          <w:snapToGrid w:val="0"/>
          <w:color w:val="000000" w:themeColor="text1"/>
          <w:kern w:val="0"/>
          <w:highlight w:val="none"/>
          <w14:textFill>
            <w14:solidFill>
              <w14:schemeClr w14:val="tx1"/>
            </w14:solidFill>
          </w14:textFill>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15.5.1</w:t>
      </w:r>
      <w:r>
        <w:rPr>
          <w:rFonts w:hint="eastAsia" w:hAnsi="宋体" w:cs="宋体"/>
          <w:bCs/>
          <w:snapToGrid w:val="0"/>
          <w:color w:val="000000" w:themeColor="text1"/>
          <w:kern w:val="0"/>
          <w:highlight w:val="none"/>
          <w14:textFill>
            <w14:solidFill>
              <w14:schemeClr w14:val="tx1"/>
            </w14:solidFill>
          </w14:textFill>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50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分，技术满分为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30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分，投标报价部分满分为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2</w:t>
      </w:r>
      <w:r>
        <w:rPr>
          <w:rFonts w:hint="eastAsia" w:hAnsi="宋体" w:cs="宋体"/>
          <w:snapToGrid w:val="0"/>
          <w:color w:val="000000" w:themeColor="text1"/>
          <w:kern w:val="0"/>
          <w:highlight w:val="none"/>
          <w:u w:val="single"/>
          <w14:textFill>
            <w14:solidFill>
              <w14:schemeClr w14:val="tx1"/>
            </w14:solidFill>
          </w14:textFill>
        </w:rPr>
        <w:t xml:space="preserve">0 </w:t>
      </w:r>
      <w:r>
        <w:rPr>
          <w:rFonts w:hint="eastAsia" w:hAnsi="宋体" w:cs="宋体"/>
          <w:snapToGrid w:val="0"/>
          <w:color w:val="000000" w:themeColor="text1"/>
          <w:kern w:val="0"/>
          <w:highlight w:val="none"/>
          <w14:textFill>
            <w14:solidFill>
              <w14:schemeClr w14:val="tx1"/>
            </w14:solidFill>
          </w14:textFill>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（1）商务得分M</w:t>
      </w:r>
      <w:r>
        <w:rPr>
          <w:rFonts w:hint="eastAsia" w:hAnsi="宋体" w:cs="宋体"/>
          <w:snapToGrid w:val="0"/>
          <w:color w:val="000000" w:themeColor="text1"/>
          <w:kern w:val="0"/>
          <w:highlight w:val="none"/>
          <w:vertAlign w:val="subscript"/>
          <w14:textFill>
            <w14:solidFill>
              <w14:schemeClr w14:val="tx1"/>
            </w14:solidFill>
          </w14:textFill>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（2）技术得分M</w:t>
      </w:r>
      <w:r>
        <w:rPr>
          <w:rFonts w:hint="eastAsia" w:hAnsi="宋体" w:cs="宋体"/>
          <w:snapToGrid w:val="0"/>
          <w:color w:val="000000" w:themeColor="text1"/>
          <w:kern w:val="0"/>
          <w:highlight w:val="none"/>
          <w:vertAlign w:val="subscript"/>
          <w14:textFill>
            <w14:solidFill>
              <w14:schemeClr w14:val="tx1"/>
            </w14:solidFill>
          </w14:textFill>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（3）投标报价得分M</w:t>
      </w:r>
      <w:r>
        <w:rPr>
          <w:rFonts w:hint="eastAsia" w:hAnsi="宋体" w:cs="宋体"/>
          <w:snapToGrid w:val="0"/>
          <w:color w:val="000000" w:themeColor="text1"/>
          <w:kern w:val="0"/>
          <w:highlight w:val="none"/>
          <w:vertAlign w:val="subscript"/>
          <w14:textFill>
            <w14:solidFill>
              <w14:schemeClr w14:val="tx1"/>
            </w14:solidFill>
          </w14:textFill>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b．采用内插法计算某投标人的投标报价得分M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分, 每低于评标基准价一个百分点扣0.</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E为扣分因子。当Di＞D时，E＝</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；当Di＜D时，E＝</w:t>
      </w:r>
      <w:r>
        <w:rPr>
          <w:rFonts w:hint="eastAsia" w:hAnsi="宋体" w:cs="宋体"/>
          <w:snapToGrid w:val="0"/>
          <w:color w:val="000000" w:themeColor="text1"/>
          <w:kern w:val="0"/>
          <w:highlight w:val="none"/>
          <w:lang w:val="en-US" w:eastAsia="zh-CN"/>
          <w14:textFill>
            <w14:solidFill>
              <w14:schemeClr w14:val="tx1"/>
            </w14:solidFill>
          </w14:textFill>
        </w:rPr>
        <w:t>0.3</w:t>
      </w:r>
      <w:r>
        <w:rPr>
          <w:rFonts w:hint="eastAsia" w:hAnsi="宋体" w:cs="宋体"/>
          <w:snapToGrid w:val="0"/>
          <w:color w:val="000000" w:themeColor="text1"/>
          <w:kern w:val="0"/>
          <w:highlight w:val="none"/>
          <w14:textFill>
            <w14:solidFill>
              <w14:schemeClr w14:val="tx1"/>
            </w14:solidFill>
          </w14:textFill>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式中：M为综合得分，M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为商务得分，M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为技术得分，M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ascii="Times New Roman"/>
          <w:snapToGrid w:val="0"/>
          <w:color w:val="000000" w:themeColor="text1"/>
          <w:kern w:val="0"/>
          <w:highlight w:val="none"/>
          <w14:textFill>
            <w14:solidFill>
              <w14:schemeClr w14:val="tx1"/>
            </w14:solidFill>
          </w14:textFill>
        </w:rPr>
        <w:t>为投标报价得分。</w:t>
      </w:r>
    </w:p>
    <w:p w14:paraId="54DFCA09">
      <w:pPr>
        <w:pStyle w:val="4"/>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bookmarkStart w:id="56" w:name="_Toc31548"/>
      <w:bookmarkStart w:id="57" w:name="_Toc25572"/>
      <w:bookmarkStart w:id="58" w:name="_Toc6276"/>
    </w:p>
    <w:p w14:paraId="566ABFDA">
      <w:pPr>
        <w:rPr>
          <w:rFonts w:hint="eastAsia"/>
          <w:color w:val="000000" w:themeColor="text1"/>
          <w:highlight w:val="none"/>
          <w:lang w:val="en-US" w:eastAsia="zh-CN"/>
          <w14:textFill>
            <w14:solidFill>
              <w14:schemeClr w14:val="tx1"/>
            </w14:solidFill>
          </w14:textFill>
        </w:rPr>
      </w:pPr>
    </w:p>
    <w:p w14:paraId="17C17EA4">
      <w:pPr>
        <w:pStyle w:val="4"/>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0096D610">
      <w:pPr>
        <w:pStyle w:val="4"/>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36C78AF5">
      <w:pPr>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29A1C20E">
      <w:pPr>
        <w:pStyle w:val="3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59A653B5">
      <w:pPr>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77690F4A">
      <w:pPr>
        <w:pStyle w:val="3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0AE73DF4">
      <w:pPr>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18FB062D">
      <w:pPr>
        <w:pStyle w:val="39"/>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27773BC2">
      <w:pPr>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6A4E71AB">
      <w:pPr>
        <w:rPr>
          <w:rFonts w:hint="eastAsia" w:ascii="宋体" w:hAnsi="宋体" w:eastAsia="宋体" w:cs="宋体"/>
          <w:b/>
          <w:bCs/>
          <w:color w:val="000000" w:themeColor="text1"/>
          <w:sz w:val="32"/>
          <w:szCs w:val="22"/>
          <w:highlight w:val="none"/>
          <w:lang w:val="en-US" w:eastAsia="zh-CN"/>
          <w14:textFill>
            <w14:solidFill>
              <w14:schemeClr w14:val="tx1"/>
            </w14:solidFill>
          </w14:textFill>
        </w:rPr>
      </w:pPr>
    </w:p>
    <w:p w14:paraId="134BCFA4">
      <w:pPr>
        <w:rPr>
          <w:rFonts w:hint="eastAsia"/>
          <w:color w:val="000000" w:themeColor="text1"/>
          <w:highlight w:val="none"/>
          <w:lang w:val="en-US" w:eastAsia="zh-CN"/>
          <w14:textFill>
            <w14:solidFill>
              <w14:schemeClr w14:val="tx1"/>
            </w14:solidFill>
          </w14:textFill>
        </w:rPr>
      </w:pPr>
    </w:p>
    <w:p w14:paraId="65DF1DB6">
      <w:pPr>
        <w:pStyle w:val="4"/>
        <w:rPr>
          <w:rFonts w:hint="eastAsia" w:ascii="宋体" w:hAnsi="宋体" w:eastAsia="宋体" w:cs="宋体"/>
          <w:b/>
          <w:bCs/>
          <w:color w:val="000000" w:themeColor="text1"/>
          <w:sz w:val="32"/>
          <w:szCs w:val="22"/>
          <w:highlight w:val="none"/>
          <w14:textFill>
            <w14:solidFill>
              <w14:schemeClr w14:val="tx1"/>
            </w14:solidFill>
          </w14:textFill>
        </w:rPr>
      </w:pPr>
      <w:r>
        <w:rPr>
          <w:rFonts w:hint="eastAsia" w:ascii="宋体" w:hAnsi="宋体" w:eastAsia="宋体" w:cs="宋体"/>
          <w:b/>
          <w:bCs/>
          <w:color w:val="000000" w:themeColor="text1"/>
          <w:sz w:val="32"/>
          <w:szCs w:val="22"/>
          <w:highlight w:val="none"/>
          <w14:textFill>
            <w14:solidFill>
              <w14:schemeClr w14:val="tx1"/>
            </w14:solidFill>
          </w14:textFill>
        </w:rPr>
        <w:t>表1 综合评分表</w:t>
      </w:r>
      <w:bookmarkEnd w:id="56"/>
      <w:bookmarkEnd w:id="57"/>
      <w:bookmarkEnd w:id="58"/>
    </w:p>
    <w:tbl>
      <w:tblPr>
        <w:tblStyle w:val="30"/>
        <w:tblW w:w="93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4"/>
        <w:gridCol w:w="3795"/>
        <w:gridCol w:w="4163"/>
      </w:tblGrid>
      <w:tr w14:paraId="4778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551CCBA">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商务部分，满分：</w:t>
            </w:r>
            <w:r>
              <w:rPr>
                <w:rFonts w:hint="eastAsia" w:ascii="宋体" w:hAnsi="宋体" w:eastAsia="宋体" w:cs="宋体"/>
                <w:b/>
                <w:bCs/>
                <w:caps w:val="0"/>
                <w:color w:val="000000" w:themeColor="text1"/>
                <w:spacing w:val="0"/>
                <w:kern w:val="0"/>
                <w:sz w:val="24"/>
                <w:szCs w:val="24"/>
                <w:highlight w:val="none"/>
                <w:u w:val="none"/>
                <w:lang w:val="en-US" w:eastAsia="zh-CN"/>
                <w14:textFill>
                  <w14:solidFill>
                    <w14:schemeClr w14:val="tx1"/>
                  </w14:solidFill>
                </w14:textFill>
              </w:rPr>
              <w:t>50</w:t>
            </w: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分。</w:t>
            </w:r>
          </w:p>
        </w:tc>
      </w:tr>
      <w:tr w14:paraId="720C6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4A86449">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评分因素</w:t>
            </w:r>
          </w:p>
        </w:tc>
        <w:tc>
          <w:tcPr>
            <w:tcW w:w="3795" w:type="dxa"/>
            <w:tcBorders>
              <w:top w:val="single" w:color="auto" w:sz="4" w:space="0"/>
              <w:left w:val="nil"/>
              <w:bottom w:val="single" w:color="auto" w:sz="4" w:space="0"/>
              <w:right w:val="single" w:color="auto" w:sz="4" w:space="0"/>
            </w:tcBorders>
            <w:noWrap w:val="0"/>
            <w:vAlign w:val="center"/>
          </w:tcPr>
          <w:p w14:paraId="78075595">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评分标准</w:t>
            </w:r>
          </w:p>
        </w:tc>
        <w:tc>
          <w:tcPr>
            <w:tcW w:w="4163" w:type="dxa"/>
            <w:tcBorders>
              <w:top w:val="single" w:color="auto" w:sz="4" w:space="0"/>
              <w:left w:val="nil"/>
              <w:bottom w:val="single" w:color="auto" w:sz="4" w:space="0"/>
              <w:right w:val="single" w:color="auto" w:sz="4" w:space="0"/>
            </w:tcBorders>
            <w:noWrap w:val="0"/>
            <w:vAlign w:val="center"/>
          </w:tcPr>
          <w:p w14:paraId="1C5A353F">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备注</w:t>
            </w:r>
          </w:p>
        </w:tc>
      </w:tr>
      <w:tr w14:paraId="74BA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645E144">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企业业绩</w:t>
            </w:r>
          </w:p>
          <w:p w14:paraId="56C0C0B9">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（10分）</w:t>
            </w:r>
          </w:p>
        </w:tc>
        <w:tc>
          <w:tcPr>
            <w:tcW w:w="3795" w:type="dxa"/>
            <w:tcBorders>
              <w:top w:val="single" w:color="auto" w:sz="4" w:space="0"/>
              <w:left w:val="nil"/>
              <w:bottom w:val="single" w:color="auto" w:sz="4" w:space="0"/>
              <w:right w:val="single" w:color="auto" w:sz="4" w:space="0"/>
            </w:tcBorders>
            <w:noWrap w:val="0"/>
            <w:vAlign w:val="center"/>
          </w:tcPr>
          <w:p w14:paraId="64FDF68A">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2022</w:t>
            </w: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年1月1日至今</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，企业</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监理的项目业绩情况：</w:t>
            </w:r>
          </w:p>
          <w:p w14:paraId="30AC12FB">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1.完成</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过类似</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项目</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的</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每</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项</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得</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5</w:t>
            </w: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p>
          <w:p w14:paraId="46CC3A79">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2.未完成</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过类似</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项目</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的，不予计分。</w:t>
            </w:r>
          </w:p>
          <w:p w14:paraId="3AD3C1C0">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lang w:val="en-US" w:eastAsia="zh-CN"/>
                <w14:textFill>
                  <w14:solidFill>
                    <w14:schemeClr w14:val="tx1"/>
                  </w14:solidFill>
                </w14:textFill>
              </w:rPr>
              <w:t>说明：本项最高得10分</w:t>
            </w:r>
            <w:r>
              <w:rPr>
                <w:rFonts w:hint="eastAsia" w:ascii="宋体" w:hAnsi="宋体" w:eastAsia="宋体" w:cs="宋体"/>
                <w:b/>
                <w:bCs/>
                <w:caps w:val="0"/>
                <w:color w:val="000000" w:themeColor="text1"/>
                <w:spacing w:val="0"/>
                <w:kern w:val="0"/>
                <w:sz w:val="24"/>
                <w:szCs w:val="24"/>
                <w:highlight w:val="none"/>
                <w:lang w:eastAsia="zh-CN"/>
                <w14:textFill>
                  <w14:solidFill>
                    <w14:schemeClr w14:val="tx1"/>
                  </w14:solidFill>
                </w14:textFill>
              </w:rPr>
              <w:t>。</w:t>
            </w:r>
          </w:p>
        </w:tc>
        <w:tc>
          <w:tcPr>
            <w:tcW w:w="4163" w:type="dxa"/>
            <w:tcBorders>
              <w:top w:val="single" w:color="auto" w:sz="4" w:space="0"/>
              <w:left w:val="nil"/>
              <w:bottom w:val="single" w:color="auto" w:sz="4" w:space="0"/>
              <w:right w:val="single" w:color="auto" w:sz="4" w:space="0"/>
            </w:tcBorders>
            <w:noWrap w:val="0"/>
            <w:vAlign w:val="center"/>
          </w:tcPr>
          <w:p w14:paraId="54DAE740">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1.类似项目指：</w:t>
            </w:r>
            <w:r>
              <w:rPr>
                <w:rFonts w:hint="eastAsia" w:ascii="宋体" w:hAnsi="宋体" w:eastAsia="宋体" w:cs="宋体"/>
                <w:caps w:val="0"/>
                <w:color w:val="000000" w:themeColor="text1"/>
                <w:spacing w:val="0"/>
                <w:kern w:val="0"/>
                <w:sz w:val="24"/>
                <w:szCs w:val="24"/>
                <w:highlight w:val="none"/>
                <w:u w:val="single"/>
                <w:lang w:val="en-US" w:eastAsia="zh-CN"/>
                <w14:textFill>
                  <w14:solidFill>
                    <w14:schemeClr w14:val="tx1"/>
                  </w14:solidFill>
                </w14:textFill>
              </w:rPr>
              <w:t>房屋建筑工程或市政公用工程施工监理</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服务项目。</w:t>
            </w:r>
          </w:p>
          <w:p w14:paraId="75191FA8">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2.须提供</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z w:val="24"/>
                <w:szCs w:val="24"/>
                <w:highlight w:val="none"/>
                <w14:textFill>
                  <w14:solidFill>
                    <w14:schemeClr w14:val="tx1"/>
                  </w14:solidFill>
                </w14:textFill>
              </w:rPr>
              <w:t>业绩</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的中标通知书或中选通知书、监理合同关键页及竣工验收报告彩色扫描件（或打印件）。</w:t>
            </w:r>
          </w:p>
          <w:p w14:paraId="0F44EC76">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3.项目业绩认定时间以</w:t>
            </w:r>
            <w:r>
              <w:rPr>
                <w:rFonts w:hint="eastAsia" w:ascii="宋体" w:hAnsi="宋体" w:eastAsia="宋体" w:cs="宋体"/>
                <w:color w:val="000000" w:themeColor="text1"/>
                <w:sz w:val="24"/>
                <w:szCs w:val="24"/>
                <w:highlight w:val="none"/>
                <w14:textFill>
                  <w14:solidFill>
                    <w14:schemeClr w14:val="tx1"/>
                  </w14:solidFill>
                </w14:textFill>
              </w:rPr>
              <w:t>完工或</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竣工验收报告时间为准。</w:t>
            </w:r>
          </w:p>
          <w:p w14:paraId="44ABD33C">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 xml:space="preserve">4.项目业绩有以下情形之一的，该业绩视为无效，不予计分： </w:t>
            </w:r>
          </w:p>
          <w:p w14:paraId="646B0BE0">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 xml:space="preserve">①业绩不属于类似项目的； </w:t>
            </w:r>
          </w:p>
          <w:p w14:paraId="5A00A69C">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 xml:space="preserve">②业绩时间不符合要求的； </w:t>
            </w:r>
          </w:p>
          <w:p w14:paraId="673E1301">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③业绩未</w:t>
            </w:r>
            <w:r>
              <w:rPr>
                <w:rFonts w:hint="eastAsia" w:ascii="宋体" w:hAnsi="宋体" w:eastAsia="宋体" w:cs="宋体"/>
                <w:color w:val="000000" w:themeColor="text1"/>
                <w:sz w:val="24"/>
                <w:szCs w:val="24"/>
                <w:highlight w:val="none"/>
                <w14:textFill>
                  <w14:solidFill>
                    <w14:schemeClr w14:val="tx1"/>
                  </w14:solidFill>
                </w14:textFill>
              </w:rPr>
              <w:t>完工或</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竣工验收的。</w:t>
            </w:r>
          </w:p>
        </w:tc>
      </w:tr>
      <w:tr w14:paraId="78254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3565116">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企业奖项</w:t>
            </w:r>
          </w:p>
          <w:p w14:paraId="534AEF15">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10</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4B165BAF">
            <w:pPr>
              <w:keepNext w:val="0"/>
              <w:keepLines w:val="0"/>
              <w:pageBreakBefore w:val="0"/>
              <w:widowControl w:val="0"/>
              <w:numPr>
                <w:ilvl w:val="0"/>
                <w:numId w:val="0"/>
              </w:numPr>
              <w:kinsoku/>
              <w:overflowPunct/>
              <w:topLinePunct w:val="0"/>
              <w:autoSpaceDN/>
              <w:bidi w:val="0"/>
              <w:adjustRightInd/>
              <w:spacing w:line="380" w:lineRule="exact"/>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2022年1 月1日至今，企业监理的</w:t>
            </w:r>
            <w:r>
              <w:rPr>
                <w:rFonts w:hint="eastAsia" w:ascii="宋体" w:hAnsi="宋体" w:eastAsia="宋体" w:cs="宋体"/>
                <w:caps w:val="0"/>
                <w:color w:val="000000" w:themeColor="text1"/>
                <w:spacing w:val="0"/>
                <w:kern w:val="0"/>
                <w:sz w:val="24"/>
                <w:szCs w:val="24"/>
                <w:highlight w:val="none"/>
                <w:u w:val="single"/>
                <w:lang w:val="en-US" w:eastAsia="zh-CN"/>
                <w14:textFill>
                  <w14:solidFill>
                    <w14:schemeClr w14:val="tx1"/>
                  </w14:solidFill>
                </w14:textFill>
              </w:rPr>
              <w:t>房屋建筑工程或市政公用工程</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项目</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获奖情况：</w:t>
            </w:r>
          </w:p>
          <w:p w14:paraId="36D0E03F">
            <w:pPr>
              <w:pStyle w:val="156"/>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1.获得过国家级奖项的，每提供一项得5分；</w:t>
            </w:r>
          </w:p>
          <w:p w14:paraId="064A5719">
            <w:pPr>
              <w:pStyle w:val="156"/>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2.获得过省级奖项的，每提供一项得3分；</w:t>
            </w:r>
          </w:p>
          <w:p w14:paraId="4D6E91F6">
            <w:pPr>
              <w:pStyle w:val="156"/>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3.获得过地市级奖项的，每提供一项得1分；</w:t>
            </w:r>
          </w:p>
          <w:p w14:paraId="3FEEAD99">
            <w:pPr>
              <w:pStyle w:val="156"/>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4.其他情形的，不予计分。</w:t>
            </w:r>
          </w:p>
          <w:p w14:paraId="1AFCE11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说明：本项最高得10分。</w:t>
            </w:r>
          </w:p>
        </w:tc>
        <w:tc>
          <w:tcPr>
            <w:tcW w:w="4163" w:type="dxa"/>
            <w:tcBorders>
              <w:top w:val="single" w:color="auto" w:sz="4" w:space="0"/>
              <w:left w:val="nil"/>
              <w:bottom w:val="single" w:color="auto" w:sz="4" w:space="0"/>
              <w:right w:val="single" w:color="auto" w:sz="4" w:space="0"/>
            </w:tcBorders>
            <w:noWrap w:val="0"/>
            <w:vAlign w:val="center"/>
          </w:tcPr>
          <w:p w14:paraId="1C0EBDEE">
            <w:pPr>
              <w:pStyle w:val="9"/>
              <w:keepNext w:val="0"/>
              <w:keepLines w:val="0"/>
              <w:pageBreakBefore w:val="0"/>
              <w:widowControl w:val="0"/>
              <w:numPr>
                <w:ilvl w:val="0"/>
                <w:numId w:val="1"/>
              </w:numPr>
              <w:shd w:val="clear" w:color="auto" w:fill="auto"/>
              <w:kinsoku/>
              <w:overflowPunct/>
              <w:topLinePunct w:val="0"/>
              <w:autoSpaceDE/>
              <w:autoSpaceDN/>
              <w:bidi w:val="0"/>
              <w:spacing w:line="380" w:lineRule="exact"/>
              <w:jc w:val="left"/>
              <w:textAlignment w:val="auto"/>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同一项目获得多项奖项的，按最高奖项计取，不重复计算。不同项目获奖可累计得分。</w:t>
            </w:r>
          </w:p>
          <w:p w14:paraId="190EBF66">
            <w:pPr>
              <w:pStyle w:val="9"/>
              <w:keepNext w:val="0"/>
              <w:keepLines w:val="0"/>
              <w:pageBreakBefore w:val="0"/>
              <w:widowControl w:val="0"/>
              <w:numPr>
                <w:ilvl w:val="0"/>
                <w:numId w:val="0"/>
              </w:numPr>
              <w:shd w:val="clear" w:color="auto" w:fill="auto"/>
              <w:kinsoku/>
              <w:overflowPunct/>
              <w:topLinePunct w:val="0"/>
              <w:autoSpaceDE/>
              <w:autoSpaceDN/>
              <w:bidi w:val="0"/>
              <w:spacing w:line="380" w:lineRule="exact"/>
              <w:jc w:val="left"/>
              <w:textAlignment w:val="auto"/>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2.须提供有关奖项证书彩色扫描件（或打印件）。</w:t>
            </w:r>
          </w:p>
          <w:p w14:paraId="1AC3CBF9">
            <w:pPr>
              <w:keepNext w:val="0"/>
              <w:keepLines w:val="0"/>
              <w:pageBreakBefore w:val="0"/>
              <w:widowControl w:val="0"/>
              <w:numPr>
                <w:ilvl w:val="0"/>
                <w:numId w:val="0"/>
              </w:numPr>
              <w:kinsoku/>
              <w:wordWrap w:val="0"/>
              <w:overflowPunct/>
              <w:topLinePunct w:val="0"/>
              <w:autoSpaceDE/>
              <w:autoSpaceDN/>
              <w:bidi w:val="0"/>
              <w:adjustRightInd w:val="0"/>
              <w:snapToGrid w:val="0"/>
              <w:spacing w:line="380" w:lineRule="exact"/>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3.</w:t>
            </w: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获奖时间以发证时间为准。</w:t>
            </w:r>
          </w:p>
          <w:p w14:paraId="56AB80D1">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0B48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6"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05616BC4">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企业荣誉</w:t>
            </w:r>
          </w:p>
          <w:p w14:paraId="48A59BD4">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caps w:val="0"/>
                <w:color w:val="000000" w:themeColor="text1"/>
                <w:spacing w:val="0"/>
                <w:kern w:val="0"/>
                <w:sz w:val="24"/>
                <w:szCs w:val="24"/>
                <w:highlight w:val="none"/>
                <w:u w:val="none"/>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（15分）</w:t>
            </w:r>
          </w:p>
        </w:tc>
        <w:tc>
          <w:tcPr>
            <w:tcW w:w="3795" w:type="dxa"/>
            <w:tcBorders>
              <w:top w:val="single" w:color="auto" w:sz="4" w:space="0"/>
              <w:left w:val="single" w:color="auto" w:sz="4" w:space="0"/>
              <w:bottom w:val="single" w:color="auto" w:sz="4" w:space="0"/>
              <w:right w:val="single" w:color="auto" w:sz="4" w:space="0"/>
            </w:tcBorders>
            <w:noWrap w:val="0"/>
            <w:vAlign w:val="center"/>
          </w:tcPr>
          <w:p w14:paraId="7BB7EEA8">
            <w:pPr>
              <w:pStyle w:val="9"/>
              <w:keepNext w:val="0"/>
              <w:keepLines w:val="0"/>
              <w:pageBreakBefore w:val="0"/>
              <w:widowControl w:val="0"/>
              <w:numPr>
                <w:ilvl w:val="0"/>
                <w:numId w:val="0"/>
              </w:numPr>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2022年1月1日至今，企业获得过“高新技术企业”荣誉，且在有效期内的，得</w:t>
            </w:r>
            <w:r>
              <w:rPr>
                <w:rFonts w:hint="eastAsia" w:hAnsi="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分；其他情形的，不予计分。</w:t>
            </w:r>
          </w:p>
          <w:p w14:paraId="445F6BDE">
            <w:pPr>
              <w:pStyle w:val="9"/>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说明：本项最高得</w:t>
            </w:r>
            <w:r>
              <w:rPr>
                <w:rFonts w:hint="eastAsia" w:hAnsi="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2F5F001B">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24" w:rightChars="1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高新技术企业以“高新技术企业认定管理工作网”官网（http://www.innocom.gov.cn）查询结果为准，且应在有效期内</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4F35C33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24" w:rightChars="10"/>
              <w:jc w:val="left"/>
              <w:textAlignment w:val="auto"/>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2.投标人须提供在上述官网的查询结果网页截图及“高新技术企业证书”彩色扫描件（</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或打印件</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r>
      <w:tr w14:paraId="555CD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trPr>
        <w:tc>
          <w:tcPr>
            <w:tcW w:w="1404" w:type="dxa"/>
            <w:vMerge w:val="continue"/>
            <w:tcBorders>
              <w:left w:val="single" w:color="auto" w:sz="4" w:space="0"/>
              <w:right w:val="single" w:color="auto" w:sz="4" w:space="0"/>
            </w:tcBorders>
            <w:noWrap w:val="0"/>
            <w:vAlign w:val="center"/>
          </w:tcPr>
          <w:p w14:paraId="56AF09FB">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p>
        </w:tc>
        <w:tc>
          <w:tcPr>
            <w:tcW w:w="3795" w:type="dxa"/>
            <w:tcBorders>
              <w:top w:val="single" w:color="auto" w:sz="4" w:space="0"/>
              <w:left w:val="single" w:color="auto" w:sz="4" w:space="0"/>
              <w:bottom w:val="single" w:color="auto" w:sz="4" w:space="0"/>
              <w:right w:val="single" w:color="auto" w:sz="4" w:space="0"/>
            </w:tcBorders>
            <w:noWrap w:val="0"/>
            <w:vAlign w:val="center"/>
          </w:tcPr>
          <w:p w14:paraId="0F39E9A7">
            <w:pPr>
              <w:pStyle w:val="9"/>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2022年1月1日至今，企业获得过“建筑业优秀典型监理企业”证书的得2分。</w:t>
            </w:r>
          </w:p>
          <w:p w14:paraId="5F055B63">
            <w:pPr>
              <w:rPr>
                <w:rFonts w:hint="eastAsia"/>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说明：本项最高得</w:t>
            </w:r>
            <w:r>
              <w:rPr>
                <w:rFonts w:hint="eastAsia"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EA4B95D">
            <w:pPr>
              <w:keepNext w:val="0"/>
              <w:keepLines w:val="0"/>
              <w:pageBreakBefore w:val="0"/>
              <w:numPr>
                <w:ilvl w:val="0"/>
                <w:numId w:val="0"/>
              </w:numPr>
              <w:kinsoku/>
              <w:wordWrap w:val="0"/>
              <w:overflowPunct/>
              <w:topLinePunct w:val="0"/>
              <w:autoSpaceDE/>
              <w:autoSpaceDN/>
              <w:bidi w:val="0"/>
              <w:adjustRightInd w:val="0"/>
              <w:snapToGrid w:val="0"/>
              <w:spacing w:line="400" w:lineRule="exact"/>
              <w:jc w:val="left"/>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1.提供证书彩色扫描件</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w:t>
            </w:r>
          </w:p>
          <w:p w14:paraId="2E81690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24" w:rightChars="1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2.不符合评分标准和备注规定的，不予计分。</w:t>
            </w:r>
          </w:p>
        </w:tc>
      </w:tr>
      <w:tr w14:paraId="5E6A0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0" w:hRule="atLeast"/>
          <w:jc w:val="center"/>
        </w:trPr>
        <w:tc>
          <w:tcPr>
            <w:tcW w:w="1404" w:type="dxa"/>
            <w:vMerge w:val="continue"/>
            <w:tcBorders>
              <w:left w:val="single" w:color="auto" w:sz="4" w:space="0"/>
              <w:right w:val="single" w:color="auto" w:sz="4" w:space="0"/>
            </w:tcBorders>
            <w:noWrap w:val="0"/>
            <w:vAlign w:val="center"/>
          </w:tcPr>
          <w:p w14:paraId="74F0F271">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p>
        </w:tc>
        <w:tc>
          <w:tcPr>
            <w:tcW w:w="3795" w:type="dxa"/>
            <w:tcBorders>
              <w:top w:val="single" w:color="auto" w:sz="4" w:space="0"/>
              <w:left w:val="single" w:color="auto" w:sz="4" w:space="0"/>
              <w:bottom w:val="single" w:color="auto" w:sz="4" w:space="0"/>
              <w:right w:val="single" w:color="auto" w:sz="4" w:space="0"/>
            </w:tcBorders>
            <w:noWrap w:val="0"/>
            <w:vAlign w:val="center"/>
          </w:tcPr>
          <w:p w14:paraId="25286E01">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具有履约能力评价服务认证证书情况：</w:t>
            </w:r>
          </w:p>
          <w:p w14:paraId="02C4342D">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（1）具有AAA等级或以上的得5分；</w:t>
            </w:r>
          </w:p>
          <w:p w14:paraId="0D8BE972">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（2）具有AA等级的得3分；</w:t>
            </w:r>
          </w:p>
          <w:p w14:paraId="754A7316">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（3）具有A等级的得1分；</w:t>
            </w:r>
          </w:p>
          <w:p w14:paraId="544848E4">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（4）其他情形的，不予计分。</w:t>
            </w:r>
          </w:p>
          <w:p w14:paraId="3CC3E481">
            <w:pPr>
              <w:pStyle w:val="9"/>
              <w:keepNext w:val="0"/>
              <w:keepLines w:val="0"/>
              <w:pageBreakBefore w:val="0"/>
              <w:widowControl w:val="0"/>
              <w:kinsoku/>
              <w:overflowPunct/>
              <w:topLinePunct w:val="0"/>
              <w:autoSpaceDN/>
              <w:bidi w:val="0"/>
              <w:spacing w:line="380" w:lineRule="exact"/>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说明：本项最高得5分。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415B49D4">
            <w:pPr>
              <w:keepNext w:val="0"/>
              <w:keepLines w:val="0"/>
              <w:pageBreakBefore w:val="0"/>
              <w:widowControl w:val="0"/>
              <w:kinsoku/>
              <w:wordWrap w:val="0"/>
              <w:overflowPunct/>
              <w:topLinePunct w:val="0"/>
              <w:autoSpaceDE/>
              <w:autoSpaceDN/>
              <w:bidi w:val="0"/>
              <w:adjustRightInd/>
              <w:snapToGrid/>
              <w:spacing w:line="380" w:lineRule="exact"/>
              <w:ind w:left="24" w:leftChars="10" w:right="24" w:rightChars="1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须提供有效期内的履约能力评价服务认证证书彩色扫描件（</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或打印件</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）及全国认证认可信息公共服务平台（</w:t>
            </w:r>
            <w:r>
              <w:rPr>
                <w:rFonts w:hint="eastAsia" w:ascii="宋体" w:hAnsi="宋体" w:eastAsia="宋体" w:cs="宋体"/>
                <w:color w:val="000000" w:themeColor="text1"/>
                <w:sz w:val="24"/>
                <w:szCs w:val="24"/>
                <w:highlight w:val="none"/>
                <w:lang w:eastAsia="zh-CN"/>
                <w14:textFill>
                  <w14:solidFill>
                    <w14:schemeClr w14:val="tx1"/>
                  </w14:solidFill>
                </w14:textFill>
              </w:rPr>
              <w:t>http://cx.cnca.cn/CertECloud/index/index/page</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）网页查询截图，否则不得分。</w:t>
            </w:r>
          </w:p>
        </w:tc>
      </w:tr>
      <w:tr w14:paraId="7AD44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7"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77C483B6">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p>
        </w:tc>
        <w:tc>
          <w:tcPr>
            <w:tcW w:w="3795" w:type="dxa"/>
            <w:tcBorders>
              <w:top w:val="single" w:color="auto" w:sz="4" w:space="0"/>
              <w:left w:val="single" w:color="auto" w:sz="4" w:space="0"/>
              <w:bottom w:val="single" w:color="auto" w:sz="4" w:space="0"/>
              <w:right w:val="single" w:color="auto" w:sz="4" w:space="0"/>
            </w:tcBorders>
            <w:noWrap w:val="0"/>
            <w:vAlign w:val="center"/>
          </w:tcPr>
          <w:p w14:paraId="565E3824">
            <w:pPr>
              <w:keepNext w:val="0"/>
              <w:keepLines w:val="0"/>
              <w:pageBreakBefore w:val="0"/>
              <w:widowControl/>
              <w:kinsoku/>
              <w:overflowPunct/>
              <w:topLinePunct w:val="0"/>
              <w:autoSpaceDE/>
              <w:autoSpaceDN/>
              <w:bidi w:val="0"/>
              <w:snapToGrid w:val="0"/>
              <w:spacing w:line="400" w:lineRule="exact"/>
              <w:rPr>
                <w:rFonts w:hint="eastAsia" w:ascii="宋体" w:hAnsi="宋体" w:eastAsia="宋体" w:cs="宋体"/>
                <w:strike w:val="0"/>
                <w:dstrike w:val="0"/>
                <w:color w:val="000000" w:themeColor="text1"/>
                <w:sz w:val="24"/>
                <w:szCs w:val="24"/>
                <w:highlight w:val="none"/>
                <w:u w:val="none"/>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1、</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投标人连续3年或以上</w:t>
            </w:r>
            <w:r>
              <w:rPr>
                <w:rFonts w:hint="eastAsia" w:ascii="宋体" w:hAnsi="宋体" w:eastAsia="宋体" w:cs="宋体"/>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（须含2024年度）</w:t>
            </w:r>
            <w: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t>获得省级或以上公共资源交易行业信用优秀单位(交易项目响应方和交易中介服务机构）的得5分。</w:t>
            </w:r>
          </w:p>
          <w:p w14:paraId="177EDB4B">
            <w:pPr>
              <w:keepNext w:val="0"/>
              <w:keepLines w:val="0"/>
              <w:pageBreakBefore w:val="0"/>
              <w:widowControl/>
              <w:kinsoku/>
              <w:overflowPunct/>
              <w:topLinePunct w:val="0"/>
              <w:autoSpaceDE/>
              <w:autoSpaceDN/>
              <w:bidi w:val="0"/>
              <w:snapToGrid w:val="0"/>
              <w:spacing w:line="400" w:lineRule="exact"/>
              <w:rPr>
                <w:rFonts w:hint="eastAsia" w:ascii="宋体" w:hAnsi="宋体" w:eastAsia="宋体" w:cs="宋体"/>
                <w:strike w:val="0"/>
                <w:dstrike w:val="0"/>
                <w:color w:val="000000" w:themeColor="text1"/>
                <w:sz w:val="24"/>
                <w:szCs w:val="24"/>
                <w:highlight w:val="none"/>
                <w:u w:val="none"/>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2、</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投标人连续2年</w:t>
            </w:r>
            <w:r>
              <w:rPr>
                <w:rFonts w:hint="eastAsia" w:ascii="宋体" w:hAnsi="宋体" w:eastAsia="宋体" w:cs="宋体"/>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（须含2024年度）</w:t>
            </w:r>
            <w: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t>获得省级或以上公共资源交易行业信用优秀单位(交易项目响应方和交易中介服务机构）的得3分。</w:t>
            </w:r>
          </w:p>
          <w:p w14:paraId="06B3935A">
            <w:pPr>
              <w:keepNext w:val="0"/>
              <w:keepLines w:val="0"/>
              <w:pageBreakBefore w:val="0"/>
              <w:widowControl/>
              <w:kinsoku/>
              <w:overflowPunct/>
              <w:topLinePunct w:val="0"/>
              <w:autoSpaceDE/>
              <w:autoSpaceDN/>
              <w:bidi w:val="0"/>
              <w:snapToGrid w:val="0"/>
              <w:spacing w:line="400" w:lineRule="exact"/>
              <w:rPr>
                <w:rFonts w:hint="eastAsia" w:ascii="宋体" w:hAnsi="宋体" w:eastAsia="宋体" w:cs="宋体"/>
                <w:strike w:val="0"/>
                <w:dstrike w:val="0"/>
                <w:color w:val="000000" w:themeColor="text1"/>
                <w:sz w:val="24"/>
                <w:szCs w:val="24"/>
                <w:highlight w:val="none"/>
                <w:u w:val="none"/>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3、</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t>获得过省级或以上公共资源交易行业信用优秀单位(交易项目响应方和交易中介服务机构）的得1分；</w:t>
            </w:r>
          </w:p>
          <w:p w14:paraId="1C880D57">
            <w:pPr>
              <w:pStyle w:val="9"/>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rPr>
                <w:rFonts w:hint="eastAsia" w:ascii="宋体" w:hAnsi="宋体" w:eastAsia="宋体" w:cs="宋体"/>
                <w:strike w:val="0"/>
                <w:dstrike w:val="0"/>
                <w:color w:val="000000" w:themeColor="text1"/>
                <w:sz w:val="24"/>
                <w:szCs w:val="24"/>
                <w:highlight w:val="none"/>
                <w:u w:val="none"/>
                <w14:textFill>
                  <w14:solidFill>
                    <w14:schemeClr w14:val="tx1"/>
                  </w14:solidFill>
                </w14:textFill>
              </w:rPr>
            </w:pPr>
            <w: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t>4、</w:t>
            </w:r>
            <w:r>
              <w:rPr>
                <w:rFonts w:hint="eastAsia" w:ascii="宋体" w:hAnsi="宋体" w:eastAsia="宋体" w:cs="宋体"/>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其他情形的，不予计分。</w:t>
            </w:r>
          </w:p>
          <w:p w14:paraId="77F4D78D">
            <w:pPr>
              <w:pStyle w:val="10"/>
              <w:keepNext w:val="0"/>
              <w:keepLines w:val="0"/>
              <w:pageBreakBefore w:val="0"/>
              <w:kinsoku/>
              <w:wordWrap w:val="0"/>
              <w:overflowPunct/>
              <w:topLinePunct w:val="0"/>
              <w:autoSpaceDE/>
              <w:autoSpaceDN/>
              <w:bidi w:val="0"/>
              <w:adjustRightInd w:val="0"/>
              <w:snapToGrid w:val="0"/>
              <w:spacing w:after="0" w:line="40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Cs w:val="24"/>
                <w:highlight w:val="none"/>
                <w:lang w:val="en-US" w:eastAsia="zh-CN"/>
                <w14:textFill>
                  <w14:solidFill>
                    <w14:schemeClr w14:val="tx1"/>
                  </w14:solidFill>
                </w14:textFill>
              </w:rPr>
              <w:t>注</w:t>
            </w:r>
            <w:r>
              <w:rPr>
                <w:rFonts w:hint="eastAsia" w:ascii="宋体" w:hAnsi="宋体" w:eastAsia="宋体" w:cs="宋体"/>
                <w:b/>
                <w:bCs/>
                <w:color w:val="000000" w:themeColor="text1"/>
                <w:szCs w:val="24"/>
                <w:highlight w:val="none"/>
                <w14:textFill>
                  <w14:solidFill>
                    <w14:schemeClr w14:val="tx1"/>
                  </w14:solidFill>
                </w14:textFill>
              </w:rPr>
              <w:t>：</w:t>
            </w:r>
            <w:r>
              <w:rPr>
                <w:rFonts w:hint="eastAsia" w:ascii="宋体" w:hAnsi="宋体" w:eastAsia="宋体" w:cs="宋体"/>
                <w:b/>
                <w:bCs/>
                <w:strike w:val="0"/>
                <w:dstrike w:val="0"/>
                <w:color w:val="000000" w:themeColor="text1"/>
                <w:sz w:val="24"/>
                <w:szCs w:val="24"/>
                <w:highlight w:val="none"/>
                <w:u w:val="none"/>
                <w:lang w:val="en-US" w:eastAsia="zh-CN"/>
                <w14:textFill>
                  <w14:solidFill>
                    <w14:schemeClr w14:val="tx1"/>
                  </w14:solidFill>
                </w14:textFill>
              </w:rPr>
              <w:t>本项最高得5分。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49A53BD">
            <w:pPr>
              <w:keepNext w:val="0"/>
              <w:keepLines w:val="0"/>
              <w:pageBreakBefore w:val="0"/>
              <w:numPr>
                <w:ilvl w:val="0"/>
                <w:numId w:val="0"/>
              </w:numPr>
              <w:kinsoku/>
              <w:wordWrap w:val="0"/>
              <w:overflowPunct/>
              <w:topLinePunct w:val="0"/>
              <w:autoSpaceDE/>
              <w:autoSpaceDN/>
              <w:bidi w:val="0"/>
              <w:adjustRightInd w:val="0"/>
              <w:snapToGrid w:val="0"/>
              <w:spacing w:line="400" w:lineRule="exact"/>
              <w:jc w:val="left"/>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1.提供证书彩色扫描件</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w:t>
            </w:r>
          </w:p>
          <w:p w14:paraId="7A4FA33C">
            <w:pPr>
              <w:keepNext w:val="0"/>
              <w:keepLines w:val="0"/>
              <w:pageBreakBefore w:val="0"/>
              <w:numPr>
                <w:ilvl w:val="0"/>
                <w:numId w:val="0"/>
              </w:numPr>
              <w:kinsoku/>
              <w:wordWrap w:val="0"/>
              <w:overflowPunct/>
              <w:topLinePunct w:val="0"/>
              <w:autoSpaceDE/>
              <w:autoSpaceDN/>
              <w:bidi w:val="0"/>
              <w:adjustRightInd w:val="0"/>
              <w:snapToGrid w:val="0"/>
              <w:spacing w:line="400" w:lineRule="exact"/>
              <w:ind w:left="0" w:leftChars="0" w:firstLine="0" w:firstLineChars="0"/>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2.不符合评分标准和备注规定的，不予计分。</w:t>
            </w:r>
          </w:p>
        </w:tc>
      </w:tr>
      <w:tr w14:paraId="61D8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3498F5C">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b w:val="0"/>
                <w:bCs w:val="0"/>
                <w:snapToGrid w:val="0"/>
                <w:color w:val="000000" w:themeColor="text1"/>
                <w:kern w:val="0"/>
                <w:sz w:val="24"/>
                <w:szCs w:val="24"/>
                <w:highlight w:val="none"/>
                <w:u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t>企业</w:t>
            </w:r>
            <w:r>
              <w:rPr>
                <w:rFonts w:hint="eastAsia" w:ascii="宋体" w:hAnsi="宋体" w:eastAsia="宋体" w:cs="宋体"/>
                <w:b w:val="0"/>
                <w:bCs w:val="0"/>
                <w:snapToGrid w:val="0"/>
                <w:color w:val="000000" w:themeColor="text1"/>
                <w:kern w:val="0"/>
                <w:sz w:val="24"/>
                <w:szCs w:val="24"/>
                <w:highlight w:val="none"/>
                <w:u w:val="none"/>
                <w:lang w:eastAsia="zh-CN"/>
                <w14:textFill>
                  <w14:solidFill>
                    <w14:schemeClr w14:val="tx1"/>
                  </w14:solidFill>
                </w14:textFill>
              </w:rPr>
              <w:t>管理体系</w:t>
            </w:r>
          </w:p>
          <w:p w14:paraId="506A548E">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caps w:val="0"/>
                <w:color w:val="000000" w:themeColor="text1"/>
                <w:spacing w:val="0"/>
                <w:kern w:val="0"/>
                <w:sz w:val="24"/>
                <w:szCs w:val="24"/>
                <w:highlight w:val="none"/>
                <w:u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u w:val="none"/>
                <w:lang w:val="en-US" w:eastAsia="zh-CN"/>
                <w14:textFill>
                  <w14:solidFill>
                    <w14:schemeClr w14:val="tx1"/>
                  </w14:solidFill>
                </w14:textFill>
              </w:rPr>
              <w:t>5</w:t>
            </w:r>
            <w:r>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5DD13A94">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b w:val="0"/>
                <w:bCs w:val="0"/>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投标人同时具有质量管理体系认证证书、职业健康安全管理体系认证证书、环境管理体系认证证书</w:t>
            </w:r>
            <w:r>
              <w:rPr>
                <w:rFonts w:hint="eastAsia" w:ascii="宋体" w:hAnsi="宋体" w:eastAsia="宋体" w:cs="宋体"/>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并在有效期</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的得</w:t>
            </w:r>
            <w:r>
              <w:rPr>
                <w:rFonts w:hint="eastAsia" w:hAnsi="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0.5</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分</w:t>
            </w: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在此基础上，提供信息安全管理体系认证证书、知识产权管理体系认证证书、工程监理规范管理体系认证证书并在有效期的，每提供一项加1.5分，最多加4.5分</w:t>
            </w:r>
          </w:p>
          <w:p w14:paraId="171297D2">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b/>
                <w:bCs/>
                <w:color w:val="000000" w:themeColor="text1"/>
                <w:szCs w:val="24"/>
                <w:highlight w:val="none"/>
                <w:lang w:val="en-US" w:eastAsia="zh-CN"/>
                <w14:textFill>
                  <w14:solidFill>
                    <w14:schemeClr w14:val="tx1"/>
                  </w14:solidFill>
                </w14:textFill>
              </w:rPr>
              <w:t>注</w:t>
            </w:r>
            <w:r>
              <w:rPr>
                <w:rFonts w:hint="eastAsia" w:ascii="宋体" w:hAnsi="宋体" w:eastAsia="宋体" w:cs="宋体"/>
                <w:b/>
                <w:bCs/>
                <w:color w:val="000000" w:themeColor="text1"/>
                <w:szCs w:val="24"/>
                <w:highlight w:val="none"/>
                <w14:textFill>
                  <w14:solidFill>
                    <w14:schemeClr w14:val="tx1"/>
                  </w14:solidFill>
                </w14:textFill>
              </w:rPr>
              <w:t>：</w:t>
            </w:r>
            <w:r>
              <w:rPr>
                <w:rFonts w:hint="eastAsia" w:ascii="宋体" w:hAnsi="宋体" w:eastAsia="宋体" w:cs="宋体"/>
                <w:b/>
                <w:bCs/>
                <w:strike w:val="0"/>
                <w:dstrike w:val="0"/>
                <w:color w:val="000000" w:themeColor="text1"/>
                <w:sz w:val="24"/>
                <w:szCs w:val="24"/>
                <w:highlight w:val="none"/>
                <w:u w:val="none"/>
                <w:lang w:val="en-US" w:eastAsia="zh-CN"/>
                <w14:textFill>
                  <w14:solidFill>
                    <w14:schemeClr w14:val="tx1"/>
                  </w14:solidFill>
                </w14:textFill>
              </w:rPr>
              <w:t>本项最高得5分。</w:t>
            </w:r>
          </w:p>
        </w:tc>
        <w:tc>
          <w:tcPr>
            <w:tcW w:w="4163" w:type="dxa"/>
            <w:tcBorders>
              <w:top w:val="single" w:color="auto" w:sz="4" w:space="0"/>
              <w:left w:val="nil"/>
              <w:bottom w:val="single" w:color="auto" w:sz="4" w:space="0"/>
              <w:right w:val="single" w:color="auto" w:sz="4" w:space="0"/>
            </w:tcBorders>
            <w:noWrap w:val="0"/>
            <w:vAlign w:val="center"/>
          </w:tcPr>
          <w:p w14:paraId="7ABA974C">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企业管理体系需提供官方认可的</w:t>
            </w:r>
            <w:r>
              <w:rPr>
                <w:rFonts w:hint="eastAsia" w:ascii="宋体" w:hAnsi="宋体" w:eastAsia="宋体" w:cs="宋体"/>
                <w:color w:val="000000" w:themeColor="text1"/>
                <w:kern w:val="0"/>
                <w:sz w:val="24"/>
                <w:szCs w:val="24"/>
                <w:highlight w:val="none"/>
                <w14:textFill>
                  <w14:solidFill>
                    <w14:schemeClr w14:val="tx1"/>
                  </w14:solidFill>
                </w14:textFill>
              </w:rPr>
              <w:t>第三方机构出具的</w:t>
            </w:r>
            <w:r>
              <w:rPr>
                <w:rFonts w:hint="eastAsia" w:ascii="宋体" w:hAnsi="宋体" w:eastAsia="宋体" w:cs="宋体"/>
                <w:color w:val="000000" w:themeColor="text1"/>
                <w:sz w:val="24"/>
                <w:szCs w:val="24"/>
                <w:highlight w:val="none"/>
                <w14:textFill>
                  <w14:solidFill>
                    <w14:schemeClr w14:val="tx1"/>
                  </w14:solidFill>
                </w14:textFill>
              </w:rPr>
              <w:t>有效的“管理体系认证证书”</w:t>
            </w:r>
            <w:r>
              <w:rPr>
                <w:rFonts w:hint="eastAsia" w:ascii="宋体" w:hAnsi="宋体" w:eastAsia="宋体" w:cs="宋体"/>
                <w:color w:val="000000" w:themeColor="text1"/>
                <w:sz w:val="24"/>
                <w:szCs w:val="24"/>
                <w:highlight w:val="none"/>
                <w:lang w:eastAsia="zh-CN"/>
                <w14:textFill>
                  <w14:solidFill>
                    <w14:schemeClr w14:val="tx1"/>
                  </w14:solidFill>
                </w14:textFill>
              </w:rPr>
              <w:t>彩色</w:t>
            </w:r>
            <w:r>
              <w:rPr>
                <w:rFonts w:hint="eastAsia" w:ascii="宋体" w:hAnsi="宋体" w:eastAsia="宋体" w:cs="宋体"/>
                <w:color w:val="000000" w:themeColor="text1"/>
                <w:sz w:val="24"/>
                <w:szCs w:val="24"/>
                <w:highlight w:val="none"/>
                <w14:textFill>
                  <w14:solidFill>
                    <w14:schemeClr w14:val="tx1"/>
                  </w14:solidFill>
                </w14:textFill>
              </w:rPr>
              <w:t>扫描件</w:t>
            </w:r>
            <w:r>
              <w:rPr>
                <w:rFonts w:hint="eastAsia" w:ascii="宋体" w:hAnsi="宋体" w:eastAsia="宋体" w:cs="宋体"/>
                <w:color w:val="000000" w:themeColor="text1"/>
                <w:kern w:val="0"/>
                <w:sz w:val="24"/>
                <w:szCs w:val="24"/>
                <w:highlight w:val="none"/>
                <w14:textFill>
                  <w14:solidFill>
                    <w14:schemeClr w14:val="tx1"/>
                  </w14:solidFill>
                </w14:textFill>
              </w:rPr>
              <w:t>及全国认证认可信息公共服务平台（</w:t>
            </w:r>
            <w:r>
              <w:rPr>
                <w:rFonts w:hint="eastAsia" w:ascii="宋体" w:hAnsi="宋体" w:eastAsia="宋体" w:cs="宋体"/>
                <w:color w:val="000000" w:themeColor="text1"/>
                <w:highlight w:val="none"/>
                <w:lang w:eastAsia="zh-CN"/>
                <w14:textFill>
                  <w14:solidFill>
                    <w14:schemeClr w14:val="tx1"/>
                  </w14:solidFill>
                </w14:textFill>
              </w:rPr>
              <w:t>http://cx.cnca.cn/CertECloud/index/index/page</w:t>
            </w:r>
            <w:r>
              <w:rPr>
                <w:rFonts w:hint="eastAsia" w:ascii="宋体" w:hAnsi="宋体" w:eastAsia="宋体" w:cs="宋体"/>
                <w:color w:val="000000" w:themeColor="text1"/>
                <w:kern w:val="0"/>
                <w:sz w:val="24"/>
                <w:szCs w:val="24"/>
                <w:highlight w:val="none"/>
                <w14:textFill>
                  <w14:solidFill>
                    <w14:schemeClr w14:val="tx1"/>
                  </w14:solidFill>
                </w14:textFill>
              </w:rPr>
              <w:t>）查询结果截图</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zh-TW" w:eastAsia="zh-CN"/>
                <w14:textFill>
                  <w14:solidFill>
                    <w14:schemeClr w14:val="tx1"/>
                  </w14:solidFill>
                </w14:textFill>
              </w:rPr>
              <w:t>证书状态必须为“有效”</w:t>
            </w:r>
            <w:r>
              <w:rPr>
                <w:rFonts w:hint="eastAsia" w:ascii="宋体" w:hAnsi="宋体" w:eastAsia="宋体" w:cs="宋体"/>
                <w:color w:val="000000" w:themeColor="text1"/>
                <w:sz w:val="24"/>
                <w:szCs w:val="24"/>
                <w:highlight w:val="none"/>
                <w14:textFill>
                  <w14:solidFill>
                    <w14:schemeClr w14:val="tx1"/>
                  </w14:solidFill>
                </w14:textFill>
              </w:rPr>
              <w:t>。</w:t>
            </w:r>
          </w:p>
          <w:p w14:paraId="7C8322BD">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u w:val="none"/>
                <w14:textFill>
                  <w14:solidFill>
                    <w14:schemeClr w14:val="tx1"/>
                  </w14:solidFill>
                </w14:textFill>
              </w:rPr>
              <w:t>2．证书不在有效期内的，不予计分。</w:t>
            </w:r>
          </w:p>
        </w:tc>
      </w:tr>
      <w:tr w14:paraId="7937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C0DF4A1">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b w:val="0"/>
                <w:bCs w:val="0"/>
                <w:strike w:val="0"/>
                <w:dstrike w:val="0"/>
                <w:snapToGrid w:val="0"/>
                <w:color w:val="000000" w:themeColor="text1"/>
                <w:kern w:val="0"/>
                <w:sz w:val="24"/>
                <w:szCs w:val="24"/>
                <w:highlight w:val="none"/>
                <w:u w:val="none"/>
                <w14:textFill>
                  <w14:solidFill>
                    <w14:schemeClr w14:val="tx1"/>
                  </w14:solidFill>
                </w14:textFill>
              </w:rPr>
            </w:pPr>
            <w:r>
              <w:rPr>
                <w:rFonts w:hint="eastAsia" w:ascii="宋体" w:hAnsi="宋体" w:eastAsia="宋体" w:cs="宋体"/>
                <w:b w:val="0"/>
                <w:bCs w:val="0"/>
                <w:strike w:val="0"/>
                <w:dstrike w:val="0"/>
                <w:snapToGrid w:val="0"/>
                <w:color w:val="000000" w:themeColor="text1"/>
                <w:kern w:val="0"/>
                <w:sz w:val="24"/>
                <w:szCs w:val="24"/>
                <w:highlight w:val="none"/>
                <w:u w:val="none"/>
                <w14:textFill>
                  <w14:solidFill>
                    <w14:schemeClr w14:val="tx1"/>
                  </w14:solidFill>
                </w14:textFill>
              </w:rPr>
              <w:t>技术管理能力</w:t>
            </w:r>
          </w:p>
          <w:p w14:paraId="7F3E9819">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strike w:val="0"/>
                <w:dstrike w:val="0"/>
                <w:color w:val="000000" w:themeColor="text1"/>
                <w:sz w:val="24"/>
                <w:szCs w:val="24"/>
                <w:highlight w:val="none"/>
                <w:u w:val="none"/>
                <w14:textFill>
                  <w14:solidFill>
                    <w14:schemeClr w14:val="tx1"/>
                  </w14:solidFill>
                </w14:textFill>
              </w:rPr>
              <w:t>（</w:t>
            </w:r>
            <w:r>
              <w:rPr>
                <w:rFonts w:hint="eastAsia" w:ascii="宋体" w:hAnsi="宋体" w:eastAsia="宋体" w:cs="宋体"/>
                <w:b w:val="0"/>
                <w:bCs w:val="0"/>
                <w:strike w:val="0"/>
                <w:dstrike w:val="0"/>
                <w:color w:val="000000" w:themeColor="text1"/>
                <w:sz w:val="24"/>
                <w:szCs w:val="24"/>
                <w:highlight w:val="none"/>
                <w:u w:val="none"/>
                <w:lang w:val="en-US" w:eastAsia="zh-CN"/>
                <w14:textFill>
                  <w14:solidFill>
                    <w14:schemeClr w14:val="tx1"/>
                  </w14:solidFill>
                </w14:textFill>
              </w:rPr>
              <w:t>5</w:t>
            </w:r>
            <w:r>
              <w:rPr>
                <w:rFonts w:hint="eastAsia" w:ascii="宋体" w:hAnsi="宋体" w:eastAsia="宋体" w:cs="宋体"/>
                <w:b w:val="0"/>
                <w:bCs w:val="0"/>
                <w:strike w:val="0"/>
                <w:dstrike w:val="0"/>
                <w:color w:val="000000" w:themeColor="text1"/>
                <w:sz w:val="24"/>
                <w:szCs w:val="24"/>
                <w:highlight w:val="none"/>
                <w:u w:val="none"/>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231D5E5D">
            <w:pPr>
              <w:keepNext w:val="0"/>
              <w:keepLines w:val="0"/>
              <w:pageBreakBefore w:val="0"/>
              <w:numPr>
                <w:ilvl w:val="0"/>
                <w:numId w:val="0"/>
              </w:numPr>
              <w:kinsoku/>
              <w:wordWrap w:val="0"/>
              <w:overflowPunct/>
              <w:topLinePunct w:val="0"/>
              <w:autoSpaceDE/>
              <w:autoSpaceDN/>
              <w:bidi w:val="0"/>
              <w:adjustRightInd w:val="0"/>
              <w:snapToGrid w:val="0"/>
              <w:spacing w:line="400" w:lineRule="exact"/>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spacing w:val="3"/>
                <w:highlight w:val="none"/>
                <w:lang w:eastAsia="zh-CN"/>
                <w14:textFill>
                  <w14:solidFill>
                    <w14:schemeClr w14:val="tx1"/>
                  </w14:solidFill>
                </w14:textFill>
              </w:rPr>
              <w:t>企业</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获得过工程类科学技术奖励证书的，</w:t>
            </w:r>
            <w:r>
              <w:rPr>
                <w:rFonts w:hint="eastAsia" w:ascii="宋体" w:hAnsi="宋体" w:eastAsia="宋体" w:cs="宋体"/>
                <w:b/>
                <w:bCs/>
                <w:strike w:val="0"/>
                <w:dstrike w:val="0"/>
                <w:color w:val="000000" w:themeColor="text1"/>
                <w:sz w:val="24"/>
                <w:szCs w:val="24"/>
                <w:highlight w:val="none"/>
                <w:lang w:val="en-US" w:eastAsia="zh-CN"/>
                <w14:textFill>
                  <w14:solidFill>
                    <w14:schemeClr w14:val="tx1"/>
                  </w14:solidFill>
                </w14:textFill>
              </w:rPr>
              <w:t>每年</w:t>
            </w:r>
            <w:r>
              <w:rPr>
                <w:rFonts w:hint="eastAsia" w:ascii="宋体" w:hAnsi="宋体" w:eastAsia="宋体" w:cs="宋体"/>
                <w:strike w:val="0"/>
                <w:dstrike w:val="0"/>
                <w:color w:val="000000" w:themeColor="text1"/>
                <w:sz w:val="24"/>
                <w:szCs w:val="24"/>
                <w:highlight w:val="none"/>
                <w:lang w:val="en-US" w:eastAsia="zh-CN"/>
                <w14:textFill>
                  <w14:solidFill>
                    <w14:schemeClr w14:val="tx1"/>
                  </w14:solidFill>
                </w14:textFill>
              </w:rPr>
              <w:t>得1分，最多5分。</w:t>
            </w:r>
          </w:p>
          <w:p w14:paraId="536C851D">
            <w:pPr>
              <w:pStyle w:val="157"/>
              <w:keepNext w:val="0"/>
              <w:keepLines w:val="0"/>
              <w:pageBreakBefore w:val="0"/>
              <w:numPr>
                <w:ilvl w:val="0"/>
                <w:numId w:val="0"/>
              </w:numPr>
              <w:kinsoku/>
              <w:overflowPunct/>
              <w:topLinePunct w:val="0"/>
              <w:autoSpaceDE/>
              <w:autoSpaceDN/>
              <w:bidi w:val="0"/>
              <w:snapToGrid w:val="0"/>
              <w:spacing w:line="400" w:lineRule="exact"/>
              <w:ind w:left="0" w:leftChars="0" w:firstLine="0" w:firstLineChars="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u w:val="none"/>
                <w:lang w:val="en-US" w:eastAsia="zh-CN" w:bidi="ar-SA"/>
                <w14:textFill>
                  <w14:solidFill>
                    <w14:schemeClr w14:val="tx1"/>
                  </w14:solidFill>
                </w14:textFill>
              </w:rPr>
              <w:t>本项最高得5分。</w:t>
            </w:r>
          </w:p>
        </w:tc>
        <w:tc>
          <w:tcPr>
            <w:tcW w:w="4163" w:type="dxa"/>
            <w:tcBorders>
              <w:top w:val="single" w:color="auto" w:sz="4" w:space="0"/>
              <w:left w:val="nil"/>
              <w:bottom w:val="single" w:color="auto" w:sz="4" w:space="0"/>
              <w:right w:val="single" w:color="auto" w:sz="4" w:space="0"/>
            </w:tcBorders>
            <w:noWrap w:val="0"/>
            <w:vAlign w:val="center"/>
          </w:tcPr>
          <w:p w14:paraId="46A38B4A">
            <w:pPr>
              <w:keepNext w:val="0"/>
              <w:keepLines w:val="0"/>
              <w:pageBreakBefore w:val="0"/>
              <w:numPr>
                <w:ilvl w:val="0"/>
                <w:numId w:val="0"/>
              </w:numPr>
              <w:kinsoku/>
              <w:wordWrap w:val="0"/>
              <w:overflowPunct/>
              <w:topLinePunct w:val="0"/>
              <w:autoSpaceDE/>
              <w:autoSpaceDN/>
              <w:bidi w:val="0"/>
              <w:adjustRightInd w:val="0"/>
              <w:snapToGrid w:val="0"/>
              <w:spacing w:line="400" w:lineRule="exact"/>
              <w:jc w:val="left"/>
              <w:rPr>
                <w:rFonts w:hint="eastAsia" w:ascii="宋体" w:hAnsi="宋体" w:eastAsia="宋体" w:cs="宋体"/>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1.工程类科学技术奖励以各省科技厅颁发或科技部备案的证书为准，获奖时间以获奖证书颁发时间为准</w:t>
            </w:r>
            <w:r>
              <w:rPr>
                <w:rFonts w:hint="eastAsia" w:ascii="宋体" w:hAnsi="宋体" w:eastAsia="宋体" w:cs="宋体"/>
                <w:b/>
                <w:bCs/>
                <w:caps w:val="0"/>
                <w:smallCaps w:val="0"/>
                <w:snapToGrid w:val="0"/>
                <w:color w:val="000000" w:themeColor="text1"/>
                <w:spacing w:val="0"/>
                <w:kern w:val="0"/>
                <w:sz w:val="24"/>
                <w:szCs w:val="24"/>
                <w:highlight w:val="none"/>
                <w:u w:val="none"/>
                <w:lang w:eastAsia="zh-CN"/>
                <w14:textFill>
                  <w14:solidFill>
                    <w14:schemeClr w14:val="tx1"/>
                  </w14:solidFill>
                </w14:textFill>
              </w:rPr>
              <w:t>。</w:t>
            </w:r>
          </w:p>
          <w:p w14:paraId="6288FB72">
            <w:pPr>
              <w:keepNext w:val="0"/>
              <w:keepLines w:val="0"/>
              <w:pageBreakBefore w:val="0"/>
              <w:numPr>
                <w:ilvl w:val="0"/>
                <w:numId w:val="0"/>
              </w:numPr>
              <w:kinsoku/>
              <w:wordWrap w:val="0"/>
              <w:overflowPunct/>
              <w:topLinePunct w:val="0"/>
              <w:autoSpaceDE/>
              <w:autoSpaceDN/>
              <w:bidi w:val="0"/>
              <w:adjustRightInd w:val="0"/>
              <w:snapToGrid w:val="0"/>
              <w:spacing w:line="400" w:lineRule="exact"/>
              <w:ind w:left="0" w:leftChars="0" w:firstLine="0" w:firstLineChars="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2.不符合评分标准的，不予计分。</w:t>
            </w:r>
          </w:p>
        </w:tc>
      </w:tr>
      <w:tr w14:paraId="161F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vMerge w:val="restart"/>
            <w:tcBorders>
              <w:top w:val="nil"/>
              <w:left w:val="single" w:color="auto" w:sz="4" w:space="0"/>
              <w:bottom w:val="single" w:color="auto" w:sz="4" w:space="0"/>
              <w:right w:val="single" w:color="auto" w:sz="4" w:space="0"/>
            </w:tcBorders>
            <w:noWrap w:val="0"/>
            <w:vAlign w:val="center"/>
          </w:tcPr>
          <w:p w14:paraId="78303EFB">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项目监理机构其他人员</w:t>
            </w:r>
          </w:p>
          <w:p w14:paraId="3E63D564">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5</w:t>
            </w: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21A6D133">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1.拟委派本项目监理人员数量和专业完全满足表2《项目监理机构其他人员需求表》（以下简称《需求表》）要求的得2分；不满足《需求表》的不得分。</w:t>
            </w:r>
          </w:p>
        </w:tc>
        <w:tc>
          <w:tcPr>
            <w:tcW w:w="4163" w:type="dxa"/>
            <w:tcBorders>
              <w:top w:val="single" w:color="auto" w:sz="4" w:space="0"/>
              <w:left w:val="nil"/>
              <w:bottom w:val="single" w:color="auto" w:sz="4" w:space="0"/>
              <w:right w:val="single" w:color="auto" w:sz="4" w:space="0"/>
            </w:tcBorders>
            <w:noWrap w:val="0"/>
            <w:vAlign w:val="center"/>
          </w:tcPr>
          <w:p w14:paraId="0CE61BEF">
            <w:pPr>
              <w:pStyle w:val="9"/>
              <w:keepNext w:val="0"/>
              <w:keepLines w:val="0"/>
              <w:pageBreakBefore w:val="0"/>
              <w:widowControl w:val="0"/>
              <w:kinsoku/>
              <w:overflowPunct/>
              <w:topLinePunct w:val="0"/>
              <w:autoSpaceDN/>
              <w:bidi w:val="0"/>
              <w:spacing w:line="380" w:lineRule="exact"/>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1.须提供相关证书、证明材料彩色扫描件</w:t>
            </w:r>
            <w:r>
              <w:rPr>
                <w:rFonts w:hint="eastAsia" w:ascii="宋体" w:hAnsi="宋体" w:eastAsia="宋体" w:cs="宋体"/>
                <w:color w:val="000000" w:themeColor="text1"/>
                <w:sz w:val="24"/>
                <w:szCs w:val="24"/>
                <w:highlight w:val="none"/>
                <w:lang w:eastAsia="zh-CN"/>
                <w14:textFill>
                  <w14:solidFill>
                    <w14:schemeClr w14:val="tx1"/>
                  </w14:solidFill>
                </w14:textFill>
              </w:rPr>
              <w:t>或电子证书</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12927551">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2.拟派专业监理工程师按照《需求表》“持证要求”栏目提供的证书中，有任意一类符合专业要求的，即视其专业满足要求</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202E66FB">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3.其他拟派人员的数量或专业不满足《需求表》要求的，视为“不符合要求”。</w:t>
            </w:r>
          </w:p>
        </w:tc>
      </w:tr>
      <w:tr w14:paraId="6C30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vMerge w:val="continue"/>
            <w:tcBorders>
              <w:top w:val="single" w:color="auto" w:sz="4" w:space="0"/>
              <w:left w:val="single" w:color="auto" w:sz="4" w:space="0"/>
              <w:bottom w:val="nil"/>
              <w:right w:val="single" w:color="auto" w:sz="4" w:space="0"/>
            </w:tcBorders>
            <w:noWrap w:val="0"/>
            <w:vAlign w:val="center"/>
          </w:tcPr>
          <w:p w14:paraId="5EE54E57">
            <w:pPr>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3795" w:type="dxa"/>
            <w:tcBorders>
              <w:top w:val="single" w:color="auto" w:sz="4" w:space="0"/>
              <w:left w:val="nil"/>
              <w:bottom w:val="single" w:color="auto" w:sz="4" w:space="0"/>
              <w:right w:val="single" w:color="auto" w:sz="4" w:space="0"/>
            </w:tcBorders>
            <w:noWrap w:val="0"/>
            <w:vAlign w:val="center"/>
          </w:tcPr>
          <w:p w14:paraId="7C97EA91">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2.《项目监理机构其他人员需求表》中：在完全满足《需求表》的基础上，拟委派本项目的监理人员（总监理工程师除外）中：具有高级（或以上）职称或注册监理工程师的，每人得1.5分，最高得3分。</w:t>
            </w:r>
          </w:p>
        </w:tc>
        <w:tc>
          <w:tcPr>
            <w:tcW w:w="4163" w:type="dxa"/>
            <w:tcBorders>
              <w:top w:val="single" w:color="auto" w:sz="4" w:space="0"/>
              <w:left w:val="nil"/>
              <w:bottom w:val="single" w:color="auto" w:sz="4" w:space="0"/>
              <w:right w:val="single" w:color="auto" w:sz="4" w:space="0"/>
            </w:tcBorders>
            <w:noWrap w:val="0"/>
            <w:vAlign w:val="center"/>
          </w:tcPr>
          <w:p w14:paraId="41D7789E">
            <w:pPr>
              <w:pStyle w:val="9"/>
              <w:keepNext w:val="0"/>
              <w:keepLines w:val="0"/>
              <w:pageBreakBefore w:val="0"/>
              <w:widowControl w:val="0"/>
              <w:kinsoku/>
              <w:overflowPunct/>
              <w:topLinePunct w:val="0"/>
              <w:autoSpaceDN/>
              <w:bidi w:val="0"/>
              <w:spacing w:line="380" w:lineRule="exact"/>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1.须提供注册证书或职称证书的彩色扫描件</w:t>
            </w:r>
            <w:r>
              <w:rPr>
                <w:rFonts w:hint="eastAsia" w:ascii="宋体" w:hAnsi="宋体" w:eastAsia="宋体" w:cs="宋体"/>
                <w:color w:val="000000" w:themeColor="text1"/>
                <w:sz w:val="24"/>
                <w:szCs w:val="24"/>
                <w:highlight w:val="none"/>
                <w:lang w:eastAsia="zh-CN"/>
                <w14:textFill>
                  <w14:solidFill>
                    <w14:schemeClr w14:val="tx1"/>
                  </w14:solidFill>
                </w14:textFill>
              </w:rPr>
              <w:t>或电子证</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书</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28936352">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2.</w:t>
            </w:r>
            <w:r>
              <w:rPr>
                <w:rFonts w:hint="eastAsia" w:ascii="宋体" w:hAnsi="宋体" w:eastAsia="宋体" w:cs="宋体"/>
                <w:caps w:val="0"/>
                <w:color w:val="000000" w:themeColor="text1"/>
                <w:spacing w:val="0"/>
                <w:kern w:val="0"/>
                <w:sz w:val="24"/>
                <w:szCs w:val="24"/>
                <w:highlight w:val="none"/>
                <w:lang w:eastAsia="zh-CN"/>
                <w14:textFill>
                  <w14:solidFill>
                    <w14:schemeClr w14:val="tx1"/>
                  </w14:solidFill>
                </w14:textFill>
              </w:rPr>
              <w:t>一人两证的，不重复计分</w:t>
            </w:r>
            <w:r>
              <w:rPr>
                <w:rFonts w:hint="eastAsia" w:ascii="宋体" w:hAnsi="宋体" w:eastAsia="宋体" w:cs="宋体"/>
                <w:caps w:val="0"/>
                <w:color w:val="000000" w:themeColor="text1"/>
                <w:spacing w:val="0"/>
                <w:kern w:val="0"/>
                <w:sz w:val="24"/>
                <w:szCs w:val="24"/>
                <w:highlight w:val="none"/>
                <w:lang w:val="en-US" w:eastAsia="zh-CN"/>
                <w14:textFill>
                  <w14:solidFill>
                    <w14:schemeClr w14:val="tx1"/>
                  </w14:solidFill>
                </w14:textFill>
              </w:rPr>
              <w:t>。</w:t>
            </w:r>
          </w:p>
        </w:tc>
      </w:tr>
      <w:tr w14:paraId="7917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6B10BDD">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技术部分（监理大纲），满分：</w:t>
            </w:r>
            <w:r>
              <w:rPr>
                <w:rFonts w:hint="eastAsia" w:ascii="宋体" w:hAnsi="宋体" w:eastAsia="宋体" w:cs="宋体"/>
                <w:b/>
                <w:bCs/>
                <w:caps w:val="0"/>
                <w:color w:val="000000" w:themeColor="text1"/>
                <w:spacing w:val="0"/>
                <w:kern w:val="0"/>
                <w:sz w:val="24"/>
                <w:szCs w:val="24"/>
                <w:highlight w:val="none"/>
                <w:u w:val="none"/>
                <w:lang w:val="en-US" w:eastAsia="zh-CN"/>
                <w14:textFill>
                  <w14:solidFill>
                    <w14:schemeClr w14:val="tx1"/>
                  </w14:solidFill>
                </w14:textFill>
              </w:rPr>
              <w:t>30</w:t>
            </w:r>
            <w:r>
              <w:rPr>
                <w:rFonts w:hint="eastAsia" w:ascii="宋体" w:hAnsi="宋体" w:eastAsia="宋体" w:cs="宋体"/>
                <w:b/>
                <w:bCs/>
                <w:caps w:val="0"/>
                <w:color w:val="000000" w:themeColor="text1"/>
                <w:spacing w:val="0"/>
                <w:kern w:val="0"/>
                <w:sz w:val="24"/>
                <w:szCs w:val="24"/>
                <w:highlight w:val="none"/>
                <w14:textFill>
                  <w14:solidFill>
                    <w14:schemeClr w14:val="tx1"/>
                  </w14:solidFill>
                </w14:textFill>
              </w:rPr>
              <w:t>分。</w:t>
            </w:r>
          </w:p>
        </w:tc>
      </w:tr>
      <w:tr w14:paraId="559DE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23D7E7C">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t>评分因素</w:t>
            </w:r>
          </w:p>
        </w:tc>
        <w:tc>
          <w:tcPr>
            <w:tcW w:w="3795" w:type="dxa"/>
            <w:tcBorders>
              <w:top w:val="single" w:color="auto" w:sz="4" w:space="0"/>
              <w:left w:val="nil"/>
              <w:bottom w:val="single" w:color="auto" w:sz="4" w:space="0"/>
              <w:right w:val="single" w:color="auto" w:sz="4" w:space="0"/>
            </w:tcBorders>
            <w:noWrap w:val="0"/>
            <w:vAlign w:val="center"/>
          </w:tcPr>
          <w:p w14:paraId="7360063E">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t>评分标准</w:t>
            </w:r>
          </w:p>
        </w:tc>
        <w:tc>
          <w:tcPr>
            <w:tcW w:w="4163" w:type="dxa"/>
            <w:tcBorders>
              <w:top w:val="single" w:color="auto" w:sz="4" w:space="0"/>
              <w:left w:val="nil"/>
              <w:bottom w:val="single" w:color="auto" w:sz="4" w:space="0"/>
              <w:right w:val="single" w:color="auto" w:sz="4" w:space="0"/>
            </w:tcBorders>
            <w:noWrap w:val="0"/>
            <w:vAlign w:val="center"/>
          </w:tcPr>
          <w:p w14:paraId="3F82B0CA">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t>备注</w:t>
            </w:r>
          </w:p>
        </w:tc>
      </w:tr>
      <w:tr w14:paraId="6ADF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624F46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 xml:space="preserve"> 监理依据</w:t>
            </w:r>
          </w:p>
          <w:p w14:paraId="2DDCF1B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及工作目标</w:t>
            </w:r>
          </w:p>
          <w:p w14:paraId="239F3941">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1B746E4A">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45771794">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2902CC27">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3D6FC92C">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48640A5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要求依据全面、适用；目标清晰、正确；针对性强。</w:t>
            </w:r>
          </w:p>
        </w:tc>
      </w:tr>
      <w:tr w14:paraId="22A9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6DC68F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工程质量</w:t>
            </w:r>
          </w:p>
          <w:p w14:paraId="4D827AE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监理措施</w:t>
            </w:r>
          </w:p>
          <w:p w14:paraId="2F48BAF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single" w:color="auto" w:sz="4" w:space="0"/>
              <w:bottom w:val="single" w:color="auto" w:sz="4" w:space="0"/>
              <w:right w:val="single" w:color="auto" w:sz="4" w:space="0"/>
            </w:tcBorders>
            <w:noWrap w:val="0"/>
            <w:vAlign w:val="center"/>
          </w:tcPr>
          <w:p w14:paraId="07EE6DCA">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3AE5736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77833D8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426249B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vMerge w:val="restart"/>
            <w:tcBorders>
              <w:top w:val="single" w:color="auto" w:sz="4" w:space="0"/>
              <w:left w:val="single" w:color="auto" w:sz="4" w:space="0"/>
              <w:bottom w:val="single" w:color="auto" w:sz="4" w:space="0"/>
              <w:right w:val="single" w:color="auto" w:sz="4" w:space="0"/>
            </w:tcBorders>
            <w:noWrap w:val="0"/>
            <w:vAlign w:val="center"/>
          </w:tcPr>
          <w:p w14:paraId="36B45E9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要求目标正确、方法可行、预控和动态管理措施具体、针对性强。脱离本工程实际、机械照搬照抄规范和技术标准的，不能得满分。</w:t>
            </w:r>
          </w:p>
        </w:tc>
      </w:tr>
      <w:tr w14:paraId="7DE96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FAFCEB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工程进度</w:t>
            </w:r>
          </w:p>
          <w:p w14:paraId="5180623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监理措施</w:t>
            </w:r>
          </w:p>
          <w:p w14:paraId="1DC500DF">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single" w:color="auto" w:sz="4" w:space="0"/>
              <w:bottom w:val="single" w:color="auto" w:sz="4" w:space="0"/>
              <w:right w:val="single" w:color="auto" w:sz="4" w:space="0"/>
            </w:tcBorders>
            <w:noWrap w:val="0"/>
            <w:vAlign w:val="center"/>
          </w:tcPr>
          <w:p w14:paraId="148FC0F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17B1D04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5C04D96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238468EF">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1CE338AC">
            <w:pPr>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6081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E7151A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工程造价</w:t>
            </w:r>
          </w:p>
          <w:p w14:paraId="4CBB2611">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监理措施</w:t>
            </w:r>
          </w:p>
          <w:p w14:paraId="4D97042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single" w:color="auto" w:sz="4" w:space="0"/>
              <w:bottom w:val="single" w:color="auto" w:sz="4" w:space="0"/>
              <w:right w:val="single" w:color="auto" w:sz="4" w:space="0"/>
            </w:tcBorders>
            <w:noWrap w:val="0"/>
            <w:vAlign w:val="center"/>
          </w:tcPr>
          <w:p w14:paraId="0BED242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778A091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6CBD26B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62DD2AA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0D50C49D">
            <w:pPr>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105D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C195CFF">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安全防护</w:t>
            </w:r>
          </w:p>
          <w:p w14:paraId="17561C3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监理措施</w:t>
            </w:r>
          </w:p>
          <w:p w14:paraId="3F528B5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single" w:color="auto" w:sz="4" w:space="0"/>
              <w:bottom w:val="single" w:color="auto" w:sz="4" w:space="0"/>
              <w:right w:val="single" w:color="auto" w:sz="4" w:space="0"/>
            </w:tcBorders>
            <w:noWrap w:val="0"/>
            <w:vAlign w:val="center"/>
          </w:tcPr>
          <w:p w14:paraId="4FD26D1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4304C4B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504A57B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4A7F3ED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27654B51">
            <w:pPr>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78D6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420D65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绿色施工</w:t>
            </w:r>
          </w:p>
          <w:p w14:paraId="6BDCE5B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、文明施工</w:t>
            </w:r>
          </w:p>
          <w:p w14:paraId="70A2F7D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监理措施</w:t>
            </w:r>
          </w:p>
          <w:p w14:paraId="3C8CB38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18F3BCA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74ED922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716694D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3C7BFF6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vMerge w:val="continue"/>
            <w:tcBorders>
              <w:top w:val="single" w:color="auto" w:sz="4" w:space="0"/>
              <w:left w:val="nil"/>
              <w:bottom w:val="nil"/>
              <w:right w:val="single" w:color="auto" w:sz="4" w:space="0"/>
            </w:tcBorders>
            <w:noWrap w:val="0"/>
            <w:vAlign w:val="center"/>
          </w:tcPr>
          <w:p w14:paraId="4807A624">
            <w:pPr>
              <w:keepNext w:val="0"/>
              <w:keepLines w:val="0"/>
              <w:pageBreakBefore w:val="0"/>
              <w:widowControl w:val="0"/>
              <w:kinsoku/>
              <w:overflowPunct/>
              <w:topLinePunct w:val="0"/>
              <w:autoSpaceDN/>
              <w:bidi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5AF85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64D2E1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合同、信息</w:t>
            </w:r>
          </w:p>
          <w:p w14:paraId="5024E1D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管理方案</w:t>
            </w:r>
          </w:p>
          <w:p w14:paraId="01185E8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5457B58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71F5D91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3630CB8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3C43A01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63F53CC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要求各项制度规范清晰，方法科学合理，措施及时有效，针对性强。能够切实防范和处理合同纠纷，提升监理工作效能。</w:t>
            </w:r>
          </w:p>
        </w:tc>
      </w:tr>
      <w:tr w14:paraId="045E6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3E844A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组织协调</w:t>
            </w:r>
          </w:p>
          <w:p w14:paraId="526E89C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内容及措施</w:t>
            </w:r>
          </w:p>
          <w:p w14:paraId="55D89FF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6559495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360B57AA">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2F163DB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1A7E36A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3AD0D7A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要求各项制度规范清晰，方法科学合理，措施及时有效，针对性强。能够高效收集、协调、处理、反馈各方各类问题。</w:t>
            </w:r>
          </w:p>
        </w:tc>
      </w:tr>
      <w:tr w14:paraId="0F57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91619A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监理工作重点、难点分析</w:t>
            </w:r>
          </w:p>
          <w:p w14:paraId="69AB0F0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74197B0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3948BC4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0B37ACF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5564860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588B566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要求方法可行、措施具体、针对性强。</w:t>
            </w:r>
          </w:p>
        </w:tc>
      </w:tr>
      <w:tr w14:paraId="54BA7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EA4F66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合理化建议</w:t>
            </w:r>
          </w:p>
          <w:p w14:paraId="20C8E77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w:t>
            </w:r>
            <w:r>
              <w:rPr>
                <w:rFonts w:hint="eastAsia" w:ascii="宋体" w:hAnsi="宋体" w:eastAsia="宋体" w:cs="宋体"/>
                <w:caps w:val="0"/>
                <w:color w:val="000000" w:themeColor="text1"/>
                <w:spacing w:val="0"/>
                <w:kern w:val="0"/>
                <w:sz w:val="24"/>
                <w:szCs w:val="24"/>
                <w:highlight w:val="none"/>
                <w:u w:val="none"/>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分）</w:t>
            </w:r>
          </w:p>
        </w:tc>
        <w:tc>
          <w:tcPr>
            <w:tcW w:w="3795" w:type="dxa"/>
            <w:tcBorders>
              <w:top w:val="single" w:color="auto" w:sz="4" w:space="0"/>
              <w:left w:val="nil"/>
              <w:bottom w:val="single" w:color="auto" w:sz="4" w:space="0"/>
              <w:right w:val="single" w:color="auto" w:sz="4" w:space="0"/>
            </w:tcBorders>
            <w:noWrap w:val="0"/>
            <w:vAlign w:val="center"/>
          </w:tcPr>
          <w:p w14:paraId="577D19B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【优】得该项因素分的90％～100％（含90％）；</w:t>
            </w:r>
          </w:p>
          <w:p w14:paraId="504B04B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【良】得该项因素分的80％～90％（含80％）；</w:t>
            </w:r>
          </w:p>
          <w:p w14:paraId="7BC31BC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【中】得该项因素分的70％～80％（含70％）；</w:t>
            </w:r>
          </w:p>
          <w:p w14:paraId="45D9E68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6279979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要求方法可行、措施具体、针对性强。</w:t>
            </w:r>
          </w:p>
        </w:tc>
      </w:tr>
      <w:tr w14:paraId="7CC76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045416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caps w:val="0"/>
                <w:color w:val="000000" w:themeColor="text1"/>
                <w:spacing w:val="0"/>
                <w:kern w:val="0"/>
                <w:sz w:val="24"/>
                <w:szCs w:val="24"/>
                <w:highlight w:val="none"/>
                <w:lang w:val="en-US" w:eastAsia="zh-CN" w:bidi="ar"/>
                <w14:textFill>
                  <w14:solidFill>
                    <w14:schemeClr w14:val="tx1"/>
                  </w14:solidFill>
                </w14:textFill>
              </w:rPr>
              <w:t>投标报价部分，满分：</w:t>
            </w:r>
            <w:r>
              <w:rPr>
                <w:rFonts w:hint="eastAsia" w:ascii="宋体" w:hAnsi="宋体" w:eastAsia="宋体" w:cs="宋体"/>
                <w:b/>
                <w:bCs/>
                <w:caps w:val="0"/>
                <w:color w:val="000000" w:themeColor="text1"/>
                <w:spacing w:val="0"/>
                <w:kern w:val="0"/>
                <w:sz w:val="24"/>
                <w:szCs w:val="24"/>
                <w:highlight w:val="none"/>
                <w:u w:val="none"/>
                <w:lang w:val="en-US" w:eastAsia="zh-CN" w:bidi="ar"/>
                <w14:textFill>
                  <w14:solidFill>
                    <w14:schemeClr w14:val="tx1"/>
                  </w14:solidFill>
                </w14:textFill>
              </w:rPr>
              <w:t>20</w:t>
            </w:r>
            <w:r>
              <w:rPr>
                <w:rFonts w:hint="eastAsia" w:ascii="宋体" w:hAnsi="宋体" w:eastAsia="宋体" w:cs="宋体"/>
                <w:b/>
                <w:bCs/>
                <w:caps w:val="0"/>
                <w:color w:val="000000" w:themeColor="text1"/>
                <w:spacing w:val="0"/>
                <w:kern w:val="0"/>
                <w:sz w:val="24"/>
                <w:szCs w:val="24"/>
                <w:highlight w:val="none"/>
                <w:lang w:val="en-US" w:eastAsia="zh-CN" w:bidi="ar"/>
                <w14:textFill>
                  <w14:solidFill>
                    <w14:schemeClr w14:val="tx1"/>
                  </w14:solidFill>
                </w14:textFill>
              </w:rPr>
              <w:t>分。</w:t>
            </w:r>
          </w:p>
        </w:tc>
      </w:tr>
      <w:tr w14:paraId="3CBC7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1FD19E9">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t>评分事项</w:t>
            </w:r>
          </w:p>
        </w:tc>
        <w:tc>
          <w:tcPr>
            <w:tcW w:w="7958" w:type="dxa"/>
            <w:gridSpan w:val="2"/>
            <w:tcBorders>
              <w:top w:val="single" w:color="auto" w:sz="4" w:space="0"/>
              <w:left w:val="nil"/>
              <w:bottom w:val="single" w:color="auto" w:sz="4" w:space="0"/>
              <w:right w:val="single" w:color="auto" w:sz="4" w:space="0"/>
            </w:tcBorders>
            <w:noWrap w:val="0"/>
            <w:vAlign w:val="center"/>
          </w:tcPr>
          <w:p w14:paraId="05DB04F9">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color w:val="000000" w:themeColor="text1"/>
                <w:spacing w:val="0"/>
                <w:kern w:val="0"/>
                <w:sz w:val="24"/>
                <w:szCs w:val="24"/>
                <w:highlight w:val="none"/>
                <w14:textFill>
                  <w14:solidFill>
                    <w14:schemeClr w14:val="tx1"/>
                  </w14:solidFill>
                </w14:textFill>
              </w:rPr>
              <w:t>评分方法</w:t>
            </w:r>
          </w:p>
        </w:tc>
      </w:tr>
      <w:tr w14:paraId="31E8C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04681C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评标基准价D</w:t>
            </w:r>
          </w:p>
        </w:tc>
        <w:tc>
          <w:tcPr>
            <w:tcW w:w="7958" w:type="dxa"/>
            <w:gridSpan w:val="2"/>
            <w:tcBorders>
              <w:top w:val="single" w:color="auto" w:sz="4" w:space="0"/>
              <w:left w:val="nil"/>
              <w:bottom w:val="single" w:color="auto" w:sz="4" w:space="0"/>
              <w:right w:val="single" w:color="auto" w:sz="4" w:space="0"/>
            </w:tcBorders>
            <w:noWrap w:val="0"/>
            <w:vAlign w:val="center"/>
          </w:tcPr>
          <w:p w14:paraId="0B8DC012">
            <w:pPr>
              <w:keepNext w:val="0"/>
              <w:keepLines w:val="0"/>
              <w:pageBreakBefore w:val="0"/>
              <w:widowControl w:val="0"/>
              <w:numPr>
                <w:ilvl w:val="0"/>
                <w:numId w:val="3"/>
              </w:numPr>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right="0" w:rightChars="0" w:firstLine="480" w:firstLineChars="200"/>
              <w:jc w:val="left"/>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确定最高投标限价下浮系数n：用1～21号球分别代表一个下浮系数，由评委代表从这21个号码中随机抽取</w:t>
            </w:r>
            <w:r>
              <w:rPr>
                <w:rFonts w:hint="eastAsia" w:ascii="宋体" w:hAnsi="宋体" w:eastAsia="宋体" w:cs="宋体"/>
                <w:caps w:val="0"/>
                <w:color w:val="000000" w:themeColor="text1"/>
                <w:spacing w:val="0"/>
                <w:kern w:val="0"/>
                <w:sz w:val="24"/>
                <w:szCs w:val="24"/>
                <w:highlight w:val="none"/>
                <w:u w:val="single"/>
                <w:lang w:val="en-US" w:eastAsia="zh-CN" w:bidi="ar"/>
                <w14:textFill>
                  <w14:solidFill>
                    <w14:schemeClr w14:val="tx1"/>
                  </w14:solidFill>
                </w14:textFill>
              </w:rPr>
              <w:t xml:space="preserve"> 3 </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次，抽出的号球不参与下次抽取，每次抽取1个号码，所抽取的3个号码对应下浮系数的算术平均值作为最高投标限价下浮系数n。具体号码对应的下浮系数见下表。</w:t>
            </w:r>
          </w:p>
          <w:tbl>
            <w:tblPr>
              <w:tblStyle w:val="30"/>
              <w:tblW w:w="0" w:type="auto"/>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6"/>
              <w:gridCol w:w="675"/>
              <w:gridCol w:w="975"/>
              <w:gridCol w:w="900"/>
              <w:gridCol w:w="990"/>
              <w:gridCol w:w="750"/>
              <w:gridCol w:w="870"/>
              <w:gridCol w:w="855"/>
            </w:tblGrid>
            <w:tr w14:paraId="5C8C2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0E89A4A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val="0"/>
                      <w:i w:val="0"/>
                      <w:caps w:val="0"/>
                      <w:color w:val="000000" w:themeColor="text1"/>
                      <w:spacing w:val="0"/>
                      <w:kern w:val="0"/>
                      <w:sz w:val="24"/>
                      <w:szCs w:val="24"/>
                      <w:highlight w:val="none"/>
                      <w:lang w:val="en-US" w:eastAsia="zh-CN" w:bidi="ar"/>
                      <w14:textFill>
                        <w14:solidFill>
                          <w14:schemeClr w14:val="tx1"/>
                        </w14:solidFill>
                      </w14:textFill>
                    </w:rPr>
                    <w:t>号球</w:t>
                  </w:r>
                </w:p>
              </w:tc>
              <w:tc>
                <w:tcPr>
                  <w:tcW w:w="675" w:type="dxa"/>
                  <w:tcBorders>
                    <w:top w:val="single" w:color="000000" w:sz="4" w:space="0"/>
                    <w:left w:val="nil"/>
                    <w:bottom w:val="single" w:color="000000" w:sz="4" w:space="0"/>
                    <w:right w:val="single" w:color="000000" w:sz="4" w:space="0"/>
                  </w:tcBorders>
                  <w:noWrap w:val="0"/>
                  <w:vAlign w:val="center"/>
                </w:tcPr>
                <w:p w14:paraId="21FB166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w:t>
                  </w:r>
                </w:p>
              </w:tc>
              <w:tc>
                <w:tcPr>
                  <w:tcW w:w="975" w:type="dxa"/>
                  <w:tcBorders>
                    <w:top w:val="single" w:color="000000" w:sz="4" w:space="0"/>
                    <w:left w:val="nil"/>
                    <w:bottom w:val="single" w:color="000000" w:sz="4" w:space="0"/>
                    <w:right w:val="single" w:color="000000" w:sz="4" w:space="0"/>
                  </w:tcBorders>
                  <w:noWrap w:val="0"/>
                  <w:vAlign w:val="center"/>
                </w:tcPr>
                <w:p w14:paraId="6784521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2</w:t>
                  </w:r>
                </w:p>
              </w:tc>
              <w:tc>
                <w:tcPr>
                  <w:tcW w:w="900" w:type="dxa"/>
                  <w:tcBorders>
                    <w:top w:val="single" w:color="000000" w:sz="4" w:space="0"/>
                    <w:left w:val="nil"/>
                    <w:bottom w:val="single" w:color="000000" w:sz="4" w:space="0"/>
                    <w:right w:val="single" w:color="000000" w:sz="4" w:space="0"/>
                  </w:tcBorders>
                  <w:noWrap w:val="0"/>
                  <w:vAlign w:val="center"/>
                </w:tcPr>
                <w:p w14:paraId="0492C56C">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3</w:t>
                  </w:r>
                </w:p>
              </w:tc>
              <w:tc>
                <w:tcPr>
                  <w:tcW w:w="990" w:type="dxa"/>
                  <w:tcBorders>
                    <w:top w:val="single" w:color="000000" w:sz="4" w:space="0"/>
                    <w:left w:val="nil"/>
                    <w:bottom w:val="single" w:color="000000" w:sz="4" w:space="0"/>
                    <w:right w:val="single" w:color="000000" w:sz="4" w:space="0"/>
                  </w:tcBorders>
                  <w:noWrap w:val="0"/>
                  <w:vAlign w:val="center"/>
                </w:tcPr>
                <w:p w14:paraId="41F1878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4</w:t>
                  </w:r>
                </w:p>
              </w:tc>
              <w:tc>
                <w:tcPr>
                  <w:tcW w:w="750" w:type="dxa"/>
                  <w:tcBorders>
                    <w:top w:val="single" w:color="000000" w:sz="4" w:space="0"/>
                    <w:left w:val="nil"/>
                    <w:bottom w:val="single" w:color="000000" w:sz="4" w:space="0"/>
                    <w:right w:val="single" w:color="000000" w:sz="4" w:space="0"/>
                  </w:tcBorders>
                  <w:noWrap w:val="0"/>
                  <w:vAlign w:val="center"/>
                </w:tcPr>
                <w:p w14:paraId="453278C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5</w:t>
                  </w:r>
                </w:p>
              </w:tc>
              <w:tc>
                <w:tcPr>
                  <w:tcW w:w="870" w:type="dxa"/>
                  <w:tcBorders>
                    <w:top w:val="single" w:color="000000" w:sz="4" w:space="0"/>
                    <w:left w:val="nil"/>
                    <w:bottom w:val="single" w:color="000000" w:sz="4" w:space="0"/>
                    <w:right w:val="single" w:color="000000" w:sz="4" w:space="0"/>
                  </w:tcBorders>
                  <w:noWrap w:val="0"/>
                  <w:vAlign w:val="center"/>
                </w:tcPr>
                <w:p w14:paraId="332F172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6</w:t>
                  </w:r>
                </w:p>
              </w:tc>
              <w:tc>
                <w:tcPr>
                  <w:tcW w:w="855" w:type="dxa"/>
                  <w:tcBorders>
                    <w:top w:val="single" w:color="000000" w:sz="4" w:space="0"/>
                    <w:left w:val="nil"/>
                    <w:bottom w:val="single" w:color="000000" w:sz="4" w:space="0"/>
                    <w:right w:val="single" w:color="000000" w:sz="4" w:space="0"/>
                  </w:tcBorders>
                  <w:noWrap w:val="0"/>
                  <w:vAlign w:val="center"/>
                </w:tcPr>
                <w:p w14:paraId="052355E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7</w:t>
                  </w:r>
                </w:p>
              </w:tc>
            </w:tr>
            <w:tr w14:paraId="0D56D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11B931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55EC2A69">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1.0</w:t>
                  </w:r>
                </w:p>
              </w:tc>
              <w:tc>
                <w:tcPr>
                  <w:tcW w:w="975" w:type="dxa"/>
                  <w:tcBorders>
                    <w:top w:val="single" w:color="000000" w:sz="4" w:space="0"/>
                    <w:left w:val="nil"/>
                    <w:bottom w:val="single" w:color="000000" w:sz="4" w:space="0"/>
                    <w:right w:val="single" w:color="000000" w:sz="4" w:space="0"/>
                  </w:tcBorders>
                  <w:noWrap w:val="0"/>
                  <w:vAlign w:val="center"/>
                </w:tcPr>
                <w:p w14:paraId="5242C64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1.1</w:t>
                  </w:r>
                </w:p>
              </w:tc>
              <w:tc>
                <w:tcPr>
                  <w:tcW w:w="900" w:type="dxa"/>
                  <w:tcBorders>
                    <w:top w:val="single" w:color="000000" w:sz="4" w:space="0"/>
                    <w:left w:val="nil"/>
                    <w:bottom w:val="single" w:color="000000" w:sz="4" w:space="0"/>
                    <w:right w:val="single" w:color="000000" w:sz="4" w:space="0"/>
                  </w:tcBorders>
                  <w:noWrap w:val="0"/>
                  <w:vAlign w:val="center"/>
                </w:tcPr>
                <w:p w14:paraId="7D865B6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1.2</w:t>
                  </w:r>
                </w:p>
              </w:tc>
              <w:tc>
                <w:tcPr>
                  <w:tcW w:w="990" w:type="dxa"/>
                  <w:tcBorders>
                    <w:top w:val="single" w:color="000000" w:sz="4" w:space="0"/>
                    <w:left w:val="nil"/>
                    <w:bottom w:val="single" w:color="000000" w:sz="4" w:space="0"/>
                    <w:right w:val="single" w:color="000000" w:sz="4" w:space="0"/>
                  </w:tcBorders>
                  <w:noWrap w:val="0"/>
                  <w:vAlign w:val="center"/>
                </w:tcPr>
                <w:p w14:paraId="578D8C9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1.3</w:t>
                  </w:r>
                </w:p>
              </w:tc>
              <w:tc>
                <w:tcPr>
                  <w:tcW w:w="750" w:type="dxa"/>
                  <w:tcBorders>
                    <w:top w:val="single" w:color="000000" w:sz="4" w:space="0"/>
                    <w:left w:val="nil"/>
                    <w:bottom w:val="single" w:color="000000" w:sz="4" w:space="0"/>
                    <w:right w:val="single" w:color="000000" w:sz="4" w:space="0"/>
                  </w:tcBorders>
                  <w:noWrap w:val="0"/>
                  <w:vAlign w:val="center"/>
                </w:tcPr>
                <w:p w14:paraId="6A27D29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1.4</w:t>
                  </w:r>
                </w:p>
              </w:tc>
              <w:tc>
                <w:tcPr>
                  <w:tcW w:w="870" w:type="dxa"/>
                  <w:tcBorders>
                    <w:top w:val="single" w:color="000000" w:sz="4" w:space="0"/>
                    <w:left w:val="nil"/>
                    <w:bottom w:val="single" w:color="000000" w:sz="4" w:space="0"/>
                    <w:right w:val="single" w:color="000000" w:sz="4" w:space="0"/>
                  </w:tcBorders>
                  <w:noWrap w:val="0"/>
                  <w:vAlign w:val="center"/>
                </w:tcPr>
                <w:p w14:paraId="54DA60DB">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1.5</w:t>
                  </w:r>
                </w:p>
              </w:tc>
              <w:tc>
                <w:tcPr>
                  <w:tcW w:w="855" w:type="dxa"/>
                  <w:tcBorders>
                    <w:top w:val="single" w:color="000000" w:sz="4" w:space="0"/>
                    <w:left w:val="nil"/>
                    <w:bottom w:val="single" w:color="000000" w:sz="4" w:space="0"/>
                    <w:right w:val="single" w:color="000000" w:sz="4" w:space="0"/>
                  </w:tcBorders>
                  <w:noWrap w:val="0"/>
                  <w:vAlign w:val="center"/>
                </w:tcPr>
                <w:p w14:paraId="491E069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1.6</w:t>
                  </w:r>
                </w:p>
              </w:tc>
            </w:tr>
            <w:tr w14:paraId="0BBE5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748E91A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val="0"/>
                      <w:i w:val="0"/>
                      <w:caps w:val="0"/>
                      <w:color w:val="000000" w:themeColor="text1"/>
                      <w:spacing w:val="0"/>
                      <w:kern w:val="0"/>
                      <w:sz w:val="24"/>
                      <w:szCs w:val="24"/>
                      <w:highlight w:val="none"/>
                      <w:lang w:val="en-US" w:eastAsia="zh-CN" w:bidi="ar"/>
                      <w14:textFill>
                        <w14:solidFill>
                          <w14:schemeClr w14:val="tx1"/>
                        </w14:solidFill>
                      </w14:textFill>
                    </w:rPr>
                    <w:t>号球</w:t>
                  </w:r>
                </w:p>
              </w:tc>
              <w:tc>
                <w:tcPr>
                  <w:tcW w:w="675" w:type="dxa"/>
                  <w:tcBorders>
                    <w:top w:val="single" w:color="000000" w:sz="4" w:space="0"/>
                    <w:left w:val="nil"/>
                    <w:bottom w:val="single" w:color="000000" w:sz="4" w:space="0"/>
                    <w:right w:val="single" w:color="000000" w:sz="4" w:space="0"/>
                  </w:tcBorders>
                  <w:noWrap w:val="0"/>
                  <w:vAlign w:val="center"/>
                </w:tcPr>
                <w:p w14:paraId="4065C2B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8</w:t>
                  </w:r>
                </w:p>
              </w:tc>
              <w:tc>
                <w:tcPr>
                  <w:tcW w:w="975" w:type="dxa"/>
                  <w:tcBorders>
                    <w:top w:val="single" w:color="000000" w:sz="4" w:space="0"/>
                    <w:left w:val="nil"/>
                    <w:bottom w:val="single" w:color="000000" w:sz="4" w:space="0"/>
                    <w:right w:val="single" w:color="000000" w:sz="4" w:space="0"/>
                  </w:tcBorders>
                  <w:noWrap w:val="0"/>
                  <w:vAlign w:val="center"/>
                </w:tcPr>
                <w:p w14:paraId="013A449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9</w:t>
                  </w:r>
                </w:p>
              </w:tc>
              <w:tc>
                <w:tcPr>
                  <w:tcW w:w="900" w:type="dxa"/>
                  <w:tcBorders>
                    <w:top w:val="single" w:color="000000" w:sz="4" w:space="0"/>
                    <w:left w:val="nil"/>
                    <w:bottom w:val="single" w:color="000000" w:sz="4" w:space="0"/>
                    <w:right w:val="single" w:color="000000" w:sz="4" w:space="0"/>
                  </w:tcBorders>
                  <w:noWrap w:val="0"/>
                  <w:vAlign w:val="center"/>
                </w:tcPr>
                <w:p w14:paraId="02D10FBF">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10</w:t>
                  </w:r>
                </w:p>
              </w:tc>
              <w:tc>
                <w:tcPr>
                  <w:tcW w:w="990" w:type="dxa"/>
                  <w:tcBorders>
                    <w:top w:val="single" w:color="000000" w:sz="4" w:space="0"/>
                    <w:left w:val="nil"/>
                    <w:bottom w:val="single" w:color="000000" w:sz="4" w:space="0"/>
                    <w:right w:val="single" w:color="000000" w:sz="4" w:space="0"/>
                  </w:tcBorders>
                  <w:noWrap w:val="0"/>
                  <w:vAlign w:val="center"/>
                </w:tcPr>
                <w:p w14:paraId="4BA5CF7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11</w:t>
                  </w:r>
                </w:p>
              </w:tc>
              <w:tc>
                <w:tcPr>
                  <w:tcW w:w="750" w:type="dxa"/>
                  <w:tcBorders>
                    <w:top w:val="single" w:color="000000" w:sz="4" w:space="0"/>
                    <w:left w:val="nil"/>
                    <w:bottom w:val="single" w:color="000000" w:sz="4" w:space="0"/>
                    <w:right w:val="single" w:color="000000" w:sz="4" w:space="0"/>
                  </w:tcBorders>
                  <w:noWrap w:val="0"/>
                  <w:vAlign w:val="center"/>
                </w:tcPr>
                <w:p w14:paraId="7AA15AC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12</w:t>
                  </w:r>
                </w:p>
              </w:tc>
              <w:tc>
                <w:tcPr>
                  <w:tcW w:w="870" w:type="dxa"/>
                  <w:tcBorders>
                    <w:top w:val="single" w:color="000000" w:sz="4" w:space="0"/>
                    <w:left w:val="nil"/>
                    <w:bottom w:val="single" w:color="000000" w:sz="4" w:space="0"/>
                    <w:right w:val="single" w:color="000000" w:sz="4" w:space="0"/>
                  </w:tcBorders>
                  <w:noWrap w:val="0"/>
                  <w:vAlign w:val="center"/>
                </w:tcPr>
                <w:p w14:paraId="7352B95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13</w:t>
                  </w:r>
                </w:p>
              </w:tc>
              <w:tc>
                <w:tcPr>
                  <w:tcW w:w="855" w:type="dxa"/>
                  <w:tcBorders>
                    <w:top w:val="single" w:color="000000" w:sz="4" w:space="0"/>
                    <w:left w:val="nil"/>
                    <w:bottom w:val="single" w:color="000000" w:sz="4" w:space="0"/>
                    <w:right w:val="single" w:color="000000" w:sz="4" w:space="0"/>
                  </w:tcBorders>
                  <w:noWrap w:val="0"/>
                  <w:vAlign w:val="center"/>
                </w:tcPr>
                <w:p w14:paraId="0936F13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14</w:t>
                  </w:r>
                </w:p>
              </w:tc>
            </w:tr>
            <w:tr w14:paraId="04C11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186BBCF">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6DC7CAD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1.7</w:t>
                  </w:r>
                </w:p>
              </w:tc>
              <w:tc>
                <w:tcPr>
                  <w:tcW w:w="975" w:type="dxa"/>
                  <w:tcBorders>
                    <w:top w:val="single" w:color="000000" w:sz="4" w:space="0"/>
                    <w:left w:val="nil"/>
                    <w:bottom w:val="single" w:color="000000" w:sz="4" w:space="0"/>
                    <w:right w:val="single" w:color="000000" w:sz="4" w:space="0"/>
                  </w:tcBorders>
                  <w:noWrap w:val="0"/>
                  <w:vAlign w:val="center"/>
                </w:tcPr>
                <w:p w14:paraId="4A4CB7C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1.8</w:t>
                  </w:r>
                </w:p>
              </w:tc>
              <w:tc>
                <w:tcPr>
                  <w:tcW w:w="900" w:type="dxa"/>
                  <w:tcBorders>
                    <w:top w:val="single" w:color="000000" w:sz="4" w:space="0"/>
                    <w:left w:val="nil"/>
                    <w:bottom w:val="single" w:color="000000" w:sz="4" w:space="0"/>
                    <w:right w:val="single" w:color="000000" w:sz="4" w:space="0"/>
                  </w:tcBorders>
                  <w:noWrap w:val="0"/>
                  <w:vAlign w:val="center"/>
                </w:tcPr>
                <w:p w14:paraId="5749AC1B">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1.9</w:t>
                  </w:r>
                </w:p>
              </w:tc>
              <w:tc>
                <w:tcPr>
                  <w:tcW w:w="990" w:type="dxa"/>
                  <w:tcBorders>
                    <w:top w:val="single" w:color="000000" w:sz="4" w:space="0"/>
                    <w:left w:val="nil"/>
                    <w:bottom w:val="single" w:color="000000" w:sz="4" w:space="0"/>
                    <w:right w:val="single" w:color="000000" w:sz="4" w:space="0"/>
                  </w:tcBorders>
                  <w:noWrap w:val="0"/>
                  <w:vAlign w:val="center"/>
                </w:tcPr>
                <w:p w14:paraId="1D07308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2.0</w:t>
                  </w:r>
                </w:p>
              </w:tc>
              <w:tc>
                <w:tcPr>
                  <w:tcW w:w="750" w:type="dxa"/>
                  <w:tcBorders>
                    <w:top w:val="single" w:color="000000" w:sz="4" w:space="0"/>
                    <w:left w:val="nil"/>
                    <w:bottom w:val="single" w:color="000000" w:sz="4" w:space="0"/>
                    <w:right w:val="single" w:color="000000" w:sz="4" w:space="0"/>
                  </w:tcBorders>
                  <w:noWrap w:val="0"/>
                  <w:vAlign w:val="center"/>
                </w:tcPr>
                <w:p w14:paraId="560BDE1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2.1</w:t>
                  </w:r>
                </w:p>
              </w:tc>
              <w:tc>
                <w:tcPr>
                  <w:tcW w:w="870" w:type="dxa"/>
                  <w:tcBorders>
                    <w:top w:val="single" w:color="000000" w:sz="4" w:space="0"/>
                    <w:left w:val="nil"/>
                    <w:bottom w:val="single" w:color="000000" w:sz="4" w:space="0"/>
                    <w:right w:val="single" w:color="000000" w:sz="4" w:space="0"/>
                  </w:tcBorders>
                  <w:noWrap w:val="0"/>
                  <w:vAlign w:val="center"/>
                </w:tcPr>
                <w:p w14:paraId="2845434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2.2</w:t>
                  </w:r>
                </w:p>
              </w:tc>
              <w:tc>
                <w:tcPr>
                  <w:tcW w:w="855" w:type="dxa"/>
                  <w:tcBorders>
                    <w:top w:val="single" w:color="000000" w:sz="4" w:space="0"/>
                    <w:left w:val="nil"/>
                    <w:bottom w:val="single" w:color="000000" w:sz="4" w:space="0"/>
                    <w:right w:val="single" w:color="000000" w:sz="4" w:space="0"/>
                  </w:tcBorders>
                  <w:noWrap w:val="0"/>
                  <w:vAlign w:val="center"/>
                </w:tcPr>
                <w:p w14:paraId="17A2B27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2.3</w:t>
                  </w:r>
                </w:p>
              </w:tc>
            </w:tr>
            <w:tr w14:paraId="4C4A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4FC72B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bCs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bCs w:val="0"/>
                      <w:i w:val="0"/>
                      <w:caps w:val="0"/>
                      <w:color w:val="000000" w:themeColor="text1"/>
                      <w:spacing w:val="0"/>
                      <w:kern w:val="0"/>
                      <w:sz w:val="24"/>
                      <w:szCs w:val="24"/>
                      <w:highlight w:val="none"/>
                      <w:lang w:val="en-US" w:eastAsia="zh-CN" w:bidi="ar"/>
                      <w14:textFill>
                        <w14:solidFill>
                          <w14:schemeClr w14:val="tx1"/>
                        </w14:solidFill>
                      </w14:textFill>
                    </w:rPr>
                    <w:t>号球</w:t>
                  </w:r>
                </w:p>
              </w:tc>
              <w:tc>
                <w:tcPr>
                  <w:tcW w:w="675" w:type="dxa"/>
                  <w:tcBorders>
                    <w:top w:val="single" w:color="000000" w:sz="4" w:space="0"/>
                    <w:left w:val="nil"/>
                    <w:bottom w:val="single" w:color="000000" w:sz="4" w:space="0"/>
                    <w:right w:val="single" w:color="000000" w:sz="4" w:space="0"/>
                  </w:tcBorders>
                  <w:noWrap w:val="0"/>
                  <w:vAlign w:val="center"/>
                </w:tcPr>
                <w:p w14:paraId="36C1B15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15</w:t>
                  </w:r>
                </w:p>
              </w:tc>
              <w:tc>
                <w:tcPr>
                  <w:tcW w:w="975" w:type="dxa"/>
                  <w:tcBorders>
                    <w:top w:val="single" w:color="000000" w:sz="4" w:space="0"/>
                    <w:left w:val="nil"/>
                    <w:bottom w:val="single" w:color="000000" w:sz="4" w:space="0"/>
                    <w:right w:val="single" w:color="000000" w:sz="4" w:space="0"/>
                  </w:tcBorders>
                  <w:noWrap w:val="0"/>
                  <w:vAlign w:val="center"/>
                </w:tcPr>
                <w:p w14:paraId="7FE8C26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16</w:t>
                  </w:r>
                </w:p>
              </w:tc>
              <w:tc>
                <w:tcPr>
                  <w:tcW w:w="900" w:type="dxa"/>
                  <w:tcBorders>
                    <w:top w:val="single" w:color="000000" w:sz="4" w:space="0"/>
                    <w:left w:val="nil"/>
                    <w:bottom w:val="single" w:color="000000" w:sz="4" w:space="0"/>
                    <w:right w:val="single" w:color="000000" w:sz="4" w:space="0"/>
                  </w:tcBorders>
                  <w:noWrap w:val="0"/>
                  <w:vAlign w:val="center"/>
                </w:tcPr>
                <w:p w14:paraId="5FA56C5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17</w:t>
                  </w:r>
                </w:p>
              </w:tc>
              <w:tc>
                <w:tcPr>
                  <w:tcW w:w="990" w:type="dxa"/>
                  <w:tcBorders>
                    <w:top w:val="single" w:color="000000" w:sz="4" w:space="0"/>
                    <w:left w:val="nil"/>
                    <w:bottom w:val="single" w:color="000000" w:sz="4" w:space="0"/>
                    <w:right w:val="single" w:color="000000" w:sz="4" w:space="0"/>
                  </w:tcBorders>
                  <w:noWrap w:val="0"/>
                  <w:vAlign w:val="center"/>
                </w:tcPr>
                <w:p w14:paraId="5D205811">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18</w:t>
                  </w:r>
                </w:p>
              </w:tc>
              <w:tc>
                <w:tcPr>
                  <w:tcW w:w="750" w:type="dxa"/>
                  <w:tcBorders>
                    <w:top w:val="single" w:color="000000" w:sz="4" w:space="0"/>
                    <w:left w:val="nil"/>
                    <w:bottom w:val="single" w:color="000000" w:sz="4" w:space="0"/>
                    <w:right w:val="single" w:color="000000" w:sz="4" w:space="0"/>
                  </w:tcBorders>
                  <w:noWrap w:val="0"/>
                  <w:vAlign w:val="center"/>
                </w:tcPr>
                <w:p w14:paraId="22C08A5D">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19</w:t>
                  </w:r>
                </w:p>
              </w:tc>
              <w:tc>
                <w:tcPr>
                  <w:tcW w:w="870" w:type="dxa"/>
                  <w:tcBorders>
                    <w:top w:val="single" w:color="000000" w:sz="4" w:space="0"/>
                    <w:left w:val="nil"/>
                    <w:bottom w:val="single" w:color="000000" w:sz="4" w:space="0"/>
                    <w:right w:val="single" w:color="000000" w:sz="4" w:space="0"/>
                  </w:tcBorders>
                  <w:noWrap w:val="0"/>
                  <w:vAlign w:val="center"/>
                </w:tcPr>
                <w:p w14:paraId="0B5ADA4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20</w:t>
                  </w:r>
                </w:p>
              </w:tc>
              <w:tc>
                <w:tcPr>
                  <w:tcW w:w="855" w:type="dxa"/>
                  <w:tcBorders>
                    <w:top w:val="single" w:color="000000" w:sz="4" w:space="0"/>
                    <w:left w:val="nil"/>
                    <w:bottom w:val="single" w:color="000000" w:sz="4" w:space="0"/>
                    <w:right w:val="single" w:color="000000" w:sz="4" w:space="0"/>
                  </w:tcBorders>
                  <w:noWrap w:val="0"/>
                  <w:vAlign w:val="center"/>
                </w:tcPr>
                <w:p w14:paraId="246AB2A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21</w:t>
                  </w:r>
                </w:p>
              </w:tc>
            </w:tr>
            <w:tr w14:paraId="7B5D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5E43A8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bidi="ar"/>
                      <w14:textFill>
                        <w14:solidFill>
                          <w14:schemeClr w14:val="tx1"/>
                        </w14:solidFill>
                      </w14:textFill>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0BCBC66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2.4</w:t>
                  </w:r>
                </w:p>
              </w:tc>
              <w:tc>
                <w:tcPr>
                  <w:tcW w:w="975" w:type="dxa"/>
                  <w:tcBorders>
                    <w:top w:val="single" w:color="000000" w:sz="4" w:space="0"/>
                    <w:left w:val="nil"/>
                    <w:bottom w:val="single" w:color="000000" w:sz="4" w:space="0"/>
                    <w:right w:val="single" w:color="000000" w:sz="4" w:space="0"/>
                  </w:tcBorders>
                  <w:noWrap w:val="0"/>
                  <w:vAlign w:val="center"/>
                </w:tcPr>
                <w:p w14:paraId="7DAE16D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2.5</w:t>
                  </w:r>
                </w:p>
              </w:tc>
              <w:tc>
                <w:tcPr>
                  <w:tcW w:w="900" w:type="dxa"/>
                  <w:tcBorders>
                    <w:top w:val="single" w:color="000000" w:sz="4" w:space="0"/>
                    <w:left w:val="nil"/>
                    <w:bottom w:val="single" w:color="000000" w:sz="4" w:space="0"/>
                    <w:right w:val="single" w:color="000000" w:sz="4" w:space="0"/>
                  </w:tcBorders>
                  <w:noWrap w:val="0"/>
                  <w:vAlign w:val="center"/>
                </w:tcPr>
                <w:p w14:paraId="5F11AD2C">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2.6</w:t>
                  </w:r>
                </w:p>
              </w:tc>
              <w:tc>
                <w:tcPr>
                  <w:tcW w:w="990" w:type="dxa"/>
                  <w:tcBorders>
                    <w:top w:val="single" w:color="000000" w:sz="4" w:space="0"/>
                    <w:left w:val="nil"/>
                    <w:bottom w:val="single" w:color="000000" w:sz="4" w:space="0"/>
                    <w:right w:val="single" w:color="000000" w:sz="4" w:space="0"/>
                  </w:tcBorders>
                  <w:noWrap w:val="0"/>
                  <w:vAlign w:val="center"/>
                </w:tcPr>
                <w:p w14:paraId="49D574E1">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2.7</w:t>
                  </w:r>
                </w:p>
              </w:tc>
              <w:tc>
                <w:tcPr>
                  <w:tcW w:w="750" w:type="dxa"/>
                  <w:tcBorders>
                    <w:top w:val="single" w:color="000000" w:sz="4" w:space="0"/>
                    <w:left w:val="nil"/>
                    <w:bottom w:val="single" w:color="000000" w:sz="4" w:space="0"/>
                    <w:right w:val="single" w:color="000000" w:sz="4" w:space="0"/>
                  </w:tcBorders>
                  <w:noWrap w:val="0"/>
                  <w:vAlign w:val="center"/>
                </w:tcPr>
                <w:p w14:paraId="3CF6C92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2.8</w:t>
                  </w:r>
                </w:p>
              </w:tc>
              <w:tc>
                <w:tcPr>
                  <w:tcW w:w="870" w:type="dxa"/>
                  <w:tcBorders>
                    <w:top w:val="single" w:color="000000" w:sz="4" w:space="0"/>
                    <w:left w:val="nil"/>
                    <w:bottom w:val="single" w:color="000000" w:sz="4" w:space="0"/>
                    <w:right w:val="single" w:color="000000" w:sz="4" w:space="0"/>
                  </w:tcBorders>
                  <w:noWrap w:val="0"/>
                  <w:vAlign w:val="center"/>
                </w:tcPr>
                <w:p w14:paraId="57EE168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2.9</w:t>
                  </w:r>
                </w:p>
              </w:tc>
              <w:tc>
                <w:tcPr>
                  <w:tcW w:w="855" w:type="dxa"/>
                  <w:tcBorders>
                    <w:top w:val="single" w:color="000000" w:sz="4" w:space="0"/>
                    <w:left w:val="nil"/>
                    <w:bottom w:val="single" w:color="000000" w:sz="4" w:space="0"/>
                    <w:right w:val="single" w:color="000000" w:sz="4" w:space="0"/>
                  </w:tcBorders>
                  <w:noWrap w:val="0"/>
                  <w:vAlign w:val="center"/>
                </w:tcPr>
                <w:p w14:paraId="40FE73E1">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val="0"/>
                      <w:i w:val="0"/>
                      <w:caps w:val="0"/>
                      <w:color w:val="000000" w:themeColor="text1"/>
                      <w:spacing w:val="0"/>
                      <w:kern w:val="0"/>
                      <w:sz w:val="24"/>
                      <w:szCs w:val="24"/>
                      <w:highlight w:val="none"/>
                      <w:lang w:val="en-US" w:eastAsia="zh-CN"/>
                      <w14:textFill>
                        <w14:solidFill>
                          <w14:schemeClr w14:val="tx1"/>
                        </w14:solidFill>
                      </w14:textFill>
                    </w:rPr>
                    <w:t>3.0</w:t>
                  </w:r>
                </w:p>
              </w:tc>
            </w:tr>
          </w:tbl>
          <w:p w14:paraId="63F41085">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right="0" w:rightChars="0" w:firstLine="480" w:firstLineChars="200"/>
              <w:jc w:val="lef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（2）评标基准价D＝最高投标限价×（1－n）</w:t>
            </w:r>
          </w:p>
        </w:tc>
      </w:tr>
      <w:tr w14:paraId="15BC7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0E7376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投标报价</w:t>
            </w:r>
          </w:p>
          <w:p w14:paraId="37DCB2E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得分M</w:t>
            </w:r>
            <w:r>
              <w:rPr>
                <w:rFonts w:hint="eastAsia" w:ascii="宋体" w:hAnsi="宋体" w:eastAsia="宋体" w:cs="宋体"/>
                <w:caps w:val="0"/>
                <w:color w:val="000000" w:themeColor="text1"/>
                <w:spacing w:val="0"/>
                <w:kern w:val="0"/>
                <w:sz w:val="24"/>
                <w:szCs w:val="24"/>
                <w:highlight w:val="none"/>
                <w:vertAlign w:val="subscript"/>
                <w:lang w:val="en-US" w:eastAsia="zh-CN" w:bidi="ar"/>
                <w14:textFill>
                  <w14:solidFill>
                    <w14:schemeClr w14:val="tx1"/>
                  </w14:solidFill>
                </w14:textFill>
              </w:rPr>
              <w:t>3</w:t>
            </w:r>
          </w:p>
        </w:tc>
        <w:tc>
          <w:tcPr>
            <w:tcW w:w="7958" w:type="dxa"/>
            <w:gridSpan w:val="2"/>
            <w:tcBorders>
              <w:top w:val="single" w:color="auto" w:sz="4" w:space="0"/>
              <w:left w:val="nil"/>
              <w:bottom w:val="single" w:color="auto" w:sz="4" w:space="0"/>
              <w:right w:val="single" w:color="auto" w:sz="4" w:space="0"/>
            </w:tcBorders>
            <w:noWrap w:val="0"/>
            <w:vAlign w:val="center"/>
          </w:tcPr>
          <w:p w14:paraId="177B23AD">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采用内插法计算某投标人的投标报价得分M</w:t>
            </w:r>
            <w:r>
              <w:rPr>
                <w:rFonts w:hint="eastAsia" w:ascii="宋体" w:hAnsi="宋体" w:eastAsia="宋体" w:cs="宋体"/>
                <w:caps w:val="0"/>
                <w:color w:val="000000" w:themeColor="text1"/>
                <w:spacing w:val="0"/>
                <w:kern w:val="0"/>
                <w:sz w:val="24"/>
                <w:szCs w:val="24"/>
                <w:highlight w:val="none"/>
                <w:vertAlign w:val="subscript"/>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，即当投标人的投标总价等于评标基准价时得满分，每高于评标基准价一个百分点扣0.5分， 每低于评标基准价一个百分点扣0.3分，扣完为止。公式如下：</w:t>
            </w:r>
          </w:p>
          <w:p w14:paraId="0911B92C">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M</w:t>
            </w:r>
            <w:r>
              <w:rPr>
                <w:rFonts w:hint="eastAsia" w:ascii="宋体" w:hAnsi="宋体" w:eastAsia="宋体" w:cs="宋体"/>
                <w:caps w:val="0"/>
                <w:color w:val="000000" w:themeColor="text1"/>
                <w:spacing w:val="0"/>
                <w:kern w:val="0"/>
                <w:sz w:val="24"/>
                <w:szCs w:val="24"/>
                <w:highlight w:val="none"/>
                <w:vertAlign w:val="subscript"/>
                <w:lang w:val="en-US" w:eastAsia="zh-CN" w:bidi="ar"/>
                <w14:textFill>
                  <w14:solidFill>
                    <w14:schemeClr w14:val="tx1"/>
                  </w14:solidFill>
                </w14:textFill>
              </w:rPr>
              <w:t>3</w:t>
            </w: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＝20-(| Di-D | ÷D)×100×E</w:t>
            </w:r>
          </w:p>
          <w:p w14:paraId="16F2E54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宋体" w:hAnsi="宋体" w:eastAsia="宋体" w:cs="宋体"/>
                <w:caps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color w:val="000000" w:themeColor="text1"/>
                <w:spacing w:val="0"/>
                <w:kern w:val="0"/>
                <w:sz w:val="24"/>
                <w:szCs w:val="24"/>
                <w:highlight w:val="none"/>
                <w:lang w:val="en-US" w:eastAsia="zh-CN" w:bidi="ar"/>
                <w14:textFill>
                  <w14:solidFill>
                    <w14:schemeClr w14:val="tx1"/>
                  </w14:solidFill>
                </w14:textFill>
              </w:rPr>
              <w:t>式中：D为评标基准价，Di为某投标人的投标总价；E为扣分因子。当Di＞D时，E＝0.5；当Di＜D时，E＝0.3。</w:t>
            </w:r>
          </w:p>
        </w:tc>
      </w:tr>
    </w:tbl>
    <w:p w14:paraId="20F87781">
      <w:pPr>
        <w:pStyle w:val="39"/>
        <w:jc w:val="both"/>
        <w:rPr>
          <w:rFonts w:ascii="宋体" w:hAnsi="宋体" w:cs="宋体"/>
          <w:color w:val="000000" w:themeColor="text1"/>
          <w:sz w:val="24"/>
          <w:highlight w:val="none"/>
          <w14:textFill>
            <w14:solidFill>
              <w14:schemeClr w14:val="tx1"/>
            </w14:solidFill>
          </w14:textFill>
        </w:rPr>
      </w:pPr>
    </w:p>
    <w:p w14:paraId="0C706665">
      <w:pPr>
        <w:wordWrap w:val="0"/>
        <w:adjustRightInd w:val="0"/>
        <w:snapToGrid w:val="0"/>
        <w:spacing w:line="440" w:lineRule="exact"/>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p>
    <w:p w14:paraId="5A884232">
      <w:pPr>
        <w:wordWrap w:val="0"/>
        <w:adjustRightInd w:val="0"/>
        <w:snapToGrid w:val="0"/>
        <w:spacing w:line="440" w:lineRule="exact"/>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Cs w:val="24"/>
          <w:highlight w:val="none"/>
          <w14:textFill>
            <w14:solidFill>
              <w14:schemeClr w14:val="tx1"/>
            </w14:solidFill>
          </w14:textFill>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000000" w:themeColor="text1"/>
          <w:kern w:val="0"/>
          <w:szCs w:val="24"/>
          <w:highlight w:val="none"/>
          <w14:textFill>
            <w14:solidFill>
              <w14:schemeClr w14:val="tx1"/>
            </w14:solidFill>
          </w14:textFill>
        </w:rPr>
      </w:pPr>
    </w:p>
    <w:p w14:paraId="284073A0">
      <w:pPr>
        <w:rPr>
          <w:color w:val="000000" w:themeColor="text1"/>
          <w:highlight w:val="none"/>
          <w14:textFill>
            <w14:solidFill>
              <w14:schemeClr w14:val="tx1"/>
            </w14:solidFill>
          </w14:textFill>
        </w:rPr>
      </w:pPr>
    </w:p>
    <w:p w14:paraId="547374B9">
      <w:pPr>
        <w:rPr>
          <w:color w:val="000000" w:themeColor="text1"/>
          <w:highlight w:val="none"/>
          <w14:textFill>
            <w14:solidFill>
              <w14:schemeClr w14:val="tx1"/>
            </w14:solidFill>
          </w14:textFill>
        </w:rPr>
      </w:pPr>
    </w:p>
    <w:p w14:paraId="11A71956">
      <w:pPr>
        <w:rPr>
          <w:color w:val="000000" w:themeColor="text1"/>
          <w:highlight w:val="none"/>
          <w14:textFill>
            <w14:solidFill>
              <w14:schemeClr w14:val="tx1"/>
            </w14:solidFill>
          </w14:textFill>
        </w:rPr>
      </w:pPr>
    </w:p>
    <w:p w14:paraId="76B5FEA1">
      <w:pPr>
        <w:pStyle w:val="15"/>
        <w:rPr>
          <w:color w:val="000000" w:themeColor="text1"/>
          <w:highlight w:val="none"/>
          <w14:textFill>
            <w14:solidFill>
              <w14:schemeClr w14:val="tx1"/>
            </w14:solidFill>
          </w14:textFill>
        </w:rPr>
      </w:pPr>
    </w:p>
    <w:p w14:paraId="3EFC77ED">
      <w:pPr>
        <w:pStyle w:val="15"/>
        <w:rPr>
          <w:color w:val="000000" w:themeColor="text1"/>
          <w:highlight w:val="none"/>
          <w14:textFill>
            <w14:solidFill>
              <w14:schemeClr w14:val="tx1"/>
            </w14:solidFill>
          </w14:textFill>
        </w:rPr>
      </w:pPr>
    </w:p>
    <w:p w14:paraId="03562CB9">
      <w:pPr>
        <w:pStyle w:val="15"/>
        <w:rPr>
          <w:color w:val="000000" w:themeColor="text1"/>
          <w:highlight w:val="none"/>
          <w14:textFill>
            <w14:solidFill>
              <w14:schemeClr w14:val="tx1"/>
            </w14:solidFill>
          </w14:textFill>
        </w:rPr>
      </w:pPr>
    </w:p>
    <w:p w14:paraId="238A6674">
      <w:pPr>
        <w:rPr>
          <w:color w:val="000000" w:themeColor="text1"/>
          <w:highlight w:val="none"/>
          <w14:textFill>
            <w14:solidFill>
              <w14:schemeClr w14:val="tx1"/>
            </w14:solidFill>
          </w14:textFill>
        </w:rPr>
      </w:pPr>
    </w:p>
    <w:p w14:paraId="42B2D1BE">
      <w:pPr>
        <w:wordWrap w:val="0"/>
        <w:adjustRightInd w:val="0"/>
        <w:snapToGrid w:val="0"/>
        <w:spacing w:after="240" w:afterLines="100" w:line="440" w:lineRule="exact"/>
        <w:jc w:val="center"/>
        <w:rPr>
          <w:rFonts w:hAnsi="宋体" w:cs="宋体"/>
          <w:b/>
          <w:bCs/>
          <w:snapToGrid w:val="0"/>
          <w:color w:val="000000" w:themeColor="text1"/>
          <w:kern w:val="0"/>
          <w:sz w:val="28"/>
          <w:szCs w:val="28"/>
          <w:highlight w:val="none"/>
          <w14:textFill>
            <w14:solidFill>
              <w14:schemeClr w14:val="tx1"/>
            </w14:solidFill>
          </w14:textFill>
        </w:rPr>
      </w:pPr>
      <w:r>
        <w:rPr>
          <w:rFonts w:hint="eastAsia" w:hAnsi="宋体" w:cs="宋体"/>
          <w:b/>
          <w:bCs/>
          <w:snapToGrid w:val="0"/>
          <w:color w:val="000000" w:themeColor="text1"/>
          <w:kern w:val="0"/>
          <w:sz w:val="28"/>
          <w:szCs w:val="28"/>
          <w:highlight w:val="none"/>
          <w14:textFill>
            <w14:solidFill>
              <w14:schemeClr w14:val="tx1"/>
            </w14:solidFill>
          </w14:textFill>
        </w:rPr>
        <w:t>表2 项目监理机构其他人员需求表</w:t>
      </w:r>
    </w:p>
    <w:tbl>
      <w:tblPr>
        <w:tblStyle w:val="30"/>
        <w:tblpPr w:leftFromText="180" w:rightFromText="180" w:vertAnchor="text" w:horzAnchor="page" w:tblpX="1278" w:tblpY="309"/>
        <w:tblOverlap w:val="never"/>
        <w:tblW w:w="95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4"/>
        <w:gridCol w:w="2131"/>
        <w:gridCol w:w="677"/>
        <w:gridCol w:w="5528"/>
      </w:tblGrid>
      <w:tr w14:paraId="52EF0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9540" w:type="dxa"/>
            <w:gridSpan w:val="4"/>
            <w:noWrap w:val="0"/>
            <w:vAlign w:val="top"/>
          </w:tcPr>
          <w:p w14:paraId="2538CBE2">
            <w:pPr>
              <w:spacing w:before="244" w:line="222" w:lineRule="auto"/>
              <w:ind w:left="12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其他监理人员（除总监理工程师外</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共</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pacing w:val="-3"/>
                <w:sz w:val="24"/>
                <w:szCs w:val="24"/>
                <w:highlight w:val="none"/>
                <w14:textFill>
                  <w14:solidFill>
                    <w14:schemeClr w14:val="tx1"/>
                  </w14:solidFill>
                </w14:textFill>
              </w:rPr>
              <w:t>人</w:t>
            </w:r>
          </w:p>
        </w:tc>
      </w:tr>
      <w:tr w14:paraId="0A67F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204" w:type="dxa"/>
            <w:noWrap w:val="0"/>
            <w:vAlign w:val="top"/>
          </w:tcPr>
          <w:p w14:paraId="1A52A20A">
            <w:pPr>
              <w:spacing w:before="271" w:line="222" w:lineRule="auto"/>
              <w:ind w:left="3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职务</w:t>
            </w:r>
          </w:p>
        </w:tc>
        <w:tc>
          <w:tcPr>
            <w:tcW w:w="2131" w:type="dxa"/>
            <w:noWrap w:val="0"/>
            <w:vAlign w:val="top"/>
          </w:tcPr>
          <w:p w14:paraId="32F2302A">
            <w:pPr>
              <w:spacing w:before="271" w:line="223" w:lineRule="auto"/>
              <w:ind w:left="6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专业要求</w:t>
            </w:r>
          </w:p>
        </w:tc>
        <w:tc>
          <w:tcPr>
            <w:tcW w:w="677" w:type="dxa"/>
            <w:noWrap w:val="0"/>
            <w:vAlign w:val="top"/>
          </w:tcPr>
          <w:p w14:paraId="5780B8A7">
            <w:pPr>
              <w:spacing w:before="122" w:line="238" w:lineRule="auto"/>
              <w:ind w:left="117" w:right="107" w:firstLine="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数量</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要求</w:t>
            </w:r>
          </w:p>
        </w:tc>
        <w:tc>
          <w:tcPr>
            <w:tcW w:w="5528" w:type="dxa"/>
            <w:noWrap w:val="0"/>
            <w:vAlign w:val="top"/>
          </w:tcPr>
          <w:p w14:paraId="64957552">
            <w:pPr>
              <w:spacing w:before="271" w:line="223" w:lineRule="auto"/>
              <w:ind w:left="22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持证要求</w:t>
            </w:r>
          </w:p>
        </w:tc>
      </w:tr>
      <w:tr w14:paraId="4B8A1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1204" w:type="dxa"/>
            <w:vMerge w:val="restart"/>
            <w:noWrap w:val="0"/>
            <w:vAlign w:val="top"/>
          </w:tcPr>
          <w:p w14:paraId="5230B62C">
            <w:pPr>
              <w:spacing w:line="250" w:lineRule="auto"/>
              <w:rPr>
                <w:rFonts w:hint="eastAsia" w:ascii="宋体" w:hAnsi="宋体" w:eastAsia="宋体" w:cs="宋体"/>
                <w:color w:val="000000" w:themeColor="text1"/>
                <w:sz w:val="24"/>
                <w:szCs w:val="24"/>
                <w:highlight w:val="none"/>
                <w14:textFill>
                  <w14:solidFill>
                    <w14:schemeClr w14:val="tx1"/>
                  </w14:solidFill>
                </w14:textFill>
              </w:rPr>
            </w:pPr>
          </w:p>
          <w:p w14:paraId="7D6C5187">
            <w:pPr>
              <w:spacing w:line="250" w:lineRule="auto"/>
              <w:rPr>
                <w:rFonts w:hint="eastAsia" w:ascii="宋体" w:hAnsi="宋体" w:eastAsia="宋体" w:cs="宋体"/>
                <w:color w:val="000000" w:themeColor="text1"/>
                <w:sz w:val="24"/>
                <w:szCs w:val="24"/>
                <w:highlight w:val="none"/>
                <w14:textFill>
                  <w14:solidFill>
                    <w14:schemeClr w14:val="tx1"/>
                  </w14:solidFill>
                </w14:textFill>
              </w:rPr>
            </w:pPr>
          </w:p>
          <w:p w14:paraId="04D24A74">
            <w:pPr>
              <w:spacing w:line="251" w:lineRule="auto"/>
              <w:rPr>
                <w:rFonts w:hint="eastAsia" w:ascii="宋体" w:hAnsi="宋体" w:eastAsia="宋体" w:cs="宋体"/>
                <w:color w:val="000000" w:themeColor="text1"/>
                <w:sz w:val="24"/>
                <w:szCs w:val="24"/>
                <w:highlight w:val="none"/>
                <w14:textFill>
                  <w14:solidFill>
                    <w14:schemeClr w14:val="tx1"/>
                  </w14:solidFill>
                </w14:textFill>
              </w:rPr>
            </w:pPr>
          </w:p>
          <w:p w14:paraId="533ABDA6">
            <w:pPr>
              <w:spacing w:line="251" w:lineRule="auto"/>
              <w:rPr>
                <w:rFonts w:hint="eastAsia" w:ascii="宋体" w:hAnsi="宋体" w:eastAsia="宋体" w:cs="宋体"/>
                <w:color w:val="000000" w:themeColor="text1"/>
                <w:sz w:val="24"/>
                <w:szCs w:val="24"/>
                <w:highlight w:val="none"/>
                <w14:textFill>
                  <w14:solidFill>
                    <w14:schemeClr w14:val="tx1"/>
                  </w14:solidFill>
                </w14:textFill>
              </w:rPr>
            </w:pPr>
          </w:p>
          <w:p w14:paraId="7E24D97F">
            <w:pPr>
              <w:spacing w:line="251" w:lineRule="auto"/>
              <w:rPr>
                <w:rFonts w:hint="eastAsia" w:ascii="宋体" w:hAnsi="宋体" w:eastAsia="宋体" w:cs="宋体"/>
                <w:color w:val="000000" w:themeColor="text1"/>
                <w:sz w:val="24"/>
                <w:szCs w:val="24"/>
                <w:highlight w:val="none"/>
                <w14:textFill>
                  <w14:solidFill>
                    <w14:schemeClr w14:val="tx1"/>
                  </w14:solidFill>
                </w14:textFill>
              </w:rPr>
            </w:pPr>
          </w:p>
          <w:p w14:paraId="72DD4C9C">
            <w:pPr>
              <w:spacing w:line="251" w:lineRule="auto"/>
              <w:rPr>
                <w:rFonts w:hint="eastAsia" w:ascii="宋体" w:hAnsi="宋体" w:eastAsia="宋体" w:cs="宋体"/>
                <w:color w:val="000000" w:themeColor="text1"/>
                <w:sz w:val="24"/>
                <w:szCs w:val="24"/>
                <w:highlight w:val="none"/>
                <w14:textFill>
                  <w14:solidFill>
                    <w14:schemeClr w14:val="tx1"/>
                  </w14:solidFill>
                </w14:textFill>
              </w:rPr>
            </w:pPr>
          </w:p>
          <w:p w14:paraId="40DF3350">
            <w:pPr>
              <w:spacing w:line="251" w:lineRule="auto"/>
              <w:rPr>
                <w:rFonts w:hint="eastAsia" w:ascii="宋体" w:hAnsi="宋体" w:eastAsia="宋体" w:cs="宋体"/>
                <w:color w:val="000000" w:themeColor="text1"/>
                <w:sz w:val="24"/>
                <w:szCs w:val="24"/>
                <w:highlight w:val="none"/>
                <w14:textFill>
                  <w14:solidFill>
                    <w14:schemeClr w14:val="tx1"/>
                  </w14:solidFill>
                </w14:textFill>
              </w:rPr>
            </w:pPr>
          </w:p>
          <w:p w14:paraId="4745E98C">
            <w:pPr>
              <w:pStyle w:val="156"/>
              <w:spacing w:before="78" w:line="264" w:lineRule="auto"/>
              <w:ind w:left="239" w:right="110" w:hanging="12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专业监理</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工程师</w:t>
            </w:r>
          </w:p>
        </w:tc>
        <w:tc>
          <w:tcPr>
            <w:tcW w:w="2131" w:type="dxa"/>
            <w:noWrap w:val="0"/>
            <w:vAlign w:val="center"/>
          </w:tcPr>
          <w:p w14:paraId="762B91E0">
            <w:pPr>
              <w:spacing w:line="241" w:lineRule="auto"/>
              <w:jc w:val="center"/>
              <w:rPr>
                <w:rFonts w:hint="eastAsia" w:ascii="宋体" w:hAnsi="宋体" w:eastAsia="宋体" w:cs="宋体"/>
                <w:color w:val="000000" w:themeColor="text1"/>
                <w:sz w:val="24"/>
                <w:szCs w:val="24"/>
                <w:highlight w:val="none"/>
                <w14:textFill>
                  <w14:solidFill>
                    <w14:schemeClr w14:val="tx1"/>
                  </w14:solidFill>
                </w14:textFill>
              </w:rPr>
            </w:pPr>
          </w:p>
          <w:p w14:paraId="64652F42">
            <w:pPr>
              <w:spacing w:line="242" w:lineRule="auto"/>
              <w:jc w:val="both"/>
              <w:rPr>
                <w:rFonts w:hint="eastAsia" w:ascii="宋体" w:hAnsi="宋体" w:eastAsia="宋体" w:cs="宋体"/>
                <w:color w:val="000000" w:themeColor="text1"/>
                <w:sz w:val="24"/>
                <w:szCs w:val="24"/>
                <w:highlight w:val="none"/>
                <w14:textFill>
                  <w14:solidFill>
                    <w14:schemeClr w14:val="tx1"/>
                  </w14:solidFill>
                </w14:textFill>
              </w:rPr>
            </w:pPr>
          </w:p>
          <w:p w14:paraId="0F6C07D6">
            <w:pPr>
              <w:pStyle w:val="156"/>
              <w:spacing w:before="78" w:line="219" w:lineRule="auto"/>
              <w:ind w:left="33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市政公用</w:t>
            </w:r>
            <w:r>
              <w:rPr>
                <w:rFonts w:hint="eastAsia" w:ascii="宋体" w:hAnsi="宋体" w:eastAsia="宋体" w:cs="宋体"/>
                <w:color w:val="000000" w:themeColor="text1"/>
                <w:spacing w:val="-3"/>
                <w:sz w:val="24"/>
                <w:szCs w:val="24"/>
                <w:highlight w:val="none"/>
                <w14:textFill>
                  <w14:solidFill>
                    <w14:schemeClr w14:val="tx1"/>
                  </w14:solidFill>
                </w14:textFill>
              </w:rPr>
              <w:t>工程</w:t>
            </w:r>
          </w:p>
        </w:tc>
        <w:tc>
          <w:tcPr>
            <w:tcW w:w="677" w:type="dxa"/>
            <w:noWrap w:val="0"/>
            <w:vAlign w:val="center"/>
          </w:tcPr>
          <w:p w14:paraId="683FE81A">
            <w:pPr>
              <w:spacing w:line="246" w:lineRule="auto"/>
              <w:jc w:val="center"/>
              <w:rPr>
                <w:rFonts w:hint="eastAsia" w:ascii="宋体" w:hAnsi="宋体" w:eastAsia="宋体" w:cs="宋体"/>
                <w:color w:val="000000" w:themeColor="text1"/>
                <w:sz w:val="24"/>
                <w:szCs w:val="24"/>
                <w:highlight w:val="none"/>
                <w14:textFill>
                  <w14:solidFill>
                    <w14:schemeClr w14:val="tx1"/>
                  </w14:solidFill>
                </w14:textFill>
              </w:rPr>
            </w:pPr>
          </w:p>
          <w:p w14:paraId="4590E142">
            <w:pPr>
              <w:spacing w:line="246" w:lineRule="auto"/>
              <w:jc w:val="center"/>
              <w:rPr>
                <w:rFonts w:hint="eastAsia" w:ascii="宋体" w:hAnsi="宋体" w:eastAsia="宋体" w:cs="宋体"/>
                <w:color w:val="000000" w:themeColor="text1"/>
                <w:sz w:val="24"/>
                <w:szCs w:val="24"/>
                <w:highlight w:val="none"/>
                <w14:textFill>
                  <w14:solidFill>
                    <w14:schemeClr w14:val="tx1"/>
                  </w14:solidFill>
                </w14:textFill>
              </w:rPr>
            </w:pPr>
          </w:p>
          <w:p w14:paraId="4EB615E2">
            <w:pPr>
              <w:pStyle w:val="156"/>
              <w:spacing w:before="79" w:line="183"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5528" w:type="dxa"/>
            <w:vMerge w:val="restart"/>
            <w:noWrap w:val="0"/>
            <w:vAlign w:val="top"/>
          </w:tcPr>
          <w:p w14:paraId="156E6A94">
            <w:pPr>
              <w:spacing w:line="325" w:lineRule="auto"/>
              <w:rPr>
                <w:rFonts w:hint="eastAsia" w:ascii="宋体" w:hAnsi="宋体" w:eastAsia="宋体" w:cs="宋体"/>
                <w:color w:val="000000" w:themeColor="text1"/>
                <w:sz w:val="24"/>
                <w:szCs w:val="24"/>
                <w:highlight w:val="none"/>
                <w14:textFill>
                  <w14:solidFill>
                    <w14:schemeClr w14:val="tx1"/>
                  </w14:solidFill>
                </w14:textFill>
              </w:rPr>
            </w:pPr>
          </w:p>
          <w:p w14:paraId="07471CAA">
            <w:pPr>
              <w:pStyle w:val="156"/>
              <w:spacing w:before="78" w:line="219" w:lineRule="auto"/>
              <w:ind w:left="1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符合以下</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 种情形之一均可：</w:t>
            </w:r>
          </w:p>
          <w:p w14:paraId="042F67D7">
            <w:pPr>
              <w:pStyle w:val="156"/>
              <w:spacing w:before="74" w:line="248" w:lineRule="auto"/>
              <w:ind w:left="114" w:right="108" w:firstLine="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1．具备注册监理工程师执业资格，持有效的注册</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证书；</w:t>
            </w:r>
          </w:p>
          <w:p w14:paraId="46351632">
            <w:pPr>
              <w:pStyle w:val="156"/>
              <w:spacing w:before="77" w:line="257" w:lineRule="auto"/>
              <w:ind w:left="113" w:right="25" w:hanging="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具备工程类注册执业资格，并经监理业务培训。</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持有效的注册证书、省级建设行政主管部门或其授</w:t>
            </w:r>
            <w:r>
              <w:rPr>
                <w:rFonts w:hint="eastAsia" w:ascii="宋体" w:hAnsi="宋体" w:eastAsia="宋体" w:cs="宋体"/>
                <w:color w:val="000000" w:themeColor="text1"/>
                <w:spacing w:val="-1"/>
                <w:sz w:val="24"/>
                <w:szCs w:val="24"/>
                <w:highlight w:val="none"/>
                <w14:textFill>
                  <w14:solidFill>
                    <w14:schemeClr w14:val="tx1"/>
                  </w14:solidFill>
                </w14:textFill>
              </w:rPr>
              <w:t>权的组织（机构）颁发的岗位证书；</w:t>
            </w:r>
          </w:p>
          <w:p w14:paraId="780929CF">
            <w:pPr>
              <w:pStyle w:val="156"/>
              <w:spacing w:before="77" w:line="257" w:lineRule="auto"/>
              <w:ind w:left="115" w:right="1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经监理业务</w:t>
            </w:r>
            <w:r>
              <w:rPr>
                <w:rFonts w:hint="eastAsia" w:ascii="宋体" w:hAnsi="宋体" w:eastAsia="宋体" w:cs="宋体"/>
                <w:color w:val="000000" w:themeColor="text1"/>
                <w:spacing w:val="-4"/>
                <w:sz w:val="24"/>
                <w:szCs w:val="24"/>
                <w:highlight w:val="none"/>
                <w14:textFill>
                  <w14:solidFill>
                    <w14:schemeClr w14:val="tx1"/>
                  </w14:solidFill>
                </w14:textFill>
              </w:rPr>
              <w:t>培训</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持有效的省级建设行政主管部门</w:t>
            </w:r>
            <w:r>
              <w:rPr>
                <w:rFonts w:hint="eastAsia" w:ascii="宋体" w:hAnsi="宋体" w:eastAsia="宋体" w:cs="宋体"/>
                <w:color w:val="000000" w:themeColor="text1"/>
                <w:spacing w:val="-1"/>
                <w:sz w:val="24"/>
                <w:szCs w:val="24"/>
                <w:highlight w:val="none"/>
                <w14:textFill>
                  <w14:solidFill>
                    <w14:schemeClr w14:val="tx1"/>
                  </w14:solidFill>
                </w14:textFill>
              </w:rPr>
              <w:t>或其授权的组织（机构）颁发的岗位证书。</w:t>
            </w:r>
          </w:p>
          <w:p w14:paraId="32895F6C">
            <w:pPr>
              <w:pStyle w:val="156"/>
              <w:spacing w:before="76" w:line="263" w:lineRule="auto"/>
              <w:ind w:left="118" w:right="106"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注：专业类别以注册执业证书或专业监理工程师证</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书或毕业证所列明的专业为准。</w:t>
            </w:r>
          </w:p>
        </w:tc>
      </w:tr>
      <w:tr w14:paraId="2049B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204" w:type="dxa"/>
            <w:vMerge w:val="continue"/>
            <w:noWrap w:val="0"/>
            <w:vAlign w:val="top"/>
          </w:tcPr>
          <w:p w14:paraId="4191B5AD">
            <w:pPr>
              <w:pStyle w:val="156"/>
              <w:spacing w:before="78" w:line="264" w:lineRule="auto"/>
              <w:ind w:left="239" w:right="110" w:hanging="121"/>
              <w:rPr>
                <w:rFonts w:hint="eastAsia" w:ascii="宋体" w:hAnsi="宋体" w:eastAsia="宋体" w:cs="宋体"/>
                <w:color w:val="000000" w:themeColor="text1"/>
                <w:spacing w:val="-3"/>
                <w:sz w:val="24"/>
                <w:szCs w:val="24"/>
                <w:highlight w:val="none"/>
                <w14:textFill>
                  <w14:solidFill>
                    <w14:schemeClr w14:val="tx1"/>
                  </w14:solidFill>
                </w14:textFill>
              </w:rPr>
            </w:pPr>
          </w:p>
        </w:tc>
        <w:tc>
          <w:tcPr>
            <w:tcW w:w="2131" w:type="dxa"/>
            <w:noWrap w:val="0"/>
            <w:vAlign w:val="center"/>
          </w:tcPr>
          <w:p w14:paraId="19205256">
            <w:pPr>
              <w:pStyle w:val="156"/>
              <w:spacing w:before="78" w:line="219" w:lineRule="auto"/>
              <w:jc w:val="cente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房屋建筑工程</w:t>
            </w:r>
          </w:p>
        </w:tc>
        <w:tc>
          <w:tcPr>
            <w:tcW w:w="677" w:type="dxa"/>
            <w:noWrap w:val="0"/>
            <w:vAlign w:val="center"/>
          </w:tcPr>
          <w:p w14:paraId="781C3D09">
            <w:pPr>
              <w:pStyle w:val="156"/>
              <w:spacing w:before="79" w:line="183" w:lineRule="auto"/>
              <w:ind w:left="281"/>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5528" w:type="dxa"/>
            <w:vMerge w:val="continue"/>
            <w:noWrap w:val="0"/>
            <w:vAlign w:val="top"/>
          </w:tcPr>
          <w:p w14:paraId="34645653">
            <w:pPr>
              <w:pStyle w:val="156"/>
              <w:spacing w:before="76" w:line="263" w:lineRule="auto"/>
              <w:ind w:left="118" w:right="106" w:hanging="4"/>
              <w:rPr>
                <w:rFonts w:hint="eastAsia" w:ascii="宋体" w:hAnsi="宋体" w:eastAsia="宋体" w:cs="宋体"/>
                <w:color w:val="000000" w:themeColor="text1"/>
                <w:spacing w:val="-4"/>
                <w:sz w:val="24"/>
                <w:szCs w:val="24"/>
                <w:highlight w:val="none"/>
                <w14:textFill>
                  <w14:solidFill>
                    <w14:schemeClr w14:val="tx1"/>
                  </w14:solidFill>
                </w14:textFill>
              </w:rPr>
            </w:pPr>
          </w:p>
        </w:tc>
      </w:tr>
      <w:tr w14:paraId="2E071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1204" w:type="dxa"/>
            <w:noWrap w:val="0"/>
            <w:vAlign w:val="top"/>
          </w:tcPr>
          <w:p w14:paraId="581780D8">
            <w:pPr>
              <w:spacing w:line="346" w:lineRule="auto"/>
              <w:rPr>
                <w:rFonts w:hint="eastAsia" w:ascii="宋体" w:hAnsi="宋体" w:eastAsia="宋体" w:cs="宋体"/>
                <w:color w:val="000000" w:themeColor="text1"/>
                <w:sz w:val="24"/>
                <w:szCs w:val="24"/>
                <w:highlight w:val="none"/>
                <w14:textFill>
                  <w14:solidFill>
                    <w14:schemeClr w14:val="tx1"/>
                  </w14:solidFill>
                </w14:textFill>
              </w:rPr>
            </w:pPr>
          </w:p>
          <w:p w14:paraId="03D35F15">
            <w:pPr>
              <w:pStyle w:val="156"/>
              <w:spacing w:before="78" w:line="221" w:lineRule="auto"/>
              <w:ind w:left="2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监理员</w:t>
            </w:r>
          </w:p>
        </w:tc>
        <w:tc>
          <w:tcPr>
            <w:tcW w:w="2131" w:type="dxa"/>
            <w:noWrap w:val="0"/>
            <w:vAlign w:val="center"/>
          </w:tcPr>
          <w:p w14:paraId="5FD9DA94">
            <w:pPr>
              <w:pStyle w:val="27"/>
              <w:wordWrap w:val="0"/>
              <w:adjustRightInd w:val="0"/>
              <w:snapToGrid w:val="0"/>
              <w:spacing w:line="360" w:lineRule="exact"/>
              <w:ind w:left="0" w:leftChars="0" w:right="0" w:right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具备岗位证书</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（有效期内）</w:t>
            </w:r>
          </w:p>
        </w:tc>
        <w:tc>
          <w:tcPr>
            <w:tcW w:w="677" w:type="dxa"/>
            <w:noWrap w:val="0"/>
            <w:vAlign w:val="center"/>
          </w:tcPr>
          <w:p w14:paraId="495F5189">
            <w:pPr>
              <w:pStyle w:val="27"/>
              <w:wordWrap w:val="0"/>
              <w:adjustRightInd w:val="0"/>
              <w:snapToGrid w:val="0"/>
              <w:spacing w:line="360" w:lineRule="exact"/>
              <w:ind w:left="0" w:leftChars="0" w:right="0" w:rightChars="0"/>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5528" w:type="dxa"/>
            <w:noWrap w:val="0"/>
            <w:vAlign w:val="center"/>
          </w:tcPr>
          <w:p w14:paraId="5B468F08">
            <w:pPr>
              <w:pStyle w:val="27"/>
              <w:wordWrap w:val="0"/>
              <w:adjustRightInd w:val="0"/>
              <w:snapToGrid w:val="0"/>
              <w:spacing w:line="360" w:lineRule="exact"/>
              <w:ind w:left="0" w:leftChars="0" w:right="0" w:righ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经监理业务培训，持有效的省级建设行政主管部门或其授权的组织（机构）颁发的岗位证书。</w:t>
            </w:r>
          </w:p>
        </w:tc>
      </w:tr>
    </w:tbl>
    <w:p w14:paraId="118335F1">
      <w:pPr>
        <w:wordWrap w:val="0"/>
        <w:adjustRightInd w:val="0"/>
        <w:snapToGrid w:val="0"/>
        <w:spacing w:line="440" w:lineRule="exact"/>
        <w:ind w:firstLine="480" w:firstLineChars="200"/>
        <w:rPr>
          <w:rFonts w:hint="eastAsia" w:hAnsi="宋体" w:cs="宋体"/>
          <w:color w:val="000000" w:themeColor="text1"/>
          <w:kern w:val="0"/>
          <w:szCs w:val="24"/>
          <w:highlight w:val="none"/>
          <w14:textFill>
            <w14:solidFill>
              <w14:schemeClr w14:val="tx1"/>
            </w14:solidFill>
          </w14:textFill>
        </w:rPr>
      </w:pPr>
    </w:p>
    <w:p w14:paraId="3E67B8DA">
      <w:pPr>
        <w:wordWrap w:val="0"/>
        <w:adjustRightInd w:val="0"/>
        <w:snapToGrid w:val="0"/>
        <w:spacing w:line="440" w:lineRule="exact"/>
        <w:ind w:firstLine="480" w:firstLineChars="200"/>
        <w:rPr>
          <w:rFonts w:ascii="Times New Roman"/>
          <w:snapToGrid w:val="0"/>
          <w:color w:val="000000" w:themeColor="text1"/>
          <w:kern w:val="0"/>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000000" w:themeColor="text1"/>
          <w:highlight w:val="none"/>
          <w14:textFill>
            <w14:solidFill>
              <w14:schemeClr w14:val="tx1"/>
            </w14:solidFill>
          </w14:textFill>
        </w:rPr>
      </w:pPr>
    </w:p>
    <w:p w14:paraId="07D9C16A">
      <w:pPr>
        <w:adjustRightInd w:val="0"/>
        <w:snapToGrid w:val="0"/>
        <w:spacing w:line="440" w:lineRule="exact"/>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br w:type="page"/>
      </w:r>
    </w:p>
    <w:p w14:paraId="499742D9">
      <w:pPr>
        <w:wordWrap w:val="0"/>
        <w:adjustRightInd w:val="0"/>
        <w:snapToGrid w:val="0"/>
        <w:spacing w:line="440" w:lineRule="exact"/>
        <w:ind w:firstLine="482" w:firstLineChars="200"/>
        <w:rPr>
          <w:rFonts w:hAnsi="宋体" w:cs="宋体"/>
          <w:b/>
          <w:bCs/>
          <w:snapToGrid w:val="0"/>
          <w:color w:val="000000" w:themeColor="text1"/>
          <w:kern w:val="0"/>
          <w:szCs w:val="24"/>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15.5.2 </w:t>
      </w:r>
      <w:r>
        <w:rPr>
          <w:rFonts w:hint="eastAsia" w:hAnsi="宋体" w:cs="宋体"/>
          <w:snapToGrid w:val="0"/>
          <w:color w:val="000000" w:themeColor="text1"/>
          <w:kern w:val="0"/>
          <w:szCs w:val="24"/>
          <w:highlight w:val="none"/>
          <w14:textFill>
            <w14:solidFill>
              <w14:schemeClr w14:val="tx1"/>
            </w14:solidFill>
          </w14:textFill>
        </w:rPr>
        <w:t>否决投标说明</w:t>
      </w:r>
    </w:p>
    <w:p w14:paraId="4CADBCAA">
      <w:pPr>
        <w:wordWrap w:val="0"/>
        <w:adjustRightInd w:val="0"/>
        <w:snapToGrid w:val="0"/>
        <w:spacing w:line="360" w:lineRule="auto"/>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highlight w:val="none"/>
          <w14:textFill>
            <w14:solidFill>
              <w14:schemeClr w14:val="tx1"/>
            </w14:solidFill>
          </w14:textFill>
        </w:rPr>
        <w:t>4</w:t>
      </w:r>
      <w:r>
        <w:rPr>
          <w:rFonts w:hint="eastAsia" w:hAnsi="宋体" w:cs="宋体"/>
          <w:snapToGrid w:val="0"/>
          <w:color w:val="000000" w:themeColor="text1"/>
          <w:kern w:val="0"/>
          <w:szCs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59" w:name="_Toc703"/>
      <w:r>
        <w:rPr>
          <w:rFonts w:hint="eastAsia" w:hAnsi="宋体" w:cs="宋体"/>
          <w:b/>
          <w:snapToGrid w:val="0"/>
          <w:color w:val="000000" w:themeColor="text1"/>
          <w:kern w:val="0"/>
          <w:szCs w:val="24"/>
          <w:highlight w:val="none"/>
          <w14:textFill>
            <w14:solidFill>
              <w14:schemeClr w14:val="tx1"/>
            </w14:solidFill>
          </w14:textFill>
        </w:rPr>
        <w:t>16．推荐中标候选人</w:t>
      </w:r>
      <w:bookmarkEnd w:id="59"/>
    </w:p>
    <w:p w14:paraId="68FFBF61">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16.1</w:t>
      </w:r>
      <w:r>
        <w:rPr>
          <w:rFonts w:hint="eastAsia" w:hAnsi="宋体" w:cs="宋体"/>
          <w:snapToGrid w:val="0"/>
          <w:color w:val="000000" w:themeColor="text1"/>
          <w:kern w:val="0"/>
          <w:szCs w:val="24"/>
          <w:highlight w:val="none"/>
          <w14:textFill>
            <w14:solidFill>
              <w14:schemeClr w14:val="tx1"/>
            </w14:solidFill>
          </w14:textFill>
        </w:rPr>
        <w:t xml:space="preserve"> 确定排名</w:t>
      </w:r>
    </w:p>
    <w:p w14:paraId="43452BB1">
      <w:pPr>
        <w:wordWrap w:val="0"/>
        <w:adjustRightInd w:val="0"/>
        <w:snapToGrid w:val="0"/>
        <w:spacing w:line="360" w:lineRule="auto"/>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16.2</w:t>
      </w:r>
      <w:r>
        <w:rPr>
          <w:rFonts w:hint="eastAsia" w:hAnsi="宋体" w:cs="宋体"/>
          <w:snapToGrid w:val="0"/>
          <w:color w:val="000000" w:themeColor="text1"/>
          <w:kern w:val="0"/>
          <w:szCs w:val="24"/>
          <w:highlight w:val="none"/>
          <w14:textFill>
            <w14:solidFill>
              <w14:schemeClr w14:val="tx1"/>
            </w14:solidFill>
          </w14:textFill>
        </w:rPr>
        <w:t xml:space="preserve"> 推荐方法</w:t>
      </w:r>
    </w:p>
    <w:p w14:paraId="498191B7">
      <w:pPr>
        <w:wordWrap w:val="0"/>
        <w:adjustRightInd w:val="0"/>
        <w:snapToGrid w:val="0"/>
        <w:spacing w:line="360" w:lineRule="auto"/>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16.3</w:t>
      </w:r>
      <w:r>
        <w:rPr>
          <w:rFonts w:hint="eastAsia" w:hAnsi="宋体" w:cs="宋体"/>
          <w:snapToGrid w:val="0"/>
          <w:color w:val="000000" w:themeColor="text1"/>
          <w:kern w:val="0"/>
          <w:szCs w:val="24"/>
          <w:highlight w:val="none"/>
          <w14:textFill>
            <w14:solidFill>
              <w14:schemeClr w14:val="tx1"/>
            </w14:solidFill>
          </w14:textFill>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60" w:name="_Toc29147"/>
      <w:r>
        <w:rPr>
          <w:rFonts w:hint="eastAsia" w:hAnsi="宋体" w:cs="宋体"/>
          <w:b/>
          <w:snapToGrid w:val="0"/>
          <w:color w:val="000000" w:themeColor="text1"/>
          <w:kern w:val="0"/>
          <w:szCs w:val="24"/>
          <w:highlight w:val="none"/>
          <w14:textFill>
            <w14:solidFill>
              <w14:schemeClr w14:val="tx1"/>
            </w14:solidFill>
          </w14:textFill>
        </w:rPr>
        <w:t>17．中标候选人公示</w:t>
      </w:r>
      <w:bookmarkEnd w:id="60"/>
    </w:p>
    <w:p w14:paraId="0789FBF9">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17.1</w:t>
      </w:r>
      <w:r>
        <w:rPr>
          <w:rFonts w:hint="eastAsia" w:hAnsi="宋体" w:cs="宋体"/>
          <w:bCs/>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17.2</w:t>
      </w:r>
      <w:r>
        <w:rPr>
          <w:rFonts w:hint="eastAsia" w:hAnsi="宋体" w:cs="宋体"/>
          <w:snapToGrid w:val="0"/>
          <w:color w:val="000000" w:themeColor="text1"/>
          <w:kern w:val="0"/>
          <w:szCs w:val="24"/>
          <w:highlight w:val="none"/>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17.3</w:t>
      </w:r>
      <w:r>
        <w:rPr>
          <w:rFonts w:hint="eastAsia" w:hAnsi="宋体" w:cs="宋体"/>
          <w:snapToGrid w:val="0"/>
          <w:color w:val="000000" w:themeColor="text1"/>
          <w:kern w:val="0"/>
          <w:szCs w:val="24"/>
          <w:highlight w:val="none"/>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000000" w:themeColor="text1"/>
          <w:kern w:val="0"/>
          <w:highlight w:val="none"/>
          <w14:textFill>
            <w14:solidFill>
              <w14:schemeClr w14:val="tx1"/>
            </w14:solidFill>
          </w14:textFill>
        </w:rPr>
      </w:pPr>
      <w:bookmarkStart w:id="61" w:name="_Toc21097"/>
      <w:r>
        <w:rPr>
          <w:rFonts w:hint="eastAsia" w:hAnsi="宋体" w:cs="宋体"/>
          <w:b/>
          <w:bCs/>
          <w:snapToGrid w:val="0"/>
          <w:color w:val="000000" w:themeColor="text1"/>
          <w:kern w:val="0"/>
          <w:highlight w:val="none"/>
          <w14:textFill>
            <w14:solidFill>
              <w14:schemeClr w14:val="tx1"/>
            </w14:solidFill>
          </w14:textFill>
        </w:rPr>
        <w:t>第四节 否决投标条件</w:t>
      </w:r>
      <w:bookmarkEnd w:id="61"/>
    </w:p>
    <w:p w14:paraId="1217DA6A">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hAnsi="宋体" w:cs="宋体"/>
          <w:snapToGrid w:val="0"/>
          <w:color w:val="000000" w:themeColor="text1"/>
          <w:kern w:val="0"/>
          <w:highlight w:val="none"/>
          <w14:textFill>
            <w14:solidFill>
              <w14:schemeClr w14:val="tx1"/>
            </w14:solidFill>
          </w14:textFill>
        </w:rPr>
        <w:t>本节所称“规定”均指招标文件的规定。</w:t>
      </w:r>
    </w:p>
    <w:p w14:paraId="487AC297">
      <w:pPr>
        <w:wordWrap w:val="0"/>
        <w:adjustRightInd w:val="0"/>
        <w:snapToGrid w:val="0"/>
        <w:spacing w:line="360" w:lineRule="auto"/>
        <w:ind w:firstLine="480"/>
        <w:outlineLvl w:val="2"/>
        <w:rPr>
          <w:rFonts w:hAnsi="宋体" w:cs="宋体"/>
          <w:snapToGrid w:val="0"/>
          <w:color w:val="000000" w:themeColor="text1"/>
          <w:kern w:val="0"/>
          <w:highlight w:val="none"/>
          <w14:textFill>
            <w14:solidFill>
              <w14:schemeClr w14:val="tx1"/>
            </w14:solidFill>
          </w14:textFill>
        </w:rPr>
      </w:pPr>
      <w:bookmarkStart w:id="62" w:name="_Toc13388"/>
      <w:r>
        <w:rPr>
          <w:rFonts w:hint="eastAsia" w:hAnsi="宋体" w:cs="宋体"/>
          <w:b/>
          <w:bCs/>
          <w:snapToGrid w:val="0"/>
          <w:color w:val="000000" w:themeColor="text1"/>
          <w:kern w:val="0"/>
          <w:highlight w:val="none"/>
          <w14:textFill>
            <w14:solidFill>
              <w14:schemeClr w14:val="tx1"/>
            </w14:solidFill>
          </w14:textFill>
        </w:rPr>
        <w:t>1．资格评审环节</w:t>
      </w:r>
      <w:bookmarkEnd w:id="62"/>
    </w:p>
    <w:p w14:paraId="3AA2319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（1）有本章第三节第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条“禁止投标条款”规定的任何一种情形；</w:t>
      </w:r>
    </w:p>
    <w:p w14:paraId="6367D39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（2）投标人资质不符合</w:t>
      </w:r>
      <w:r>
        <w:rPr>
          <w:rFonts w:hint="eastAsia" w:hAnsi="宋体" w:cs="宋体"/>
          <w:snapToGrid w:val="0"/>
          <w:color w:val="000000" w:themeColor="text1"/>
          <w:kern w:val="0"/>
          <w:szCs w:val="18"/>
          <w:highlight w:val="none"/>
          <w14:textFill>
            <w14:solidFill>
              <w14:schemeClr w14:val="tx1"/>
            </w14:solidFill>
          </w14:textFill>
        </w:rPr>
        <w:t>规定的；</w:t>
      </w:r>
    </w:p>
    <w:p w14:paraId="199BFDE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000000" w:themeColor="text1"/>
          <w:kern w:val="0"/>
          <w:szCs w:val="22"/>
          <w:highlight w:val="none"/>
          <w14:textFill>
            <w14:solidFill>
              <w14:schemeClr w14:val="tx1"/>
            </w14:solidFill>
          </w14:textFill>
        </w:rPr>
        <w:t xml:space="preserve">  </w:t>
      </w:r>
    </w:p>
    <w:p w14:paraId="0A6B74E3">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000000" w:themeColor="text1"/>
          <w:kern w:val="0"/>
          <w:highlight w:val="none"/>
          <w14:textFill>
            <w14:solidFill>
              <w14:schemeClr w14:val="tx1"/>
            </w14:solidFill>
          </w14:textFill>
        </w:rPr>
      </w:pPr>
      <w:bookmarkStart w:id="63" w:name="_Toc7280"/>
      <w:r>
        <w:rPr>
          <w:rFonts w:hint="eastAsia" w:hAnsi="宋体" w:cs="宋体"/>
          <w:b/>
          <w:bCs/>
          <w:snapToGrid w:val="0"/>
          <w:color w:val="000000" w:themeColor="text1"/>
          <w:kern w:val="0"/>
          <w:highlight w:val="none"/>
          <w14:textFill>
            <w14:solidFill>
              <w14:schemeClr w14:val="tx1"/>
            </w14:solidFill>
          </w14:textFill>
        </w:rPr>
        <w:t>2．形式评审环节</w:t>
      </w:r>
      <w:bookmarkEnd w:id="63"/>
    </w:p>
    <w:p w14:paraId="0BEB2819">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（9）本章第三节第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（10）关键字迹模糊、无法辨认，</w:t>
      </w:r>
      <w:r>
        <w:rPr>
          <w:rFonts w:hint="eastAsia" w:hAnsi="宋体" w:cs="宋体"/>
          <w:b/>
          <w:bCs/>
          <w:snapToGrid w:val="0"/>
          <w:color w:val="000000" w:themeColor="text1"/>
          <w:kern w:val="0"/>
          <w:highlight w:val="none"/>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highlight w:val="none"/>
          <w14:textFill>
            <w14:solidFill>
              <w14:schemeClr w14:val="tx1"/>
            </w14:solidFill>
          </w14:textFill>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000000" w:themeColor="text1"/>
          <w:kern w:val="0"/>
          <w:highlight w:val="none"/>
          <w14:textFill>
            <w14:solidFill>
              <w14:schemeClr w14:val="tx1"/>
            </w14:solidFill>
          </w14:textFill>
        </w:rPr>
      </w:pPr>
      <w:bookmarkStart w:id="64" w:name="_Toc12619"/>
      <w:r>
        <w:rPr>
          <w:rFonts w:hint="eastAsia" w:hAnsi="宋体" w:cs="宋体"/>
          <w:b/>
          <w:bCs/>
          <w:snapToGrid w:val="0"/>
          <w:color w:val="000000" w:themeColor="text1"/>
          <w:kern w:val="0"/>
          <w:highlight w:val="none"/>
          <w14:textFill>
            <w14:solidFill>
              <w14:schemeClr w14:val="tx1"/>
            </w14:solidFill>
          </w14:textFill>
        </w:rPr>
        <w:t>3．响应性评审环节</w:t>
      </w:r>
      <w:bookmarkEnd w:id="64"/>
    </w:p>
    <w:p w14:paraId="1D351E7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highlight w:val="none"/>
          <w14:textFill>
            <w14:solidFill>
              <w14:schemeClr w14:val="tx1"/>
            </w14:solidFill>
          </w14:textFill>
        </w:rPr>
        <w:t>且该种过错将导致“三控制”目标无法实现的</w:t>
      </w:r>
      <w:r>
        <w:rPr>
          <w:rFonts w:hint="eastAsia" w:hAnsi="宋体" w:cs="宋体"/>
          <w:snapToGrid w:val="0"/>
          <w:color w:val="000000" w:themeColor="text1"/>
          <w:kern w:val="0"/>
          <w:highlight w:val="none"/>
          <w14:textFill>
            <w14:solidFill>
              <w14:schemeClr w14:val="tx1"/>
            </w14:solidFill>
          </w14:textFill>
        </w:rPr>
        <w:t>。</w:t>
      </w:r>
    </w:p>
    <w:p w14:paraId="5BE2B7EB">
      <w:pPr>
        <w:wordWrap w:val="0"/>
        <w:adjustRightInd w:val="0"/>
        <w:snapToGrid w:val="0"/>
        <w:spacing w:line="360" w:lineRule="auto"/>
        <w:ind w:firstLine="480"/>
        <w:outlineLvl w:val="2"/>
        <w:rPr>
          <w:rFonts w:hAnsi="宋体" w:cs="宋体"/>
          <w:b/>
          <w:bCs/>
          <w:snapToGrid w:val="0"/>
          <w:color w:val="000000" w:themeColor="text1"/>
          <w:kern w:val="0"/>
          <w:highlight w:val="none"/>
          <w14:textFill>
            <w14:solidFill>
              <w14:schemeClr w14:val="tx1"/>
            </w14:solidFill>
          </w14:textFill>
        </w:rPr>
      </w:pPr>
      <w:bookmarkStart w:id="65" w:name="_Toc26327"/>
      <w:r>
        <w:rPr>
          <w:rFonts w:hint="eastAsia" w:hAnsi="宋体" w:cs="宋体"/>
          <w:b/>
          <w:bCs/>
          <w:snapToGrid w:val="0"/>
          <w:color w:val="000000" w:themeColor="text1"/>
          <w:kern w:val="0"/>
          <w:highlight w:val="none"/>
          <w14:textFill>
            <w14:solidFill>
              <w14:schemeClr w14:val="tx1"/>
            </w14:solidFill>
          </w14:textFill>
        </w:rPr>
        <w:t>4．其他</w:t>
      </w:r>
      <w:bookmarkEnd w:id="65"/>
    </w:p>
    <w:p w14:paraId="33D6B34F">
      <w:pPr>
        <w:wordWrap w:val="0"/>
        <w:adjustRightInd w:val="0"/>
        <w:snapToGrid w:val="0"/>
        <w:spacing w:line="360" w:lineRule="auto"/>
        <w:ind w:firstLine="480"/>
        <w:rPr>
          <w:rFonts w:hAnsi="宋体" w:cs="宋体"/>
          <w:snapToGrid w:val="0"/>
          <w:color w:val="000000" w:themeColor="text1"/>
          <w:kern w:val="0"/>
          <w:szCs w:val="22"/>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highlight w:val="none"/>
          <w14:textFill>
            <w14:solidFill>
              <w14:schemeClr w14:val="tx1"/>
            </w14:solidFill>
          </w14:textFill>
        </w:rPr>
        <w:t>被否决的投标，不进入下一环节（或阶段）。</w:t>
      </w:r>
    </w:p>
    <w:p w14:paraId="44A9DAF4">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（15）不按评标委员会要求澄清、说明或补正的；</w:t>
      </w:r>
    </w:p>
    <w:p w14:paraId="73919888">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（16）有下列情形之一，被评标委员会认定属于串通投标的：</w:t>
      </w:r>
    </w:p>
    <w:p w14:paraId="163A4EC1">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2"/>
        <w:wordWrap w:val="0"/>
        <w:autoSpaceDE/>
        <w:autoSpaceDN/>
        <w:snapToGrid w:val="0"/>
        <w:spacing w:line="440" w:lineRule="exact"/>
        <w:jc w:val="center"/>
        <w:rPr>
          <w:rFonts w:hAnsi="宋体" w:cs="宋体"/>
          <w:b/>
          <w:snapToGrid w:val="0"/>
          <w:color w:val="000000" w:themeColor="text1"/>
          <w:sz w:val="32"/>
          <w:szCs w:val="22"/>
          <w:highlight w:val="none"/>
          <w14:textFill>
            <w14:solidFill>
              <w14:schemeClr w14:val="tx1"/>
            </w14:solidFill>
          </w14:textFill>
        </w:rPr>
      </w:pPr>
      <w:bookmarkStart w:id="66" w:name="_Hlt112206772"/>
      <w:bookmarkEnd w:id="66"/>
      <w:bookmarkStart w:id="67" w:name="_Hlt70150994"/>
      <w:bookmarkEnd w:id="67"/>
      <w:bookmarkStart w:id="68" w:name="_Hlt87952408"/>
      <w:bookmarkEnd w:id="68"/>
      <w:bookmarkStart w:id="69" w:name="_Hlt69669771"/>
      <w:bookmarkEnd w:id="69"/>
      <w:bookmarkStart w:id="70" w:name="_Toc5642"/>
      <w:bookmarkStart w:id="71" w:name="_Hlt69698722"/>
      <w:bookmarkStart w:id="72" w:name="_Hlt69698741"/>
      <w:bookmarkStart w:id="73" w:name="_Hlt69698769"/>
      <w:r>
        <w:rPr>
          <w:rFonts w:hint="eastAsia" w:hAnsi="宋体" w:cs="宋体"/>
          <w:b/>
          <w:snapToGrid w:val="0"/>
          <w:color w:val="000000" w:themeColor="text1"/>
          <w:sz w:val="32"/>
          <w:szCs w:val="22"/>
          <w:highlight w:val="none"/>
          <w14:textFill>
            <w14:solidFill>
              <w14:schemeClr w14:val="tx1"/>
            </w14:solidFill>
          </w14:textFill>
        </w:rPr>
        <w:t>第</w:t>
      </w:r>
      <w:bookmarkStart w:id="74" w:name="_Hlt69669171"/>
      <w:bookmarkEnd w:id="74"/>
      <w:r>
        <w:rPr>
          <w:rFonts w:hint="eastAsia" w:hAnsi="宋体" w:cs="宋体"/>
          <w:b/>
          <w:snapToGrid w:val="0"/>
          <w:color w:val="000000" w:themeColor="text1"/>
          <w:sz w:val="32"/>
          <w:szCs w:val="22"/>
          <w:highlight w:val="none"/>
          <w14:textFill>
            <w14:solidFill>
              <w14:schemeClr w14:val="tx1"/>
            </w14:solidFill>
          </w14:textFill>
        </w:rPr>
        <w:t>二章</w:t>
      </w:r>
      <w:bookmarkStart w:id="75" w:name="_Hlt87793839"/>
      <w:bookmarkEnd w:id="75"/>
      <w:r>
        <w:rPr>
          <w:rFonts w:hint="eastAsia" w:hAnsi="宋体" w:cs="宋体"/>
          <w:b/>
          <w:snapToGrid w:val="0"/>
          <w:color w:val="000000" w:themeColor="text1"/>
          <w:sz w:val="32"/>
          <w:szCs w:val="22"/>
          <w:highlight w:val="none"/>
          <w14:textFill>
            <w14:solidFill>
              <w14:schemeClr w14:val="tx1"/>
            </w14:solidFill>
          </w14:textFill>
        </w:rPr>
        <w:t xml:space="preserve"> 中标人须知</w:t>
      </w:r>
      <w:bookmarkEnd w:id="70"/>
    </w:p>
    <w:bookmarkEnd w:id="71"/>
    <w:bookmarkEnd w:id="72"/>
    <w:bookmarkEnd w:id="73"/>
    <w:p w14:paraId="38AEC5D6">
      <w:pPr>
        <w:bidi w:val="0"/>
        <w:rPr>
          <w:color w:val="000000" w:themeColor="text1"/>
          <w:highlight w:val="none"/>
          <w14:textFill>
            <w14:solidFill>
              <w14:schemeClr w14:val="tx1"/>
            </w14:solidFill>
          </w14:textFill>
        </w:rPr>
      </w:pPr>
    </w:p>
    <w:p w14:paraId="2973E3A6">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highlight w:val="none"/>
          <w14:textFill>
            <w14:solidFill>
              <w14:schemeClr w14:val="tx1"/>
            </w14:solidFill>
          </w14:textFill>
        </w:rPr>
      </w:pPr>
      <w:bookmarkStart w:id="76" w:name="_Toc30174"/>
      <w:bookmarkStart w:id="77" w:name="_Toc9571"/>
      <w:bookmarkStart w:id="78" w:name="_Toc31521"/>
      <w:bookmarkStart w:id="79" w:name="_Toc18336"/>
      <w:bookmarkStart w:id="80" w:name="_Toc15170"/>
      <w:bookmarkStart w:id="81" w:name="_Toc21594"/>
      <w:bookmarkStart w:id="82" w:name="_Hlt69698776"/>
      <w:r>
        <w:rPr>
          <w:rFonts w:hint="eastAsia" w:hAnsi="宋体" w:cs="宋体"/>
          <w:b/>
          <w:snapToGrid w:val="0"/>
          <w:color w:val="000000" w:themeColor="text1"/>
          <w:kern w:val="0"/>
          <w:szCs w:val="24"/>
          <w:highlight w:val="none"/>
          <w14:textFill>
            <w14:solidFill>
              <w14:schemeClr w14:val="tx1"/>
            </w14:solidFill>
          </w14:textFill>
        </w:rPr>
        <w:t>1．中标通知书</w:t>
      </w:r>
      <w:bookmarkEnd w:id="76"/>
      <w:bookmarkEnd w:id="77"/>
      <w:bookmarkEnd w:id="78"/>
      <w:bookmarkEnd w:id="79"/>
      <w:bookmarkEnd w:id="80"/>
      <w:bookmarkEnd w:id="81"/>
    </w:p>
    <w:p w14:paraId="0274BDBC">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0542F9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highlight w:val="none"/>
          <w14:textFill>
            <w14:solidFill>
              <w14:schemeClr w14:val="tx1"/>
            </w14:solidFill>
          </w14:textFill>
        </w:rPr>
      </w:pPr>
      <w:bookmarkStart w:id="83" w:name="_Toc23133"/>
      <w:bookmarkStart w:id="84" w:name="_Toc17251"/>
      <w:bookmarkStart w:id="85" w:name="_Toc1519"/>
      <w:bookmarkStart w:id="86" w:name="_Toc19384"/>
      <w:bookmarkStart w:id="87" w:name="_Toc30560"/>
      <w:bookmarkStart w:id="88" w:name="_Toc28601"/>
      <w:r>
        <w:rPr>
          <w:rFonts w:hint="eastAsia" w:hAnsi="宋体" w:cs="宋体"/>
          <w:b/>
          <w:bCs/>
          <w:snapToGrid w:val="0"/>
          <w:color w:val="000000" w:themeColor="text1"/>
          <w:kern w:val="0"/>
          <w:szCs w:val="24"/>
          <w:highlight w:val="none"/>
          <w14:textFill>
            <w14:solidFill>
              <w14:schemeClr w14:val="tx1"/>
            </w14:solidFill>
          </w14:textFill>
        </w:rPr>
        <w:t>2．中标结果公示</w:t>
      </w:r>
      <w:bookmarkEnd w:id="83"/>
      <w:bookmarkEnd w:id="84"/>
      <w:bookmarkEnd w:id="85"/>
      <w:bookmarkEnd w:id="86"/>
      <w:bookmarkEnd w:id="87"/>
      <w:bookmarkEnd w:id="88"/>
    </w:p>
    <w:p w14:paraId="7ED5CFD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（https://zbtb.gd.gov.cn/#/index）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全国公共资源交易平台（广东省·韶关市）（https://ygp.gdzwfw.gov.cn/ggzy-portal/#/440200/index）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进行公示。</w:t>
      </w:r>
    </w:p>
    <w:p w14:paraId="35923D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89" w:name="_Toc25367"/>
      <w:bookmarkStart w:id="90" w:name="_Toc20923"/>
      <w:bookmarkStart w:id="91" w:name="_Toc16211"/>
      <w:bookmarkStart w:id="92" w:name="_Toc23475"/>
      <w:bookmarkStart w:id="93" w:name="_Toc22628"/>
      <w:bookmarkStart w:id="94" w:name="_Toc7804"/>
      <w:r>
        <w:rPr>
          <w:rFonts w:hint="eastAsia" w:hAnsi="宋体" w:cs="宋体"/>
          <w:b/>
          <w:bCs/>
          <w:snapToGrid w:val="0"/>
          <w:color w:val="000000" w:themeColor="text1"/>
          <w:kern w:val="0"/>
          <w:szCs w:val="24"/>
          <w:highlight w:val="none"/>
          <w:lang w:val="en-US" w:eastAsia="zh-CN"/>
          <w14:textFill>
            <w14:solidFill>
              <w14:schemeClr w14:val="tx1"/>
            </w14:solidFill>
          </w14:textFill>
        </w:rPr>
        <w:t>3</w:t>
      </w:r>
      <w:r>
        <w:rPr>
          <w:rFonts w:hint="eastAsia" w:hAnsi="宋体" w:cs="宋体"/>
          <w:b/>
          <w:bCs/>
          <w:snapToGrid w:val="0"/>
          <w:color w:val="000000" w:themeColor="text1"/>
          <w:kern w:val="0"/>
          <w:szCs w:val="24"/>
          <w:highlight w:val="none"/>
          <w14:textFill>
            <w14:solidFill>
              <w14:schemeClr w14:val="tx1"/>
            </w14:solidFill>
          </w14:textFill>
        </w:rPr>
        <w:t>．合同订立</w:t>
      </w:r>
      <w:bookmarkEnd w:id="89"/>
      <w:bookmarkEnd w:id="90"/>
      <w:bookmarkEnd w:id="91"/>
      <w:bookmarkEnd w:id="92"/>
      <w:bookmarkEnd w:id="93"/>
      <w:bookmarkEnd w:id="94"/>
    </w:p>
    <w:p w14:paraId="414BA1F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3</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highlight w:val="none"/>
          <w:u w:val="single"/>
          <w14:textFill>
            <w14:solidFill>
              <w14:schemeClr w14:val="tx1"/>
            </w14:solidFill>
          </w14:textFill>
        </w:rPr>
        <w:t xml:space="preserve"> 30 </w:t>
      </w:r>
      <w:r>
        <w:rPr>
          <w:rFonts w:hint="eastAsia" w:hAnsi="宋体" w:cs="宋体"/>
          <w:snapToGrid w:val="0"/>
          <w:color w:val="000000" w:themeColor="text1"/>
          <w:kern w:val="0"/>
          <w:szCs w:val="24"/>
          <w:highlight w:val="none"/>
          <w14:textFill>
            <w14:solidFill>
              <w14:schemeClr w14:val="tx1"/>
            </w14:solidFill>
          </w14:textFill>
        </w:rPr>
        <w:t>日内，按照招标文件、中标人的投标文件与中标人订立书面合同。</w:t>
      </w:r>
    </w:p>
    <w:p w14:paraId="0F09877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3</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45D646C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3</w:t>
      </w:r>
      <w:r>
        <w:rPr>
          <w:rFonts w:hint="eastAsia" w:hAnsi="宋体" w:cs="宋体"/>
          <w:b/>
          <w:bCs/>
          <w:snapToGrid w:val="0"/>
          <w:color w:val="000000" w:themeColor="text1"/>
          <w:kern w:val="0"/>
          <w:szCs w:val="24"/>
          <w:highlight w:val="none"/>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6C3067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3</w:t>
      </w:r>
      <w:r>
        <w:rPr>
          <w:rFonts w:hint="eastAsia" w:hAnsi="宋体" w:cs="宋体"/>
          <w:b/>
          <w:bCs/>
          <w:snapToGrid w:val="0"/>
          <w:color w:val="000000" w:themeColor="text1"/>
          <w:kern w:val="0"/>
          <w:szCs w:val="24"/>
          <w:highlight w:val="none"/>
          <w14:textFill>
            <w14:solidFill>
              <w14:schemeClr w14:val="tx1"/>
            </w14:solidFill>
          </w14:textFill>
        </w:rPr>
        <w:t>.4</w:t>
      </w:r>
      <w:r>
        <w:rPr>
          <w:rFonts w:hint="eastAsia" w:hAnsi="宋体" w:cs="宋体"/>
          <w:snapToGrid w:val="0"/>
          <w:color w:val="000000" w:themeColor="text1"/>
          <w:kern w:val="0"/>
          <w:szCs w:val="24"/>
          <w:highlight w:val="none"/>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7972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95" w:name="_Toc6741"/>
      <w:bookmarkStart w:id="96" w:name="_Toc2474"/>
      <w:bookmarkStart w:id="97" w:name="_Toc3858"/>
      <w:bookmarkStart w:id="98" w:name="_Toc13450"/>
      <w:bookmarkStart w:id="99" w:name="_Toc25887"/>
      <w:bookmarkStart w:id="100" w:name="_Toc11598"/>
      <w:r>
        <w:rPr>
          <w:rFonts w:hint="eastAsia" w:hAnsi="宋体" w:cs="宋体"/>
          <w:b/>
          <w:bCs/>
          <w:snapToGrid w:val="0"/>
          <w:color w:val="000000" w:themeColor="text1"/>
          <w:kern w:val="0"/>
          <w:szCs w:val="24"/>
          <w:highlight w:val="none"/>
          <w:lang w:val="en-US" w:eastAsia="zh-CN"/>
          <w14:textFill>
            <w14:solidFill>
              <w14:schemeClr w14:val="tx1"/>
            </w14:solidFill>
          </w14:textFill>
        </w:rPr>
        <w:t>4</w:t>
      </w:r>
      <w:r>
        <w:rPr>
          <w:rFonts w:hint="eastAsia" w:hAnsi="宋体" w:cs="宋体"/>
          <w:b/>
          <w:bCs/>
          <w:snapToGrid w:val="0"/>
          <w:color w:val="000000" w:themeColor="text1"/>
          <w:kern w:val="0"/>
          <w:szCs w:val="24"/>
          <w:highlight w:val="none"/>
          <w14:textFill>
            <w14:solidFill>
              <w14:schemeClr w14:val="tx1"/>
            </w14:solidFill>
          </w14:textFill>
        </w:rPr>
        <w:t>．放弃中标的处理</w:t>
      </w:r>
      <w:bookmarkEnd w:id="95"/>
      <w:bookmarkEnd w:id="96"/>
      <w:bookmarkEnd w:id="97"/>
      <w:bookmarkEnd w:id="98"/>
      <w:bookmarkEnd w:id="99"/>
      <w:bookmarkEnd w:id="100"/>
    </w:p>
    <w:p w14:paraId="0516D9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4</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F8BAA6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4</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3B06BC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01" w:name="_Toc26352"/>
      <w:bookmarkStart w:id="102" w:name="_Toc500"/>
      <w:bookmarkStart w:id="103" w:name="_Toc15893"/>
      <w:bookmarkStart w:id="104" w:name="_Toc19037"/>
      <w:bookmarkStart w:id="105" w:name="_Toc8282"/>
      <w:bookmarkStart w:id="106" w:name="_Toc17549"/>
      <w:r>
        <w:rPr>
          <w:rFonts w:hint="eastAsia" w:hAnsi="宋体" w:cs="宋体"/>
          <w:b/>
          <w:bCs/>
          <w:snapToGrid w:val="0"/>
          <w:color w:val="000000" w:themeColor="text1"/>
          <w:kern w:val="0"/>
          <w:szCs w:val="24"/>
          <w:highlight w:val="none"/>
          <w:lang w:val="en-US" w:eastAsia="zh-CN"/>
          <w14:textFill>
            <w14:solidFill>
              <w14:schemeClr w14:val="tx1"/>
            </w14:solidFill>
          </w14:textFill>
        </w:rPr>
        <w:t>5</w:t>
      </w:r>
      <w:r>
        <w:rPr>
          <w:rFonts w:hint="eastAsia" w:hAnsi="宋体" w:cs="宋体"/>
          <w:b/>
          <w:bCs/>
          <w:snapToGrid w:val="0"/>
          <w:color w:val="000000" w:themeColor="text1"/>
          <w:kern w:val="0"/>
          <w:szCs w:val="24"/>
          <w:highlight w:val="none"/>
          <w14:textFill>
            <w14:solidFill>
              <w14:schemeClr w14:val="tx1"/>
            </w14:solidFill>
          </w14:textFill>
        </w:rPr>
        <w:t>．分包</w:t>
      </w:r>
      <w:bookmarkEnd w:id="101"/>
      <w:bookmarkEnd w:id="102"/>
      <w:bookmarkEnd w:id="103"/>
      <w:bookmarkEnd w:id="104"/>
      <w:bookmarkEnd w:id="105"/>
      <w:bookmarkEnd w:id="106"/>
    </w:p>
    <w:p w14:paraId="327A851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合同范围内的监理服务严禁分包，一经发现，委托人有权解除合同，由此引起的一切经济损失和法律责任由监理人自行承担。</w:t>
      </w:r>
    </w:p>
    <w:p w14:paraId="41B4FF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107" w:name="_Toc19761"/>
      <w:bookmarkStart w:id="108" w:name="_Toc2527"/>
      <w:bookmarkStart w:id="109" w:name="_Toc18249"/>
      <w:bookmarkStart w:id="110" w:name="_Toc19712"/>
      <w:bookmarkStart w:id="111" w:name="_Toc17560"/>
      <w:bookmarkStart w:id="112" w:name="_Toc25358"/>
      <w:r>
        <w:rPr>
          <w:rFonts w:hint="eastAsia" w:hAnsi="宋体" w:cs="宋体"/>
          <w:b/>
          <w:bCs/>
          <w:snapToGrid w:val="0"/>
          <w:color w:val="000000" w:themeColor="text1"/>
          <w:kern w:val="0"/>
          <w:szCs w:val="24"/>
          <w:highlight w:val="none"/>
          <w:lang w:val="en-US" w:eastAsia="zh-CN"/>
          <w14:textFill>
            <w14:solidFill>
              <w14:schemeClr w14:val="tx1"/>
            </w14:solidFill>
          </w14:textFill>
        </w:rPr>
        <w:t>6</w:t>
      </w:r>
      <w:r>
        <w:rPr>
          <w:rFonts w:hint="eastAsia" w:hAnsi="宋体" w:cs="宋体"/>
          <w:b/>
          <w:bCs/>
          <w:snapToGrid w:val="0"/>
          <w:color w:val="000000" w:themeColor="text1"/>
          <w:kern w:val="0"/>
          <w:szCs w:val="24"/>
          <w:highlight w:val="none"/>
          <w14:textFill>
            <w14:solidFill>
              <w14:schemeClr w14:val="tx1"/>
            </w14:solidFill>
          </w14:textFill>
        </w:rPr>
        <w:t>．监理服务期限</w:t>
      </w:r>
      <w:bookmarkEnd w:id="107"/>
      <w:bookmarkEnd w:id="108"/>
      <w:bookmarkEnd w:id="109"/>
      <w:bookmarkEnd w:id="110"/>
      <w:bookmarkEnd w:id="111"/>
      <w:bookmarkEnd w:id="112"/>
    </w:p>
    <w:p w14:paraId="30BB80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6</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610316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6</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4F8CD8C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（1）合同变更；</w:t>
      </w:r>
    </w:p>
    <w:p w14:paraId="0E80925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（2）因委托人原因导致的监理工作暂停；</w:t>
      </w:r>
    </w:p>
    <w:p w14:paraId="0812C2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（3）未按合同约定及时支付监理服务酬金；</w:t>
      </w:r>
    </w:p>
    <w:p w14:paraId="645AEFD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（4）未及时履行合同约定的相关义务；</w:t>
      </w:r>
    </w:p>
    <w:p w14:paraId="023F4B6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（5）由于承包人（指在本招标项目监理范围内，与委托人签订勘察、设计、施工承包合同的当事人，下同）延误、行政管理造成的监理服务期限延误；</w:t>
      </w:r>
    </w:p>
    <w:p w14:paraId="423AD89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（6）造成监理服务期限延误的其他原因。</w:t>
      </w:r>
    </w:p>
    <w:p w14:paraId="497F00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13" w:name="_Toc25479"/>
      <w:bookmarkStart w:id="114" w:name="_Toc13950"/>
      <w:bookmarkStart w:id="115" w:name="_Toc13195"/>
      <w:bookmarkStart w:id="116" w:name="_Toc6532"/>
      <w:bookmarkStart w:id="117" w:name="_Toc21651"/>
      <w:bookmarkStart w:id="118" w:name="_Toc17664"/>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．项目监理机构</w:t>
      </w:r>
      <w:bookmarkEnd w:id="113"/>
      <w:bookmarkEnd w:id="114"/>
      <w:bookmarkEnd w:id="115"/>
      <w:bookmarkEnd w:id="116"/>
      <w:bookmarkEnd w:id="117"/>
      <w:bookmarkEnd w:id="118"/>
    </w:p>
    <w:p w14:paraId="56E3A7F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 xml:space="preserve"> 监理人派驻项目监理机构的人员必须为其投标文件确定的人员，否则委托人有权解除合同。</w:t>
      </w:r>
    </w:p>
    <w:p w14:paraId="6AE100F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7</w:t>
      </w:r>
      <w:r>
        <w:rPr>
          <w:rFonts w:hint="eastAsia" w:hAnsi="宋体" w:cs="宋体"/>
          <w:b/>
          <w:bCs/>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D16DA6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19" w:name="_Toc13908"/>
      <w:bookmarkStart w:id="120" w:name="_Toc27412"/>
      <w:bookmarkStart w:id="121" w:name="_Toc23097"/>
      <w:bookmarkStart w:id="122" w:name="_Toc19789"/>
      <w:bookmarkStart w:id="123" w:name="_Toc20861"/>
      <w:bookmarkStart w:id="124" w:name="_Toc20449"/>
      <w:r>
        <w:rPr>
          <w:rFonts w:hint="eastAsia" w:hAnsi="宋体" w:cs="宋体"/>
          <w:b/>
          <w:snapToGrid w:val="0"/>
          <w:color w:val="000000" w:themeColor="text1"/>
          <w:kern w:val="0"/>
          <w:szCs w:val="24"/>
          <w:highlight w:val="none"/>
          <w:lang w:val="en-US" w:eastAsia="zh-CN"/>
          <w14:textFill>
            <w14:solidFill>
              <w14:schemeClr w14:val="tx1"/>
            </w14:solidFill>
          </w14:textFill>
        </w:rPr>
        <w:t>8</w:t>
      </w:r>
      <w:r>
        <w:rPr>
          <w:rFonts w:hint="eastAsia" w:hAnsi="宋体" w:cs="宋体"/>
          <w:b/>
          <w:snapToGrid w:val="0"/>
          <w:color w:val="000000" w:themeColor="text1"/>
          <w:kern w:val="0"/>
          <w:szCs w:val="24"/>
          <w:highlight w:val="none"/>
          <w14:textFill>
            <w14:solidFill>
              <w14:schemeClr w14:val="tx1"/>
            </w14:solidFill>
          </w14:textFill>
        </w:rPr>
        <w:t>．安全防护</w:t>
      </w:r>
      <w:bookmarkEnd w:id="119"/>
      <w:bookmarkEnd w:id="120"/>
      <w:bookmarkEnd w:id="121"/>
      <w:bookmarkEnd w:id="122"/>
      <w:bookmarkEnd w:id="123"/>
      <w:bookmarkEnd w:id="124"/>
    </w:p>
    <w:p w14:paraId="5A05282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22D9768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25" w:name="_Toc9618"/>
      <w:bookmarkStart w:id="126" w:name="_Toc1181"/>
      <w:bookmarkStart w:id="127" w:name="_Toc17881"/>
      <w:bookmarkStart w:id="128" w:name="_Toc29399"/>
      <w:bookmarkStart w:id="129" w:name="_Toc16174"/>
      <w:bookmarkStart w:id="130" w:name="_Toc13413"/>
      <w:r>
        <w:rPr>
          <w:rFonts w:hint="eastAsia" w:hAnsi="宋体" w:cs="宋体"/>
          <w:b/>
          <w:snapToGrid w:val="0"/>
          <w:color w:val="000000" w:themeColor="text1"/>
          <w:kern w:val="0"/>
          <w:szCs w:val="24"/>
          <w:highlight w:val="none"/>
          <w:lang w:val="en-US" w:eastAsia="zh-CN"/>
          <w14:textFill>
            <w14:solidFill>
              <w14:schemeClr w14:val="tx1"/>
            </w14:solidFill>
          </w14:textFill>
        </w:rPr>
        <w:t>9</w:t>
      </w:r>
      <w:r>
        <w:rPr>
          <w:rFonts w:hint="eastAsia" w:hAnsi="宋体" w:cs="宋体"/>
          <w:b/>
          <w:snapToGrid w:val="0"/>
          <w:color w:val="000000" w:themeColor="text1"/>
          <w:kern w:val="0"/>
          <w:szCs w:val="24"/>
          <w:highlight w:val="none"/>
          <w14:textFill>
            <w14:solidFill>
              <w14:schemeClr w14:val="tx1"/>
            </w14:solidFill>
          </w14:textFill>
        </w:rPr>
        <w:t>．接受监督</w:t>
      </w:r>
      <w:bookmarkEnd w:id="125"/>
      <w:bookmarkEnd w:id="126"/>
      <w:bookmarkEnd w:id="127"/>
      <w:bookmarkEnd w:id="128"/>
      <w:bookmarkEnd w:id="129"/>
      <w:bookmarkEnd w:id="130"/>
    </w:p>
    <w:p w14:paraId="30A086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监理人应严格按照法律、法规以及</w:t>
      </w:r>
      <w:r>
        <w:rPr>
          <w:rFonts w:hint="eastAsia" w:hAnsi="宋体" w:cs="宋体"/>
          <w:bCs/>
          <w:snapToGrid w:val="0"/>
          <w:color w:val="000000" w:themeColor="text1"/>
          <w:kern w:val="0"/>
          <w:szCs w:val="24"/>
          <w:highlight w:val="none"/>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highlight w:val="none"/>
          <w14:textFill>
            <w14:solidFill>
              <w14:schemeClr w14:val="tx1"/>
            </w14:solidFill>
          </w14:textFill>
        </w:rPr>
        <w:t>服从委托人以及建设行政主管部门对监理工作全方位的监督，及时将监理大纲、监理规划、监理实施细则等监理文件报委托人审查备案。</w:t>
      </w:r>
    </w:p>
    <w:p w14:paraId="4F44B3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000000" w:themeColor="text1"/>
          <w:kern w:val="0"/>
          <w:szCs w:val="24"/>
          <w:highlight w:val="none"/>
          <w14:textFill>
            <w14:solidFill>
              <w14:schemeClr w14:val="tx1"/>
            </w14:solidFill>
          </w14:textFill>
        </w:rPr>
      </w:pPr>
      <w:bookmarkStart w:id="131" w:name="_Toc14327"/>
      <w:bookmarkStart w:id="132" w:name="_Toc18397"/>
      <w:bookmarkStart w:id="133" w:name="_Toc25424"/>
      <w:bookmarkStart w:id="134" w:name="_Toc30319"/>
      <w:bookmarkStart w:id="135" w:name="_Toc4730"/>
      <w:bookmarkStart w:id="136" w:name="_Toc26662"/>
      <w:r>
        <w:rPr>
          <w:rFonts w:hint="eastAsia" w:hAnsi="宋体" w:cs="宋体"/>
          <w:b/>
          <w:snapToGrid w:val="0"/>
          <w:color w:val="000000" w:themeColor="text1"/>
          <w:kern w:val="0"/>
          <w:szCs w:val="24"/>
          <w:highlight w:val="none"/>
          <w:lang w:val="en-US" w:eastAsia="zh-CN"/>
          <w14:textFill>
            <w14:solidFill>
              <w14:schemeClr w14:val="tx1"/>
            </w14:solidFill>
          </w14:textFill>
        </w:rPr>
        <w:t>10</w:t>
      </w:r>
      <w:r>
        <w:rPr>
          <w:rFonts w:hint="eastAsia" w:hAnsi="宋体" w:cs="宋体"/>
          <w:b/>
          <w:snapToGrid w:val="0"/>
          <w:color w:val="000000" w:themeColor="text1"/>
          <w:kern w:val="0"/>
          <w:szCs w:val="24"/>
          <w:highlight w:val="none"/>
          <w14:textFill>
            <w14:solidFill>
              <w14:schemeClr w14:val="tx1"/>
            </w14:solidFill>
          </w14:textFill>
        </w:rPr>
        <w:t>．监理档案移交</w:t>
      </w:r>
      <w:bookmarkEnd w:id="131"/>
      <w:bookmarkEnd w:id="132"/>
      <w:bookmarkEnd w:id="133"/>
      <w:bookmarkEnd w:id="134"/>
      <w:bookmarkEnd w:id="135"/>
      <w:bookmarkEnd w:id="136"/>
    </w:p>
    <w:p w14:paraId="0A84C97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highlight w:val="none"/>
          <w:u w:val="single"/>
          <w14:textFill>
            <w14:solidFill>
              <w14:schemeClr w14:val="tx1"/>
            </w14:solidFill>
          </w14:textFill>
        </w:rPr>
        <w:t xml:space="preserve"> </w:t>
      </w:r>
      <w:r>
        <w:rPr>
          <w:rFonts w:hint="eastAsia" w:hAnsi="宋体" w:cs="宋体"/>
          <w:bCs/>
          <w:snapToGrid w:val="0"/>
          <w:color w:val="000000" w:themeColor="text1"/>
          <w:kern w:val="0"/>
          <w:szCs w:val="24"/>
          <w:highlight w:val="none"/>
          <w:u w:val="single"/>
          <w:lang w:val="en-US" w:eastAsia="zh-CN"/>
          <w14:textFill>
            <w14:solidFill>
              <w14:schemeClr w14:val="tx1"/>
            </w14:solidFill>
          </w14:textFill>
        </w:rPr>
        <w:t>八</w:t>
      </w:r>
      <w:r>
        <w:rPr>
          <w:rFonts w:hint="eastAsia" w:hAnsi="宋体" w:cs="宋体"/>
          <w:bCs/>
          <w:snapToGrid w:val="0"/>
          <w:color w:val="000000" w:themeColor="text1"/>
          <w:kern w:val="0"/>
          <w:szCs w:val="24"/>
          <w:highlight w:val="none"/>
          <w:u w:val="singl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份符合《建设工程监理规范》（GB/T 50319—2013）以及《韶关市城市建设档案管理办法》要求的监理档案。</w:t>
      </w:r>
    </w:p>
    <w:p w14:paraId="5584A20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000000" w:themeColor="text1"/>
          <w:kern w:val="0"/>
          <w:szCs w:val="24"/>
          <w:highlight w:val="none"/>
          <w14:textFill>
            <w14:solidFill>
              <w14:schemeClr w14:val="tx1"/>
            </w14:solidFill>
          </w14:textFill>
        </w:rPr>
      </w:pPr>
      <w:bookmarkStart w:id="137" w:name="_Toc6629"/>
      <w:bookmarkStart w:id="138" w:name="_Toc2540"/>
      <w:bookmarkStart w:id="139" w:name="_Toc24329"/>
      <w:bookmarkStart w:id="140" w:name="_Toc16612"/>
      <w:bookmarkStart w:id="141" w:name="_Toc13197"/>
      <w:bookmarkStart w:id="142" w:name="_Toc25842"/>
      <w:r>
        <w:rPr>
          <w:rFonts w:hint="eastAsia" w:hAnsi="宋体" w:cs="宋体"/>
          <w:b/>
          <w:bCs/>
          <w:snapToGrid w:val="0"/>
          <w:color w:val="000000" w:themeColor="text1"/>
          <w:kern w:val="0"/>
          <w:szCs w:val="24"/>
          <w:highlight w:val="none"/>
          <w:lang w:val="en-US" w:eastAsia="zh-CN"/>
          <w14:textFill>
            <w14:solidFill>
              <w14:schemeClr w14:val="tx1"/>
            </w14:solidFill>
          </w14:textFill>
        </w:rPr>
        <w:t>11</w:t>
      </w:r>
      <w:r>
        <w:rPr>
          <w:rFonts w:hint="eastAsia" w:hAnsi="宋体" w:cs="宋体"/>
          <w:b/>
          <w:snapToGrid w:val="0"/>
          <w:color w:val="000000" w:themeColor="text1"/>
          <w:kern w:val="0"/>
          <w:szCs w:val="24"/>
          <w:highlight w:val="none"/>
          <w14:textFill>
            <w14:solidFill>
              <w14:schemeClr w14:val="tx1"/>
            </w14:solidFill>
          </w14:textFill>
        </w:rPr>
        <w:t>．不良行为处理</w:t>
      </w:r>
      <w:bookmarkEnd w:id="137"/>
      <w:bookmarkEnd w:id="138"/>
      <w:bookmarkEnd w:id="139"/>
      <w:bookmarkEnd w:id="140"/>
      <w:bookmarkEnd w:id="141"/>
      <w:bookmarkEnd w:id="142"/>
    </w:p>
    <w:p w14:paraId="592B2A4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监理人及其有关人员有下列行为之一的，委托人应及时报请建设行政主管部门查处。</w:t>
      </w:r>
    </w:p>
    <w:p w14:paraId="50117E1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（1）转让监理业务的；</w:t>
      </w:r>
    </w:p>
    <w:p w14:paraId="2FD725B3">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33CD3D6B">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（3）与建设单位、施工单位串通，签认虚假工程量或工程造价的；</w:t>
      </w:r>
    </w:p>
    <w:p w14:paraId="0555CF8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（4）现场监理不到位的；</w:t>
      </w:r>
    </w:p>
    <w:p w14:paraId="647021A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（5）非本人资格证书注册单位从事监理工作的；</w:t>
      </w:r>
    </w:p>
    <w:p w14:paraId="70D7610D">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（6）总监理工程师承担超过三项工程监理任务的；</w:t>
      </w:r>
    </w:p>
    <w:p w14:paraId="6D987050">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（7）违反有关法律、法规、规章规定的其它行为。</w:t>
      </w:r>
    </w:p>
    <w:p w14:paraId="4D4C07B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000000" w:themeColor="text1"/>
          <w:kern w:val="0"/>
          <w:szCs w:val="24"/>
          <w:highlight w:val="none"/>
          <w14:textFill>
            <w14:solidFill>
              <w14:schemeClr w14:val="tx1"/>
            </w14:solidFill>
          </w14:textFill>
        </w:rPr>
      </w:pPr>
      <w:bookmarkStart w:id="143" w:name="_Toc15923"/>
      <w:bookmarkStart w:id="144" w:name="_Toc32628"/>
      <w:bookmarkStart w:id="145" w:name="_Toc15431"/>
      <w:bookmarkStart w:id="146" w:name="_Toc28837"/>
      <w:bookmarkStart w:id="147" w:name="_Toc2784"/>
      <w:bookmarkStart w:id="148" w:name="_Toc29467"/>
      <w:r>
        <w:rPr>
          <w:rFonts w:hint="eastAsia" w:ascii="宋体" w:hAnsi="宋体" w:cs="宋体"/>
          <w:b/>
          <w:bCs/>
          <w:snapToGrid w:val="0"/>
          <w:color w:val="000000" w:themeColor="text1"/>
          <w:kern w:val="0"/>
          <w:szCs w:val="24"/>
          <w:highlight w:val="none"/>
          <w:lang w:val="en-US" w:eastAsia="zh-CN"/>
          <w14:textFill>
            <w14:solidFill>
              <w14:schemeClr w14:val="tx1"/>
            </w14:solidFill>
          </w14:textFill>
        </w:rPr>
        <w:t>12</w:t>
      </w:r>
      <w:r>
        <w:rPr>
          <w:rFonts w:hint="eastAsia" w:ascii="宋体" w:hAnsi="宋体" w:cs="宋体"/>
          <w:b/>
          <w:snapToGrid w:val="0"/>
          <w:color w:val="000000" w:themeColor="text1"/>
          <w:kern w:val="0"/>
          <w:szCs w:val="24"/>
          <w:highlight w:val="none"/>
          <w14:textFill>
            <w14:solidFill>
              <w14:schemeClr w14:val="tx1"/>
            </w14:solidFill>
          </w14:textFill>
        </w:rPr>
        <w:t>．</w:t>
      </w:r>
      <w:r>
        <w:rPr>
          <w:rFonts w:hint="eastAsia" w:ascii="宋体" w:hAnsi="宋体" w:cs="宋体"/>
          <w:b/>
          <w:bCs/>
          <w:snapToGrid w:val="0"/>
          <w:color w:val="000000" w:themeColor="text1"/>
          <w:kern w:val="0"/>
          <w:szCs w:val="24"/>
          <w:highlight w:val="none"/>
          <w14:textFill>
            <w14:solidFill>
              <w14:schemeClr w14:val="tx1"/>
            </w14:solidFill>
          </w14:textFill>
        </w:rPr>
        <w:t>信用评价条款内容</w:t>
      </w:r>
      <w:bookmarkEnd w:id="143"/>
      <w:bookmarkEnd w:id="144"/>
      <w:bookmarkEnd w:id="145"/>
      <w:bookmarkEnd w:id="146"/>
      <w:bookmarkEnd w:id="147"/>
      <w:bookmarkEnd w:id="148"/>
    </w:p>
    <w:p w14:paraId="0399564B">
      <w:pPr>
        <w:pStyle w:val="81"/>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37B488CA">
      <w:pPr>
        <w:pStyle w:val="81"/>
        <w:wordWrap w:val="0"/>
        <w:adjustRightInd w:val="0"/>
        <w:snapToGrid w:val="0"/>
        <w:spacing w:line="360" w:lineRule="auto"/>
        <w:ind w:firstLine="560"/>
        <w:rPr>
          <w:rFonts w:hAnsi="宋体" w:cs="宋体"/>
          <w:b/>
          <w:bCs/>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720" w:num="1"/>
          <w:docGrid w:linePitch="327" w:charSpace="0"/>
        </w:sectPr>
      </w:pPr>
    </w:p>
    <w:p w14:paraId="279B0700">
      <w:pPr>
        <w:pStyle w:val="2"/>
        <w:wordWrap w:val="0"/>
        <w:autoSpaceDE/>
        <w:autoSpaceDN/>
        <w:snapToGrid w:val="0"/>
        <w:spacing w:line="500" w:lineRule="exact"/>
        <w:jc w:val="center"/>
        <w:rPr>
          <w:rFonts w:hAnsi="宋体" w:cs="宋体"/>
          <w:b/>
          <w:snapToGrid w:val="0"/>
          <w:color w:val="000000" w:themeColor="text1"/>
          <w:sz w:val="32"/>
          <w:szCs w:val="32"/>
          <w:highlight w:val="none"/>
          <w14:textFill>
            <w14:solidFill>
              <w14:schemeClr w14:val="tx1"/>
            </w14:solidFill>
          </w14:textFill>
        </w:rPr>
      </w:pPr>
      <w:r>
        <w:rPr>
          <w:rFonts w:hint="eastAsia" w:hAnsi="宋体" w:cs="宋体"/>
          <w:b/>
          <w:snapToGrid w:val="0"/>
          <w:color w:val="000000" w:themeColor="text1"/>
          <w:sz w:val="32"/>
          <w:szCs w:val="32"/>
          <w:highlight w:val="none"/>
          <w14:textFill>
            <w14:solidFill>
              <w14:schemeClr w14:val="tx1"/>
            </w14:solidFill>
          </w14:textFill>
        </w:rPr>
        <w:t>　</w:t>
      </w:r>
      <w:bookmarkStart w:id="149" w:name="_Toc29099"/>
      <w:bookmarkStart w:id="150" w:name="_Toc18424"/>
      <w:bookmarkStart w:id="151" w:name="_Hlt69698765"/>
      <w:bookmarkStart w:id="152" w:name="_Hlt69698713"/>
      <w:r>
        <w:rPr>
          <w:rFonts w:hint="eastAsia" w:hAnsi="宋体" w:cs="宋体"/>
          <w:b/>
          <w:snapToGrid w:val="0"/>
          <w:color w:val="000000" w:themeColor="text1"/>
          <w:sz w:val="32"/>
          <w:szCs w:val="32"/>
          <w:highlight w:val="none"/>
          <w14:textFill>
            <w14:solidFill>
              <w14:schemeClr w14:val="tx1"/>
            </w14:solidFill>
          </w14:textFill>
        </w:rPr>
        <w:t>第三章</w:t>
      </w:r>
      <w:bookmarkStart w:id="153" w:name="_Hlt87793831"/>
      <w:bookmarkEnd w:id="153"/>
      <w:r>
        <w:rPr>
          <w:rFonts w:hint="eastAsia" w:hAnsi="宋体" w:cs="宋体"/>
          <w:b/>
          <w:snapToGrid w:val="0"/>
          <w:color w:val="000000" w:themeColor="text1"/>
          <w:sz w:val="32"/>
          <w:szCs w:val="32"/>
          <w:highlight w:val="none"/>
          <w14:textFill>
            <w14:solidFill>
              <w14:schemeClr w14:val="tx1"/>
            </w14:solidFill>
          </w14:textFill>
        </w:rPr>
        <w:t xml:space="preserve"> 拟签订合同的主要条款</w:t>
      </w:r>
      <w:bookmarkEnd w:id="149"/>
      <w:bookmarkEnd w:id="150"/>
    </w:p>
    <w:bookmarkEnd w:id="151"/>
    <w:bookmarkEnd w:id="152"/>
    <w:p w14:paraId="6140F73B">
      <w:pPr>
        <w:pStyle w:val="3"/>
        <w:wordWrap w:val="0"/>
        <w:autoSpaceDE/>
        <w:autoSpaceDN/>
        <w:snapToGrid w:val="0"/>
        <w:spacing w:line="440" w:lineRule="exact"/>
        <w:ind w:firstLine="480"/>
        <w:jc w:val="both"/>
        <w:rPr>
          <w:rFonts w:hAnsi="宋体" w:cs="宋体"/>
          <w:b/>
          <w:snapToGrid w:val="0"/>
          <w:color w:val="000000" w:themeColor="text1"/>
          <w:szCs w:val="24"/>
          <w:highlight w:val="none"/>
          <w14:textFill>
            <w14:solidFill>
              <w14:schemeClr w14:val="tx1"/>
            </w14:solidFill>
          </w14:textFill>
        </w:rPr>
      </w:pPr>
      <w:bookmarkStart w:id="154" w:name="_Toc326916629"/>
      <w:bookmarkStart w:id="155" w:name="_Toc322793288"/>
    </w:p>
    <w:bookmarkEnd w:id="154"/>
    <w:bookmarkEnd w:id="155"/>
    <w:p w14:paraId="16328E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56" w:name="_Toc3741"/>
      <w:bookmarkStart w:id="157" w:name="_Toc4588"/>
      <w:bookmarkStart w:id="158" w:name="_Toc11616"/>
      <w:bookmarkStart w:id="159" w:name="_Toc12203"/>
      <w:bookmarkStart w:id="160" w:name="_Toc1983"/>
      <w:bookmarkStart w:id="161" w:name="_Toc6392"/>
      <w:r>
        <w:rPr>
          <w:rFonts w:hint="eastAsia" w:hAnsi="宋体" w:cs="宋体"/>
          <w:b/>
          <w:bCs/>
          <w:snapToGrid w:val="0"/>
          <w:color w:val="000000" w:themeColor="text1"/>
          <w:kern w:val="0"/>
          <w:szCs w:val="24"/>
          <w:highlight w:val="none"/>
          <w14:textFill>
            <w14:solidFill>
              <w14:schemeClr w14:val="tx1"/>
            </w14:solidFill>
          </w14:textFill>
        </w:rPr>
        <w:t>1．现场办公条件</w:t>
      </w:r>
      <w:bookmarkEnd w:id="156"/>
      <w:bookmarkEnd w:id="157"/>
      <w:bookmarkEnd w:id="158"/>
      <w:bookmarkEnd w:id="159"/>
      <w:bookmarkEnd w:id="160"/>
      <w:bookmarkEnd w:id="161"/>
    </w:p>
    <w:p w14:paraId="17C6269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1.1</w:t>
      </w:r>
      <w:r>
        <w:rPr>
          <w:rFonts w:hint="eastAsia" w:hAnsi="宋体" w:cs="宋体"/>
          <w:snapToGrid w:val="0"/>
          <w:color w:val="000000" w:themeColor="text1"/>
          <w:kern w:val="0"/>
          <w:szCs w:val="24"/>
          <w:highlight w:val="none"/>
          <w14:textFill>
            <w14:solidFill>
              <w14:schemeClr w14:val="tx1"/>
            </w14:solidFill>
          </w14:textFill>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2D88E0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w:t>
      </w:r>
      <w:r>
        <w:rPr>
          <w:rFonts w:hint="eastAsia" w:hAnsi="宋体" w:cs="宋体"/>
          <w:snapToGrid w:val="0"/>
          <w:color w:val="000000" w:themeColor="text1"/>
          <w:kern w:val="0"/>
          <w:szCs w:val="24"/>
          <w:highlight w:val="none"/>
          <w14:textFill>
            <w14:solidFill>
              <w14:schemeClr w14:val="tx1"/>
            </w14:solidFill>
          </w14:textFill>
        </w:rPr>
        <w:t xml:space="preserve"> 监理人应按照工程需要，自行配备以下的设施、设备：</w:t>
      </w:r>
    </w:p>
    <w:p w14:paraId="40A4B7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（1）办公桌椅、文件柜、床铺被褥、供冷采暖设施等办公和生活设施；</w:t>
      </w:r>
    </w:p>
    <w:p w14:paraId="2DA0336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（2）电脑、投影、打印机、复印机、传真机等办公设备及其耗材；</w:t>
      </w:r>
    </w:p>
    <w:p w14:paraId="3EB0D5B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（3）拍摄、录音、录像等取证器材；</w:t>
      </w:r>
    </w:p>
    <w:p w14:paraId="2EBCB87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（4）信息化管理软件或系统；</w:t>
      </w:r>
    </w:p>
    <w:p w14:paraId="04BD850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（5）通信和交通工具；</w:t>
      </w:r>
    </w:p>
    <w:p w14:paraId="63CAEEA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（6）本招标项目必备的规范标准、图集等书籍手册；</w:t>
      </w:r>
    </w:p>
    <w:p w14:paraId="478E91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（7）安全帽、安全鞋、安全手套、安全服装、手电筒等安全防护用具；</w:t>
      </w:r>
    </w:p>
    <w:p w14:paraId="246A63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r>
        <w:rPr>
          <w:rFonts w:hint="eastAsia" w:hAnsi="宋体" w:cs="宋体"/>
          <w:snapToGrid w:val="0"/>
          <w:color w:val="000000" w:themeColor="text1"/>
          <w:kern w:val="0"/>
          <w:szCs w:val="24"/>
          <w:highlight w:val="none"/>
          <w:u w:val="single"/>
          <w14:textFill>
            <w14:solidFill>
              <w14:schemeClr w14:val="tx1"/>
            </w14:solidFill>
          </w14:textFill>
        </w:rPr>
        <w:t xml:space="preserve"> 打卡  </w:t>
      </w:r>
      <w:r>
        <w:rPr>
          <w:rFonts w:hint="eastAsia" w:hAnsi="宋体" w:cs="宋体"/>
          <w:snapToGrid w:val="0"/>
          <w:color w:val="000000" w:themeColor="text1"/>
          <w:kern w:val="0"/>
          <w:szCs w:val="24"/>
          <w:highlight w:val="none"/>
          <w14:textFill>
            <w14:solidFill>
              <w14:schemeClr w14:val="tx1"/>
            </w14:solidFill>
          </w14:textFill>
        </w:rPr>
        <w:t>考勤设备；</w:t>
      </w:r>
    </w:p>
    <w:p w14:paraId="7D9402E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（9）其他与监理工作有关的设备与用品。</w:t>
      </w:r>
    </w:p>
    <w:p w14:paraId="34986EE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162" w:name="_Toc8261"/>
      <w:bookmarkStart w:id="163" w:name="_Toc29914"/>
      <w:bookmarkStart w:id="164" w:name="_Toc6311"/>
      <w:bookmarkStart w:id="165" w:name="_Toc6176"/>
      <w:bookmarkStart w:id="166" w:name="_Toc15844"/>
      <w:bookmarkStart w:id="167" w:name="_Toc14419"/>
      <w:r>
        <w:rPr>
          <w:rFonts w:hint="eastAsia" w:hAnsi="宋体" w:cs="宋体"/>
          <w:b/>
          <w:bCs/>
          <w:snapToGrid w:val="0"/>
          <w:color w:val="000000" w:themeColor="text1"/>
          <w:kern w:val="0"/>
          <w:szCs w:val="24"/>
          <w:highlight w:val="none"/>
          <w14:textFill>
            <w14:solidFill>
              <w14:schemeClr w14:val="tx1"/>
            </w14:solidFill>
          </w14:textFill>
        </w:rPr>
        <w:t>2．酬金</w:t>
      </w:r>
      <w:bookmarkEnd w:id="162"/>
      <w:bookmarkEnd w:id="163"/>
      <w:bookmarkEnd w:id="164"/>
      <w:bookmarkEnd w:id="165"/>
      <w:bookmarkEnd w:id="166"/>
      <w:bookmarkEnd w:id="167"/>
    </w:p>
    <w:p w14:paraId="118B268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2.1</w:t>
      </w:r>
      <w:r>
        <w:rPr>
          <w:rFonts w:hint="eastAsia" w:hAnsi="宋体" w:cs="宋体"/>
          <w:snapToGrid w:val="0"/>
          <w:color w:val="000000" w:themeColor="text1"/>
          <w:kern w:val="0"/>
          <w:szCs w:val="24"/>
          <w:highlight w:val="none"/>
          <w14:textFill>
            <w14:solidFill>
              <w14:schemeClr w14:val="tx1"/>
            </w14:solidFill>
          </w14:textFill>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361F057A">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 酬金结算原则：</w:t>
      </w:r>
    </w:p>
    <w:p w14:paraId="4A47653B">
      <w:pPr>
        <w:pStyle w:val="15"/>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监理服务费结算时以县财政投资评审中心审核后的建安工程费为计算依据。</w:t>
      </w:r>
    </w:p>
    <w:p w14:paraId="6569E2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000000" w:themeColor="text1"/>
          <w:kern w:val="0"/>
          <w:szCs w:val="24"/>
          <w:highlight w:val="none"/>
          <w14:textFill>
            <w14:solidFill>
              <w14:schemeClr w14:val="tx1"/>
            </w14:solidFill>
          </w14:textFill>
        </w:rPr>
      </w:pPr>
      <w:bookmarkStart w:id="168" w:name="_Toc6502"/>
      <w:bookmarkStart w:id="169" w:name="_Toc31657"/>
      <w:bookmarkStart w:id="170" w:name="_Toc17740"/>
      <w:bookmarkStart w:id="171" w:name="_Toc31653"/>
      <w:bookmarkStart w:id="172" w:name="_Toc18979"/>
      <w:r>
        <w:rPr>
          <w:rFonts w:hint="eastAsia" w:ascii="宋体" w:hAnsi="宋体" w:eastAsia="宋体" w:cs="宋体"/>
          <w:snapToGrid w:val="0"/>
          <w:color w:val="000000" w:themeColor="text1"/>
          <w:kern w:val="0"/>
          <w:szCs w:val="24"/>
          <w:highlight w:val="none"/>
          <w14:textFill>
            <w14:solidFill>
              <w14:schemeClr w14:val="tx1"/>
            </w14:solidFill>
          </w14:textFill>
        </w:rPr>
        <w:t>结算价按以下方式结算：监理服务费=县财政投资评审中心审核后的建安工程费×监理服务费的中标费率（监理费的中标费率=监理费中标价÷建安工程费暂定价×100%）。监理服务费的中标费率，四舍五入保留三位小数。</w:t>
      </w:r>
    </w:p>
    <w:p w14:paraId="70741DAB">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000000" w:themeColor="text1"/>
          <w:kern w:val="0"/>
          <w:szCs w:val="24"/>
          <w:highlight w:val="none"/>
          <w14:textFill>
            <w14:solidFill>
              <w14:schemeClr w14:val="tx1"/>
            </w14:solidFill>
          </w14:textFill>
        </w:rPr>
      </w:pPr>
      <w:bookmarkStart w:id="173" w:name="_Toc25802"/>
      <w:r>
        <w:rPr>
          <w:rFonts w:hint="eastAsia" w:ascii="宋体" w:hAnsi="宋体" w:eastAsia="宋体" w:cs="宋体"/>
          <w:b/>
          <w:bCs/>
          <w:snapToGrid w:val="0"/>
          <w:color w:val="000000" w:themeColor="text1"/>
          <w:kern w:val="0"/>
          <w:szCs w:val="24"/>
          <w:highlight w:val="none"/>
          <w14:textFill>
            <w14:solidFill>
              <w14:schemeClr w14:val="tx1"/>
            </w14:solidFill>
          </w14:textFill>
        </w:rPr>
        <w:t>3．酬金发票</w:t>
      </w:r>
      <w:bookmarkEnd w:id="168"/>
      <w:bookmarkEnd w:id="169"/>
      <w:bookmarkEnd w:id="170"/>
      <w:bookmarkEnd w:id="171"/>
      <w:bookmarkEnd w:id="172"/>
      <w:bookmarkEnd w:id="173"/>
    </w:p>
    <w:p w14:paraId="12A2B8A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委托人每次支付酬金前，监理人均应提供有效的增值税</w:t>
      </w:r>
      <w:r>
        <w:rPr>
          <w:rFonts w:hint="eastAsia" w:hAnsi="宋体" w:cs="宋体"/>
          <w:snapToGrid w:val="0"/>
          <w:color w:val="000000" w:themeColor="text1"/>
          <w:kern w:val="0"/>
          <w:szCs w:val="24"/>
          <w:highlight w:val="none"/>
          <w:u w:val="single"/>
          <w14:textFill>
            <w14:solidFill>
              <w14:schemeClr w14:val="tx1"/>
            </w14:solidFill>
          </w14:textFill>
        </w:rPr>
        <w:t xml:space="preserve"> 普通 </w:t>
      </w:r>
      <w:r>
        <w:rPr>
          <w:rFonts w:hint="eastAsia" w:hAnsi="宋体" w:cs="宋体"/>
          <w:snapToGrid w:val="0"/>
          <w:color w:val="000000" w:themeColor="text1"/>
          <w:kern w:val="0"/>
          <w:szCs w:val="24"/>
          <w:highlight w:val="none"/>
          <w14:textFill>
            <w14:solidFill>
              <w14:schemeClr w14:val="tx1"/>
            </w14:solidFill>
          </w14:textFill>
        </w:rPr>
        <w:t xml:space="preserve">发票。如果监理人无法提供符合要求的酬金发票，由此造成的相应损失由监理人承担。 </w:t>
      </w:r>
    </w:p>
    <w:p w14:paraId="5ACF4B8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74" w:name="_Toc30294"/>
      <w:bookmarkStart w:id="175" w:name="_Toc32408"/>
      <w:bookmarkStart w:id="176" w:name="_Toc7557"/>
      <w:bookmarkStart w:id="177" w:name="_Toc32105"/>
      <w:bookmarkStart w:id="178" w:name="_Toc2147"/>
      <w:bookmarkStart w:id="179" w:name="_Toc22603"/>
      <w:r>
        <w:rPr>
          <w:rFonts w:hint="eastAsia" w:hAnsi="宋体" w:cs="宋体"/>
          <w:b/>
          <w:bCs/>
          <w:snapToGrid w:val="0"/>
          <w:color w:val="000000" w:themeColor="text1"/>
          <w:kern w:val="0"/>
          <w:szCs w:val="24"/>
          <w:highlight w:val="none"/>
          <w14:textFill>
            <w14:solidFill>
              <w14:schemeClr w14:val="tx1"/>
            </w14:solidFill>
          </w14:textFill>
        </w:rPr>
        <w:t>4．违约责任</w:t>
      </w:r>
      <w:bookmarkEnd w:id="174"/>
      <w:bookmarkEnd w:id="175"/>
      <w:bookmarkEnd w:id="176"/>
      <w:bookmarkEnd w:id="177"/>
      <w:bookmarkEnd w:id="178"/>
      <w:bookmarkEnd w:id="179"/>
    </w:p>
    <w:p w14:paraId="55073FA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highlight w:val="none"/>
          <w14:textFill>
            <w14:solidFill>
              <w14:schemeClr w14:val="tx1"/>
            </w14:solidFill>
          </w14:textFill>
        </w:rPr>
      </w:pPr>
      <w:bookmarkStart w:id="180" w:name="_Toc15047"/>
      <w:bookmarkStart w:id="181" w:name="_Toc28133"/>
      <w:bookmarkStart w:id="182" w:name="_Toc5443"/>
      <w:bookmarkStart w:id="183" w:name="_Toc1598"/>
      <w:bookmarkStart w:id="184" w:name="_Toc9349"/>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 xml:space="preserve"> 监理人的违约责任</w:t>
      </w:r>
      <w:bookmarkEnd w:id="180"/>
      <w:bookmarkEnd w:id="181"/>
      <w:bookmarkEnd w:id="182"/>
      <w:bookmarkEnd w:id="183"/>
      <w:bookmarkEnd w:id="184"/>
    </w:p>
    <w:p w14:paraId="63AF863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监理人未履行本合同义务的，应承担相应的责任。</w:t>
      </w:r>
    </w:p>
    <w:p w14:paraId="42FE6BF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4.1.1</w:t>
      </w:r>
      <w:r>
        <w:rPr>
          <w:rFonts w:hint="eastAsia" w:hAnsi="宋体" w:cs="宋体"/>
          <w:snapToGrid w:val="0"/>
          <w:color w:val="000000" w:themeColor="text1"/>
          <w:kern w:val="0"/>
          <w:szCs w:val="24"/>
          <w:highlight w:val="none"/>
          <w14:textFill>
            <w14:solidFill>
              <w14:schemeClr w14:val="tx1"/>
            </w14:solidFill>
          </w14:textFill>
        </w:rPr>
        <w:t xml:space="preserve"> 因监理人违反本合同约定给委托人造成损失的，监理人应当赔偿委托人损失。</w:t>
      </w:r>
    </w:p>
    <w:p w14:paraId="55267E3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监理人赔偿金额按下列方法确定：赔偿金＝直接经济损失×正常工作酬金÷</w:t>
      </w:r>
      <w:r>
        <w:rPr>
          <w:rFonts w:hint="eastAsia" w:hAnsi="宋体" w:cs="宋体"/>
          <w:snapToGrid w:val="0"/>
          <w:color w:val="000000" w:themeColor="text1"/>
          <w:kern w:val="0"/>
          <w:highlight w:val="none"/>
          <w:u w:val="single"/>
          <w14:textFill>
            <w14:solidFill>
              <w14:schemeClr w14:val="tx1"/>
            </w14:solidFill>
          </w14:textFill>
        </w:rPr>
        <w:t>项目建安费（总额不超过税后合同监理</w:t>
      </w:r>
      <w:r>
        <w:rPr>
          <w:rFonts w:hint="eastAsia" w:hAnsi="宋体" w:cs="宋体"/>
          <w:snapToGrid w:val="0"/>
          <w:color w:val="000000" w:themeColor="text1"/>
          <w:kern w:val="0"/>
          <w:szCs w:val="24"/>
          <w:highlight w:val="none"/>
          <w:u w:val="single"/>
          <w14:textFill>
            <w14:solidFill>
              <w14:schemeClr w14:val="tx1"/>
            </w14:solidFill>
          </w14:textFill>
        </w:rPr>
        <w:t>服务</w:t>
      </w:r>
      <w:r>
        <w:rPr>
          <w:rFonts w:hint="eastAsia" w:hAnsi="宋体" w:cs="宋体"/>
          <w:snapToGrid w:val="0"/>
          <w:color w:val="000000" w:themeColor="text1"/>
          <w:kern w:val="0"/>
          <w:highlight w:val="none"/>
          <w:u w:val="single"/>
          <w14:textFill>
            <w14:solidFill>
              <w14:schemeClr w14:val="tx1"/>
            </w14:solidFill>
          </w14:textFill>
        </w:rPr>
        <w:t>费）</w:t>
      </w:r>
      <w:r>
        <w:rPr>
          <w:rFonts w:hint="eastAsia" w:hAnsi="宋体" w:cs="宋体"/>
          <w:snapToGrid w:val="0"/>
          <w:color w:val="000000" w:themeColor="text1"/>
          <w:kern w:val="0"/>
          <w:szCs w:val="24"/>
          <w:highlight w:val="none"/>
          <w14:textFill>
            <w14:solidFill>
              <w14:schemeClr w14:val="tx1"/>
            </w14:solidFill>
          </w14:textFill>
        </w:rPr>
        <w:t>。</w:t>
      </w:r>
    </w:p>
    <w:p w14:paraId="7BD964F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监理人承担部分赔偿责任的，其承担赔偿金额由双方协商确定。</w:t>
      </w:r>
    </w:p>
    <w:p w14:paraId="2F6A937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4.1.2</w:t>
      </w:r>
      <w:r>
        <w:rPr>
          <w:rFonts w:hint="eastAsia" w:hAnsi="宋体" w:cs="宋体"/>
          <w:snapToGrid w:val="0"/>
          <w:color w:val="000000" w:themeColor="text1"/>
          <w:kern w:val="0"/>
          <w:szCs w:val="24"/>
          <w:highlight w:val="none"/>
          <w14:textFill>
            <w14:solidFill>
              <w14:schemeClr w14:val="tx1"/>
            </w14:solidFill>
          </w14:textFill>
        </w:rPr>
        <w:t xml:space="preserve"> 监理人向委托人的索赔不成立时，监理人应赔偿委托人由此发生的费用。</w:t>
      </w:r>
    </w:p>
    <w:p w14:paraId="1AAA5D3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highlight w:val="none"/>
          <w14:textFill>
            <w14:solidFill>
              <w14:schemeClr w14:val="tx1"/>
            </w14:solidFill>
          </w14:textFill>
        </w:rPr>
      </w:pPr>
      <w:bookmarkStart w:id="185" w:name="_Toc13002"/>
      <w:bookmarkStart w:id="186" w:name="_Toc28294"/>
      <w:bookmarkStart w:id="187" w:name="_Toc2188"/>
      <w:bookmarkStart w:id="188" w:name="_Toc27680"/>
      <w:bookmarkStart w:id="189" w:name="_Toc7205"/>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 xml:space="preserve"> 委托人的违约责任</w:t>
      </w:r>
      <w:bookmarkEnd w:id="185"/>
      <w:bookmarkEnd w:id="186"/>
      <w:bookmarkEnd w:id="187"/>
      <w:bookmarkEnd w:id="188"/>
      <w:bookmarkEnd w:id="189"/>
    </w:p>
    <w:p w14:paraId="77AD8D7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委托人未履行本合同义务的，应承担相应的责任。</w:t>
      </w:r>
    </w:p>
    <w:p w14:paraId="1739BA7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4.2.1</w:t>
      </w:r>
      <w:r>
        <w:rPr>
          <w:rFonts w:hint="eastAsia" w:hAnsi="宋体" w:cs="宋体"/>
          <w:snapToGrid w:val="0"/>
          <w:color w:val="000000" w:themeColor="text1"/>
          <w:kern w:val="0"/>
          <w:szCs w:val="24"/>
          <w:highlight w:val="none"/>
          <w14:textFill>
            <w14:solidFill>
              <w14:schemeClr w14:val="tx1"/>
            </w14:solidFill>
          </w14:textFill>
        </w:rPr>
        <w:t xml:space="preserve"> 委托人违反本合同约定造成监理人损失的，委托人应予以赔偿。</w:t>
      </w:r>
    </w:p>
    <w:p w14:paraId="7D33D44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4.2.2</w:t>
      </w:r>
      <w:r>
        <w:rPr>
          <w:rFonts w:hint="eastAsia" w:hAnsi="宋体" w:cs="宋体"/>
          <w:snapToGrid w:val="0"/>
          <w:color w:val="000000" w:themeColor="text1"/>
          <w:kern w:val="0"/>
          <w:szCs w:val="24"/>
          <w:highlight w:val="none"/>
          <w14:textFill>
            <w14:solidFill>
              <w14:schemeClr w14:val="tx1"/>
            </w14:solidFill>
          </w14:textFill>
        </w:rPr>
        <w:t xml:space="preserve"> 委托人向监理人的索赔不成立时，应赔偿监理人由此引起的费用。</w:t>
      </w:r>
    </w:p>
    <w:p w14:paraId="21DE849C">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4.2.3</w:t>
      </w:r>
      <w:r>
        <w:rPr>
          <w:rFonts w:hint="eastAsia" w:hAnsi="宋体" w:cs="宋体"/>
          <w:snapToGrid w:val="0"/>
          <w:color w:val="000000" w:themeColor="text1"/>
          <w:kern w:val="0"/>
          <w:szCs w:val="24"/>
          <w:highlight w:val="none"/>
          <w14:textFill>
            <w14:solidFill>
              <w14:schemeClr w14:val="tx1"/>
            </w14:solidFill>
          </w14:textFill>
        </w:rPr>
        <w:t xml:space="preserve"> 委托人未能按期支付酬金超过28天，应支付逾期付款利息。委托人逾期付款利息按下列方法确定：逾期付款利息＝当期应付款总额×银行同期贷款利率×拖延支付天数。</w:t>
      </w:r>
    </w:p>
    <w:p w14:paraId="78CEB19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highlight w:val="none"/>
          <w14:textFill>
            <w14:solidFill>
              <w14:schemeClr w14:val="tx1"/>
            </w14:solidFill>
          </w14:textFill>
        </w:rPr>
      </w:pPr>
      <w:bookmarkStart w:id="190" w:name="_Toc7356"/>
      <w:bookmarkStart w:id="191" w:name="_Toc11108"/>
      <w:bookmarkStart w:id="192" w:name="_Toc3546"/>
      <w:bookmarkStart w:id="193" w:name="_Toc23199"/>
      <w:bookmarkStart w:id="194" w:name="_Toc7301"/>
      <w:r>
        <w:rPr>
          <w:rFonts w:hint="eastAsia" w:hAnsi="宋体" w:cs="宋体"/>
          <w:b/>
          <w:bCs/>
          <w:snapToGrid w:val="0"/>
          <w:color w:val="000000" w:themeColor="text1"/>
          <w:kern w:val="0"/>
          <w:szCs w:val="24"/>
          <w:highlight w:val="none"/>
          <w14:textFill>
            <w14:solidFill>
              <w14:schemeClr w14:val="tx1"/>
            </w14:solidFill>
          </w14:textFill>
        </w:rPr>
        <w:t>4.3</w:t>
      </w:r>
      <w:r>
        <w:rPr>
          <w:rFonts w:hint="eastAsia" w:hAnsi="宋体" w:cs="宋体"/>
          <w:snapToGrid w:val="0"/>
          <w:color w:val="000000" w:themeColor="text1"/>
          <w:kern w:val="0"/>
          <w:szCs w:val="24"/>
          <w:highlight w:val="none"/>
          <w14:textFill>
            <w14:solidFill>
              <w14:schemeClr w14:val="tx1"/>
            </w14:solidFill>
          </w14:textFill>
        </w:rPr>
        <w:t xml:space="preserve"> 除外责任</w:t>
      </w:r>
      <w:bookmarkEnd w:id="190"/>
      <w:bookmarkEnd w:id="191"/>
      <w:bookmarkEnd w:id="192"/>
      <w:bookmarkEnd w:id="193"/>
      <w:bookmarkEnd w:id="194"/>
    </w:p>
    <w:p w14:paraId="172A7A5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因非监理人的原因，且监理人无过错，发生工程质量事故、安全事故、工期延误等造成的损失，监理人不承担赔偿责任。</w:t>
      </w:r>
    </w:p>
    <w:p w14:paraId="146787C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因不可抗力导致本合同全部或部分不能履行时，双方各自承担其因此而造成的损失、损害。</w:t>
      </w:r>
    </w:p>
    <w:p w14:paraId="772ADBF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000000" w:themeColor="text1"/>
          <w:kern w:val="0"/>
          <w:szCs w:val="24"/>
          <w:highlight w:val="none"/>
          <w14:textFill>
            <w14:solidFill>
              <w14:schemeClr w14:val="tx1"/>
            </w14:solidFill>
          </w14:textFill>
        </w:rPr>
      </w:pPr>
      <w:bookmarkStart w:id="195" w:name="_Toc8777"/>
      <w:bookmarkStart w:id="196" w:name="_Toc17944"/>
      <w:bookmarkStart w:id="197" w:name="_Toc27702"/>
      <w:bookmarkStart w:id="198" w:name="_Toc13029"/>
      <w:bookmarkStart w:id="199" w:name="_Toc29596"/>
      <w:bookmarkStart w:id="200" w:name="_Toc26193"/>
      <w:r>
        <w:rPr>
          <w:rFonts w:hint="eastAsia" w:hAnsi="宋体" w:cs="宋体"/>
          <w:b/>
          <w:bCs/>
          <w:snapToGrid w:val="0"/>
          <w:color w:val="000000" w:themeColor="text1"/>
          <w:kern w:val="0"/>
          <w:szCs w:val="24"/>
          <w:highlight w:val="none"/>
          <w14:textFill>
            <w14:solidFill>
              <w14:schemeClr w14:val="tx1"/>
            </w14:solidFill>
          </w14:textFill>
        </w:rPr>
        <w:t>5．支付</w:t>
      </w:r>
      <w:bookmarkEnd w:id="195"/>
      <w:bookmarkEnd w:id="196"/>
      <w:bookmarkEnd w:id="197"/>
      <w:bookmarkEnd w:id="198"/>
      <w:bookmarkEnd w:id="199"/>
      <w:bookmarkEnd w:id="200"/>
    </w:p>
    <w:p w14:paraId="2E24E5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01" w:name="_Toc29230"/>
      <w:bookmarkStart w:id="202" w:name="_Toc13619"/>
      <w:bookmarkStart w:id="203" w:name="_Toc624"/>
      <w:bookmarkStart w:id="204" w:name="_Toc26599"/>
      <w:bookmarkStart w:id="205" w:name="_Toc9024"/>
      <w:r>
        <w:rPr>
          <w:rFonts w:hint="eastAsia" w:hAnsi="宋体" w:cs="宋体"/>
          <w:b/>
          <w:bCs/>
          <w:snapToGrid w:val="0"/>
          <w:color w:val="000000" w:themeColor="text1"/>
          <w:kern w:val="0"/>
          <w:szCs w:val="24"/>
          <w:highlight w:val="none"/>
          <w14:textFill>
            <w14:solidFill>
              <w14:schemeClr w14:val="tx1"/>
            </w14:solidFill>
          </w14:textFill>
        </w:rPr>
        <w:t>5.1</w:t>
      </w:r>
      <w:r>
        <w:rPr>
          <w:rFonts w:hint="eastAsia" w:hAnsi="宋体" w:cs="宋体"/>
          <w:snapToGrid w:val="0"/>
          <w:color w:val="000000" w:themeColor="text1"/>
          <w:kern w:val="0"/>
          <w:szCs w:val="24"/>
          <w:highlight w:val="none"/>
          <w14:textFill>
            <w14:solidFill>
              <w14:schemeClr w14:val="tx1"/>
            </w14:solidFill>
          </w14:textFill>
        </w:rPr>
        <w:t xml:space="preserve"> 支付货币</w:t>
      </w:r>
      <w:bookmarkEnd w:id="201"/>
      <w:bookmarkEnd w:id="202"/>
      <w:bookmarkEnd w:id="203"/>
      <w:bookmarkEnd w:id="204"/>
      <w:bookmarkEnd w:id="205"/>
    </w:p>
    <w:p w14:paraId="29792D2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酬金均以人民币支付。</w:t>
      </w:r>
    </w:p>
    <w:p w14:paraId="68370C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06" w:name="_Toc22466"/>
      <w:bookmarkStart w:id="207" w:name="_Toc10949"/>
      <w:bookmarkStart w:id="208" w:name="_Toc7275"/>
      <w:bookmarkStart w:id="209" w:name="_Toc3949"/>
      <w:bookmarkStart w:id="210" w:name="_Toc30132"/>
      <w:r>
        <w:rPr>
          <w:rFonts w:hint="eastAsia" w:hAnsi="宋体" w:cs="宋体"/>
          <w:b/>
          <w:bCs/>
          <w:snapToGrid w:val="0"/>
          <w:color w:val="000000" w:themeColor="text1"/>
          <w:kern w:val="0"/>
          <w:szCs w:val="24"/>
          <w:highlight w:val="none"/>
          <w14:textFill>
            <w14:solidFill>
              <w14:schemeClr w14:val="tx1"/>
            </w14:solidFill>
          </w14:textFill>
        </w:rPr>
        <w:t>5.2</w:t>
      </w:r>
      <w:r>
        <w:rPr>
          <w:rFonts w:hint="eastAsia" w:hAnsi="宋体" w:cs="宋体"/>
          <w:snapToGrid w:val="0"/>
          <w:color w:val="000000" w:themeColor="text1"/>
          <w:kern w:val="0"/>
          <w:szCs w:val="24"/>
          <w:highlight w:val="none"/>
          <w14:textFill>
            <w14:solidFill>
              <w14:schemeClr w14:val="tx1"/>
            </w14:solidFill>
          </w14:textFill>
        </w:rPr>
        <w:t xml:space="preserve"> 支付申请</w:t>
      </w:r>
      <w:bookmarkEnd w:id="206"/>
      <w:bookmarkEnd w:id="207"/>
      <w:bookmarkEnd w:id="208"/>
      <w:bookmarkEnd w:id="209"/>
      <w:bookmarkEnd w:id="210"/>
    </w:p>
    <w:p w14:paraId="13763A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7845CB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b/>
          <w:bCs/>
          <w:snapToGrid w:val="0"/>
          <w:color w:val="000000" w:themeColor="text1"/>
          <w:kern w:val="0"/>
          <w:szCs w:val="24"/>
          <w:highlight w:val="none"/>
          <w14:textFill>
            <w14:solidFill>
              <w14:schemeClr w14:val="tx1"/>
            </w14:solidFill>
          </w14:textFill>
        </w:rPr>
      </w:pPr>
      <w:bookmarkStart w:id="211" w:name="_Toc17883"/>
      <w:bookmarkStart w:id="212" w:name="_Toc10664"/>
      <w:bookmarkStart w:id="213" w:name="_Toc6801"/>
      <w:bookmarkStart w:id="214" w:name="_Toc25652"/>
      <w:bookmarkStart w:id="215" w:name="_Toc6641"/>
      <w:r>
        <w:rPr>
          <w:rFonts w:hint="eastAsia" w:hAnsi="宋体" w:cs="宋体"/>
          <w:b/>
          <w:bCs/>
          <w:snapToGrid w:val="0"/>
          <w:color w:val="000000" w:themeColor="text1"/>
          <w:kern w:val="0"/>
          <w:szCs w:val="24"/>
          <w:highlight w:val="none"/>
          <w14:textFill>
            <w14:solidFill>
              <w14:schemeClr w14:val="tx1"/>
            </w14:solidFill>
          </w14:textFill>
        </w:rPr>
        <w:t>5.3 支付酬金</w:t>
      </w:r>
      <w:bookmarkEnd w:id="211"/>
      <w:bookmarkEnd w:id="212"/>
      <w:bookmarkEnd w:id="213"/>
      <w:bookmarkEnd w:id="214"/>
      <w:bookmarkEnd w:id="215"/>
    </w:p>
    <w:p w14:paraId="3ACFFFD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5.3.1 正常工作酬金的支付计划为：</w:t>
      </w:r>
    </w:p>
    <w:p w14:paraId="7942C6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（1）签订合同开工后，支付监理服务费合同价款的</w:t>
      </w:r>
      <w:r>
        <w:rPr>
          <w:rFonts w:hint="eastAsia" w:hAnsi="宋体" w:cs="宋体"/>
          <w:b/>
          <w:bCs/>
          <w:snapToGrid w:val="0"/>
          <w:color w:val="000000" w:themeColor="text1"/>
          <w:kern w:val="0"/>
          <w:szCs w:val="24"/>
          <w:highlight w:val="none"/>
          <w:lang w:val="en-US" w:eastAsia="zh-CN"/>
          <w14:textFill>
            <w14:solidFill>
              <w14:schemeClr w14:val="tx1"/>
            </w14:solidFill>
          </w14:textFill>
        </w:rPr>
        <w:t>30</w:t>
      </w:r>
      <w:r>
        <w:rPr>
          <w:rFonts w:hint="eastAsia" w:hAnsi="宋体" w:cs="宋体"/>
          <w:b/>
          <w:bCs/>
          <w:snapToGrid w:val="0"/>
          <w:color w:val="000000" w:themeColor="text1"/>
          <w:kern w:val="0"/>
          <w:szCs w:val="24"/>
          <w:highlight w:val="none"/>
          <w14:textFill>
            <w14:solidFill>
              <w14:schemeClr w14:val="tx1"/>
            </w14:solidFill>
          </w14:textFill>
        </w:rPr>
        <w:t>%；</w:t>
      </w:r>
    </w:p>
    <w:p w14:paraId="675EF92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（2）本项目施工阶段按</w:t>
      </w:r>
      <w:r>
        <w:rPr>
          <w:rFonts w:hint="eastAsia" w:hAnsi="宋体" w:cs="宋体"/>
          <w:b/>
          <w:bCs/>
          <w:snapToGrid w:val="0"/>
          <w:color w:val="000000" w:themeColor="text1"/>
          <w:kern w:val="0"/>
          <w:szCs w:val="24"/>
          <w:highlight w:val="none"/>
          <w:lang w:val="en-US" w:eastAsia="zh-CN"/>
          <w14:textFill>
            <w14:solidFill>
              <w14:schemeClr w14:val="tx1"/>
            </w14:solidFill>
          </w14:textFill>
        </w:rPr>
        <w:t>月度</w:t>
      </w:r>
      <w:r>
        <w:rPr>
          <w:rFonts w:hint="eastAsia" w:hAnsi="宋体" w:cs="宋体"/>
          <w:b/>
          <w:bCs/>
          <w:snapToGrid w:val="0"/>
          <w:color w:val="000000" w:themeColor="text1"/>
          <w:kern w:val="0"/>
          <w:szCs w:val="24"/>
          <w:highlight w:val="none"/>
          <w14:textFill>
            <w14:solidFill>
              <w14:schemeClr w14:val="tx1"/>
            </w14:solidFill>
          </w14:textFill>
        </w:rPr>
        <w:t>分期支付监理服务费；具体分期支付方式如下：</w:t>
      </w:r>
    </w:p>
    <w:p w14:paraId="49716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lang w:val="en-US" w:eastAsia="zh-CN"/>
          <w14:textFill>
            <w14:solidFill>
              <w14:schemeClr w14:val="tx1"/>
            </w14:solidFill>
          </w14:textFill>
        </w:rPr>
        <w:t>月</w:t>
      </w:r>
      <w:r>
        <w:rPr>
          <w:rFonts w:hint="eastAsia" w:hAnsi="宋体" w:cs="宋体"/>
          <w:b/>
          <w:bCs/>
          <w:snapToGrid w:val="0"/>
          <w:color w:val="000000" w:themeColor="text1"/>
          <w:kern w:val="0"/>
          <w:szCs w:val="24"/>
          <w:highlight w:val="none"/>
          <w14:textFill>
            <w14:solidFill>
              <w14:schemeClr w14:val="tx1"/>
            </w14:solidFill>
          </w14:textFill>
        </w:rPr>
        <w:t>度监理服务费=</w:t>
      </w:r>
      <w:r>
        <w:rPr>
          <w:rFonts w:hint="eastAsia" w:hAnsi="宋体" w:cs="宋体"/>
          <w:b/>
          <w:bCs/>
          <w:snapToGrid w:val="0"/>
          <w:color w:val="000000" w:themeColor="text1"/>
          <w:kern w:val="0"/>
          <w:szCs w:val="24"/>
          <w:highlight w:val="none"/>
          <w:lang w:val="en-US" w:eastAsia="zh-CN"/>
          <w14:textFill>
            <w14:solidFill>
              <w14:schemeClr w14:val="tx1"/>
            </w14:solidFill>
          </w14:textFill>
        </w:rPr>
        <w:t>月</w:t>
      </w:r>
      <w:r>
        <w:rPr>
          <w:rFonts w:hint="eastAsia" w:hAnsi="宋体" w:cs="宋体"/>
          <w:b/>
          <w:bCs/>
          <w:snapToGrid w:val="0"/>
          <w:color w:val="000000" w:themeColor="text1"/>
          <w:kern w:val="0"/>
          <w:szCs w:val="24"/>
          <w:highlight w:val="none"/>
          <w14:textFill>
            <w14:solidFill>
              <w14:schemeClr w14:val="tx1"/>
            </w14:solidFill>
          </w14:textFill>
        </w:rPr>
        <w:t>度实际所有专业施工完成投资额×</w:t>
      </w:r>
      <w:r>
        <w:rPr>
          <w:rFonts w:hint="eastAsia" w:hAnsi="宋体" w:cs="宋体"/>
          <w:b/>
          <w:bCs/>
          <w:snapToGrid w:val="0"/>
          <w:color w:val="000000" w:themeColor="text1"/>
          <w:kern w:val="0"/>
          <w:szCs w:val="24"/>
          <w:highlight w:val="none"/>
          <w:lang w:val="en-US" w:eastAsia="zh-CN"/>
          <w14:textFill>
            <w14:solidFill>
              <w14:schemeClr w14:val="tx1"/>
            </w14:solidFill>
          </w14:textFill>
        </w:rPr>
        <w:t>90</w:t>
      </w:r>
      <w:r>
        <w:rPr>
          <w:rFonts w:hint="eastAsia" w:hAnsi="宋体" w:cs="宋体"/>
          <w:b/>
          <w:bCs/>
          <w:snapToGrid w:val="0"/>
          <w:color w:val="000000" w:themeColor="text1"/>
          <w:kern w:val="0"/>
          <w:szCs w:val="24"/>
          <w:highlight w:val="none"/>
          <w14:textFill>
            <w14:solidFill>
              <w14:schemeClr w14:val="tx1"/>
            </w14:solidFill>
          </w14:textFill>
        </w:rPr>
        <w:t>%作为计算基数计算监理服务费；施工过程中累计支付的监理服务费不得超过监理服务费合同价款的</w:t>
      </w:r>
      <w:r>
        <w:rPr>
          <w:rFonts w:hint="eastAsia" w:hAnsi="宋体" w:cs="宋体"/>
          <w:b/>
          <w:bCs/>
          <w:snapToGrid w:val="0"/>
          <w:color w:val="000000" w:themeColor="text1"/>
          <w:kern w:val="0"/>
          <w:szCs w:val="24"/>
          <w:highlight w:val="none"/>
          <w:lang w:val="en-US" w:eastAsia="zh-CN"/>
          <w14:textFill>
            <w14:solidFill>
              <w14:schemeClr w14:val="tx1"/>
            </w14:solidFill>
          </w14:textFill>
        </w:rPr>
        <w:t>9</w:t>
      </w:r>
      <w:r>
        <w:rPr>
          <w:rFonts w:hint="eastAsia" w:hAnsi="宋体" w:cs="宋体"/>
          <w:b/>
          <w:bCs/>
          <w:snapToGrid w:val="0"/>
          <w:color w:val="000000" w:themeColor="text1"/>
          <w:kern w:val="0"/>
          <w:szCs w:val="24"/>
          <w:highlight w:val="none"/>
          <w14:textFill>
            <w14:solidFill>
              <w14:schemeClr w14:val="tx1"/>
            </w14:solidFill>
          </w14:textFill>
        </w:rPr>
        <w:t>0%。</w:t>
      </w:r>
    </w:p>
    <w:p w14:paraId="5D72191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（3）工程竣工验收合格备案并经翁源县财政局投资评审中心结算审核后，委托人于次月向监理人支付至监理服务费结算价的</w:t>
      </w:r>
      <w:r>
        <w:rPr>
          <w:rFonts w:hint="eastAsia" w:hAnsi="宋体" w:cs="宋体"/>
          <w:b/>
          <w:bCs/>
          <w:snapToGrid w:val="0"/>
          <w:color w:val="000000" w:themeColor="text1"/>
          <w:kern w:val="0"/>
          <w:szCs w:val="24"/>
          <w:highlight w:val="none"/>
          <w:lang w:val="en-US" w:eastAsia="zh-CN"/>
          <w14:textFill>
            <w14:solidFill>
              <w14:schemeClr w14:val="tx1"/>
            </w14:solidFill>
          </w14:textFill>
        </w:rPr>
        <w:t>100</w:t>
      </w:r>
      <w:r>
        <w:rPr>
          <w:rFonts w:hint="eastAsia" w:hAnsi="宋体" w:cs="宋体"/>
          <w:b/>
          <w:bCs/>
          <w:snapToGrid w:val="0"/>
          <w:color w:val="000000" w:themeColor="text1"/>
          <w:kern w:val="0"/>
          <w:szCs w:val="24"/>
          <w:highlight w:val="none"/>
          <w14:textFill>
            <w14:solidFill>
              <w14:schemeClr w14:val="tx1"/>
            </w14:solidFill>
          </w14:textFill>
        </w:rPr>
        <w:t>%。</w:t>
      </w:r>
    </w:p>
    <w:p w14:paraId="04D9AD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5.3.2</w:t>
      </w:r>
      <w:r>
        <w:rPr>
          <w:rFonts w:hint="eastAsia" w:hAnsi="宋体" w:cs="宋体"/>
          <w:snapToGrid w:val="0"/>
          <w:color w:val="000000" w:themeColor="text1"/>
          <w:kern w:val="0"/>
          <w:szCs w:val="24"/>
          <w:highlight w:val="none"/>
          <w14:textFill>
            <w14:solidFill>
              <w14:schemeClr w14:val="tx1"/>
            </w14:solidFill>
          </w14:textFill>
        </w:rPr>
        <w:t xml:space="preserve"> 合理化建议奖励的支付。奖励金额在合理化建议被采纳后，与最近一期的正常工作酬金同期支付。</w:t>
      </w:r>
    </w:p>
    <w:p w14:paraId="3A8929AE">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合理化建议奖励金额的确定方法为：</w:t>
      </w:r>
    </w:p>
    <w:p w14:paraId="3D58F4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奖励金额＝项目投资节省额×奖励金额的比率；</w:t>
      </w:r>
    </w:p>
    <w:p w14:paraId="7FDEBB63">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奖励金额的比率为</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w:t>
      </w:r>
    </w:p>
    <w:p w14:paraId="32DEDE9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合理化建议奖励金额的确定方法为：</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w:t>
      </w:r>
    </w:p>
    <w:p w14:paraId="6EF671D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16" w:name="_Toc2043"/>
      <w:bookmarkStart w:id="217" w:name="_Toc30854"/>
      <w:bookmarkStart w:id="218" w:name="_Toc14938"/>
      <w:bookmarkStart w:id="219" w:name="_Toc26984"/>
      <w:bookmarkStart w:id="220" w:name="_Toc11530"/>
      <w:r>
        <w:rPr>
          <w:rFonts w:hint="eastAsia" w:hAnsi="宋体" w:cs="宋体"/>
          <w:b/>
          <w:bCs/>
          <w:snapToGrid w:val="0"/>
          <w:color w:val="000000" w:themeColor="text1"/>
          <w:kern w:val="0"/>
          <w:szCs w:val="24"/>
          <w:highlight w:val="none"/>
          <w14:textFill>
            <w14:solidFill>
              <w14:schemeClr w14:val="tx1"/>
            </w14:solidFill>
          </w14:textFill>
        </w:rPr>
        <w:t>5.4</w:t>
      </w:r>
      <w:r>
        <w:rPr>
          <w:rFonts w:hint="eastAsia" w:hAnsi="宋体" w:cs="宋体"/>
          <w:snapToGrid w:val="0"/>
          <w:color w:val="000000" w:themeColor="text1"/>
          <w:kern w:val="0"/>
          <w:szCs w:val="24"/>
          <w:highlight w:val="none"/>
          <w14:textFill>
            <w14:solidFill>
              <w14:schemeClr w14:val="tx1"/>
            </w14:solidFill>
          </w14:textFill>
        </w:rPr>
        <w:t xml:space="preserve"> 有争议部分的付款</w:t>
      </w:r>
      <w:bookmarkEnd w:id="216"/>
      <w:bookmarkEnd w:id="217"/>
      <w:bookmarkEnd w:id="218"/>
      <w:bookmarkEnd w:id="219"/>
      <w:bookmarkEnd w:id="220"/>
    </w:p>
    <w:p w14:paraId="0963C9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000000" w:themeColor="text1"/>
          <w:kern w:val="0"/>
          <w:szCs w:val="24"/>
          <w:highlight w:val="none"/>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条处理。</w:t>
      </w:r>
    </w:p>
    <w:p w14:paraId="4F9CC6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221" w:name="_Toc14349"/>
      <w:bookmarkStart w:id="222" w:name="_Toc8398"/>
      <w:bookmarkStart w:id="223" w:name="_Toc878"/>
      <w:bookmarkStart w:id="224" w:name="_Toc11091"/>
      <w:bookmarkStart w:id="225" w:name="_Toc5107"/>
      <w:bookmarkStart w:id="226" w:name="_Toc12317"/>
      <w:r>
        <w:rPr>
          <w:rFonts w:hint="eastAsia" w:hAnsi="宋体" w:cs="宋体"/>
          <w:b/>
          <w:bCs/>
          <w:snapToGrid w:val="0"/>
          <w:color w:val="000000" w:themeColor="text1"/>
          <w:kern w:val="0"/>
          <w:szCs w:val="24"/>
          <w:highlight w:val="none"/>
          <w14:textFill>
            <w14:solidFill>
              <w14:schemeClr w14:val="tx1"/>
            </w14:solidFill>
          </w14:textFill>
        </w:rPr>
        <w:t>6．合同生效、变更、暂停、解除与终止</w:t>
      </w:r>
      <w:bookmarkEnd w:id="221"/>
      <w:bookmarkEnd w:id="222"/>
      <w:bookmarkEnd w:id="223"/>
      <w:bookmarkEnd w:id="224"/>
      <w:bookmarkEnd w:id="225"/>
      <w:bookmarkEnd w:id="226"/>
    </w:p>
    <w:p w14:paraId="021C1E7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27" w:name="_Toc23029"/>
      <w:bookmarkStart w:id="228" w:name="_Toc27810"/>
      <w:bookmarkStart w:id="229" w:name="_Toc5937"/>
      <w:bookmarkStart w:id="230" w:name="_Toc27548"/>
      <w:bookmarkStart w:id="231" w:name="_Toc20360"/>
      <w:r>
        <w:rPr>
          <w:rFonts w:hint="eastAsia" w:hAnsi="宋体" w:cs="宋体"/>
          <w:b/>
          <w:bCs/>
          <w:snapToGrid w:val="0"/>
          <w:color w:val="000000" w:themeColor="text1"/>
          <w:kern w:val="0"/>
          <w:szCs w:val="24"/>
          <w:highlight w:val="none"/>
          <w14:textFill>
            <w14:solidFill>
              <w14:schemeClr w14:val="tx1"/>
            </w14:solidFill>
          </w14:textFill>
        </w:rPr>
        <w:t>6.1</w:t>
      </w:r>
      <w:r>
        <w:rPr>
          <w:rFonts w:hint="eastAsia" w:hAnsi="宋体" w:cs="宋体"/>
          <w:snapToGrid w:val="0"/>
          <w:color w:val="000000" w:themeColor="text1"/>
          <w:kern w:val="0"/>
          <w:szCs w:val="24"/>
          <w:highlight w:val="none"/>
          <w14:textFill>
            <w14:solidFill>
              <w14:schemeClr w14:val="tx1"/>
            </w14:solidFill>
          </w14:textFill>
        </w:rPr>
        <w:t xml:space="preserve"> 生效</w:t>
      </w:r>
      <w:bookmarkEnd w:id="227"/>
      <w:bookmarkEnd w:id="228"/>
      <w:bookmarkEnd w:id="229"/>
      <w:bookmarkEnd w:id="230"/>
      <w:bookmarkEnd w:id="231"/>
    </w:p>
    <w:p w14:paraId="655FBEA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委托人和监理人的法定代表人或其授权代理人在协议书上签字并盖单位章后本合同生效。</w:t>
      </w:r>
    </w:p>
    <w:p w14:paraId="4F79E542">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bookmarkStart w:id="232" w:name="_Toc15312"/>
      <w:bookmarkStart w:id="233" w:name="_Toc1739"/>
      <w:bookmarkStart w:id="234" w:name="_Toc636"/>
      <w:bookmarkStart w:id="235" w:name="_Toc497"/>
      <w:bookmarkStart w:id="236" w:name="_Toc9359"/>
      <w:r>
        <w:rPr>
          <w:rFonts w:hint="eastAsia" w:hAnsi="宋体" w:cs="宋体"/>
          <w:b/>
          <w:bCs/>
          <w:snapToGrid w:val="0"/>
          <w:color w:val="000000" w:themeColor="text1"/>
          <w:kern w:val="0"/>
          <w:szCs w:val="24"/>
          <w:highlight w:val="none"/>
          <w14:textFill>
            <w14:solidFill>
              <w14:schemeClr w14:val="tx1"/>
            </w14:solidFill>
          </w14:textFill>
        </w:rPr>
        <w:t>6.2</w:t>
      </w:r>
      <w:r>
        <w:rPr>
          <w:rFonts w:hint="eastAsia" w:hAnsi="宋体" w:cs="宋体"/>
          <w:snapToGrid w:val="0"/>
          <w:color w:val="000000" w:themeColor="text1"/>
          <w:kern w:val="0"/>
          <w:szCs w:val="24"/>
          <w:highlight w:val="none"/>
          <w14:textFill>
            <w14:solidFill>
              <w14:schemeClr w14:val="tx1"/>
            </w14:solidFill>
          </w14:textFill>
        </w:rPr>
        <w:t xml:space="preserve"> 变更</w:t>
      </w:r>
      <w:bookmarkEnd w:id="232"/>
      <w:bookmarkEnd w:id="233"/>
      <w:bookmarkEnd w:id="234"/>
      <w:bookmarkEnd w:id="235"/>
      <w:bookmarkEnd w:id="236"/>
    </w:p>
    <w:p w14:paraId="3376E0D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6.2.1</w:t>
      </w:r>
      <w:r>
        <w:rPr>
          <w:rFonts w:hint="eastAsia" w:hAnsi="宋体" w:cs="宋体"/>
          <w:snapToGrid w:val="0"/>
          <w:color w:val="000000" w:themeColor="text1"/>
          <w:kern w:val="0"/>
          <w:szCs w:val="24"/>
          <w:highlight w:val="none"/>
          <w14:textFill>
            <w14:solidFill>
              <w14:schemeClr w14:val="tx1"/>
            </w14:solidFill>
          </w14:textFill>
        </w:rPr>
        <w:t xml:space="preserve"> 任何一方提出变更请求时，双方经协商一致后可进行变更。</w:t>
      </w:r>
    </w:p>
    <w:p w14:paraId="1DDF37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6.2.2</w:t>
      </w:r>
      <w:r>
        <w:rPr>
          <w:rFonts w:hint="eastAsia" w:hAnsi="宋体" w:cs="宋体"/>
          <w:snapToGrid w:val="0"/>
          <w:color w:val="000000" w:themeColor="text1"/>
          <w:kern w:val="0"/>
          <w:szCs w:val="24"/>
          <w:highlight w:val="none"/>
          <w14:textFill>
            <w14:solidFill>
              <w14:schemeClr w14:val="tx1"/>
            </w14:solidFill>
          </w14:textFill>
        </w:rPr>
        <w:t>除不可抗力外，因非监理人原因导致监理人履行合同期限延长、内容增加时，监理人应当将此情况与可能产生的影响及时通知委托人。增加的监理工作时间、工作内容应视为附加工作。</w:t>
      </w:r>
    </w:p>
    <w:p w14:paraId="0007368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highlight w:val="none"/>
          <w:u w:val="single"/>
          <w14:textFill>
            <w14:solidFill>
              <w14:schemeClr w14:val="tx1"/>
            </w14:solidFill>
          </w14:textFill>
        </w:rPr>
        <w:t xml:space="preserve">双方协商 </w:t>
      </w:r>
      <w:r>
        <w:rPr>
          <w:rFonts w:hint="eastAsia" w:hAnsi="宋体" w:cs="宋体"/>
          <w:snapToGrid w:val="0"/>
          <w:color w:val="000000" w:themeColor="text1"/>
          <w:kern w:val="0"/>
          <w:szCs w:val="24"/>
          <w:highlight w:val="none"/>
          <w14:textFill>
            <w14:solidFill>
              <w14:schemeClr w14:val="tx1"/>
            </w14:solidFill>
          </w14:textFill>
        </w:rPr>
        <w:t>。</w:t>
      </w:r>
    </w:p>
    <w:p w14:paraId="7F23D4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6.2.3</w:t>
      </w:r>
      <w:r>
        <w:rPr>
          <w:rFonts w:hint="eastAsia" w:hAnsi="宋体" w:cs="宋体"/>
          <w:snapToGrid w:val="0"/>
          <w:color w:val="000000" w:themeColor="text1"/>
          <w:kern w:val="0"/>
          <w:szCs w:val="24"/>
          <w:highlight w:val="none"/>
          <w14:textFill>
            <w14:solidFill>
              <w14:schemeClr w14:val="tx1"/>
            </w14:solidFill>
          </w14:textFill>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01D77D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双方协商 </w:t>
      </w:r>
      <w:r>
        <w:rPr>
          <w:rFonts w:hint="eastAsia" w:hAnsi="宋体" w:cs="宋体"/>
          <w:snapToGrid w:val="0"/>
          <w:color w:val="000000" w:themeColor="text1"/>
          <w:kern w:val="0"/>
          <w:szCs w:val="24"/>
          <w:highlight w:val="none"/>
          <w14:textFill>
            <w14:solidFill>
              <w14:schemeClr w14:val="tx1"/>
            </w14:solidFill>
          </w14:textFill>
        </w:rPr>
        <w:t>。</w:t>
      </w:r>
    </w:p>
    <w:p w14:paraId="754227F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6.2.4</w:t>
      </w:r>
      <w:r>
        <w:rPr>
          <w:rFonts w:hint="eastAsia" w:hAnsi="宋体" w:cs="宋体"/>
          <w:snapToGrid w:val="0"/>
          <w:color w:val="000000" w:themeColor="text1"/>
          <w:kern w:val="0"/>
          <w:szCs w:val="24"/>
          <w:highlight w:val="none"/>
          <w14:textFill>
            <w14:solidFill>
              <w14:schemeClr w14:val="tx1"/>
            </w14:solidFill>
          </w14:textFill>
        </w:rPr>
        <w:t xml:space="preserve"> 合同签订后，遇有与招标项目相关的法律法规、标准颁布或修订的，双方应遵照执行。由此引起监理与相关服务的范围、时间、酬金变化的，双方应通过协商进行相应调整。</w:t>
      </w:r>
    </w:p>
    <w:p w14:paraId="62D7E48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6.2.5</w:t>
      </w:r>
      <w:r>
        <w:rPr>
          <w:rFonts w:hint="eastAsia" w:hAnsi="宋体" w:cs="宋体"/>
          <w:snapToGrid w:val="0"/>
          <w:color w:val="000000" w:themeColor="text1"/>
          <w:kern w:val="0"/>
          <w:szCs w:val="24"/>
          <w:highlight w:val="none"/>
          <w14:textFill>
            <w14:solidFill>
              <w14:schemeClr w14:val="tx1"/>
            </w14:solidFill>
          </w14:textFill>
        </w:rPr>
        <w:t xml:space="preserve"> 因非监理人原因造成项目</w:t>
      </w:r>
      <w:r>
        <w:rPr>
          <w:rFonts w:hint="eastAsia" w:hAnsi="宋体" w:cs="宋体"/>
          <w:snapToGrid w:val="0"/>
          <w:color w:val="000000" w:themeColor="text1"/>
          <w:kern w:val="0"/>
          <w:szCs w:val="24"/>
          <w:highlight w:val="none"/>
          <w:u w:val="single"/>
          <w14:textFill>
            <w14:solidFill>
              <w14:schemeClr w14:val="tx1"/>
            </w14:solidFill>
          </w14:textFill>
        </w:rPr>
        <w:t xml:space="preserve"> 预算 </w:t>
      </w:r>
      <w:r>
        <w:rPr>
          <w:rFonts w:hint="eastAsia" w:hAnsi="宋体" w:cs="宋体"/>
          <w:snapToGrid w:val="0"/>
          <w:color w:val="000000" w:themeColor="text1"/>
          <w:kern w:val="0"/>
          <w:szCs w:val="24"/>
          <w:highlight w:val="none"/>
          <w14:textFill>
            <w14:solidFill>
              <w14:schemeClr w14:val="tx1"/>
            </w14:solidFill>
          </w14:textFill>
        </w:rPr>
        <w:t>投资额增加时，正常工作酬金应作相应调整。</w:t>
      </w:r>
    </w:p>
    <w:p w14:paraId="04EB0397">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sym w:font="Wingdings" w:char="00D8"/>
      </w:r>
      <w:r>
        <w:rPr>
          <w:rFonts w:hint="eastAsia" w:hAnsi="宋体" w:cs="宋体"/>
          <w:snapToGrid w:val="0"/>
          <w:color w:val="000000" w:themeColor="text1"/>
          <w:kern w:val="0"/>
          <w:szCs w:val="24"/>
          <w:highlight w:val="none"/>
          <w14:textFill>
            <w14:solidFill>
              <w14:schemeClr w14:val="tx1"/>
            </w14:solidFill>
          </w14:textFill>
        </w:rPr>
        <w:t xml:space="preserve"> 发生以上情形的正常工作酬金增加额的确定方法为：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双方协商</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w:t>
      </w:r>
    </w:p>
    <w:p w14:paraId="067994A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6.2.6</w:t>
      </w:r>
      <w:r>
        <w:rPr>
          <w:rFonts w:hint="eastAsia" w:hAnsi="宋体" w:cs="宋体"/>
          <w:snapToGrid w:val="0"/>
          <w:color w:val="000000" w:themeColor="text1"/>
          <w:kern w:val="0"/>
          <w:szCs w:val="24"/>
          <w:highlight w:val="none"/>
          <w14:textFill>
            <w14:solidFill>
              <w14:schemeClr w14:val="tx1"/>
            </w14:solidFill>
          </w14:textFill>
        </w:rPr>
        <w:t xml:space="preserve"> 因工程规模、监理范围的变化导致监理人的正常工作量减少时，按减少工作量的比例从协议书约定的正常工作酬金中扣减相同比例的酬金。</w:t>
      </w:r>
    </w:p>
    <w:p w14:paraId="3293E8C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37" w:name="_Toc26037"/>
      <w:bookmarkStart w:id="238" w:name="_Toc4131"/>
      <w:bookmarkStart w:id="239" w:name="_Toc12797"/>
      <w:bookmarkStart w:id="240" w:name="_Toc19127"/>
      <w:bookmarkStart w:id="241" w:name="_Toc17200"/>
      <w:r>
        <w:rPr>
          <w:rFonts w:hint="eastAsia" w:hAnsi="宋体" w:cs="宋体"/>
          <w:b/>
          <w:bCs/>
          <w:snapToGrid w:val="0"/>
          <w:color w:val="000000" w:themeColor="text1"/>
          <w:kern w:val="0"/>
          <w:szCs w:val="24"/>
          <w:highlight w:val="none"/>
          <w14:textFill>
            <w14:solidFill>
              <w14:schemeClr w14:val="tx1"/>
            </w14:solidFill>
          </w14:textFill>
        </w:rPr>
        <w:t>6.3</w:t>
      </w:r>
      <w:r>
        <w:rPr>
          <w:rFonts w:hint="eastAsia" w:hAnsi="宋体" w:cs="宋体"/>
          <w:snapToGrid w:val="0"/>
          <w:color w:val="000000" w:themeColor="text1"/>
          <w:kern w:val="0"/>
          <w:szCs w:val="24"/>
          <w:highlight w:val="none"/>
          <w14:textFill>
            <w14:solidFill>
              <w14:schemeClr w14:val="tx1"/>
            </w14:solidFill>
          </w14:textFill>
        </w:rPr>
        <w:t xml:space="preserve"> 暂停与解除</w:t>
      </w:r>
      <w:bookmarkEnd w:id="237"/>
      <w:bookmarkEnd w:id="238"/>
      <w:bookmarkEnd w:id="239"/>
      <w:bookmarkEnd w:id="240"/>
      <w:bookmarkEnd w:id="241"/>
    </w:p>
    <w:p w14:paraId="20E69EF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4E2F346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6.3.1</w:t>
      </w:r>
      <w:r>
        <w:rPr>
          <w:rFonts w:hint="eastAsia" w:hAnsi="宋体" w:cs="宋体"/>
          <w:snapToGrid w:val="0"/>
          <w:color w:val="000000" w:themeColor="text1"/>
          <w:kern w:val="0"/>
          <w:szCs w:val="24"/>
          <w:highlight w:val="none"/>
          <w14:textFill>
            <w14:solidFill>
              <w14:schemeClr w14:val="tx1"/>
            </w14:solidFill>
          </w14:textFill>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09685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1E7E7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解除本合同的协议必须采取书面形式，协议未达成之前，本合同仍然有效。</w:t>
      </w:r>
    </w:p>
    <w:p w14:paraId="1030A8C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6.3.2</w:t>
      </w:r>
      <w:r>
        <w:rPr>
          <w:rFonts w:hint="eastAsia" w:hAnsi="宋体" w:cs="宋体"/>
          <w:snapToGrid w:val="0"/>
          <w:color w:val="000000" w:themeColor="text1"/>
          <w:kern w:val="0"/>
          <w:szCs w:val="24"/>
          <w:highlight w:val="none"/>
          <w14:textFill>
            <w14:solidFill>
              <w14:schemeClr w14:val="tx1"/>
            </w14:solidFill>
          </w14:textFill>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225046B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条约定的责任。</w:t>
      </w:r>
    </w:p>
    <w:p w14:paraId="7F4EE2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6.3.3</w:t>
      </w:r>
      <w:r>
        <w:rPr>
          <w:rFonts w:hint="eastAsia" w:hAnsi="宋体" w:cs="宋体"/>
          <w:snapToGrid w:val="0"/>
          <w:color w:val="000000" w:themeColor="text1"/>
          <w:kern w:val="0"/>
          <w:szCs w:val="24"/>
          <w:highlight w:val="none"/>
          <w14:textFill>
            <w14:solidFill>
              <w14:schemeClr w14:val="tx1"/>
            </w14:solidFill>
          </w14:textFill>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条约定的责任。</w:t>
      </w:r>
    </w:p>
    <w:p w14:paraId="5545402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6.3.4</w:t>
      </w:r>
      <w:r>
        <w:rPr>
          <w:rFonts w:hint="eastAsia" w:hAnsi="宋体" w:cs="宋体"/>
          <w:snapToGrid w:val="0"/>
          <w:color w:val="000000" w:themeColor="text1"/>
          <w:kern w:val="0"/>
          <w:szCs w:val="24"/>
          <w:highlight w:val="none"/>
          <w14:textFill>
            <w14:solidFill>
              <w14:schemeClr w14:val="tx1"/>
            </w14:solidFill>
          </w14:textFill>
        </w:rPr>
        <w:t xml:space="preserve"> 监理人在专用条件</w:t>
      </w:r>
      <w:r>
        <w:rPr>
          <w:rFonts w:hint="eastAsia" w:hAnsi="宋体" w:cs="宋体"/>
          <w:b/>
          <w:bCs/>
          <w:snapToGrid w:val="0"/>
          <w:color w:val="000000" w:themeColor="text1"/>
          <w:kern w:val="0"/>
          <w:szCs w:val="24"/>
          <w:highlight w:val="none"/>
          <w14:textFill>
            <w14:solidFill>
              <w14:schemeClr w14:val="tx1"/>
            </w14:solidFill>
          </w14:textFill>
        </w:rPr>
        <w:t>5.3</w:t>
      </w:r>
      <w:r>
        <w:rPr>
          <w:rFonts w:hint="eastAsia" w:hAnsi="宋体" w:cs="宋体"/>
          <w:snapToGrid w:val="0"/>
          <w:color w:val="000000" w:themeColor="text1"/>
          <w:kern w:val="0"/>
          <w:szCs w:val="24"/>
          <w:highlight w:val="none"/>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000000" w:themeColor="text1"/>
          <w:kern w:val="0"/>
          <w:szCs w:val="24"/>
          <w:highlight w:val="none"/>
          <w14:textFill>
            <w14:solidFill>
              <w14:schemeClr w14:val="tx1"/>
            </w14:solidFill>
          </w14:textFill>
        </w:rPr>
        <w:t>4.2.3</w:t>
      </w:r>
      <w:r>
        <w:rPr>
          <w:rFonts w:hint="eastAsia" w:hAnsi="宋体" w:cs="宋体"/>
          <w:snapToGrid w:val="0"/>
          <w:color w:val="000000" w:themeColor="text1"/>
          <w:kern w:val="0"/>
          <w:szCs w:val="24"/>
          <w:highlight w:val="none"/>
          <w14:textFill>
            <w14:solidFill>
              <w14:schemeClr w14:val="tx1"/>
            </w14:solidFill>
          </w14:textFill>
        </w:rPr>
        <w:t>目约定的责任。</w:t>
      </w:r>
    </w:p>
    <w:p w14:paraId="611FCE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6.3.5</w:t>
      </w:r>
      <w:r>
        <w:rPr>
          <w:rFonts w:hint="eastAsia" w:hAnsi="宋体" w:cs="宋体"/>
          <w:snapToGrid w:val="0"/>
          <w:color w:val="000000" w:themeColor="text1"/>
          <w:kern w:val="0"/>
          <w:szCs w:val="24"/>
          <w:highlight w:val="none"/>
          <w14:textFill>
            <w14:solidFill>
              <w14:schemeClr w14:val="tx1"/>
            </w14:solidFill>
          </w14:textFill>
        </w:rPr>
        <w:t xml:space="preserve"> 因不可抗力致使本合同部分或全部不能履行时，一方应立即通知另一方，可暂停或解除本合同。</w:t>
      </w:r>
    </w:p>
    <w:p w14:paraId="57AA312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6.3.6</w:t>
      </w:r>
      <w:r>
        <w:rPr>
          <w:rFonts w:hint="eastAsia" w:hAnsi="宋体" w:cs="宋体"/>
          <w:snapToGrid w:val="0"/>
          <w:color w:val="000000" w:themeColor="text1"/>
          <w:kern w:val="0"/>
          <w:szCs w:val="24"/>
          <w:highlight w:val="none"/>
          <w14:textFill>
            <w14:solidFill>
              <w14:schemeClr w14:val="tx1"/>
            </w14:solidFill>
          </w14:textFill>
        </w:rPr>
        <w:t xml:space="preserve"> 本合同解除后，本合同约定的有关结算、清理、争议解决方式的条件仍然有效。</w:t>
      </w:r>
    </w:p>
    <w:p w14:paraId="0565B5E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42" w:name="_Toc20646"/>
      <w:bookmarkStart w:id="243" w:name="_Toc12239"/>
      <w:bookmarkStart w:id="244" w:name="_Toc18202"/>
      <w:bookmarkStart w:id="245" w:name="_Toc24610"/>
      <w:bookmarkStart w:id="246" w:name="_Toc14952"/>
      <w:r>
        <w:rPr>
          <w:rFonts w:hint="eastAsia" w:hAnsi="宋体" w:cs="宋体"/>
          <w:b/>
          <w:bCs/>
          <w:snapToGrid w:val="0"/>
          <w:color w:val="000000" w:themeColor="text1"/>
          <w:kern w:val="0"/>
          <w:szCs w:val="24"/>
          <w:highlight w:val="none"/>
          <w14:textFill>
            <w14:solidFill>
              <w14:schemeClr w14:val="tx1"/>
            </w14:solidFill>
          </w14:textFill>
        </w:rPr>
        <w:t>6.4</w:t>
      </w:r>
      <w:r>
        <w:rPr>
          <w:rFonts w:hint="eastAsia" w:hAnsi="宋体" w:cs="宋体"/>
          <w:snapToGrid w:val="0"/>
          <w:color w:val="000000" w:themeColor="text1"/>
          <w:kern w:val="0"/>
          <w:szCs w:val="24"/>
          <w:highlight w:val="none"/>
          <w14:textFill>
            <w14:solidFill>
              <w14:schemeClr w14:val="tx1"/>
            </w14:solidFill>
          </w14:textFill>
        </w:rPr>
        <w:t xml:space="preserve"> 终止</w:t>
      </w:r>
      <w:bookmarkEnd w:id="242"/>
      <w:bookmarkEnd w:id="243"/>
      <w:bookmarkEnd w:id="244"/>
      <w:bookmarkEnd w:id="245"/>
      <w:bookmarkEnd w:id="246"/>
    </w:p>
    <w:p w14:paraId="3B9EB4F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以下条件全部满足时，本合同即告终止：</w:t>
      </w:r>
    </w:p>
    <w:p w14:paraId="5F75BD6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（1）监理人完成本合同约定的全部工作；</w:t>
      </w:r>
    </w:p>
    <w:p w14:paraId="2E996FF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（2）委托人与监理人结清并支付全部酬金。</w:t>
      </w:r>
    </w:p>
    <w:p w14:paraId="2E165A9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highlight w:val="none"/>
          <w14:textFill>
            <w14:solidFill>
              <w14:schemeClr w14:val="tx1"/>
            </w14:solidFill>
          </w14:textFill>
        </w:rPr>
      </w:pPr>
      <w:bookmarkStart w:id="247" w:name="_Toc31410"/>
      <w:bookmarkStart w:id="248" w:name="_Toc27687"/>
      <w:bookmarkStart w:id="249" w:name="_Toc5945"/>
      <w:bookmarkStart w:id="250" w:name="_Toc23908"/>
      <w:bookmarkStart w:id="251" w:name="_Toc11683"/>
      <w:bookmarkStart w:id="252" w:name="_Toc3840"/>
      <w:r>
        <w:rPr>
          <w:rFonts w:hint="eastAsia" w:hAnsi="宋体" w:cs="宋体"/>
          <w:b/>
          <w:bCs/>
          <w:snapToGrid w:val="0"/>
          <w:color w:val="000000" w:themeColor="text1"/>
          <w:kern w:val="0"/>
          <w:szCs w:val="24"/>
          <w:highlight w:val="none"/>
          <w14:textFill>
            <w14:solidFill>
              <w14:schemeClr w14:val="tx1"/>
            </w14:solidFill>
          </w14:textFill>
        </w:rPr>
        <w:t>7．争议解决</w:t>
      </w:r>
      <w:bookmarkEnd w:id="247"/>
      <w:bookmarkEnd w:id="248"/>
      <w:bookmarkEnd w:id="249"/>
      <w:bookmarkEnd w:id="250"/>
      <w:bookmarkEnd w:id="251"/>
      <w:bookmarkEnd w:id="252"/>
    </w:p>
    <w:p w14:paraId="0FB8D02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53" w:name="_Toc23681"/>
      <w:bookmarkStart w:id="254" w:name="_Toc30247"/>
      <w:bookmarkStart w:id="255" w:name="_Toc28417"/>
      <w:bookmarkStart w:id="256" w:name="_Toc1230"/>
      <w:bookmarkStart w:id="257" w:name="_Toc9224"/>
      <w:r>
        <w:rPr>
          <w:rFonts w:hint="eastAsia" w:hAnsi="宋体" w:cs="宋体"/>
          <w:b/>
          <w:bCs/>
          <w:snapToGrid w:val="0"/>
          <w:color w:val="000000" w:themeColor="text1"/>
          <w:kern w:val="0"/>
          <w:szCs w:val="24"/>
          <w:highlight w:val="none"/>
          <w14:textFill>
            <w14:solidFill>
              <w14:schemeClr w14:val="tx1"/>
            </w14:solidFill>
          </w14:textFill>
        </w:rPr>
        <w:t>7.1</w:t>
      </w:r>
      <w:r>
        <w:rPr>
          <w:rFonts w:hint="eastAsia" w:hAnsi="宋体" w:cs="宋体"/>
          <w:snapToGrid w:val="0"/>
          <w:color w:val="000000" w:themeColor="text1"/>
          <w:kern w:val="0"/>
          <w:szCs w:val="24"/>
          <w:highlight w:val="none"/>
          <w14:textFill>
            <w14:solidFill>
              <w14:schemeClr w14:val="tx1"/>
            </w14:solidFill>
          </w14:textFill>
        </w:rPr>
        <w:t xml:space="preserve"> 协商</w:t>
      </w:r>
      <w:bookmarkEnd w:id="253"/>
      <w:bookmarkEnd w:id="254"/>
      <w:bookmarkEnd w:id="255"/>
      <w:bookmarkEnd w:id="256"/>
      <w:bookmarkEnd w:id="257"/>
    </w:p>
    <w:p w14:paraId="37080BA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双方应本着诚信原则协商解决彼此间的争议。</w:t>
      </w:r>
    </w:p>
    <w:p w14:paraId="4D067E1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58" w:name="_Toc17958"/>
      <w:bookmarkStart w:id="259" w:name="_Toc21833"/>
      <w:bookmarkStart w:id="260" w:name="_Toc18626"/>
      <w:bookmarkStart w:id="261" w:name="_Toc20870"/>
      <w:bookmarkStart w:id="262" w:name="_Toc15685"/>
      <w:r>
        <w:rPr>
          <w:rFonts w:hint="eastAsia" w:hAnsi="宋体" w:cs="宋体"/>
          <w:b/>
          <w:bCs/>
          <w:snapToGrid w:val="0"/>
          <w:color w:val="000000" w:themeColor="text1"/>
          <w:kern w:val="0"/>
          <w:szCs w:val="24"/>
          <w:highlight w:val="none"/>
          <w14:textFill>
            <w14:solidFill>
              <w14:schemeClr w14:val="tx1"/>
            </w14:solidFill>
          </w14:textFill>
        </w:rPr>
        <w:t>7.2</w:t>
      </w:r>
      <w:r>
        <w:rPr>
          <w:rFonts w:hint="eastAsia" w:hAnsi="宋体" w:cs="宋体"/>
          <w:snapToGrid w:val="0"/>
          <w:color w:val="000000" w:themeColor="text1"/>
          <w:kern w:val="0"/>
          <w:szCs w:val="24"/>
          <w:highlight w:val="none"/>
          <w14:textFill>
            <w14:solidFill>
              <w14:schemeClr w14:val="tx1"/>
            </w14:solidFill>
          </w14:textFill>
        </w:rPr>
        <w:t xml:space="preserve"> 调解</w:t>
      </w:r>
      <w:bookmarkEnd w:id="258"/>
      <w:bookmarkEnd w:id="259"/>
      <w:bookmarkEnd w:id="260"/>
      <w:bookmarkEnd w:id="261"/>
      <w:bookmarkEnd w:id="262"/>
    </w:p>
    <w:p w14:paraId="3EFB6DB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如果双方不能在14天内或双方商定的其他时间内解决本合同争议，可以将其提交给</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行政主管部门</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进行调解。</w:t>
      </w:r>
    </w:p>
    <w:p w14:paraId="14A1AD8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263" w:name="_Toc18545"/>
      <w:bookmarkStart w:id="264" w:name="_Toc27051"/>
      <w:bookmarkStart w:id="265" w:name="_Toc2607"/>
      <w:bookmarkStart w:id="266" w:name="_Toc28948"/>
      <w:bookmarkStart w:id="267" w:name="_Toc22092"/>
      <w:r>
        <w:rPr>
          <w:rFonts w:hint="eastAsia" w:hAnsi="宋体" w:cs="宋体"/>
          <w:b/>
          <w:bCs/>
          <w:snapToGrid w:val="0"/>
          <w:color w:val="000000" w:themeColor="text1"/>
          <w:kern w:val="0"/>
          <w:szCs w:val="24"/>
          <w:highlight w:val="none"/>
          <w14:textFill>
            <w14:solidFill>
              <w14:schemeClr w14:val="tx1"/>
            </w14:solidFill>
          </w14:textFill>
        </w:rPr>
        <w:t>7.3</w:t>
      </w:r>
      <w:r>
        <w:rPr>
          <w:rFonts w:hint="eastAsia" w:hAnsi="宋体" w:cs="宋体"/>
          <w:snapToGrid w:val="0"/>
          <w:color w:val="000000" w:themeColor="text1"/>
          <w:kern w:val="0"/>
          <w:szCs w:val="24"/>
          <w:highlight w:val="none"/>
          <w14:textFill>
            <w14:solidFill>
              <w14:schemeClr w14:val="tx1"/>
            </w14:solidFill>
          </w14:textFill>
        </w:rPr>
        <w:t xml:space="preserve"> 仲裁或诉讼</w:t>
      </w:r>
      <w:bookmarkEnd w:id="263"/>
      <w:bookmarkEnd w:id="264"/>
      <w:bookmarkEnd w:id="265"/>
      <w:bookmarkEnd w:id="266"/>
      <w:bookmarkEnd w:id="267"/>
    </w:p>
    <w:p w14:paraId="61528E4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双方均有权不经调解直接向专用条件约定的仲裁机构申请仲裁或向有管辖权的人民法院提起诉讼。</w:t>
      </w:r>
    </w:p>
    <w:p w14:paraId="0E711EE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本合同争议的最终解决方式为下列第</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2</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种方式：</w:t>
      </w:r>
    </w:p>
    <w:p w14:paraId="11E3E449">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（1）提请</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仲裁委员会进行仲裁。</w:t>
      </w:r>
    </w:p>
    <w:p w14:paraId="547019AC">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color w:val="000000" w:themeColor="text1"/>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（2）向</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人民法院提起诉讼。</w:t>
      </w:r>
    </w:p>
    <w:p w14:paraId="45635C7C">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p w14:paraId="2BD5F75F">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p w14:paraId="02406185">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p w14:paraId="67954D41">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p w14:paraId="4454FEDC">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highlight w:val="none"/>
          <w14:textFill>
            <w14:solidFill>
              <w14:schemeClr w14:val="tx1"/>
            </w14:solidFill>
          </w14:textFill>
        </w:rPr>
      </w:pPr>
    </w:p>
    <w:bookmarkEnd w:id="82"/>
    <w:p w14:paraId="00DFB3FB">
      <w:pPr>
        <w:pStyle w:val="2"/>
        <w:tabs>
          <w:tab w:val="left" w:pos="885"/>
        </w:tabs>
        <w:wordWrap w:val="0"/>
        <w:autoSpaceDE/>
        <w:autoSpaceDN/>
        <w:snapToGrid w:val="0"/>
        <w:spacing w:line="440" w:lineRule="exact"/>
        <w:ind w:left="885" w:hanging="885"/>
        <w:jc w:val="center"/>
        <w:rPr>
          <w:rFonts w:ascii="Times New Roman"/>
          <w:b/>
          <w:snapToGrid w:val="0"/>
          <w:color w:val="000000" w:themeColor="text1"/>
          <w:sz w:val="32"/>
          <w:szCs w:val="22"/>
          <w:highlight w:val="none"/>
          <w14:textFill>
            <w14:solidFill>
              <w14:schemeClr w14:val="tx1"/>
            </w14:solidFill>
          </w14:textFill>
        </w:rPr>
      </w:pPr>
      <w:bookmarkStart w:id="268" w:name="_Toc21669"/>
      <w:bookmarkStart w:id="269" w:name="_Toc12650"/>
      <w:bookmarkStart w:id="270" w:name="_Toc17128"/>
      <w:bookmarkStart w:id="271" w:name="_Hlt69698796"/>
      <w:r>
        <w:rPr>
          <w:rFonts w:hint="eastAsia" w:ascii="Times New Roman"/>
          <w:b/>
          <w:snapToGrid w:val="0"/>
          <w:color w:val="000000" w:themeColor="text1"/>
          <w:sz w:val="32"/>
          <w:szCs w:val="22"/>
          <w:highlight w:val="none"/>
          <w14:textFill>
            <w14:solidFill>
              <w14:schemeClr w14:val="tx1"/>
            </w14:solidFill>
          </w14:textFill>
        </w:rPr>
        <w:t>第四章</w:t>
      </w:r>
      <w:bookmarkStart w:id="272" w:name="_Hlt87793853"/>
      <w:bookmarkEnd w:id="272"/>
      <w:r>
        <w:rPr>
          <w:rFonts w:hint="eastAsia" w:ascii="Times New Roman"/>
          <w:b/>
          <w:snapToGrid w:val="0"/>
          <w:color w:val="000000" w:themeColor="text1"/>
          <w:sz w:val="32"/>
          <w:szCs w:val="22"/>
          <w:highlight w:val="none"/>
          <w14:textFill>
            <w14:solidFill>
              <w14:schemeClr w14:val="tx1"/>
            </w14:solidFill>
          </w14:textFill>
        </w:rPr>
        <w:t xml:space="preserve"> 技术要求</w:t>
      </w:r>
      <w:bookmarkEnd w:id="268"/>
      <w:bookmarkEnd w:id="269"/>
      <w:bookmarkEnd w:id="270"/>
    </w:p>
    <w:bookmarkEnd w:id="271"/>
    <w:p w14:paraId="69F644B1">
      <w:pPr>
        <w:wordWrap w:val="0"/>
        <w:adjustRightInd w:val="0"/>
        <w:snapToGrid w:val="0"/>
        <w:spacing w:line="440" w:lineRule="exact"/>
        <w:rPr>
          <w:rFonts w:hint="eastAsia" w:hAnsi="宋体" w:cs="宋体"/>
          <w:bCs/>
          <w:snapToGrid w:val="0"/>
          <w:color w:val="000000" w:themeColor="text1"/>
          <w:kern w:val="0"/>
          <w:highlight w:val="none"/>
          <w14:textFill>
            <w14:solidFill>
              <w14:schemeClr w14:val="tx1"/>
            </w14:solidFill>
          </w14:textFill>
        </w:rPr>
      </w:pPr>
      <w:bookmarkStart w:id="273" w:name="_Hlt87793370"/>
      <w:bookmarkEnd w:id="273"/>
      <w:bookmarkStart w:id="274" w:name="_Hlt69265216"/>
      <w:bookmarkEnd w:id="274"/>
      <w:bookmarkStart w:id="275" w:name="_Hlt75685840"/>
      <w:bookmarkEnd w:id="275"/>
      <w:bookmarkStart w:id="276" w:name="_Hlt68774758"/>
      <w:bookmarkEnd w:id="276"/>
      <w:bookmarkStart w:id="277" w:name="_Hlt69116854"/>
      <w:bookmarkEnd w:id="277"/>
      <w:bookmarkStart w:id="278" w:name="_Hlt69357851"/>
      <w:bookmarkEnd w:id="278"/>
      <w:bookmarkStart w:id="279" w:name="_Hlt87793346"/>
      <w:bookmarkEnd w:id="279"/>
      <w:bookmarkStart w:id="280" w:name="_Hlt69359335"/>
      <w:bookmarkEnd w:id="280"/>
      <w:bookmarkStart w:id="281" w:name="_Hlt69358207"/>
      <w:bookmarkEnd w:id="281"/>
      <w:bookmarkStart w:id="282" w:name="_Hlt66104926"/>
      <w:bookmarkEnd w:id="282"/>
      <w:bookmarkStart w:id="283" w:name="_Hlt80411122"/>
      <w:bookmarkEnd w:id="283"/>
      <w:bookmarkStart w:id="284" w:name="_Toc7515"/>
      <w:bookmarkStart w:id="285" w:name="_Toc2392"/>
    </w:p>
    <w:bookmarkEnd w:id="284"/>
    <w:bookmarkEnd w:id="285"/>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bookmarkStart w:id="286" w:name="_Hlt69338190"/>
      <w:bookmarkEnd w:id="286"/>
      <w:bookmarkStart w:id="287" w:name="_Hlt66848640"/>
      <w:bookmarkEnd w:id="287"/>
      <w:bookmarkStart w:id="288" w:name="_Hlt69265207"/>
      <w:bookmarkEnd w:id="288"/>
      <w:bookmarkStart w:id="289" w:name="_Hlt69358336"/>
      <w:bookmarkEnd w:id="289"/>
      <w:bookmarkStart w:id="290" w:name="_Hlt69635247"/>
      <w:bookmarkEnd w:id="290"/>
      <w:bookmarkStart w:id="291" w:name="_Hlt69116863"/>
      <w:bookmarkEnd w:id="291"/>
      <w:bookmarkStart w:id="292" w:name="_Toc22126"/>
      <w:bookmarkStart w:id="293" w:name="_Toc29899"/>
      <w:bookmarkStart w:id="294" w:name="_Toc29213"/>
      <w:bookmarkStart w:id="295" w:name="_Toc25992"/>
      <w:bookmarkStart w:id="296" w:name="_Toc22785"/>
      <w:bookmarkStart w:id="297" w:name="_Toc16011"/>
      <w:bookmarkStart w:id="298" w:name="_Hlt69698785"/>
      <w:r>
        <w:rPr>
          <w:rFonts w:hint="eastAsia" w:ascii="宋体" w:hAnsi="宋体" w:eastAsia="宋体" w:cs="宋体"/>
          <w:b/>
          <w:snapToGrid w:val="0"/>
          <w:color w:val="000000" w:themeColor="text1"/>
          <w:kern w:val="0"/>
          <w:highlight w:val="none"/>
          <w14:textFill>
            <w14:solidFill>
              <w14:schemeClr w14:val="tx1"/>
            </w14:solidFill>
          </w14:textFill>
        </w:rPr>
        <w:t>1．房屋建筑工程建设项目</w:t>
      </w:r>
      <w:bookmarkEnd w:id="292"/>
      <w:bookmarkEnd w:id="293"/>
      <w:bookmarkEnd w:id="294"/>
      <w:bookmarkEnd w:id="295"/>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bookmarkStart w:id="299" w:name="_Hlt78709799"/>
      <w:bookmarkEnd w:id="299"/>
      <w:bookmarkStart w:id="300" w:name="_Hlt69358458"/>
      <w:bookmarkEnd w:id="300"/>
      <w:bookmarkStart w:id="301" w:name="_Hlt69635252"/>
      <w:bookmarkEnd w:id="301"/>
      <w:bookmarkStart w:id="302" w:name="_Hlt69359245"/>
      <w:bookmarkEnd w:id="302"/>
      <w:bookmarkStart w:id="303" w:name="_Hlt69116858"/>
      <w:bookmarkEnd w:id="303"/>
      <w:bookmarkStart w:id="304" w:name="_Hlt69359243"/>
      <w:bookmarkEnd w:id="304"/>
      <w:bookmarkStart w:id="305" w:name="_Hlt69359086"/>
      <w:bookmarkEnd w:id="305"/>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bookmarkStart w:id="306" w:name="_Hlt78795211"/>
      <w:bookmarkEnd w:id="306"/>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施工</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规范</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000000" w:themeColor="text1"/>
          <w:kern w:val="0"/>
          <w:highlight w:val="none"/>
          <w14:textFill>
            <w14:solidFill>
              <w14:schemeClr w14:val="tx1"/>
            </w14:solidFill>
          </w14:textFill>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000000" w:themeColor="text1"/>
          <w:kern w:val="0"/>
          <w:highlight w:val="none"/>
          <w14:textFill>
            <w14:solidFill>
              <w14:schemeClr w14:val="tx1"/>
            </w14:solidFill>
          </w14:textFill>
        </w:rPr>
      </w:pPr>
      <w:bookmarkStart w:id="307" w:name="_Toc16196"/>
      <w:bookmarkStart w:id="308" w:name="_Toc23789"/>
      <w:bookmarkStart w:id="309" w:name="_Toc2706"/>
      <w:bookmarkStart w:id="310" w:name="_Toc3631"/>
      <w:r>
        <w:rPr>
          <w:rFonts w:hint="eastAsia" w:ascii="宋体" w:hAnsi="宋体" w:eastAsia="宋体" w:cs="宋体"/>
          <w:b/>
          <w:snapToGrid w:val="0"/>
          <w:color w:val="000000" w:themeColor="text1"/>
          <w:kern w:val="0"/>
          <w:highlight w:val="none"/>
          <w14:textFill>
            <w14:solidFill>
              <w14:schemeClr w14:val="tx1"/>
            </w14:solidFill>
          </w14:textFill>
        </w:rPr>
        <w:t>2．市政基础设施工程建设项目</w:t>
      </w:r>
      <w:bookmarkEnd w:id="307"/>
      <w:bookmarkEnd w:id="308"/>
      <w:bookmarkEnd w:id="309"/>
      <w:bookmarkEnd w:id="310"/>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000000" w:themeColor="text1"/>
          <w:kern w:val="0"/>
          <w:szCs w:val="28"/>
          <w:highlight w:val="none"/>
          <w14:textFill>
            <w14:solidFill>
              <w14:schemeClr w14:val="tx1"/>
            </w14:solidFill>
          </w14:textFill>
        </w:rPr>
      </w:pPr>
      <w:r>
        <w:rPr>
          <w:rFonts w:hint="eastAsia" w:ascii="宋体" w:hAnsi="宋体" w:eastAsia="宋体" w:cs="宋体"/>
          <w:b w:val="0"/>
          <w:bCs/>
          <w:snapToGrid w:val="0"/>
          <w:color w:val="000000" w:themeColor="text1"/>
          <w:kern w:val="0"/>
          <w:highlight w:val="none"/>
          <w14:textFill>
            <w14:solidFill>
              <w14:schemeClr w14:val="tx1"/>
            </w14:solidFill>
          </w14:textFill>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14:textFill>
            <w14:solidFill>
              <w14:schemeClr w14:val="tx1"/>
            </w14:solidFill>
          </w14:textFill>
        </w:rPr>
      </w:pPr>
      <w:bookmarkStart w:id="311" w:name="_Toc8840"/>
      <w:bookmarkStart w:id="312" w:name="_Toc20464"/>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《城市道路照明设计标准》（CJJ45-2015）；</w:t>
      </w:r>
      <w:bookmarkEnd w:id="311"/>
      <w:bookmarkEnd w:id="312"/>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szCs w:val="21"/>
          <w:highlight w:val="none"/>
          <w14:textFill>
            <w14:solidFill>
              <w14:schemeClr w14:val="tx1"/>
            </w14:solidFill>
          </w14:textFill>
        </w:rPr>
      </w:pPr>
      <w:bookmarkStart w:id="313" w:name="_Toc8828"/>
      <w:bookmarkStart w:id="314" w:name="_Toc12769"/>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12</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《低压配电设计规范》（GB50054-2011）；</w:t>
      </w:r>
      <w:bookmarkEnd w:id="313"/>
      <w:bookmarkEnd w:id="314"/>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14:textFill>
            <w14:solidFill>
              <w14:schemeClr w14:val="tx1"/>
            </w14:solidFill>
          </w14:textFill>
        </w:rPr>
      </w:pPr>
      <w:bookmarkStart w:id="315" w:name="_Toc5338"/>
      <w:bookmarkStart w:id="316" w:name="_Toc17054"/>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13</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14:textFill>
            <w14:solidFill>
              <w14:schemeClr w14:val="tx1"/>
            </w14:solidFill>
          </w14:textFill>
        </w:rPr>
        <w:t>《城市道路照明工程施工及验收规程》（CJJ89-2012）；</w:t>
      </w:r>
      <w:bookmarkEnd w:id="315"/>
      <w:bookmarkEnd w:id="316"/>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bookmarkStart w:id="317" w:name="_Toc15704"/>
      <w:bookmarkStart w:id="318" w:name="_Toc17302"/>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14</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LED道路照明工程技术规范</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DB44/T 1898-2016</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w:t>
      </w:r>
      <w:bookmarkEnd w:id="317"/>
      <w:bookmarkEnd w:id="318"/>
    </w:p>
    <w:p w14:paraId="0F08A875">
      <w:pPr>
        <w:pStyle w:val="152"/>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15</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）《灯具第</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1部分：一般要求与试验</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GB7000.1-2015</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16</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）《电缆工程电缆设计标准》（</w:t>
      </w:r>
      <w:r>
        <w:rPr>
          <w:rFonts w:hint="eastAsia" w:ascii="宋体" w:hAnsi="宋体" w:eastAsia="宋体" w:cs="宋体"/>
          <w:b w:val="0"/>
          <w:bCs/>
          <w:i w:val="0"/>
          <w:iCs w:val="0"/>
          <w:color w:val="000000" w:themeColor="text1"/>
          <w:kern w:val="0"/>
          <w:szCs w:val="21"/>
          <w:highlight w:val="none"/>
          <w:lang w:val="en-US" w:eastAsia="zh-CN"/>
          <w14:textFill>
            <w14:solidFill>
              <w14:schemeClr w14:val="tx1"/>
            </w14:solidFill>
          </w14:textFill>
        </w:rPr>
        <w:t>GB50217-2018</w:t>
      </w:r>
      <w:r>
        <w:rPr>
          <w:rFonts w:hint="eastAsia" w:ascii="宋体" w:hAnsi="宋体" w:eastAsia="宋体" w:cs="宋体"/>
          <w:b w:val="0"/>
          <w:bCs/>
          <w:i w:val="0"/>
          <w:iCs w:val="0"/>
          <w:color w:val="000000" w:themeColor="text1"/>
          <w:kern w:val="0"/>
          <w:szCs w:val="21"/>
          <w:highlight w:val="none"/>
          <w:lang w:eastAsia="zh-CN"/>
          <w14:textFill>
            <w14:solidFill>
              <w14:schemeClr w14:val="tx1"/>
            </w14:solidFill>
          </w14:textFill>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highlight w:val="none"/>
          <w14:textFill>
            <w14:solidFill>
              <w14:schemeClr w14:val="tx1"/>
            </w14:solidFill>
          </w14:textFill>
        </w:rPr>
      </w:pPr>
      <w:bookmarkStart w:id="319" w:name="_Toc20571"/>
      <w:bookmarkStart w:id="320" w:name="_Toc5246"/>
      <w:r>
        <w:rPr>
          <w:rFonts w:hint="eastAsia" w:ascii="宋体" w:hAnsi="宋体" w:eastAsia="宋体" w:cs="宋体"/>
          <w:b/>
          <w:snapToGrid w:val="0"/>
          <w:color w:val="000000" w:themeColor="text1"/>
          <w:kern w:val="0"/>
          <w:highlight w:val="none"/>
          <w14:textFill>
            <w14:solidFill>
              <w14:schemeClr w14:val="tx1"/>
            </w14:solidFill>
          </w14:textFill>
        </w:rPr>
        <w:t>3．备查要求</w:t>
      </w:r>
      <w:bookmarkEnd w:id="319"/>
      <w:bookmarkEnd w:id="320"/>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000000" w:themeColor="text1"/>
          <w:kern w:val="0"/>
          <w:highlight w:val="none"/>
          <w14:textFill>
            <w14:solidFill>
              <w14:schemeClr w14:val="tx1"/>
            </w14:solidFill>
          </w14:textFill>
        </w:rPr>
        <w:t>监理人必须在施工现场准备至少一套上述规范，委托人可随时检</w:t>
      </w:r>
      <w:r>
        <w:rPr>
          <w:rFonts w:hint="eastAsia" w:ascii="宋体" w:hAnsi="宋体" w:eastAsia="宋体" w:cs="宋体"/>
          <w:bCs/>
          <w:snapToGrid w:val="0"/>
          <w:color w:val="000000" w:themeColor="text1"/>
          <w:kern w:val="0"/>
          <w:highlight w:val="none"/>
          <w14:textFill>
            <w14:solidFill>
              <w14:schemeClr w14:val="tx1"/>
            </w14:solidFill>
          </w14:textFill>
        </w:rPr>
        <w:t>查监理人的上述规范，并监督监理人按规范要求执行。</w:t>
      </w:r>
      <w:bookmarkStart w:id="321" w:name="_Hlt69670335"/>
      <w:bookmarkEnd w:id="321"/>
    </w:p>
    <w:p w14:paraId="2C01AB53">
      <w:pPr>
        <w:pStyle w:val="2"/>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r>
        <w:rPr>
          <w:rFonts w:hint="eastAsia" w:ascii="Times New Roman"/>
          <w:b/>
          <w:snapToGrid w:val="0"/>
          <w:color w:val="000000" w:themeColor="text1"/>
          <w:sz w:val="32"/>
          <w:szCs w:val="22"/>
          <w:highlight w:val="none"/>
          <w14:textFill>
            <w14:solidFill>
              <w14:schemeClr w14:val="tx1"/>
            </w14:solidFill>
          </w14:textFill>
        </w:rPr>
        <w:t xml:space="preserve">第五章 </w:t>
      </w:r>
      <w:bookmarkStart w:id="322" w:name="_Hlt75747044"/>
      <w:bookmarkEnd w:id="322"/>
      <w:r>
        <w:rPr>
          <w:rFonts w:hint="eastAsia" w:ascii="Times New Roman"/>
          <w:b/>
          <w:snapToGrid w:val="0"/>
          <w:color w:val="000000" w:themeColor="text1"/>
          <w:sz w:val="32"/>
          <w:szCs w:val="22"/>
          <w:highlight w:val="none"/>
          <w14:textFill>
            <w14:solidFill>
              <w14:schemeClr w14:val="tx1"/>
            </w14:solidFill>
          </w14:textFill>
        </w:rPr>
        <w:t>投标文件格式</w:t>
      </w:r>
      <w:bookmarkEnd w:id="296"/>
      <w:bookmarkEnd w:id="297"/>
    </w:p>
    <w:bookmarkEnd w:id="298"/>
    <w:p w14:paraId="7A6D8682">
      <w:pPr>
        <w:pStyle w:val="70"/>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highlight w:val="none"/>
          <w14:textFill>
            <w14:solidFill>
              <w14:schemeClr w14:val="tx1"/>
            </w14:solidFill>
          </w14:textFill>
        </w:rPr>
      </w:pPr>
      <w:bookmarkStart w:id="323" w:name="_附件一：对招标文件条款自愿接受承诺书"/>
      <w:bookmarkEnd w:id="323"/>
      <w:bookmarkStart w:id="324" w:name="_附件二：工期承诺书"/>
      <w:bookmarkEnd w:id="324"/>
      <w:bookmarkStart w:id="325" w:name="_附件四：工期承诺书"/>
      <w:bookmarkEnd w:id="325"/>
      <w:bookmarkStart w:id="326" w:name="_附件一：投标函"/>
      <w:bookmarkEnd w:id="326"/>
      <w:bookmarkStart w:id="327" w:name="_附件二：近三年度主要施工项目（竣工及在建）一览表"/>
      <w:bookmarkEnd w:id="327"/>
      <w:bookmarkStart w:id="328" w:name="_附件五：综合评审合理低价法"/>
      <w:bookmarkEnd w:id="328"/>
      <w:bookmarkStart w:id="329" w:name="_Toc66849200"/>
      <w:bookmarkStart w:id="330" w:name="_Hlt66847557"/>
      <w:bookmarkStart w:id="331" w:name="_Toc200338097"/>
      <w:bookmarkStart w:id="332" w:name="_Toc137621693"/>
    </w:p>
    <w:p w14:paraId="605BD047">
      <w:pPr>
        <w:pStyle w:val="70"/>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highlight w:val="none"/>
          <w14:textFill>
            <w14:solidFill>
              <w14:schemeClr w14:val="tx1"/>
            </w14:solidFill>
          </w14:textFill>
        </w:rPr>
      </w:pPr>
      <w:bookmarkStart w:id="333" w:name="_Toc23773"/>
      <w:bookmarkStart w:id="334" w:name="_Toc63"/>
      <w:r>
        <w:rPr>
          <w:rFonts w:hint="eastAsia" w:ascii="Times New Roman"/>
          <w:b/>
          <w:snapToGrid w:val="0"/>
          <w:color w:val="000000" w:themeColor="text1"/>
          <w:highlight w:val="none"/>
          <w14:textFill>
            <w14:solidFill>
              <w14:schemeClr w14:val="tx1"/>
            </w14:solidFill>
          </w14:textFill>
        </w:rPr>
        <w:t>格式一 封面</w:t>
      </w:r>
      <w:bookmarkEnd w:id="333"/>
      <w:bookmarkEnd w:id="334"/>
    </w:p>
    <w:p w14:paraId="5DF40F53">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6FBB4A80">
      <w:pPr>
        <w:pStyle w:val="71"/>
        <w:widowControl w:val="0"/>
        <w:wordWrap w:val="0"/>
        <w:adjustRightInd w:val="0"/>
        <w:snapToGrid w:val="0"/>
        <w:spacing w:line="240" w:lineRule="auto"/>
        <w:jc w:val="right"/>
        <w:rPr>
          <w:rFonts w:ascii="Times New Roman"/>
          <w:b/>
          <w:snapToGrid w:val="0"/>
          <w:color w:val="000000" w:themeColor="text1"/>
          <w:sz w:val="24"/>
          <w:highlight w:val="none"/>
          <w14:textFill>
            <w14:solidFill>
              <w14:schemeClr w14:val="tx1"/>
            </w14:solidFill>
          </w14:textFill>
        </w:rPr>
      </w:pPr>
    </w:p>
    <w:p w14:paraId="59746A92">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294BCEE">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7513099E">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4875FFE9">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2D9D39D4">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5F4307BB">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005A7BA">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8D03B0C">
      <w:pPr>
        <w:pStyle w:val="71"/>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1F56212">
      <w:pPr>
        <w:pStyle w:val="71"/>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Cs/>
          <w:snapToGrid w:val="0"/>
          <w:color w:val="000000" w:themeColor="text1"/>
          <w:sz w:val="48"/>
          <w:szCs w:val="48"/>
          <w:highlight w:val="none"/>
          <w:u w:val="single"/>
          <w14:textFill>
            <w14:solidFill>
              <w14:schemeClr w14:val="tx1"/>
            </w14:solidFill>
          </w14:textFill>
        </w:rPr>
        <w:t xml:space="preserve">             </w:t>
      </w:r>
      <w:r>
        <w:rPr>
          <w:rFonts w:hint="eastAsia" w:ascii="Times New Roman"/>
          <w:b/>
          <w:snapToGrid w:val="0"/>
          <w:color w:val="000000" w:themeColor="text1"/>
          <w:sz w:val="48"/>
          <w:szCs w:val="48"/>
          <w:highlight w:val="none"/>
          <w14:textFill>
            <w14:solidFill>
              <w14:schemeClr w14:val="tx1"/>
            </w14:solidFill>
          </w14:textFill>
        </w:rPr>
        <w:t>（项目名称）招标</w:t>
      </w:r>
    </w:p>
    <w:p w14:paraId="3BD1E3C7">
      <w:pPr>
        <w:pStyle w:val="71"/>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3D2A6112">
      <w:pPr>
        <w:pStyle w:val="71"/>
        <w:widowControl w:val="0"/>
        <w:wordWrap w:val="0"/>
        <w:adjustRightInd w:val="0"/>
        <w:snapToGrid w:val="0"/>
        <w:spacing w:line="240" w:lineRule="auto"/>
        <w:ind w:firstLine="0"/>
        <w:jc w:val="center"/>
        <w:rPr>
          <w:rFonts w:ascii="Times New Roman"/>
          <w:b/>
          <w:snapToGrid w:val="0"/>
          <w:color w:val="000000" w:themeColor="text1"/>
          <w:sz w:val="72"/>
          <w:highlight w:val="none"/>
          <w14:textFill>
            <w14:solidFill>
              <w14:schemeClr w14:val="tx1"/>
            </w14:solidFill>
          </w14:textFill>
        </w:rPr>
      </w:pPr>
      <w:r>
        <w:rPr>
          <w:rFonts w:hint="eastAsia" w:ascii="Times New Roman"/>
          <w:b/>
          <w:snapToGrid w:val="0"/>
          <w:color w:val="000000" w:themeColor="text1"/>
          <w:sz w:val="72"/>
          <w:highlight w:val="none"/>
          <w14:textFill>
            <w14:solidFill>
              <w14:schemeClr w14:val="tx1"/>
            </w14:solidFill>
          </w14:textFill>
        </w:rPr>
        <w:t>投  标  文  件</w:t>
      </w:r>
    </w:p>
    <w:p w14:paraId="5A4D8E98">
      <w:pPr>
        <w:pStyle w:val="71"/>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189B292E">
      <w:pPr>
        <w:pStyle w:val="71"/>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
          <w:snapToGrid w:val="0"/>
          <w:color w:val="000000" w:themeColor="text1"/>
          <w:sz w:val="48"/>
          <w:szCs w:val="48"/>
          <w:highlight w:val="none"/>
          <w14:textFill>
            <w14:solidFill>
              <w14:schemeClr w14:val="tx1"/>
            </w14:solidFill>
          </w14:textFill>
        </w:rPr>
        <w:t>（商务标书／监理大纲）</w:t>
      </w:r>
    </w:p>
    <w:p w14:paraId="21D0A39E">
      <w:pPr>
        <w:pStyle w:val="71"/>
        <w:widowControl w:val="0"/>
        <w:wordWrap w:val="0"/>
        <w:adjustRightInd w:val="0"/>
        <w:snapToGrid w:val="0"/>
        <w:spacing w:line="240" w:lineRule="auto"/>
        <w:rPr>
          <w:rFonts w:ascii="Times New Roman"/>
          <w:b/>
          <w:snapToGrid w:val="0"/>
          <w:color w:val="000000" w:themeColor="text1"/>
          <w:highlight w:val="none"/>
          <w14:textFill>
            <w14:solidFill>
              <w14:schemeClr w14:val="tx1"/>
            </w14:solidFill>
          </w14:textFill>
        </w:rPr>
      </w:pPr>
    </w:p>
    <w:p w14:paraId="47BA86B9">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5C3F1D5">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04CF17A0">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0B9E93C">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CCE2FB">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B2808C">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59F596E">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46D5E17">
      <w:pPr>
        <w:pStyle w:val="71"/>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742C860">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投标人：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（盖单位章）</w:t>
      </w:r>
    </w:p>
    <w:p w14:paraId="4DAF0F5D">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0642C6A2">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0435907">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A449385">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法定代表人或其委托代理人：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（签字或盖章）</w:t>
      </w:r>
    </w:p>
    <w:p w14:paraId="234CEA92">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565FD46B">
      <w:pPr>
        <w:pStyle w:val="71"/>
        <w:widowControl w:val="0"/>
        <w:wordWrap w:val="0"/>
        <w:adjustRightInd w:val="0"/>
        <w:snapToGrid w:val="0"/>
        <w:spacing w:line="240" w:lineRule="auto"/>
        <w:ind w:firstLine="0"/>
        <w:jc w:val="center"/>
        <w:rPr>
          <w:rFonts w:ascii="Times New Roman"/>
          <w:bCs/>
          <w:snapToGrid w:val="0"/>
          <w:color w:val="000000" w:themeColor="text1"/>
          <w:sz w:val="32"/>
          <w:highlight w:val="none"/>
          <w:u w:val="single"/>
          <w14:textFill>
            <w14:solidFill>
              <w14:schemeClr w14:val="tx1"/>
            </w14:solidFill>
          </w14:textFill>
        </w:rPr>
      </w:pPr>
    </w:p>
    <w:p w14:paraId="1A771D3C">
      <w:pPr>
        <w:pStyle w:val="71"/>
        <w:widowControl w:val="0"/>
        <w:wordWrap w:val="0"/>
        <w:adjustRightInd w:val="0"/>
        <w:snapToGrid w:val="0"/>
        <w:spacing w:line="240" w:lineRule="auto"/>
        <w:ind w:firstLine="0"/>
        <w:jc w:val="center"/>
        <w:rPr>
          <w:rFonts w:ascii="Times New Roman"/>
          <w:b/>
          <w:snapToGrid w:val="0"/>
          <w:color w:val="000000" w:themeColor="text1"/>
          <w:highlight w:val="none"/>
          <w14:textFill>
            <w14:solidFill>
              <w14:schemeClr w14:val="tx1"/>
            </w14:solidFill>
          </w14:textFill>
        </w:rPr>
      </w:pP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年</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月</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日</w:t>
      </w:r>
    </w:p>
    <w:p w14:paraId="2B7C22CA">
      <w:pPr>
        <w:pStyle w:val="71"/>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60968DD1">
      <w:pPr>
        <w:pStyle w:val="71"/>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20B8FB5C">
      <w:pPr>
        <w:pStyle w:val="71"/>
        <w:widowControl w:val="0"/>
        <w:wordWrap w:val="0"/>
        <w:adjustRightInd w:val="0"/>
        <w:snapToGrid w:val="0"/>
        <w:rPr>
          <w:rFonts w:ascii="Times New Roman"/>
          <w:b/>
          <w:snapToGrid w:val="0"/>
          <w:color w:val="000000" w:themeColor="text1"/>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3"/>
        <w:wordWrap w:val="0"/>
        <w:autoSpaceDE/>
        <w:autoSpaceDN/>
        <w:snapToGrid w:val="0"/>
        <w:spacing w:line="440" w:lineRule="exact"/>
        <w:rPr>
          <w:rFonts w:ascii="Times New Roman"/>
          <w:b/>
          <w:snapToGrid w:val="0"/>
          <w:color w:val="000000" w:themeColor="text1"/>
          <w:highlight w:val="none"/>
          <w14:textFill>
            <w14:solidFill>
              <w14:schemeClr w14:val="tx1"/>
            </w14:solidFill>
          </w14:textFill>
        </w:rPr>
      </w:pPr>
      <w:bookmarkStart w:id="335" w:name="_Toc21838"/>
      <w:bookmarkStart w:id="336" w:name="_Toc12548"/>
      <w:bookmarkStart w:id="337" w:name="_Toc106418843"/>
      <w:bookmarkStart w:id="338" w:name="_Toc104711098"/>
      <w:r>
        <w:rPr>
          <w:rFonts w:hint="eastAsia" w:ascii="Times New Roman"/>
          <w:b/>
          <w:snapToGrid w:val="0"/>
          <w:color w:val="000000" w:themeColor="text1"/>
          <w:highlight w:val="none"/>
          <w14:textFill>
            <w14:solidFill>
              <w14:schemeClr w14:val="tx1"/>
            </w14:solidFill>
          </w14:textFill>
        </w:rPr>
        <w:t>格式</w:t>
      </w:r>
      <w:bookmarkStart w:id="339" w:name="_Hlt97526007"/>
      <w:bookmarkEnd w:id="339"/>
      <w:r>
        <w:rPr>
          <w:rFonts w:hint="eastAsia" w:ascii="Times New Roman"/>
          <w:b/>
          <w:snapToGrid w:val="0"/>
          <w:color w:val="000000" w:themeColor="text1"/>
          <w:highlight w:val="none"/>
          <w14:textFill>
            <w14:solidFill>
              <w14:schemeClr w14:val="tx1"/>
            </w14:solidFill>
          </w14:textFill>
        </w:rPr>
        <w:t>二 投标函</w:t>
      </w:r>
      <w:bookmarkEnd w:id="335"/>
      <w:bookmarkEnd w:id="336"/>
    </w:p>
    <w:p w14:paraId="47DFBF08">
      <w:pPr>
        <w:wordWrap w:val="0"/>
        <w:adjustRightInd w:val="0"/>
        <w:snapToGrid w:val="0"/>
        <w:spacing w:before="260" w:after="260" w:line="440" w:lineRule="exact"/>
        <w:jc w:val="center"/>
        <w:rPr>
          <w:rFonts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投</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标</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函</w:t>
      </w:r>
      <w:bookmarkEnd w:id="337"/>
      <w:bookmarkEnd w:id="338"/>
    </w:p>
    <w:p w14:paraId="7699421D">
      <w:pPr>
        <w:wordWrap w:val="0"/>
        <w:adjustRightInd w:val="0"/>
        <w:snapToGrid w:val="0"/>
        <w:spacing w:line="440" w:lineRule="exact"/>
        <w:jc w:val="center"/>
        <w:rPr>
          <w:rFonts w:ascii="Times New Roman"/>
          <w:b/>
          <w:snapToGrid w:val="0"/>
          <w:color w:val="000000" w:themeColor="text1"/>
          <w:kern w:val="0"/>
          <w:highlight w:val="none"/>
          <w14:textFill>
            <w14:solidFill>
              <w14:schemeClr w14:val="tx1"/>
            </w14:solidFill>
          </w14:textFill>
        </w:rPr>
      </w:pPr>
    </w:p>
    <w:p w14:paraId="6A37BA44">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（招标人名称）</w:t>
      </w:r>
    </w:p>
    <w:p w14:paraId="72F2551D">
      <w:pPr>
        <w:wordWrap w:val="0"/>
        <w:adjustRightInd w:val="0"/>
        <w:snapToGrid w:val="0"/>
        <w:spacing w:line="500" w:lineRule="exact"/>
        <w:ind w:firstLine="570"/>
        <w:rPr>
          <w:rFonts w:hAnsi="宋体" w:cs="宋体"/>
          <w:snapToGrid w:val="0"/>
          <w:color w:val="000000" w:themeColor="text1"/>
          <w:kern w:val="0"/>
          <w:highlight w:val="none"/>
          <w:u w:val="singl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1. </w:t>
      </w:r>
      <w:r>
        <w:rPr>
          <w:rFonts w:hint="eastAsia" w:hAnsi="宋体" w:cs="宋体"/>
          <w:snapToGrid w:val="0"/>
          <w:color w:val="000000" w:themeColor="text1"/>
          <w:kern w:val="0"/>
          <w:szCs w:val="22"/>
          <w:highlight w:val="none"/>
          <w14:textFill>
            <w14:solidFill>
              <w14:schemeClr w14:val="tx1"/>
            </w14:solidFill>
          </w14:textFill>
        </w:rPr>
        <w:t>我方在仔细研究</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（项目名称）（以下简称“本项目”）监理招标文件的全部内容后，结合自身资质、能力和特点，愿意接受招标文件的全部内容和条件。兹以人民币（大写）：</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 xml:space="preserve">（小写）：（¥ </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）的投标总价（其中，增值税税率为</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）竞投本项目监理及相关服务</w:t>
      </w:r>
      <w:r>
        <w:rPr>
          <w:rFonts w:hint="eastAsia" w:hAnsi="宋体" w:cs="宋体"/>
          <w:snapToGrid w:val="0"/>
          <w:color w:val="000000" w:themeColor="text1"/>
          <w:kern w:val="0"/>
          <w:szCs w:val="22"/>
          <w:highlight w:val="none"/>
          <w:lang w:eastAsia="zh-CN"/>
          <w14:textFill>
            <w14:solidFill>
              <w14:schemeClr w14:val="tx1"/>
            </w14:solidFill>
          </w14:textFill>
        </w:rPr>
        <w:t>，投标取费费率为</w:t>
      </w:r>
      <w:r>
        <w:rPr>
          <w:rFonts w:hint="eastAsia" w:hAnsi="宋体" w:cs="宋体"/>
          <w:snapToGrid w:val="0"/>
          <w:color w:val="000000" w:themeColor="text1"/>
          <w:kern w:val="0"/>
          <w:szCs w:val="22"/>
          <w:highlight w:val="none"/>
          <w:u w:val="single"/>
          <w:lang w:eastAsia="zh-CN"/>
          <w14:textFill>
            <w14:solidFill>
              <w14:schemeClr w14:val="tx1"/>
            </w14:solidFill>
          </w14:textFill>
        </w:rPr>
        <w:t xml:space="preserve">     </w:t>
      </w:r>
      <w:r>
        <w:rPr>
          <w:rFonts w:hint="eastAsia" w:hAnsi="宋体" w:cs="宋体"/>
          <w:snapToGrid w:val="0"/>
          <w:color w:val="000000" w:themeColor="text1"/>
          <w:kern w:val="0"/>
          <w:szCs w:val="22"/>
          <w:highlight w:val="none"/>
          <w:lang w:eastAsia="zh-CN"/>
          <w14:textFill>
            <w14:solidFill>
              <w14:schemeClr w14:val="tx1"/>
            </w14:solidFill>
          </w14:textFill>
        </w:rPr>
        <w:t>%</w:t>
      </w:r>
      <w:r>
        <w:rPr>
          <w:rFonts w:hint="eastAsia" w:hAnsi="宋体" w:cs="宋体"/>
          <w:snapToGrid w:val="0"/>
          <w:color w:val="000000" w:themeColor="text1"/>
          <w:kern w:val="0"/>
          <w:szCs w:val="22"/>
          <w:highlight w:val="none"/>
          <w14:textFill>
            <w14:solidFill>
              <w14:schemeClr w14:val="tx1"/>
            </w14:solidFill>
          </w14:textFill>
        </w:rPr>
        <w:t>。</w:t>
      </w:r>
    </w:p>
    <w:p w14:paraId="00F3B9EA">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highlight w:val="none"/>
          <w:u w:val="single"/>
          <w14:textFill>
            <w14:solidFill>
              <w14:schemeClr w14:val="tx1"/>
            </w14:solidFill>
          </w14:textFill>
        </w:rPr>
        <w:t xml:space="preserve"> 监理及相关服务 </w:t>
      </w:r>
      <w:r>
        <w:rPr>
          <w:rFonts w:hint="eastAsia" w:hAnsi="宋体" w:cs="宋体"/>
          <w:snapToGrid w:val="0"/>
          <w:color w:val="000000" w:themeColor="text1"/>
          <w:kern w:val="0"/>
          <w:highlight w:val="none"/>
          <w14:textFill>
            <w14:solidFill>
              <w14:schemeClr w14:val="tx1"/>
            </w14:solidFill>
          </w14:textFill>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bookmarkStart w:id="340" w:name="_Hlt68771070"/>
      <w:bookmarkEnd w:id="340"/>
      <w:r>
        <w:rPr>
          <w:rFonts w:hint="eastAsia" w:hAnsi="宋体" w:cs="宋体"/>
          <w:snapToGrid w:val="0"/>
          <w:color w:val="000000" w:themeColor="text1"/>
          <w:kern w:val="0"/>
          <w:highlight w:val="none"/>
          <w14:textFill>
            <w14:solidFill>
              <w14:schemeClr w14:val="tx1"/>
            </w14:solidFill>
          </w14:textFill>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p>
    <w:p w14:paraId="428C057D">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p>
    <w:p w14:paraId="276EABA1">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投标人：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（盖单位章）</w:t>
      </w:r>
    </w:p>
    <w:p w14:paraId="4CA7B314">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p>
    <w:p w14:paraId="387ED88C">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法定代表人或其委托代理人：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（签字或盖章）</w:t>
      </w:r>
    </w:p>
    <w:p w14:paraId="54249B59">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p>
    <w:p w14:paraId="28DC9D94">
      <w:pPr>
        <w:wordWrap w:val="0"/>
        <w:adjustRightInd w:val="0"/>
        <w:snapToGrid w:val="0"/>
        <w:spacing w:line="440" w:lineRule="exact"/>
        <w:jc w:val="left"/>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月</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日</w:t>
      </w:r>
    </w:p>
    <w:p w14:paraId="25B8347D">
      <w:pPr>
        <w:pStyle w:val="71"/>
        <w:widowControl w:val="0"/>
        <w:wordWrap w:val="0"/>
        <w:adjustRightInd w:val="0"/>
        <w:snapToGrid w:val="0"/>
        <w:spacing w:line="400" w:lineRule="exact"/>
        <w:ind w:firstLine="0"/>
        <w:outlineLvl w:val="1"/>
        <w:rPr>
          <w:rFonts w:hAnsi="宋体" w:cs="宋体"/>
          <w:b/>
          <w:snapToGrid w:val="0"/>
          <w:color w:val="000000" w:themeColor="text1"/>
          <w:sz w:val="24"/>
          <w:highlight w:val="none"/>
          <w14:textFill>
            <w14:solidFill>
              <w14:schemeClr w14:val="tx1"/>
            </w14:solidFill>
          </w14:textFill>
        </w:rPr>
      </w:pPr>
      <w:bookmarkStart w:id="341" w:name="_Toc16076"/>
      <w:r>
        <w:rPr>
          <w:rFonts w:hint="eastAsia" w:hAnsi="宋体" w:cs="宋体"/>
          <w:b/>
          <w:snapToGrid w:val="0"/>
          <w:color w:val="000000" w:themeColor="text1"/>
          <w:sz w:val="24"/>
          <w:highlight w:val="none"/>
          <w14:textFill>
            <w14:solidFill>
              <w14:schemeClr w14:val="tx1"/>
            </w14:solidFill>
          </w14:textFill>
        </w:rPr>
        <w:t>格式三 各项承诺一览表</w:t>
      </w:r>
      <w:bookmarkEnd w:id="341"/>
    </w:p>
    <w:p w14:paraId="20B05016">
      <w:pPr>
        <w:pStyle w:val="70"/>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highlight w:val="none"/>
          <w14:textFill>
            <w14:solidFill>
              <w14:schemeClr w14:val="tx1"/>
            </w14:solidFill>
          </w14:textFill>
        </w:rPr>
      </w:pPr>
      <w:bookmarkStart w:id="342" w:name="_Toc27092"/>
      <w:bookmarkStart w:id="343" w:name="_Toc11270"/>
      <w:bookmarkStart w:id="344" w:name="_Toc24548"/>
      <w:bookmarkStart w:id="345" w:name="_Toc7685"/>
      <w:bookmarkStart w:id="346" w:name="_Toc18253"/>
      <w:r>
        <w:rPr>
          <w:rFonts w:hint="eastAsia" w:hAnsi="宋体" w:cs="宋体"/>
          <w:b/>
          <w:snapToGrid w:val="0"/>
          <w:color w:val="000000" w:themeColor="text1"/>
          <w:sz w:val="30"/>
          <w:highlight w:val="none"/>
          <w14:textFill>
            <w14:solidFill>
              <w14:schemeClr w14:val="tx1"/>
            </w14:solidFill>
          </w14:textFill>
        </w:rPr>
        <w:t>各项承诺一览表</w:t>
      </w:r>
      <w:bookmarkEnd w:id="342"/>
      <w:bookmarkEnd w:id="343"/>
      <w:bookmarkEnd w:id="344"/>
      <w:bookmarkEnd w:id="345"/>
      <w:bookmarkEnd w:id="346"/>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716" w:type="dxa"/>
            <w:tcBorders>
              <w:tl2br w:val="nil"/>
              <w:tr2bl w:val="nil"/>
            </w:tcBorders>
            <w:vAlign w:val="center"/>
          </w:tcPr>
          <w:p w14:paraId="4B001337">
            <w:pPr>
              <w:pStyle w:val="72"/>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序号</w:t>
            </w:r>
          </w:p>
        </w:tc>
        <w:tc>
          <w:tcPr>
            <w:tcW w:w="1573" w:type="dxa"/>
            <w:tcBorders>
              <w:tl2br w:val="nil"/>
              <w:tr2bl w:val="nil"/>
            </w:tcBorders>
            <w:vAlign w:val="center"/>
          </w:tcPr>
          <w:p w14:paraId="0DD645C3">
            <w:pPr>
              <w:pStyle w:val="72"/>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承诺事项</w:t>
            </w:r>
          </w:p>
        </w:tc>
        <w:tc>
          <w:tcPr>
            <w:tcW w:w="2923" w:type="dxa"/>
            <w:tcBorders>
              <w:tl2br w:val="nil"/>
              <w:tr2bl w:val="nil"/>
            </w:tcBorders>
            <w:vAlign w:val="center"/>
          </w:tcPr>
          <w:p w14:paraId="286917BA">
            <w:pPr>
              <w:pStyle w:val="72"/>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承诺内容</w:t>
            </w:r>
          </w:p>
        </w:tc>
        <w:tc>
          <w:tcPr>
            <w:tcW w:w="4019" w:type="dxa"/>
            <w:tcBorders>
              <w:tl2br w:val="nil"/>
              <w:tr2bl w:val="nil"/>
            </w:tcBorders>
            <w:vAlign w:val="center"/>
          </w:tcPr>
          <w:p w14:paraId="5A051E55">
            <w:pPr>
              <w:pStyle w:val="72"/>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573" w:type="dxa"/>
            <w:tcBorders>
              <w:tl2br w:val="nil"/>
              <w:tr2bl w:val="nil"/>
            </w:tcBorders>
            <w:vAlign w:val="center"/>
          </w:tcPr>
          <w:p w14:paraId="746B30D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自愿接受招标</w:t>
            </w:r>
          </w:p>
          <w:p w14:paraId="71ED28B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文件条款的承诺</w:t>
            </w:r>
          </w:p>
        </w:tc>
        <w:tc>
          <w:tcPr>
            <w:tcW w:w="2923" w:type="dxa"/>
            <w:tcBorders>
              <w:tl2br w:val="nil"/>
              <w:tr2bl w:val="nil"/>
            </w:tcBorders>
            <w:vAlign w:val="center"/>
          </w:tcPr>
          <w:p w14:paraId="2D30786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573" w:type="dxa"/>
            <w:tcBorders>
              <w:tl2br w:val="nil"/>
              <w:tr2bl w:val="nil"/>
            </w:tcBorders>
            <w:vAlign w:val="center"/>
          </w:tcPr>
          <w:p w14:paraId="4E1332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无禁止投标</w:t>
            </w:r>
          </w:p>
          <w:p w14:paraId="2E0445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情形的承诺</w:t>
            </w:r>
          </w:p>
        </w:tc>
        <w:tc>
          <w:tcPr>
            <w:tcW w:w="2923" w:type="dxa"/>
            <w:tcBorders>
              <w:tl2br w:val="nil"/>
              <w:tr2bl w:val="nil"/>
            </w:tcBorders>
            <w:vAlign w:val="center"/>
          </w:tcPr>
          <w:p w14:paraId="6A2783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019" w:type="dxa"/>
            <w:tcBorders>
              <w:tl2br w:val="nil"/>
              <w:tr2bl w:val="nil"/>
            </w:tcBorders>
            <w:vAlign w:val="center"/>
          </w:tcPr>
          <w:p w14:paraId="60B01B1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573" w:type="dxa"/>
            <w:tcBorders>
              <w:tl2br w:val="nil"/>
              <w:tr2bl w:val="nil"/>
            </w:tcBorders>
            <w:vAlign w:val="center"/>
          </w:tcPr>
          <w:p w14:paraId="7327796A">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自觉抵制围标</w:t>
            </w:r>
          </w:p>
          <w:p w14:paraId="6537DAA0">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串标和弄虚</w:t>
            </w:r>
          </w:p>
          <w:p w14:paraId="3A865B0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作假行为的承诺</w:t>
            </w:r>
          </w:p>
        </w:tc>
        <w:tc>
          <w:tcPr>
            <w:tcW w:w="2923" w:type="dxa"/>
            <w:tcBorders>
              <w:tl2br w:val="nil"/>
              <w:tr2bl w:val="nil"/>
            </w:tcBorders>
            <w:vAlign w:val="center"/>
          </w:tcPr>
          <w:p w14:paraId="1074D0F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4</w:t>
            </w:r>
          </w:p>
        </w:tc>
        <w:tc>
          <w:tcPr>
            <w:tcW w:w="1573" w:type="dxa"/>
            <w:tcBorders>
              <w:tl2br w:val="nil"/>
              <w:tr2bl w:val="nil"/>
            </w:tcBorders>
            <w:vAlign w:val="center"/>
          </w:tcPr>
          <w:p w14:paraId="754EDB94">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总监理工程师</w:t>
            </w:r>
          </w:p>
          <w:p w14:paraId="4D5B47C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任职承诺</w:t>
            </w:r>
          </w:p>
        </w:tc>
        <w:tc>
          <w:tcPr>
            <w:tcW w:w="2923" w:type="dxa"/>
            <w:tcBorders>
              <w:tl2br w:val="nil"/>
              <w:tr2bl w:val="nil"/>
            </w:tcBorders>
            <w:vAlign w:val="center"/>
          </w:tcPr>
          <w:p w14:paraId="0015B20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5</w:t>
            </w:r>
          </w:p>
        </w:tc>
        <w:tc>
          <w:tcPr>
            <w:tcW w:w="1573" w:type="dxa"/>
            <w:tcBorders>
              <w:tl2br w:val="nil"/>
              <w:tr2bl w:val="nil"/>
            </w:tcBorders>
            <w:vAlign w:val="center"/>
          </w:tcPr>
          <w:p w14:paraId="003F6C1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5656361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真实性承诺</w:t>
            </w:r>
          </w:p>
        </w:tc>
        <w:tc>
          <w:tcPr>
            <w:tcW w:w="2923" w:type="dxa"/>
            <w:tcBorders>
              <w:tl2br w:val="nil"/>
              <w:tr2bl w:val="nil"/>
            </w:tcBorders>
            <w:vAlign w:val="center"/>
          </w:tcPr>
          <w:p w14:paraId="3AAF78A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37798B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6</w:t>
            </w:r>
          </w:p>
        </w:tc>
        <w:tc>
          <w:tcPr>
            <w:tcW w:w="1573" w:type="dxa"/>
            <w:tcBorders>
              <w:tl2br w:val="nil"/>
              <w:tr2bl w:val="nil"/>
            </w:tcBorders>
            <w:vAlign w:val="center"/>
          </w:tcPr>
          <w:p w14:paraId="4626B0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3294E70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信息公开承诺</w:t>
            </w:r>
          </w:p>
        </w:tc>
        <w:tc>
          <w:tcPr>
            <w:tcW w:w="2923" w:type="dxa"/>
            <w:tcBorders>
              <w:tl2br w:val="nil"/>
              <w:tr2bl w:val="nil"/>
            </w:tcBorders>
            <w:vAlign w:val="center"/>
          </w:tcPr>
          <w:p w14:paraId="0BD5A69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hAnsi="宋体" w:cs="宋体"/>
                <w:snapToGrid w:val="0"/>
                <w:color w:val="000000" w:themeColor="text1"/>
                <w:kern w:val="0"/>
                <w:sz w:val="21"/>
                <w:szCs w:val="21"/>
                <w:highlight w:val="none"/>
                <w:lang w:val="en-US" w:eastAsia="zh-CN"/>
                <w14:textFill>
                  <w14:solidFill>
                    <w14:schemeClr w14:val="tx1"/>
                  </w14:solidFill>
                </w14:textFill>
              </w:rPr>
              <w:t>7</w:t>
            </w:r>
          </w:p>
        </w:tc>
        <w:tc>
          <w:tcPr>
            <w:tcW w:w="1573" w:type="dxa"/>
            <w:tcBorders>
              <w:tl2br w:val="nil"/>
              <w:tr2bl w:val="nil"/>
            </w:tcBorders>
            <w:vAlign w:val="center"/>
          </w:tcPr>
          <w:p w14:paraId="7E0FB44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按时签订合同</w:t>
            </w:r>
          </w:p>
          <w:p w14:paraId="3DA8757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的承诺</w:t>
            </w:r>
          </w:p>
        </w:tc>
        <w:tc>
          <w:tcPr>
            <w:tcW w:w="2923" w:type="dxa"/>
            <w:tcBorders>
              <w:tl2br w:val="nil"/>
              <w:tr2bl w:val="nil"/>
            </w:tcBorders>
            <w:vAlign w:val="center"/>
          </w:tcPr>
          <w:p w14:paraId="108034D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2"/>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4B6FF6DB">
      <w:pPr>
        <w:pStyle w:val="72"/>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148553C2">
      <w:pPr>
        <w:pStyle w:val="17"/>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（盖单位章）</w:t>
      </w:r>
    </w:p>
    <w:p w14:paraId="28CA7502">
      <w:pPr>
        <w:pStyle w:val="17"/>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0BE8168B">
      <w:pPr>
        <w:pStyle w:val="17"/>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0172B28D">
      <w:pPr>
        <w:pStyle w:val="17"/>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法定代表人或其委托代理人：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（签字或盖章）</w:t>
      </w:r>
    </w:p>
    <w:p w14:paraId="40FD3ED2">
      <w:pPr>
        <w:pStyle w:val="17"/>
        <w:wordWrap w:val="0"/>
        <w:adjustRightInd w:val="0"/>
        <w:snapToGrid w:val="0"/>
        <w:spacing w:line="420" w:lineRule="exact"/>
        <w:ind w:firstLine="480" w:firstLineChars="200"/>
        <w:rPr>
          <w:rFonts w:hAnsi="宋体" w:cs="宋体"/>
          <w:snapToGrid w:val="0"/>
          <w:color w:val="000000" w:themeColor="text1"/>
          <w:kern w:val="0"/>
          <w:szCs w:val="24"/>
          <w:highlight w:val="none"/>
          <w14:textFill>
            <w14:solidFill>
              <w14:schemeClr w14:val="tx1"/>
            </w14:solidFill>
          </w14:textFill>
        </w:rPr>
      </w:pPr>
    </w:p>
    <w:p w14:paraId="498998F1">
      <w:pPr>
        <w:pStyle w:val="17"/>
        <w:wordWrap w:val="0"/>
        <w:adjustRightInd w:val="0"/>
        <w:snapToGrid w:val="0"/>
        <w:spacing w:line="420" w:lineRule="exact"/>
        <w:ind w:firstLine="480" w:firstLineChars="200"/>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年</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月</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日</w:t>
      </w:r>
    </w:p>
    <w:p w14:paraId="3E8D0F6D">
      <w:pPr>
        <w:wordWrap w:val="0"/>
        <w:adjustRightInd w:val="0"/>
        <w:snapToGrid w:val="0"/>
        <w:spacing w:line="420" w:lineRule="exact"/>
        <w:jc w:val="left"/>
        <w:rPr>
          <w:rFonts w:hAnsi="宋体" w:cs="宋体"/>
          <w:b/>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47" w:name="_Toc14957"/>
      <w:r>
        <w:rPr>
          <w:rFonts w:hint="eastAsia" w:hAnsi="宋体" w:cs="宋体"/>
          <w:b/>
          <w:bCs/>
          <w:snapToGrid w:val="0"/>
          <w:color w:val="000000" w:themeColor="text1"/>
          <w:kern w:val="0"/>
          <w:szCs w:val="24"/>
          <w:highlight w:val="none"/>
          <w14:textFill>
            <w14:solidFill>
              <w14:schemeClr w14:val="tx1"/>
            </w14:solidFill>
          </w14:textFill>
        </w:rPr>
        <w:t>格式四 授权委托书</w:t>
      </w:r>
      <w:bookmarkEnd w:id="347"/>
    </w:p>
    <w:p w14:paraId="759A7BEF">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1D02247C">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授权委托书</w:t>
      </w:r>
    </w:p>
    <w:p w14:paraId="2077EBE8">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p>
    <w:p w14:paraId="30754A5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本人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（投标人名称）的法定代表人，现委托</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委托期限：至</w:t>
      </w:r>
      <w:r>
        <w:rPr>
          <w:rFonts w:hint="eastAsia" w:hAnsi="宋体" w:cs="宋体"/>
          <w:snapToGrid w:val="0"/>
          <w:color w:val="000000" w:themeColor="text1"/>
          <w:kern w:val="0"/>
          <w:szCs w:val="21"/>
          <w:highlight w:val="none"/>
          <w:u w:val="single"/>
          <w14:textFill>
            <w14:solidFill>
              <w14:schemeClr w14:val="tx1"/>
            </w14:solidFill>
          </w14:textFill>
        </w:rPr>
        <w:t xml:space="preserve">     年   月   日</w:t>
      </w:r>
      <w:r>
        <w:rPr>
          <w:rFonts w:hint="eastAsia" w:hAnsi="宋体" w:cs="宋体"/>
          <w:i/>
          <w:iCs/>
          <w:snapToGrid w:val="0"/>
          <w:color w:val="000000" w:themeColor="text1"/>
          <w:kern w:val="0"/>
          <w:szCs w:val="21"/>
          <w:highlight w:val="none"/>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highlight w:val="none"/>
          <w14:textFill>
            <w14:solidFill>
              <w14:schemeClr w14:val="tx1"/>
            </w14:solidFill>
          </w14:textFill>
        </w:rPr>
        <w:t xml:space="preserve"> 。</w:t>
      </w:r>
    </w:p>
    <w:p w14:paraId="58D1757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代理人无转委托权。</w:t>
      </w:r>
    </w:p>
    <w:p w14:paraId="1B59B3D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2168011B">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D117B02">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投  标  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657F48E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5A982326">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47DE65D3">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6F4080A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636F6053">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委托代理人：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16C980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07FCA71E">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日</w:t>
      </w:r>
    </w:p>
    <w:p w14:paraId="764F856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79AD2214">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23F244E">
      <w:pPr>
        <w:wordWrap w:val="0"/>
        <w:adjustRightInd w:val="0"/>
        <w:snapToGrid w:val="0"/>
        <w:ind w:firstLine="6440" w:firstLineChars="23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8"/>
          <w:szCs w:val="28"/>
          <w:highlight w:val="none"/>
          <w:u w:val="singl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000000" w:themeColor="text1"/>
          <w:kern w:val="0"/>
          <w:szCs w:val="24"/>
          <w:highlight w:val="none"/>
          <w14:textFill>
            <w14:solidFill>
              <w14:schemeClr w14:val="tx1"/>
            </w14:solidFill>
          </w14:textFill>
        </w:rPr>
      </w:pPr>
    </w:p>
    <w:p w14:paraId="3DEB4B42">
      <w:pPr>
        <w:bidi w:val="0"/>
        <w:rPr>
          <w:color w:val="000000" w:themeColor="text1"/>
          <w:highlight w:val="none"/>
          <w14:textFill>
            <w14:solidFill>
              <w14:schemeClr w14:val="tx1"/>
            </w14:solidFill>
          </w14:textFill>
        </w:rPr>
      </w:pPr>
    </w:p>
    <w:p w14:paraId="4EE63B06">
      <w:pPr>
        <w:wordWrap w:val="0"/>
        <w:adjustRightInd w:val="0"/>
        <w:snapToGrid w:val="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000000" w:themeColor="text1"/>
          <w:kern w:val="0"/>
          <w:highlight w:val="none"/>
          <w14:textFill>
            <w14:solidFill>
              <w14:schemeClr w14:val="tx1"/>
            </w14:solidFill>
          </w14:textFill>
        </w:rPr>
      </w:pPr>
      <w:bookmarkStart w:id="348" w:name="_Toc19854"/>
      <w:r>
        <w:rPr>
          <w:rFonts w:hint="eastAsia" w:hAnsi="宋体" w:cs="宋体"/>
          <w:b/>
          <w:snapToGrid w:val="0"/>
          <w:color w:val="000000" w:themeColor="text1"/>
          <w:kern w:val="0"/>
          <w:highlight w:val="none"/>
          <w14:textFill>
            <w14:solidFill>
              <w14:schemeClr w14:val="tx1"/>
            </w14:solidFill>
          </w14:textFill>
        </w:rPr>
        <w:t>格式五 法定代表人身份证明</w:t>
      </w:r>
      <w:bookmarkEnd w:id="348"/>
    </w:p>
    <w:p w14:paraId="6BB79DDB">
      <w:pPr>
        <w:wordWrap w:val="0"/>
        <w:adjustRightInd w:val="0"/>
        <w:snapToGrid w:val="0"/>
        <w:spacing w:line="440" w:lineRule="exact"/>
        <w:rPr>
          <w:rFonts w:hAnsi="宋体" w:cs="宋体"/>
          <w:b/>
          <w:snapToGrid w:val="0"/>
          <w:color w:val="000000" w:themeColor="text1"/>
          <w:kern w:val="0"/>
          <w:highlight w:val="none"/>
          <w14:textFill>
            <w14:solidFill>
              <w14:schemeClr w14:val="tx1"/>
            </w14:solidFill>
          </w14:textFill>
        </w:rPr>
      </w:pPr>
    </w:p>
    <w:p w14:paraId="16729C42">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法定代表人身份证明</w:t>
      </w:r>
    </w:p>
    <w:p w14:paraId="2FF4BF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7DB8BCD1">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投标人名称：</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5F87A2BE">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姓名：</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性别：</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年龄：</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职务：</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49E9994E">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w:t>
      </w:r>
    </w:p>
    <w:p w14:paraId="0EC840B0">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特此证明。</w:t>
      </w:r>
    </w:p>
    <w:p w14:paraId="6BD5A7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E95E920">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BAF37F3">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15931070">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4E9E006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6E1D2B4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7C11D6D8">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4649928B">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 xml:space="preserve">日       </w:t>
      </w:r>
    </w:p>
    <w:p w14:paraId="5AC0A295">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76CD658E">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658B356B">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5B344952">
      <w:pPr>
        <w:wordWrap w:val="0"/>
        <w:adjustRightInd w:val="0"/>
        <w:snapToGrid w:val="0"/>
        <w:spacing w:line="440" w:lineRule="exact"/>
        <w:ind w:firstLine="720" w:firstLineChars="300"/>
        <w:rPr>
          <w:rFonts w:hAnsi="宋体" w:cs="宋体"/>
          <w:b/>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i/>
          <w:iCs/>
          <w:snapToGrid w:val="0"/>
          <w:color w:val="000000" w:themeColor="text1"/>
          <w:kern w:val="0"/>
          <w:szCs w:val="21"/>
          <w:highlight w:val="none"/>
          <w14:textFill>
            <w14:solidFill>
              <w14:schemeClr w14:val="tx1"/>
            </w14:solidFill>
          </w14:textFill>
        </w:rPr>
        <w:t xml:space="preserve"> </w:t>
      </w:r>
    </w:p>
    <w:p w14:paraId="1F32B462">
      <w:pPr>
        <w:wordWrap w:val="0"/>
        <w:adjustRightInd w:val="0"/>
        <w:snapToGrid w:val="0"/>
        <w:rPr>
          <w:rFonts w:hAnsi="宋体" w:cs="宋体"/>
          <w:b/>
          <w:snapToGrid w:val="0"/>
          <w:color w:val="000000" w:themeColor="text1"/>
          <w:kern w:val="0"/>
          <w:szCs w:val="21"/>
          <w:highlight w:val="none"/>
          <w14:textFill>
            <w14:solidFill>
              <w14:schemeClr w14:val="tx1"/>
            </w14:solidFill>
          </w14:textFill>
        </w:rPr>
      </w:pPr>
      <w:r>
        <w:rPr>
          <w:rFonts w:hint="eastAsia" w:hAnsi="宋体" w:cs="宋体"/>
          <w:b/>
          <w:snapToGrid w:val="0"/>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0288;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highlight w:val="none"/>
          <w14:textFill>
            <w14:solidFill>
              <w14:schemeClr w14:val="tx1"/>
            </w14:solidFill>
          </w14:textFill>
        </w:rPr>
      </w:pPr>
    </w:p>
    <w:p w14:paraId="42859630">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67FF2234">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75D1150B">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49" w:name="_Toc25416"/>
      <w:r>
        <w:rPr>
          <w:rFonts w:hint="eastAsia" w:hAnsi="宋体" w:cs="宋体"/>
          <w:b/>
          <w:bCs/>
          <w:snapToGrid w:val="0"/>
          <w:color w:val="000000" w:themeColor="text1"/>
          <w:kern w:val="0"/>
          <w:szCs w:val="24"/>
          <w:highlight w:val="none"/>
          <w14:textFill>
            <w14:solidFill>
              <w14:schemeClr w14:val="tx1"/>
            </w14:solidFill>
          </w14:textFill>
        </w:rPr>
        <w:t>格式六 投标人基本情况表</w:t>
      </w:r>
      <w:bookmarkEnd w:id="349"/>
    </w:p>
    <w:p w14:paraId="3C45457B">
      <w:pPr>
        <w:pStyle w:val="71"/>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020" w:type="dxa"/>
            <w:gridSpan w:val="8"/>
            <w:vAlign w:val="center"/>
          </w:tcPr>
          <w:p w14:paraId="29F5C9C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389" w:type="dxa"/>
            <w:gridSpan w:val="3"/>
            <w:vAlign w:val="center"/>
          </w:tcPr>
          <w:p w14:paraId="4152239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0BEA5ED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385" w:type="dxa"/>
            <w:gridSpan w:val="3"/>
            <w:vAlign w:val="center"/>
          </w:tcPr>
          <w:p w14:paraId="515E231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897" w:type="dxa"/>
            <w:vAlign w:val="center"/>
          </w:tcPr>
          <w:p w14:paraId="7594670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492" w:type="dxa"/>
            <w:gridSpan w:val="2"/>
            <w:vAlign w:val="center"/>
          </w:tcPr>
          <w:p w14:paraId="164B535F">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7B9898D">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385" w:type="dxa"/>
            <w:gridSpan w:val="3"/>
            <w:vAlign w:val="center"/>
          </w:tcPr>
          <w:p w14:paraId="137FBF1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897" w:type="dxa"/>
            <w:vAlign w:val="center"/>
          </w:tcPr>
          <w:p w14:paraId="321DEB8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492" w:type="dxa"/>
            <w:gridSpan w:val="2"/>
            <w:vAlign w:val="center"/>
          </w:tcPr>
          <w:p w14:paraId="4DCC7DF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0A861B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385" w:type="dxa"/>
            <w:gridSpan w:val="3"/>
            <w:vAlign w:val="center"/>
          </w:tcPr>
          <w:p w14:paraId="2B81EB7B">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897" w:type="dxa"/>
            <w:vAlign w:val="center"/>
          </w:tcPr>
          <w:p w14:paraId="7308E285">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01032AE9">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0722914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7AD6FF4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6E7CBB9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44831199">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技术负责人</w:t>
            </w:r>
          </w:p>
        </w:tc>
        <w:tc>
          <w:tcPr>
            <w:tcW w:w="897" w:type="dxa"/>
            <w:vAlign w:val="center"/>
          </w:tcPr>
          <w:p w14:paraId="2CF40332">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4F32A38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76373BE1">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414D5E8B">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25D8523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300E4877">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成立日期</w:t>
            </w:r>
          </w:p>
        </w:tc>
        <w:tc>
          <w:tcPr>
            <w:tcW w:w="2586" w:type="dxa"/>
            <w:gridSpan w:val="2"/>
            <w:vAlign w:val="center"/>
          </w:tcPr>
          <w:p w14:paraId="31845C0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4434" w:type="dxa"/>
            <w:gridSpan w:val="6"/>
            <w:vAlign w:val="center"/>
          </w:tcPr>
          <w:p w14:paraId="5488CAE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w:t>
            </w:r>
          </w:p>
          <w:p w14:paraId="70FDE49A">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类型和等级</w:t>
            </w:r>
          </w:p>
        </w:tc>
        <w:tc>
          <w:tcPr>
            <w:tcW w:w="2586" w:type="dxa"/>
            <w:gridSpan w:val="2"/>
            <w:vAlign w:val="center"/>
          </w:tcPr>
          <w:p w14:paraId="3FBBCF9F">
            <w:pPr>
              <w:pStyle w:val="13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restart"/>
            <w:vAlign w:val="center"/>
          </w:tcPr>
          <w:p w14:paraId="53F8BA9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29" w:type="dxa"/>
            <w:gridSpan w:val="3"/>
            <w:vAlign w:val="center"/>
          </w:tcPr>
          <w:p w14:paraId="13106D9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各类注册人员</w:t>
            </w:r>
          </w:p>
        </w:tc>
        <w:tc>
          <w:tcPr>
            <w:tcW w:w="1416" w:type="dxa"/>
            <w:vAlign w:val="center"/>
          </w:tcPr>
          <w:p w14:paraId="66A4583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586" w:type="dxa"/>
            <w:gridSpan w:val="2"/>
            <w:vAlign w:val="center"/>
          </w:tcPr>
          <w:p w14:paraId="537F167F">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2FE95C77">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8F77C7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16" w:type="dxa"/>
            <w:vAlign w:val="center"/>
          </w:tcPr>
          <w:p w14:paraId="6727EBCF">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586" w:type="dxa"/>
            <w:gridSpan w:val="2"/>
            <w:vAlign w:val="center"/>
          </w:tcPr>
          <w:p w14:paraId="6B4F28E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339F645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099C1C6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16" w:type="dxa"/>
            <w:vAlign w:val="center"/>
          </w:tcPr>
          <w:p w14:paraId="5467645F">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66D9813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586" w:type="dxa"/>
            <w:gridSpan w:val="2"/>
            <w:vAlign w:val="center"/>
          </w:tcPr>
          <w:p w14:paraId="531EB95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6FB9209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7786B5B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16" w:type="dxa"/>
            <w:vAlign w:val="center"/>
          </w:tcPr>
          <w:p w14:paraId="5AAF3BA2">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41FAD386">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银行账号</w:t>
            </w:r>
          </w:p>
        </w:tc>
        <w:tc>
          <w:tcPr>
            <w:tcW w:w="2586" w:type="dxa"/>
            <w:gridSpan w:val="2"/>
            <w:vAlign w:val="center"/>
          </w:tcPr>
          <w:p w14:paraId="5F82E5BB">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376DF6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4671252B">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16" w:type="dxa"/>
            <w:vAlign w:val="center"/>
          </w:tcPr>
          <w:p w14:paraId="5F52F93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020" w:type="dxa"/>
            <w:gridSpan w:val="8"/>
            <w:vAlign w:val="center"/>
          </w:tcPr>
          <w:p w14:paraId="28B3173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020" w:type="dxa"/>
            <w:gridSpan w:val="8"/>
            <w:vAlign w:val="center"/>
          </w:tcPr>
          <w:p w14:paraId="627CBE37">
            <w:pPr>
              <w:pStyle w:val="13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78866B0F">
            <w:pPr>
              <w:pStyle w:val="13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2B8DF13B">
            <w:pPr>
              <w:pStyle w:val="13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78C5A631">
            <w:pPr>
              <w:pStyle w:val="13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020" w:type="dxa"/>
            <w:gridSpan w:val="8"/>
            <w:vAlign w:val="center"/>
          </w:tcPr>
          <w:p w14:paraId="0B7A9410">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bl>
    <w:p w14:paraId="31CF04E5">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48B0DF88">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1．《投标人基本情况表》后应附以下资料：</w:t>
      </w:r>
    </w:p>
    <w:p w14:paraId="77700285">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w:t>
      </w:r>
      <w:r>
        <w:rPr>
          <w:rFonts w:hint="eastAsia" w:ascii="宋体" w:hAnsi="宋体" w:cs="宋体"/>
          <w:snapToGrid w:val="0"/>
          <w:color w:val="000000" w:themeColor="text1"/>
          <w:kern w:val="0"/>
          <w:szCs w:val="21"/>
          <w:highlight w:val="none"/>
          <w:lang w:val="en-US" w:eastAsia="zh-CN"/>
          <w14:textFill>
            <w14:solidFill>
              <w14:schemeClr w14:val="tx1"/>
            </w14:solidFill>
          </w14:textFill>
        </w:rPr>
        <w:t>彩色</w:t>
      </w:r>
      <w:r>
        <w:rPr>
          <w:rFonts w:hint="eastAsia" w:ascii="宋体" w:hAnsi="宋体" w:cs="宋体"/>
          <w:snapToGrid w:val="0"/>
          <w:color w:val="000000" w:themeColor="text1"/>
          <w:kern w:val="0"/>
          <w:szCs w:val="21"/>
          <w:highlight w:val="none"/>
          <w14:textFill>
            <w14:solidFill>
              <w14:schemeClr w14:val="tx1"/>
            </w14:solidFill>
          </w14:textFill>
        </w:rPr>
        <w:t>扫描件（因推行电子证照，企业的营业执照、资质证书等可以提供电子证照）；</w:t>
      </w:r>
    </w:p>
    <w:p w14:paraId="3B9DB170">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highlight w:val="none"/>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highlight w:val="none"/>
          <w14:textFill>
            <w14:solidFill>
              <w14:schemeClr w14:val="tx1"/>
            </w14:solidFill>
          </w14:textFill>
        </w:rPr>
        <w:t>。</w:t>
      </w:r>
    </w:p>
    <w:p w14:paraId="6A573612">
      <w:pPr>
        <w:pStyle w:val="71"/>
        <w:widowControl w:val="0"/>
        <w:wordWrap w:val="0"/>
        <w:adjustRightInd w:val="0"/>
        <w:snapToGrid w:val="0"/>
        <w:spacing w:line="400" w:lineRule="exact"/>
        <w:rPr>
          <w:rFonts w:hAnsi="宋体" w:cs="宋体"/>
          <w:snapToGrid w:val="0"/>
          <w:color w:val="000000" w:themeColor="text1"/>
          <w:sz w:val="21"/>
          <w:szCs w:val="21"/>
          <w:highlight w:val="none"/>
          <w14:textFill>
            <w14:solidFill>
              <w14:schemeClr w14:val="tx1"/>
            </w14:solidFill>
          </w14:textFill>
        </w:rPr>
      </w:pPr>
      <w:r>
        <w:rPr>
          <w:rFonts w:hint="eastAsia" w:hAnsi="宋体" w:cs="宋体"/>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350" w:name="_Toc20791"/>
      <w:r>
        <w:rPr>
          <w:rFonts w:hint="eastAsia" w:hAnsi="宋体" w:cs="宋体"/>
          <w:b/>
          <w:snapToGrid w:val="0"/>
          <w:color w:val="000000" w:themeColor="text1"/>
          <w:kern w:val="0"/>
          <w:highlight w:val="none"/>
          <w14:textFill>
            <w14:solidFill>
              <w14:schemeClr w14:val="tx1"/>
            </w14:solidFill>
          </w14:textFill>
        </w:rPr>
        <w:t>格式七  总监理工程师任职声明（适用于无任职项目）</w:t>
      </w:r>
      <w:bookmarkEnd w:id="350"/>
    </w:p>
    <w:p w14:paraId="6FD021E2">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7734BDAC">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2F3A4633">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14B6B195">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392868E0">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36EB755F">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特此承诺　　</w:t>
      </w:r>
    </w:p>
    <w:p w14:paraId="699B7C56">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244A9EE">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FB105EA">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2A604D50">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1BB53AD">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0C3A73EA">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7AE6CC90">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3C9B11CD">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7BA2FE9F">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351" w:name="_Toc25801"/>
      <w:r>
        <w:rPr>
          <w:rFonts w:hint="eastAsia" w:hAnsi="宋体" w:cs="宋体"/>
          <w:b/>
          <w:snapToGrid w:val="0"/>
          <w:color w:val="000000" w:themeColor="text1"/>
          <w:kern w:val="0"/>
          <w:highlight w:val="none"/>
          <w14:textFill>
            <w14:solidFill>
              <w14:schemeClr w14:val="tx1"/>
            </w14:solidFill>
          </w14:textFill>
        </w:rPr>
        <w:t>格式八 总监理工程师任职声明（适用于有任职项目）</w:t>
      </w:r>
      <w:bookmarkEnd w:id="351"/>
    </w:p>
    <w:p w14:paraId="449B4FD5">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14A50C1D">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2B3ED8C9">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45489580">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191C5186">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（总监理工程师姓名）现阶段正在担任</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1FA625A2">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特此承诺</w:t>
      </w:r>
    </w:p>
    <w:p w14:paraId="46BFCB72">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p>
    <w:p w14:paraId="627F814D">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47D291EC">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1B4B0533">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487F86BE">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D65E6AD">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029F2B4C">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1E734F3E">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19DAFB93">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77D5727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352" w:name="_Toc4580"/>
      <w:r>
        <w:rPr>
          <w:rFonts w:hint="eastAsia" w:hAnsi="宋体" w:cs="宋体"/>
          <w:b/>
          <w:bCs/>
          <w:snapToGrid w:val="0"/>
          <w:color w:val="000000" w:themeColor="text1"/>
          <w:kern w:val="0"/>
          <w:szCs w:val="24"/>
          <w:highlight w:val="none"/>
          <w14:textFill>
            <w14:solidFill>
              <w14:schemeClr w14:val="tx1"/>
            </w14:solidFill>
          </w14:textFill>
        </w:rPr>
        <w:t>格式九 总监理工程师任职项目情况表</w:t>
      </w:r>
      <w:bookmarkEnd w:id="352"/>
    </w:p>
    <w:p w14:paraId="1C05E0FA">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1E110BE9">
      <w:pPr>
        <w:pStyle w:val="71"/>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项目名称</w:t>
            </w:r>
          </w:p>
        </w:tc>
        <w:tc>
          <w:tcPr>
            <w:tcW w:w="2771" w:type="dxa"/>
            <w:vAlign w:val="center"/>
          </w:tcPr>
          <w:p w14:paraId="2DFCFA8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6AC2BA15">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项目所在地</w:t>
            </w:r>
          </w:p>
        </w:tc>
        <w:tc>
          <w:tcPr>
            <w:tcW w:w="2594" w:type="dxa"/>
            <w:vAlign w:val="center"/>
          </w:tcPr>
          <w:p w14:paraId="24CD9F05">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委托人名称</w:t>
            </w:r>
          </w:p>
        </w:tc>
        <w:tc>
          <w:tcPr>
            <w:tcW w:w="2771" w:type="dxa"/>
            <w:vAlign w:val="center"/>
          </w:tcPr>
          <w:p w14:paraId="5F8E80C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1BC9377E">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委托人地址</w:t>
            </w:r>
          </w:p>
        </w:tc>
        <w:tc>
          <w:tcPr>
            <w:tcW w:w="2594" w:type="dxa"/>
            <w:vAlign w:val="center"/>
          </w:tcPr>
          <w:p w14:paraId="334897D3">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委托人电话</w:t>
            </w:r>
          </w:p>
        </w:tc>
        <w:tc>
          <w:tcPr>
            <w:tcW w:w="2771" w:type="dxa"/>
            <w:vAlign w:val="center"/>
          </w:tcPr>
          <w:p w14:paraId="2AAC336B">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530B3B45">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总监理工程师</w:t>
            </w:r>
          </w:p>
        </w:tc>
        <w:tc>
          <w:tcPr>
            <w:tcW w:w="2594" w:type="dxa"/>
            <w:vAlign w:val="center"/>
          </w:tcPr>
          <w:p w14:paraId="2993C8DD">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监理服务期限</w:t>
            </w:r>
          </w:p>
        </w:tc>
        <w:tc>
          <w:tcPr>
            <w:tcW w:w="2771" w:type="dxa"/>
            <w:vAlign w:val="center"/>
          </w:tcPr>
          <w:p w14:paraId="253ECA3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5379C804">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监理内容</w:t>
            </w:r>
          </w:p>
        </w:tc>
        <w:tc>
          <w:tcPr>
            <w:tcW w:w="2594" w:type="dxa"/>
            <w:vAlign w:val="center"/>
          </w:tcPr>
          <w:p w14:paraId="1EEFB69A">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项目描述</w:t>
            </w:r>
          </w:p>
        </w:tc>
        <w:tc>
          <w:tcPr>
            <w:tcW w:w="7000" w:type="dxa"/>
            <w:gridSpan w:val="3"/>
            <w:vAlign w:val="center"/>
          </w:tcPr>
          <w:p w14:paraId="21A54D72">
            <w:pPr>
              <w:pStyle w:val="13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委托人声明</w:t>
            </w:r>
          </w:p>
        </w:tc>
        <w:tc>
          <w:tcPr>
            <w:tcW w:w="7000" w:type="dxa"/>
            <w:gridSpan w:val="3"/>
            <w:vAlign w:val="center"/>
          </w:tcPr>
          <w:p w14:paraId="418BE4BE">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602D8050">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致：</w:t>
            </w:r>
            <w:r>
              <w:rPr>
                <w:rFonts w:hint="eastAsia" w:ascii="宋体" w:hAnsi="宋体" w:cs="宋体"/>
                <w:snapToGrid w:val="0"/>
                <w:color w:val="000000" w:themeColor="text1"/>
                <w:kern w:val="0"/>
                <w:szCs w:val="21"/>
                <w:highlight w:val="none"/>
                <w:u w:val="single"/>
                <w14:textFill>
                  <w14:solidFill>
                    <w14:schemeClr w14:val="tx1"/>
                  </w14:solidFill>
                </w14:textFill>
              </w:rPr>
              <w:t>（本招标项目招标人名称）</w:t>
            </w:r>
          </w:p>
          <w:p w14:paraId="37F7ABA7">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我方在此声明：</w:t>
            </w:r>
          </w:p>
          <w:p w14:paraId="221BF42B">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一、在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中标你方招标项目监理业务，在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6DBCA6A9">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二、无论</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都必须完全、严格履行我方在施项目监理合同中约定的所有义务，并确保服务内容、服务质量不得有任何减少或降低。</w:t>
            </w:r>
          </w:p>
          <w:p w14:paraId="092F9495">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2DED7437">
            <w:pPr>
              <w:pStyle w:val="13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599D977E">
            <w:pPr>
              <w:pStyle w:val="13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建设单位名称：</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w:t>
            </w:r>
          </w:p>
          <w:p w14:paraId="1047DB8F">
            <w:pPr>
              <w:pStyle w:val="13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p>
          <w:p w14:paraId="36196D25">
            <w:pPr>
              <w:pStyle w:val="135"/>
              <w:adjustRightInd w:val="0"/>
              <w:snapToGrid w:val="0"/>
              <w:spacing w:line="360" w:lineRule="auto"/>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XXXX年XX月XX日</w:t>
            </w:r>
          </w:p>
        </w:tc>
      </w:tr>
    </w:tbl>
    <w:p w14:paraId="01E57326">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4621617A">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3AD580BD">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每份情况表后应附该项目的合同协议书彩色扫描件。</w:t>
      </w:r>
    </w:p>
    <w:p w14:paraId="5D509C1C">
      <w:pPr>
        <w:pStyle w:val="13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w:t>
      </w:r>
      <w:r>
        <w:rPr>
          <w:rFonts w:hint="eastAsia" w:ascii="宋体" w:hAnsi="宋体" w:cs="宋体"/>
          <w:snapToGrid w:val="0"/>
          <w:color w:val="000000" w:themeColor="text1"/>
          <w:kern w:val="0"/>
          <w:szCs w:val="28"/>
          <w:highlight w:val="none"/>
          <w14:textFill>
            <w14:solidFill>
              <w14:schemeClr w14:val="tx1"/>
            </w14:solidFill>
          </w14:textFill>
        </w:rPr>
        <w:t>．投标人填写本</w:t>
      </w:r>
      <w:r>
        <w:rPr>
          <w:rFonts w:hint="eastAsia" w:ascii="宋体" w:hAnsi="宋体" w:cs="宋体"/>
          <w:snapToGrid w:val="0"/>
          <w:color w:val="000000" w:themeColor="text1"/>
          <w:kern w:val="0"/>
          <w:szCs w:val="21"/>
          <w:highlight w:val="none"/>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000000" w:themeColor="text1"/>
          <w:kern w:val="0"/>
          <w:sz w:val="21"/>
          <w:szCs w:val="21"/>
          <w:highlight w:val="none"/>
          <w14:textFill>
            <w14:solidFill>
              <w14:schemeClr w14:val="tx1"/>
            </w14:solidFill>
          </w14:textFill>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highlight w:val="none"/>
          <w14:textFill>
            <w14:solidFill>
              <w14:schemeClr w14:val="tx1"/>
            </w14:solidFill>
          </w14:textFill>
        </w:rPr>
      </w:pPr>
      <w:bookmarkStart w:id="353" w:name="_Toc4940"/>
      <w:bookmarkStart w:id="354" w:name="_Toc200338098"/>
      <w:bookmarkStart w:id="355" w:name="_Toc8264"/>
      <w:r>
        <w:rPr>
          <w:rFonts w:hint="eastAsia" w:hAnsi="宋体" w:cs="宋体"/>
          <w:b/>
          <w:snapToGrid w:val="0"/>
          <w:color w:val="000000" w:themeColor="text1"/>
          <w:kern w:val="0"/>
          <w:highlight w:val="none"/>
          <w14:textFill>
            <w14:solidFill>
              <w14:schemeClr w14:val="tx1"/>
            </w14:solidFill>
          </w14:textFill>
        </w:rPr>
        <w:t>格式</w:t>
      </w:r>
      <w:bookmarkStart w:id="356" w:name="_Hlt287950384"/>
      <w:bookmarkEnd w:id="356"/>
      <w:r>
        <w:rPr>
          <w:rFonts w:hint="eastAsia" w:hAnsi="宋体" w:cs="宋体"/>
          <w:b/>
          <w:bCs/>
          <w:snapToGrid w:val="0"/>
          <w:color w:val="000000" w:themeColor="text1"/>
          <w:kern w:val="0"/>
          <w:szCs w:val="24"/>
          <w:highlight w:val="none"/>
          <w14:textFill>
            <w14:solidFill>
              <w14:schemeClr w14:val="tx1"/>
            </w14:solidFill>
          </w14:textFill>
        </w:rPr>
        <w:t>十 项目监理机构组成人员汇总表</w:t>
      </w:r>
      <w:bookmarkEnd w:id="353"/>
    </w:p>
    <w:p w14:paraId="58540D5A">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bookmarkStart w:id="357" w:name="_附件二十四：技术标提问单"/>
        <w:bookmarkStart w:id="358" w:name="_附件二十五：综合评审合理低价法"/>
        <w:bookmarkStart w:id="359" w:name="_Hlt69116778"/>
        <w:bookmarkStart w:id="360" w:name="_附件十：单项工程费汇总表"/>
        <w:bookmarkStart w:id="361" w:name="_Hlt68774664"/>
      </w:tr>
      <w:bookmarkEnd w:id="354"/>
      <w:bookmarkEnd w:id="355"/>
      <w:bookmarkEnd w:id="357"/>
      <w:bookmarkEnd w:id="358"/>
      <w:bookmarkEnd w:id="359"/>
      <w:bookmarkEnd w:id="360"/>
      <w:bookmarkEnd w:id="361"/>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bl>
    <w:p w14:paraId="4CDFA701">
      <w:pPr>
        <w:pStyle w:val="71"/>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说明：</w:t>
      </w:r>
    </w:p>
    <w:p w14:paraId="24312D3D">
      <w:pPr>
        <w:pStyle w:val="71"/>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000000" w:themeColor="text1"/>
          <w:sz w:val="21"/>
          <w:highlight w:val="none"/>
          <w14:textFill>
            <w14:solidFill>
              <w14:schemeClr w14:val="tx1"/>
            </w14:solidFill>
          </w14:textFill>
        </w:rPr>
        <w:t>1</w:t>
      </w:r>
      <w:r>
        <w:rPr>
          <w:rFonts w:hint="eastAsia" w:hAnsi="宋体" w:cs="宋体"/>
          <w:snapToGrid w:val="0"/>
          <w:color w:val="000000" w:themeColor="text1"/>
          <w:sz w:val="21"/>
          <w:szCs w:val="28"/>
          <w:highlight w:val="none"/>
          <w14:textFill>
            <w14:solidFill>
              <w14:schemeClr w14:val="tx1"/>
            </w14:solidFill>
          </w14:textFill>
        </w:rPr>
        <w:t>．表中没有或无法填写的栏目，用</w:t>
      </w:r>
      <w:r>
        <w:rPr>
          <w:rFonts w:hint="eastAsia" w:hAnsi="宋体" w:cs="宋体"/>
          <w:snapToGrid w:val="0"/>
          <w:color w:val="000000" w:themeColor="text1"/>
          <w:sz w:val="21"/>
          <w:highlight w:val="none"/>
          <w14:textFill>
            <w14:solidFill>
              <w14:schemeClr w14:val="tx1"/>
            </w14:solidFill>
          </w14:textFill>
        </w:rPr>
        <w:t>“/”示意。</w:t>
      </w:r>
      <w:bookmarkEnd w:id="329"/>
      <w:bookmarkEnd w:id="330"/>
      <w:bookmarkEnd w:id="331"/>
      <w:bookmarkEnd w:id="332"/>
    </w:p>
    <w:p w14:paraId="63F60130">
      <w:pPr>
        <w:pStyle w:val="147"/>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362" w:name="_Toc24916"/>
      <w:bookmarkStart w:id="363" w:name="_Toc29786"/>
      <w:r>
        <w:rPr>
          <w:rFonts w:hint="eastAsia" w:ascii="宋体" w:hAnsi="宋体" w:cs="宋体"/>
          <w:b/>
          <w:bCs/>
          <w:snapToGrid w:val="0"/>
          <w:color w:val="000000" w:themeColor="text1"/>
          <w:highlight w:val="none"/>
          <w14:textFill>
            <w14:solidFill>
              <w14:schemeClr w14:val="tx1"/>
            </w14:solidFill>
          </w14:textFill>
        </w:rPr>
        <w:t>格式十一  总监理工程师简历表</w:t>
      </w:r>
      <w:bookmarkEnd w:id="362"/>
      <w:bookmarkEnd w:id="363"/>
    </w:p>
    <w:p w14:paraId="6461E15D">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13A99F0A">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05AF772E">
      <w:pPr>
        <w:adjustRightInd w:val="0"/>
        <w:snapToGrid w:val="0"/>
        <w:spacing w:line="400" w:lineRule="exact"/>
        <w:rPr>
          <w:rFonts w:hAnsi="宋体" w:cs="宋体"/>
          <w:color w:val="000000" w:themeColor="text1"/>
          <w:highlight w:val="none"/>
          <w14:textFill>
            <w14:solidFill>
              <w14:schemeClr w14:val="tx1"/>
            </w14:solidFill>
          </w14:textFill>
        </w:rPr>
      </w:pPr>
    </w:p>
    <w:p w14:paraId="55649CDC">
      <w:pPr>
        <w:pStyle w:val="72"/>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p>
    <w:p w14:paraId="5212B167">
      <w:pPr>
        <w:pStyle w:val="72"/>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总监理工程师：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w:t>
      </w:r>
    </w:p>
    <w:p w14:paraId="0C2580C4">
      <w:pPr>
        <w:pStyle w:val="72"/>
        <w:wordWrap w:val="0"/>
        <w:adjustRightInd w:val="0"/>
        <w:snapToGrid w:val="0"/>
        <w:spacing w:line="400" w:lineRule="exact"/>
        <w:jc w:val="center"/>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54D577A5">
      <w:pPr>
        <w:wordWrap w:val="0"/>
        <w:adjustRightInd w:val="0"/>
        <w:snapToGrid w:val="0"/>
        <w:spacing w:line="400" w:lineRule="exact"/>
        <w:ind w:firstLine="570"/>
        <w:rPr>
          <w:rFonts w:hAnsi="宋体" w:cs="宋体"/>
          <w:snapToGrid w:val="0"/>
          <w:color w:val="000000" w:themeColor="text1"/>
          <w:kern w:val="0"/>
          <w:szCs w:val="28"/>
          <w:highlight w:val="none"/>
          <w14:textFill>
            <w14:solidFill>
              <w14:schemeClr w14:val="tx1"/>
            </w14:solidFill>
          </w14:textFill>
        </w:rPr>
      </w:pPr>
    </w:p>
    <w:p w14:paraId="1CA52CB3">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6403A45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2．监理工程师注册证书彩色扫描件（须彩色扫描至变更注册栏）</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highlight w:val="none"/>
          <w14:textFill>
            <w14:solidFill>
              <w14:schemeClr w14:val="tx1"/>
            </w14:solidFill>
          </w14:textFill>
        </w:rPr>
        <w:t>有效期内的有效电子证书</w:t>
      </w:r>
      <w:r>
        <w:rPr>
          <w:rFonts w:hint="eastAsia" w:hAnsi="宋体" w:cs="宋体"/>
          <w:snapToGrid w:val="0"/>
          <w:color w:val="000000" w:themeColor="text1"/>
          <w:kern w:val="0"/>
          <w:sz w:val="21"/>
          <w:szCs w:val="28"/>
          <w:highlight w:val="none"/>
          <w14:textFill>
            <w14:solidFill>
              <w14:schemeClr w14:val="tx1"/>
            </w14:solidFill>
          </w14:textFill>
        </w:rPr>
        <w:t>；</w:t>
      </w:r>
    </w:p>
    <w:p w14:paraId="4FD46B7A">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在本单位缴纳社保的证明（至少一个月，其中必须有202</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02</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000000" w:themeColor="text1"/>
          <w:sz w:val="21"/>
          <w:highlight w:val="none"/>
          <w14:textFill>
            <w14:solidFill>
              <w14:schemeClr w14:val="tx1"/>
            </w14:solidFill>
          </w14:textFill>
        </w:rPr>
      </w:pPr>
    </w:p>
    <w:p w14:paraId="1F51A155">
      <w:pPr>
        <w:adjustRightInd w:val="0"/>
        <w:snapToGrid w:val="0"/>
        <w:spacing w:line="400" w:lineRule="exact"/>
        <w:rPr>
          <w:rFonts w:hAnsi="宋体" w:cs="宋体"/>
          <w:b/>
          <w:bCs/>
          <w:snapToGrid w:val="0"/>
          <w:color w:val="000000" w:themeColor="text1"/>
          <w:kern w:val="0"/>
          <w:szCs w:val="24"/>
          <w:highlight w:val="none"/>
          <w14:textFill>
            <w14:solidFill>
              <w14:schemeClr w14:val="tx1"/>
            </w14:solidFill>
          </w14:textFill>
        </w:rPr>
      </w:pPr>
      <w:bookmarkStart w:id="364" w:name="_Toc19546"/>
      <w:r>
        <w:rPr>
          <w:rFonts w:hint="eastAsia" w:hAnsi="宋体" w:cs="宋体"/>
          <w:b/>
          <w:bCs/>
          <w:snapToGrid w:val="0"/>
          <w:color w:val="000000" w:themeColor="text1"/>
          <w:kern w:val="0"/>
          <w:szCs w:val="24"/>
          <w:highlight w:val="none"/>
          <w14:textFill>
            <w14:solidFill>
              <w14:schemeClr w14:val="tx1"/>
            </w14:solidFill>
          </w14:textFill>
        </w:rPr>
        <w:br w:type="page"/>
      </w:r>
    </w:p>
    <w:p w14:paraId="32B105E3">
      <w:pPr>
        <w:pStyle w:val="147"/>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365" w:name="_Toc25360"/>
      <w:r>
        <w:rPr>
          <w:rFonts w:hint="eastAsia" w:ascii="宋体" w:hAnsi="宋体" w:cs="宋体"/>
          <w:b/>
          <w:bCs/>
          <w:snapToGrid w:val="0"/>
          <w:color w:val="000000" w:themeColor="text1"/>
          <w:highlight w:val="none"/>
          <w14:textFill>
            <w14:solidFill>
              <w14:schemeClr w14:val="tx1"/>
            </w14:solidFill>
          </w14:textFill>
        </w:rPr>
        <w:t>格式十二  其他拟派人员简历表</w:t>
      </w:r>
      <w:bookmarkEnd w:id="364"/>
      <w:bookmarkEnd w:id="365"/>
    </w:p>
    <w:p w14:paraId="6BB2F130">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3FF56886">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1AEF7FE9">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6A8FC6B9">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r>
              <w:rPr>
                <w:rFonts w:hint="eastAsia" w:hAnsi="宋体" w:cs="宋体"/>
                <w:snapToGrid w:val="0"/>
                <w:color w:val="000000" w:themeColor="text1"/>
                <w:kern w:val="0"/>
                <w:sz w:val="21"/>
                <w:szCs w:val="28"/>
                <w:highlight w:val="none"/>
                <w14:textFill>
                  <w14:solidFill>
                    <w14:schemeClr w14:val="tx1"/>
                  </w14:solidFill>
                </w14:textFill>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77C02387">
      <w:pPr>
        <w:pStyle w:val="72"/>
        <w:wordWrap w:val="0"/>
        <w:adjustRightInd w:val="0"/>
        <w:snapToGrid w:val="0"/>
        <w:spacing w:line="400" w:lineRule="exact"/>
        <w:rPr>
          <w:rFonts w:hAnsi="宋体" w:cs="宋体"/>
          <w:snapToGrid w:val="0"/>
          <w:color w:val="000000" w:themeColor="text1"/>
          <w:kern w:val="0"/>
          <w:highlight w:val="none"/>
          <w14:textFill>
            <w14:solidFill>
              <w14:schemeClr w14:val="tx1"/>
            </w14:solidFill>
          </w14:textFill>
        </w:rPr>
      </w:pPr>
    </w:p>
    <w:p w14:paraId="51FC9EC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w:t>
      </w:r>
    </w:p>
    <w:p w14:paraId="2C895D48">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highlight w:val="none"/>
          <w14:textFill>
            <w14:solidFill>
              <w14:schemeClr w14:val="tx1"/>
            </w14:solidFill>
          </w14:textFill>
        </w:rPr>
        <w:t>并标明序号。</w:t>
      </w:r>
    </w:p>
    <w:p w14:paraId="784C9BD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2．每份简历表后应附该拟派人员以下资料：</w:t>
      </w:r>
    </w:p>
    <w:p w14:paraId="1DCEBAA8">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15883648">
      <w:pPr>
        <w:wordWrap w:val="0"/>
        <w:adjustRightInd w:val="0"/>
        <w:snapToGrid w:val="0"/>
        <w:spacing w:line="400" w:lineRule="exact"/>
        <w:ind w:firstLine="420"/>
        <w:rPr>
          <w:rFonts w:hint="eastAsia" w:hAnsi="宋体" w:eastAsia="宋体" w:cs="宋体"/>
          <w:snapToGrid w:val="0"/>
          <w:color w:val="000000" w:themeColor="text1"/>
          <w:kern w:val="0"/>
          <w:sz w:val="21"/>
          <w:szCs w:val="28"/>
          <w:highlight w:val="none"/>
          <w:lang w:val="en-US" w:eastAsia="zh-CN"/>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（2）相关证书彩色扫描件</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须彩色扫描至变更注册栏</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1"/>
          <w:szCs w:val="28"/>
          <w:highlight w:val="none"/>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highlight w:val="none"/>
          <w14:textFill>
            <w14:solidFill>
              <w14:schemeClr w14:val="tx1"/>
            </w14:solidFill>
          </w14:textFill>
        </w:rPr>
        <w:t>有效期内的有效电子证书</w:t>
      </w:r>
      <w:r>
        <w:rPr>
          <w:rFonts w:hint="eastAsia" w:ascii="宋体" w:hAnsi="宋体" w:eastAsia="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highlight w:val="none"/>
          <w14:textFill>
            <w14:solidFill>
              <w14:schemeClr w14:val="tx1"/>
            </w14:solidFill>
          </w14:textFill>
        </w:rPr>
        <w:t>15.5</w:t>
      </w:r>
      <w:r>
        <w:rPr>
          <w:rFonts w:hint="eastAsia" w:hAnsi="宋体" w:cs="宋体"/>
          <w:snapToGrid w:val="0"/>
          <w:color w:val="000000" w:themeColor="text1"/>
          <w:kern w:val="0"/>
          <w:sz w:val="21"/>
          <w:szCs w:val="28"/>
          <w:highlight w:val="none"/>
          <w14:textFill>
            <w14:solidFill>
              <w14:schemeClr w14:val="tx1"/>
            </w14:solidFill>
          </w14:textFill>
        </w:rPr>
        <w:t>条表</w:t>
      </w:r>
      <w:r>
        <w:rPr>
          <w:rFonts w:hint="eastAsia" w:hAnsi="宋体" w:cs="宋体"/>
          <w:b/>
          <w:bCs/>
          <w:snapToGrid w:val="0"/>
          <w:color w:val="000000" w:themeColor="text1"/>
          <w:kern w:val="0"/>
          <w:sz w:val="21"/>
          <w:szCs w:val="28"/>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《项目监理机构其他人员需求表》“持证要求”栏目</w:t>
      </w:r>
      <w:r>
        <w:rPr>
          <w:rFonts w:hint="eastAsia" w:hAnsi="宋体" w:cs="宋体"/>
          <w:snapToGrid w:val="0"/>
          <w:color w:val="000000" w:themeColor="text1"/>
          <w:kern w:val="0"/>
          <w:sz w:val="21"/>
          <w:szCs w:val="28"/>
          <w:highlight w:val="none"/>
          <w:lang w:val="en-US" w:eastAsia="zh-CN"/>
          <w14:textFill>
            <w14:solidFill>
              <w14:schemeClr w14:val="tx1"/>
            </w14:solidFill>
          </w14:textFill>
        </w:rPr>
        <w:t>；</w:t>
      </w:r>
    </w:p>
    <w:p w14:paraId="1BFF2D1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Times New Roman"/>
          <w:snapToGrid w:val="0"/>
          <w:color w:val="000000" w:themeColor="text1"/>
          <w:kern w:val="0"/>
          <w:sz w:val="21"/>
          <w:szCs w:val="28"/>
          <w:highlight w:val="none"/>
          <w14:textFill>
            <w14:solidFill>
              <w14:schemeClr w14:val="tx1"/>
            </w14:solidFill>
          </w14:textFill>
        </w:rPr>
        <w:t>在本单位缴纳社保的证明</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（至少一个月，其中必须有202</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02</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w:t>
      </w:r>
      <w:r>
        <w:rPr>
          <w:rFonts w:hint="eastAsia" w:ascii="Times New Roman"/>
          <w:snapToGrid w:val="0"/>
          <w:color w:val="000000" w:themeColor="text1"/>
          <w:kern w:val="0"/>
          <w:sz w:val="21"/>
          <w:szCs w:val="28"/>
          <w:highlight w:val="none"/>
          <w14:textFill>
            <w14:solidFill>
              <w14:schemeClr w14:val="tx1"/>
            </w14:solidFill>
          </w14:textFill>
        </w:rPr>
        <w:t>彩色扫描件。</w:t>
      </w:r>
    </w:p>
    <w:p w14:paraId="14218DA9">
      <w:pPr>
        <w:pStyle w:val="9"/>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3.“进粤企业和人员诚信信息登记平台”个人信息情况截图。（适用于省外建筑企业）</w:t>
      </w:r>
    </w:p>
    <w:p w14:paraId="16DC49F0">
      <w:pPr>
        <w:rPr>
          <w:color w:val="000000" w:themeColor="text1"/>
          <w:highlight w:val="none"/>
          <w14:textFill>
            <w14:solidFill>
              <w14:schemeClr w14:val="tx1"/>
            </w14:solidFill>
          </w14:textFill>
        </w:rPr>
      </w:pPr>
      <w:bookmarkStart w:id="366" w:name="_Toc593"/>
      <w:bookmarkStart w:id="367" w:name="_Toc25312"/>
    </w:p>
    <w:p w14:paraId="4F5701AB">
      <w:pPr>
        <w:rPr>
          <w:color w:val="000000" w:themeColor="text1"/>
          <w:highlight w:val="none"/>
          <w14:textFill>
            <w14:solidFill>
              <w14:schemeClr w14:val="tx1"/>
            </w14:solidFill>
          </w14:textFill>
        </w:rPr>
      </w:pPr>
    </w:p>
    <w:p w14:paraId="0B0CC3A8">
      <w:pPr>
        <w:rPr>
          <w:color w:val="000000" w:themeColor="text1"/>
          <w:highlight w:val="none"/>
          <w14:textFill>
            <w14:solidFill>
              <w14:schemeClr w14:val="tx1"/>
            </w14:solidFill>
          </w14:textFill>
        </w:rPr>
      </w:pPr>
    </w:p>
    <w:p w14:paraId="0887FC9D">
      <w:pPr>
        <w:rPr>
          <w:color w:val="000000" w:themeColor="text1"/>
          <w:highlight w:val="none"/>
          <w14:textFill>
            <w14:solidFill>
              <w14:schemeClr w14:val="tx1"/>
            </w14:solidFill>
          </w14:textFill>
        </w:rPr>
      </w:pPr>
    </w:p>
    <w:p w14:paraId="746FE86D">
      <w:pPr>
        <w:rPr>
          <w:color w:val="000000" w:themeColor="text1"/>
          <w:highlight w:val="none"/>
          <w14:textFill>
            <w14:solidFill>
              <w14:schemeClr w14:val="tx1"/>
            </w14:solidFill>
          </w14:textFill>
        </w:rPr>
      </w:pPr>
    </w:p>
    <w:p w14:paraId="4A3461BE">
      <w:pPr>
        <w:bidi w:val="0"/>
        <w:rPr>
          <w:color w:val="000000" w:themeColor="text1"/>
          <w:highlight w:val="none"/>
          <w14:textFill>
            <w14:solidFill>
              <w14:schemeClr w14:val="tx1"/>
            </w14:solidFill>
          </w14:textFill>
        </w:rPr>
      </w:pPr>
    </w:p>
    <w:p w14:paraId="20F0C669">
      <w:pPr>
        <w:pStyle w:val="3"/>
        <w:bidi w:val="0"/>
        <w:rPr>
          <w:rFonts w:hint="default"/>
          <w:b/>
          <w:bCs/>
          <w:color w:val="000000" w:themeColor="text1"/>
          <w:highlight w:val="none"/>
          <w:lang w:val="en-US" w:eastAsia="zh-CN"/>
          <w14:textFill>
            <w14:solidFill>
              <w14:schemeClr w14:val="tx1"/>
            </w14:solidFill>
          </w14:textFill>
        </w:rPr>
      </w:pPr>
      <w:bookmarkStart w:id="368" w:name="_Toc23609"/>
      <w:r>
        <w:rPr>
          <w:rFonts w:hint="eastAsia"/>
          <w:b/>
          <w:bCs/>
          <w:color w:val="000000" w:themeColor="text1"/>
          <w:highlight w:val="none"/>
          <w:lang w:val="en-US" w:eastAsia="zh-CN"/>
          <w14:textFill>
            <w14:solidFill>
              <w14:schemeClr w14:val="tx1"/>
            </w14:solidFill>
          </w14:textFill>
        </w:rPr>
        <w:t>格式十三 原件一览表</w:t>
      </w:r>
      <w:bookmarkEnd w:id="368"/>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000000" w:themeColor="text1"/>
                <w:highlight w:val="none"/>
                <w14:textFill>
                  <w14:solidFill>
                    <w14:schemeClr w14:val="tx1"/>
                  </w14:solidFill>
                </w14:textFill>
              </w:rPr>
            </w:pPr>
            <w:r>
              <w:rPr>
                <w:rFonts w:hAnsi="宋体" w:cs="宋体"/>
                <w:b/>
                <w:color w:val="000000" w:themeColor="text1"/>
                <w:highlight w:val="none"/>
                <w14:textFill>
                  <w14:solidFill>
                    <w14:schemeClr w14:val="tx1"/>
                  </w14:solidFill>
                </w14:textFill>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投标人法定代表人或其</w:t>
            </w:r>
          </w:p>
          <w:p w14:paraId="77524DC3">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c>
          <w:tcPr>
            <w:tcW w:w="754" w:type="dxa"/>
            <w:shd w:val="clear" w:color="auto" w:fill="auto"/>
            <w:noWrap w:val="0"/>
            <w:tcMar>
              <w:left w:w="108" w:type="dxa"/>
              <w:right w:w="108" w:type="dxa"/>
            </w:tcMar>
            <w:vAlign w:val="center"/>
          </w:tcPr>
          <w:p w14:paraId="4060398A">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单位</w:t>
            </w:r>
          </w:p>
        </w:tc>
        <w:tc>
          <w:tcPr>
            <w:tcW w:w="1570" w:type="dxa"/>
            <w:shd w:val="clear" w:color="auto" w:fill="auto"/>
            <w:noWrap w:val="0"/>
            <w:tcMar>
              <w:left w:w="108" w:type="dxa"/>
              <w:right w:w="108" w:type="dxa"/>
            </w:tcMar>
            <w:vAlign w:val="center"/>
          </w:tcPr>
          <w:p w14:paraId="3D03BCF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0557B405">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65217A66">
            <w:pPr>
              <w:jc w:val="center"/>
              <w:rPr>
                <w:rFonts w:hAnsi="宋体" w:cs="宋体"/>
                <w:color w:val="000000" w:themeColor="text1"/>
                <w:sz w:val="24"/>
                <w:szCs w:val="24"/>
                <w:highlight w:val="none"/>
                <w14:textFill>
                  <w14:solidFill>
                    <w14:schemeClr w14:val="tx1"/>
                  </w14:solidFill>
                </w14:textFill>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624BA07C">
            <w:pPr>
              <w:jc w:val="center"/>
              <w:rPr>
                <w:rFonts w:hAnsi="宋体" w:cs="宋体"/>
                <w:color w:val="000000" w:themeColor="text1"/>
                <w:sz w:val="24"/>
                <w:szCs w:val="24"/>
                <w:highlight w:val="none"/>
                <w14:textFill>
                  <w14:solidFill>
                    <w14:schemeClr w14:val="tx1"/>
                  </w14:solidFill>
                </w14:textFill>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000000" w:themeColor="text1"/>
                <w:sz w:val="24"/>
                <w:szCs w:val="24"/>
                <w:highlight w:val="none"/>
                <w14:textFill>
                  <w14:solidFill>
                    <w14:schemeClr w14:val="tx1"/>
                  </w14:solidFill>
                </w14:textFill>
              </w:rPr>
            </w:pPr>
          </w:p>
        </w:tc>
        <w:tc>
          <w:tcPr>
            <w:tcW w:w="1570" w:type="dxa"/>
            <w:shd w:val="clear" w:color="auto" w:fill="auto"/>
            <w:noWrap w:val="0"/>
            <w:tcMar>
              <w:left w:w="108" w:type="dxa"/>
              <w:right w:w="108" w:type="dxa"/>
            </w:tcMar>
            <w:vAlign w:val="center"/>
          </w:tcPr>
          <w:p w14:paraId="03487C6D">
            <w:pPr>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bl>
    <w:p w14:paraId="2043B9AC">
      <w:pPr>
        <w:bidi w:val="0"/>
        <w:rPr>
          <w:color w:val="000000" w:themeColor="text1"/>
          <w:highlight w:val="none"/>
          <w14:textFill>
            <w14:solidFill>
              <w14:schemeClr w14:val="tx1"/>
            </w14:solidFill>
          </w14:textFill>
        </w:rPr>
      </w:pPr>
    </w:p>
    <w:p w14:paraId="59158BD3">
      <w:pPr>
        <w:rPr>
          <w:color w:val="000000" w:themeColor="text1"/>
          <w:highlight w:val="none"/>
          <w14:textFill>
            <w14:solidFill>
              <w14:schemeClr w14:val="tx1"/>
            </w14:solidFill>
          </w14:textFill>
        </w:rPr>
      </w:pPr>
    </w:p>
    <w:p w14:paraId="65603D6D">
      <w:pPr>
        <w:bidi w:val="0"/>
        <w:rPr>
          <w:color w:val="000000" w:themeColor="text1"/>
          <w:highlight w:val="none"/>
          <w14:textFill>
            <w14:solidFill>
              <w14:schemeClr w14:val="tx1"/>
            </w14:solidFill>
          </w14:textFill>
        </w:rPr>
      </w:pPr>
    </w:p>
    <w:bookmarkEnd w:id="366"/>
    <w:bookmarkEnd w:id="367"/>
    <w:p w14:paraId="6FEFA5B3">
      <w:pPr>
        <w:pStyle w:val="148"/>
        <w:keepNext/>
        <w:keepLines/>
        <w:snapToGrid w:val="0"/>
        <w:spacing w:line="400" w:lineRule="exact"/>
        <w:jc w:val="center"/>
        <w:rPr>
          <w:rFonts w:ascii="宋体" w:hAnsi="宋体" w:cs="宋体"/>
          <w:b/>
          <w:color w:val="000000" w:themeColor="text1"/>
          <w:kern w:val="44"/>
          <w:sz w:val="32"/>
          <w:szCs w:val="22"/>
          <w:highlight w:val="none"/>
          <w14:textFill>
            <w14:solidFill>
              <w14:schemeClr w14:val="tx1"/>
            </w14:solidFill>
          </w14:textFill>
        </w:rPr>
      </w:pPr>
      <w:bookmarkStart w:id="369" w:name="_Toc132687128"/>
      <w:bookmarkStart w:id="370" w:name="_Toc3174"/>
      <w:bookmarkStart w:id="371" w:name="_Toc137444778"/>
      <w:bookmarkStart w:id="372" w:name="_Toc13722"/>
      <w:bookmarkStart w:id="373" w:name="_Toc28689"/>
      <w:bookmarkStart w:id="374" w:name="_Toc142468134"/>
      <w:bookmarkStart w:id="375" w:name="_Toc133160683"/>
      <w:bookmarkStart w:id="376" w:name="_Toc78794873"/>
      <w:bookmarkStart w:id="377" w:name="_Toc133815902"/>
      <w:r>
        <w:rPr>
          <w:rFonts w:hint="eastAsia" w:ascii="宋体" w:hAnsi="宋体" w:cs="宋体"/>
          <w:b/>
          <w:color w:val="000000" w:themeColor="text1"/>
          <w:kern w:val="44"/>
          <w:sz w:val="32"/>
          <w:szCs w:val="22"/>
          <w:highlight w:val="none"/>
          <w14:textFill>
            <w14:solidFill>
              <w14:schemeClr w14:val="tx1"/>
            </w14:solidFill>
          </w14:textFill>
        </w:rPr>
        <w:t>第六章 建设工程监理合同</w:t>
      </w:r>
      <w:bookmarkEnd w:id="369"/>
      <w:bookmarkEnd w:id="370"/>
      <w:bookmarkEnd w:id="371"/>
      <w:bookmarkEnd w:id="372"/>
      <w:bookmarkEnd w:id="373"/>
      <w:bookmarkEnd w:id="374"/>
      <w:bookmarkEnd w:id="375"/>
    </w:p>
    <w:p w14:paraId="489A5B59">
      <w:pPr>
        <w:wordWrap w:val="0"/>
        <w:adjustRightInd w:val="0"/>
        <w:snapToGrid w:val="0"/>
        <w:spacing w:before="360" w:beforeLines="150" w:line="400" w:lineRule="exact"/>
        <w:rPr>
          <w:rFonts w:hAnsi="宋体" w:cs="宋体"/>
          <w:color w:val="000000" w:themeColor="text1"/>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（略），</w:t>
      </w:r>
      <w:bookmarkEnd w:id="376"/>
      <w:bookmarkEnd w:id="377"/>
      <w:r>
        <w:rPr>
          <w:rFonts w:hint="eastAsia" w:hAnsi="宋体" w:cs="宋体"/>
          <w:snapToGrid w:val="0"/>
          <w:color w:val="000000" w:themeColor="text1"/>
          <w:kern w:val="0"/>
          <w:highlight w:val="none"/>
          <w14:textFill>
            <w14:solidFill>
              <w14:schemeClr w14:val="tx1"/>
            </w14:solidFill>
          </w14:textFill>
        </w:rPr>
        <w:t>按照《建设工程监理合同（示范文本）》（GF—2012—0202）执行。</w:t>
      </w:r>
    </w:p>
    <w:p w14:paraId="6CF11764">
      <w:pPr>
        <w:pStyle w:val="9"/>
        <w:snapToGrid w:val="0"/>
        <w:spacing w:line="400" w:lineRule="exact"/>
        <w:rPr>
          <w:rFonts w:hAnsi="宋体" w:cs="宋体"/>
          <w:snapToGrid w:val="0"/>
          <w:color w:val="000000" w:themeColor="text1"/>
          <w:highlight w:val="none"/>
          <w14:textFill>
            <w14:solidFill>
              <w14:schemeClr w14:val="tx1"/>
            </w14:solidFill>
          </w14:textFill>
        </w:rPr>
      </w:pPr>
    </w:p>
    <w:p w14:paraId="05AE5769">
      <w:pPr>
        <w:pStyle w:val="71"/>
        <w:widowControl w:val="0"/>
        <w:wordWrap w:val="0"/>
        <w:adjustRightInd w:val="0"/>
        <w:snapToGrid w:val="0"/>
        <w:spacing w:line="400" w:lineRule="exact"/>
        <w:ind w:firstLine="0"/>
        <w:rPr>
          <w:rFonts w:hAnsi="宋体" w:cs="宋体"/>
          <w:snapToGrid w:val="0"/>
          <w:color w:val="000000" w:themeColor="text1"/>
          <w:sz w:val="21"/>
          <w:highlight w:val="none"/>
          <w14:textFill>
            <w14:solidFill>
              <w14:schemeClr w14:val="tx1"/>
            </w14:solidFill>
          </w14:textFill>
        </w:rPr>
      </w:pPr>
    </w:p>
    <w:sectPr>
      <w:footerReference r:id="rId7"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4AB1">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E0A9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7E0A9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3ACD9">
                          <w:pPr>
                            <w:pStyle w:val="1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03ACD9">
                    <w:pPr>
                      <w:pStyle w:val="1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F371D"/>
    <w:multiLevelType w:val="singleLevel"/>
    <w:tmpl w:val="048F371D"/>
    <w:lvl w:ilvl="0" w:tentative="0">
      <w:start w:val="1"/>
      <w:numFmt w:val="decimal"/>
      <w:lvlText w:val="%1."/>
      <w:lvlJc w:val="left"/>
      <w:pPr>
        <w:tabs>
          <w:tab w:val="left" w:pos="312"/>
        </w:tabs>
      </w:pPr>
    </w:lvl>
  </w:abstractNum>
  <w:abstractNum w:abstractNumId="1">
    <w:nsid w:val="1C21DF3C"/>
    <w:multiLevelType w:val="singleLevel"/>
    <w:tmpl w:val="1C21DF3C"/>
    <w:lvl w:ilvl="0" w:tentative="0">
      <w:start w:val="1"/>
      <w:numFmt w:val="decimal"/>
      <w:lvlText w:val="%1."/>
      <w:lvlJc w:val="left"/>
      <w:pPr>
        <w:tabs>
          <w:tab w:val="left" w:pos="312"/>
        </w:tabs>
      </w:pPr>
    </w:lvl>
  </w:abstractNum>
  <w:abstractNum w:abstractNumId="2">
    <w:nsid w:val="5DB717D2"/>
    <w:multiLevelType w:val="singleLevel"/>
    <w:tmpl w:val="5DB717D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A4716"/>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313670"/>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2B68"/>
    <w:rsid w:val="06F44232"/>
    <w:rsid w:val="071A4FFB"/>
    <w:rsid w:val="072F60EA"/>
    <w:rsid w:val="073C1416"/>
    <w:rsid w:val="07626CD1"/>
    <w:rsid w:val="076349FE"/>
    <w:rsid w:val="07F654CB"/>
    <w:rsid w:val="07F90245"/>
    <w:rsid w:val="08077FE9"/>
    <w:rsid w:val="08432B8E"/>
    <w:rsid w:val="085D1A1C"/>
    <w:rsid w:val="085D55D8"/>
    <w:rsid w:val="0872069D"/>
    <w:rsid w:val="08767FD2"/>
    <w:rsid w:val="087D7F38"/>
    <w:rsid w:val="09702125"/>
    <w:rsid w:val="097E2118"/>
    <w:rsid w:val="09B41737"/>
    <w:rsid w:val="09CA2D09"/>
    <w:rsid w:val="09E65669"/>
    <w:rsid w:val="09EA5159"/>
    <w:rsid w:val="09F5235C"/>
    <w:rsid w:val="0A0E69FD"/>
    <w:rsid w:val="0A3E54A5"/>
    <w:rsid w:val="0A570314"/>
    <w:rsid w:val="0A6523F4"/>
    <w:rsid w:val="0A685FB5"/>
    <w:rsid w:val="0A740EC6"/>
    <w:rsid w:val="0A9F6084"/>
    <w:rsid w:val="0AA8200A"/>
    <w:rsid w:val="0AED395D"/>
    <w:rsid w:val="0B4006EB"/>
    <w:rsid w:val="0B914627"/>
    <w:rsid w:val="0B9B6EF0"/>
    <w:rsid w:val="0B9E10B5"/>
    <w:rsid w:val="0B9E1CB0"/>
    <w:rsid w:val="0BC47C2C"/>
    <w:rsid w:val="0C0D7AE6"/>
    <w:rsid w:val="0C5D4B54"/>
    <w:rsid w:val="0CA02447"/>
    <w:rsid w:val="0CA20070"/>
    <w:rsid w:val="0CC7733C"/>
    <w:rsid w:val="0CC80FED"/>
    <w:rsid w:val="0CD32A34"/>
    <w:rsid w:val="0CF12128"/>
    <w:rsid w:val="0D140105"/>
    <w:rsid w:val="0D364445"/>
    <w:rsid w:val="0D7E1192"/>
    <w:rsid w:val="0DB82B2F"/>
    <w:rsid w:val="0E0322E5"/>
    <w:rsid w:val="0E650489"/>
    <w:rsid w:val="0E8273DD"/>
    <w:rsid w:val="0E954BA0"/>
    <w:rsid w:val="0EC544EB"/>
    <w:rsid w:val="0F177F3C"/>
    <w:rsid w:val="0F287BA3"/>
    <w:rsid w:val="0F3B1552"/>
    <w:rsid w:val="0F823F1F"/>
    <w:rsid w:val="0FA1224B"/>
    <w:rsid w:val="0FAB1B4B"/>
    <w:rsid w:val="0FC147F0"/>
    <w:rsid w:val="0FC83017"/>
    <w:rsid w:val="0FDE143F"/>
    <w:rsid w:val="0FED49BA"/>
    <w:rsid w:val="103A61F3"/>
    <w:rsid w:val="106F6EDC"/>
    <w:rsid w:val="10BB100E"/>
    <w:rsid w:val="10CF5BBB"/>
    <w:rsid w:val="10E072B6"/>
    <w:rsid w:val="10FB5335"/>
    <w:rsid w:val="10FD39C4"/>
    <w:rsid w:val="112D1D65"/>
    <w:rsid w:val="11303196"/>
    <w:rsid w:val="11360437"/>
    <w:rsid w:val="113B11BA"/>
    <w:rsid w:val="11515ABE"/>
    <w:rsid w:val="116021A5"/>
    <w:rsid w:val="119D4B96"/>
    <w:rsid w:val="11A42091"/>
    <w:rsid w:val="11D67B34"/>
    <w:rsid w:val="11F50B3F"/>
    <w:rsid w:val="11F70077"/>
    <w:rsid w:val="11FE6FE0"/>
    <w:rsid w:val="121459A3"/>
    <w:rsid w:val="122711D7"/>
    <w:rsid w:val="127C2803"/>
    <w:rsid w:val="127E10FD"/>
    <w:rsid w:val="12851648"/>
    <w:rsid w:val="128819B3"/>
    <w:rsid w:val="12884038"/>
    <w:rsid w:val="12C13398"/>
    <w:rsid w:val="12F876BF"/>
    <w:rsid w:val="13114669"/>
    <w:rsid w:val="132029E9"/>
    <w:rsid w:val="132F1E2E"/>
    <w:rsid w:val="13351019"/>
    <w:rsid w:val="135B72ED"/>
    <w:rsid w:val="135E3453"/>
    <w:rsid w:val="136C6CCA"/>
    <w:rsid w:val="13841C28"/>
    <w:rsid w:val="139A08A3"/>
    <w:rsid w:val="13B3480E"/>
    <w:rsid w:val="13BE434A"/>
    <w:rsid w:val="13C925E9"/>
    <w:rsid w:val="13D87533"/>
    <w:rsid w:val="13E55A7C"/>
    <w:rsid w:val="13ED238A"/>
    <w:rsid w:val="140B4870"/>
    <w:rsid w:val="144D28BE"/>
    <w:rsid w:val="14A11363"/>
    <w:rsid w:val="14AD3C82"/>
    <w:rsid w:val="14D507B4"/>
    <w:rsid w:val="14E82BDD"/>
    <w:rsid w:val="1530421B"/>
    <w:rsid w:val="15335E3C"/>
    <w:rsid w:val="15585425"/>
    <w:rsid w:val="15632821"/>
    <w:rsid w:val="156E0438"/>
    <w:rsid w:val="159710CE"/>
    <w:rsid w:val="1613202A"/>
    <w:rsid w:val="161D4E95"/>
    <w:rsid w:val="162C017A"/>
    <w:rsid w:val="16435C60"/>
    <w:rsid w:val="165B50B5"/>
    <w:rsid w:val="16715F6C"/>
    <w:rsid w:val="16744260"/>
    <w:rsid w:val="16833FFF"/>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9A0770"/>
    <w:rsid w:val="18AC5722"/>
    <w:rsid w:val="18BA750B"/>
    <w:rsid w:val="18C03544"/>
    <w:rsid w:val="18D45DFC"/>
    <w:rsid w:val="18DD6311"/>
    <w:rsid w:val="19000928"/>
    <w:rsid w:val="192856B3"/>
    <w:rsid w:val="19506374"/>
    <w:rsid w:val="19AB63C4"/>
    <w:rsid w:val="1A0D6313"/>
    <w:rsid w:val="1A3810FE"/>
    <w:rsid w:val="1A3D0F0C"/>
    <w:rsid w:val="1A501F1B"/>
    <w:rsid w:val="1A7C0E8F"/>
    <w:rsid w:val="1A9A0468"/>
    <w:rsid w:val="1ABE60EB"/>
    <w:rsid w:val="1AD559B1"/>
    <w:rsid w:val="1AFB4481"/>
    <w:rsid w:val="1B0B4F2F"/>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F2794"/>
    <w:rsid w:val="1CAE7812"/>
    <w:rsid w:val="1CB20AFB"/>
    <w:rsid w:val="1CB751D0"/>
    <w:rsid w:val="1CB919A4"/>
    <w:rsid w:val="1CD83537"/>
    <w:rsid w:val="1D105D93"/>
    <w:rsid w:val="1D1E0445"/>
    <w:rsid w:val="1D270AE4"/>
    <w:rsid w:val="1D44283A"/>
    <w:rsid w:val="1D60342F"/>
    <w:rsid w:val="1D78009C"/>
    <w:rsid w:val="1D871C03"/>
    <w:rsid w:val="1D884CF0"/>
    <w:rsid w:val="1D8E0177"/>
    <w:rsid w:val="1DA3413D"/>
    <w:rsid w:val="1E545B64"/>
    <w:rsid w:val="1E7B6870"/>
    <w:rsid w:val="1EC47A07"/>
    <w:rsid w:val="1EC73280"/>
    <w:rsid w:val="1EFF124F"/>
    <w:rsid w:val="1F114792"/>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F599B"/>
    <w:rsid w:val="21D0774F"/>
    <w:rsid w:val="223713D9"/>
    <w:rsid w:val="227B2B13"/>
    <w:rsid w:val="22A461F0"/>
    <w:rsid w:val="22C92E53"/>
    <w:rsid w:val="22FC4CE3"/>
    <w:rsid w:val="23187739"/>
    <w:rsid w:val="23291E8B"/>
    <w:rsid w:val="23437531"/>
    <w:rsid w:val="23510E00"/>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623C6C"/>
    <w:rsid w:val="26AA7CF2"/>
    <w:rsid w:val="26C86BA7"/>
    <w:rsid w:val="26E06C71"/>
    <w:rsid w:val="26EA00EF"/>
    <w:rsid w:val="26EA0CB5"/>
    <w:rsid w:val="26F0476E"/>
    <w:rsid w:val="26FD55DC"/>
    <w:rsid w:val="27017996"/>
    <w:rsid w:val="273C36E8"/>
    <w:rsid w:val="2744740D"/>
    <w:rsid w:val="274B251F"/>
    <w:rsid w:val="274B5F1C"/>
    <w:rsid w:val="274C5507"/>
    <w:rsid w:val="274E67F3"/>
    <w:rsid w:val="27725362"/>
    <w:rsid w:val="27C923FA"/>
    <w:rsid w:val="27CC3C98"/>
    <w:rsid w:val="281250A7"/>
    <w:rsid w:val="28131DB1"/>
    <w:rsid w:val="28251659"/>
    <w:rsid w:val="283C7070"/>
    <w:rsid w:val="284618DF"/>
    <w:rsid w:val="286F2FA1"/>
    <w:rsid w:val="289531DE"/>
    <w:rsid w:val="28E47B36"/>
    <w:rsid w:val="29234F87"/>
    <w:rsid w:val="29554B1B"/>
    <w:rsid w:val="29671ECA"/>
    <w:rsid w:val="298A6B2C"/>
    <w:rsid w:val="29B66A0D"/>
    <w:rsid w:val="29DE79E9"/>
    <w:rsid w:val="29F05B24"/>
    <w:rsid w:val="29F179E6"/>
    <w:rsid w:val="2A350D3C"/>
    <w:rsid w:val="2A4D7E90"/>
    <w:rsid w:val="2A960744"/>
    <w:rsid w:val="2AB51533"/>
    <w:rsid w:val="2AC60E73"/>
    <w:rsid w:val="2ADA3A0F"/>
    <w:rsid w:val="2AFF2BF3"/>
    <w:rsid w:val="2B037A34"/>
    <w:rsid w:val="2B593377"/>
    <w:rsid w:val="2B7C1908"/>
    <w:rsid w:val="2BC1086B"/>
    <w:rsid w:val="2BDC351D"/>
    <w:rsid w:val="2BE13AE1"/>
    <w:rsid w:val="2BEF2275"/>
    <w:rsid w:val="2BF90677"/>
    <w:rsid w:val="2C230203"/>
    <w:rsid w:val="2C8D32F9"/>
    <w:rsid w:val="2CEB0040"/>
    <w:rsid w:val="2D427EAD"/>
    <w:rsid w:val="2D9515C6"/>
    <w:rsid w:val="2DC826D3"/>
    <w:rsid w:val="2DEF1607"/>
    <w:rsid w:val="2DF27D49"/>
    <w:rsid w:val="2DF803FC"/>
    <w:rsid w:val="2E0C16EA"/>
    <w:rsid w:val="2E910CDC"/>
    <w:rsid w:val="2EBD1EFD"/>
    <w:rsid w:val="2EC715D4"/>
    <w:rsid w:val="2F0B092E"/>
    <w:rsid w:val="2F1D4D98"/>
    <w:rsid w:val="2F4E3303"/>
    <w:rsid w:val="2F625641"/>
    <w:rsid w:val="2FBF699C"/>
    <w:rsid w:val="301C3E1D"/>
    <w:rsid w:val="303C6E79"/>
    <w:rsid w:val="304479DC"/>
    <w:rsid w:val="306B0278"/>
    <w:rsid w:val="308E63ED"/>
    <w:rsid w:val="30BF65F3"/>
    <w:rsid w:val="30C47C02"/>
    <w:rsid w:val="315F570D"/>
    <w:rsid w:val="31615422"/>
    <w:rsid w:val="3163741B"/>
    <w:rsid w:val="31E0281A"/>
    <w:rsid w:val="31FE12D4"/>
    <w:rsid w:val="32364B30"/>
    <w:rsid w:val="325A5591"/>
    <w:rsid w:val="32B271D3"/>
    <w:rsid w:val="32BA0022"/>
    <w:rsid w:val="332643F5"/>
    <w:rsid w:val="33791178"/>
    <w:rsid w:val="33CB12A8"/>
    <w:rsid w:val="33D267D7"/>
    <w:rsid w:val="33D66E83"/>
    <w:rsid w:val="33E82ECD"/>
    <w:rsid w:val="33F7209D"/>
    <w:rsid w:val="34022441"/>
    <w:rsid w:val="340D366E"/>
    <w:rsid w:val="3428064F"/>
    <w:rsid w:val="3460329E"/>
    <w:rsid w:val="34675E29"/>
    <w:rsid w:val="349E4F2C"/>
    <w:rsid w:val="34E70363"/>
    <w:rsid w:val="34E76031"/>
    <w:rsid w:val="350C3E26"/>
    <w:rsid w:val="3511371C"/>
    <w:rsid w:val="352178D8"/>
    <w:rsid w:val="352251C2"/>
    <w:rsid w:val="353F2CB2"/>
    <w:rsid w:val="35435F75"/>
    <w:rsid w:val="357F2541"/>
    <w:rsid w:val="35827B62"/>
    <w:rsid w:val="358562B5"/>
    <w:rsid w:val="35AD5109"/>
    <w:rsid w:val="35B84990"/>
    <w:rsid w:val="35BA3E5B"/>
    <w:rsid w:val="35D7574E"/>
    <w:rsid w:val="35F21282"/>
    <w:rsid w:val="362F5B1E"/>
    <w:rsid w:val="36493477"/>
    <w:rsid w:val="364D6ED6"/>
    <w:rsid w:val="36673031"/>
    <w:rsid w:val="36831138"/>
    <w:rsid w:val="36B726AE"/>
    <w:rsid w:val="36C3101C"/>
    <w:rsid w:val="36F3211B"/>
    <w:rsid w:val="371428EB"/>
    <w:rsid w:val="373525CE"/>
    <w:rsid w:val="374F73CF"/>
    <w:rsid w:val="375873B1"/>
    <w:rsid w:val="375A09AF"/>
    <w:rsid w:val="3766112D"/>
    <w:rsid w:val="37A960C2"/>
    <w:rsid w:val="37B46FED"/>
    <w:rsid w:val="37CF580A"/>
    <w:rsid w:val="37D1291E"/>
    <w:rsid w:val="37D4026E"/>
    <w:rsid w:val="37DA5E90"/>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BC63BD"/>
    <w:rsid w:val="3EDB4A95"/>
    <w:rsid w:val="3EE057E6"/>
    <w:rsid w:val="3F18690D"/>
    <w:rsid w:val="3F1B285B"/>
    <w:rsid w:val="3F2A0D32"/>
    <w:rsid w:val="3F2A3743"/>
    <w:rsid w:val="3F310B59"/>
    <w:rsid w:val="3F43243B"/>
    <w:rsid w:val="3F47212A"/>
    <w:rsid w:val="3F6A3CD5"/>
    <w:rsid w:val="3FCB19D9"/>
    <w:rsid w:val="3FCB2D5B"/>
    <w:rsid w:val="3FE57C96"/>
    <w:rsid w:val="3FF81D2D"/>
    <w:rsid w:val="402847E9"/>
    <w:rsid w:val="40302BBE"/>
    <w:rsid w:val="405E34A3"/>
    <w:rsid w:val="407C7161"/>
    <w:rsid w:val="407D5E86"/>
    <w:rsid w:val="40807762"/>
    <w:rsid w:val="409A44DC"/>
    <w:rsid w:val="40A92971"/>
    <w:rsid w:val="40AC6F65"/>
    <w:rsid w:val="40BC08F6"/>
    <w:rsid w:val="40BE0F76"/>
    <w:rsid w:val="40CB718C"/>
    <w:rsid w:val="40DD59C2"/>
    <w:rsid w:val="41610361"/>
    <w:rsid w:val="41A2189A"/>
    <w:rsid w:val="41A8307D"/>
    <w:rsid w:val="41C06995"/>
    <w:rsid w:val="41DB1250"/>
    <w:rsid w:val="41E2613A"/>
    <w:rsid w:val="421B6FDC"/>
    <w:rsid w:val="42595C18"/>
    <w:rsid w:val="429E14C7"/>
    <w:rsid w:val="42AB17FE"/>
    <w:rsid w:val="42B11DCD"/>
    <w:rsid w:val="42FF5094"/>
    <w:rsid w:val="436C03B1"/>
    <w:rsid w:val="43C7528C"/>
    <w:rsid w:val="43CB220C"/>
    <w:rsid w:val="445415FA"/>
    <w:rsid w:val="445B3984"/>
    <w:rsid w:val="445B5455"/>
    <w:rsid w:val="44943A7F"/>
    <w:rsid w:val="44DF70BA"/>
    <w:rsid w:val="450F631C"/>
    <w:rsid w:val="453971E4"/>
    <w:rsid w:val="453C54BE"/>
    <w:rsid w:val="45476363"/>
    <w:rsid w:val="456D040C"/>
    <w:rsid w:val="463F7FFF"/>
    <w:rsid w:val="46484BFF"/>
    <w:rsid w:val="46512233"/>
    <w:rsid w:val="46540D24"/>
    <w:rsid w:val="46A737E8"/>
    <w:rsid w:val="46C14018"/>
    <w:rsid w:val="46C73076"/>
    <w:rsid w:val="46D07EE5"/>
    <w:rsid w:val="46E465A3"/>
    <w:rsid w:val="46F806BD"/>
    <w:rsid w:val="47043CAB"/>
    <w:rsid w:val="472705CE"/>
    <w:rsid w:val="47617B01"/>
    <w:rsid w:val="479A2C46"/>
    <w:rsid w:val="479C5136"/>
    <w:rsid w:val="47E06018"/>
    <w:rsid w:val="48653A64"/>
    <w:rsid w:val="48811B8A"/>
    <w:rsid w:val="48962BA2"/>
    <w:rsid w:val="48C43988"/>
    <w:rsid w:val="48E83E36"/>
    <w:rsid w:val="49345B93"/>
    <w:rsid w:val="494C4B08"/>
    <w:rsid w:val="49951EFC"/>
    <w:rsid w:val="499A26FB"/>
    <w:rsid w:val="49B026D9"/>
    <w:rsid w:val="49B722B7"/>
    <w:rsid w:val="49C15E4A"/>
    <w:rsid w:val="49D955C3"/>
    <w:rsid w:val="49ED65A4"/>
    <w:rsid w:val="4A307756"/>
    <w:rsid w:val="4A6D7DCA"/>
    <w:rsid w:val="4A9910AB"/>
    <w:rsid w:val="4A992597"/>
    <w:rsid w:val="4A9B332A"/>
    <w:rsid w:val="4AD625B4"/>
    <w:rsid w:val="4AFF509B"/>
    <w:rsid w:val="4B5E2E2F"/>
    <w:rsid w:val="4B675E1C"/>
    <w:rsid w:val="4BC73F17"/>
    <w:rsid w:val="4BEB73D9"/>
    <w:rsid w:val="4C166235"/>
    <w:rsid w:val="4C1C544C"/>
    <w:rsid w:val="4C313219"/>
    <w:rsid w:val="4C5D1828"/>
    <w:rsid w:val="4C6C738D"/>
    <w:rsid w:val="4C6D0CF6"/>
    <w:rsid w:val="4C7E6A54"/>
    <w:rsid w:val="4C865C08"/>
    <w:rsid w:val="4D2B6E28"/>
    <w:rsid w:val="4D317F76"/>
    <w:rsid w:val="4D7E2A50"/>
    <w:rsid w:val="4DA23565"/>
    <w:rsid w:val="4DA9629F"/>
    <w:rsid w:val="4DB7491F"/>
    <w:rsid w:val="4DD038A9"/>
    <w:rsid w:val="4DE1199C"/>
    <w:rsid w:val="4E49490E"/>
    <w:rsid w:val="4E551A8D"/>
    <w:rsid w:val="4EB250E6"/>
    <w:rsid w:val="4ED42E60"/>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42B34"/>
    <w:rsid w:val="546837CB"/>
    <w:rsid w:val="54723DA3"/>
    <w:rsid w:val="547A0454"/>
    <w:rsid w:val="548C2969"/>
    <w:rsid w:val="549624AE"/>
    <w:rsid w:val="54CF254E"/>
    <w:rsid w:val="54F93B76"/>
    <w:rsid w:val="550B774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6DD0"/>
    <w:rsid w:val="582A366D"/>
    <w:rsid w:val="585169D2"/>
    <w:rsid w:val="58861256"/>
    <w:rsid w:val="58D03F93"/>
    <w:rsid w:val="59016B9E"/>
    <w:rsid w:val="595963DC"/>
    <w:rsid w:val="595A456A"/>
    <w:rsid w:val="59607A95"/>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D1843"/>
    <w:rsid w:val="5C806B92"/>
    <w:rsid w:val="5C8F1D6F"/>
    <w:rsid w:val="5C9F5B4C"/>
    <w:rsid w:val="5CF26970"/>
    <w:rsid w:val="5D1860EA"/>
    <w:rsid w:val="5D5B375C"/>
    <w:rsid w:val="5D5D1495"/>
    <w:rsid w:val="5D634689"/>
    <w:rsid w:val="5D6D26E9"/>
    <w:rsid w:val="5D703886"/>
    <w:rsid w:val="5D9A4716"/>
    <w:rsid w:val="5DA57F32"/>
    <w:rsid w:val="5E0733DA"/>
    <w:rsid w:val="5E1406C1"/>
    <w:rsid w:val="5E1A1D20"/>
    <w:rsid w:val="5E2F7E48"/>
    <w:rsid w:val="5E602469"/>
    <w:rsid w:val="5E717821"/>
    <w:rsid w:val="5E972BBA"/>
    <w:rsid w:val="5EAB5584"/>
    <w:rsid w:val="5EC52DE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5D7134"/>
    <w:rsid w:val="61882403"/>
    <w:rsid w:val="618F268C"/>
    <w:rsid w:val="61EA23B0"/>
    <w:rsid w:val="620A72BB"/>
    <w:rsid w:val="62287615"/>
    <w:rsid w:val="622F67B3"/>
    <w:rsid w:val="627D4254"/>
    <w:rsid w:val="62897466"/>
    <w:rsid w:val="62AD3683"/>
    <w:rsid w:val="62B261AF"/>
    <w:rsid w:val="62F57B08"/>
    <w:rsid w:val="6303429D"/>
    <w:rsid w:val="63205356"/>
    <w:rsid w:val="63424833"/>
    <w:rsid w:val="635822A8"/>
    <w:rsid w:val="63583AEB"/>
    <w:rsid w:val="63737FC7"/>
    <w:rsid w:val="63A938A8"/>
    <w:rsid w:val="63CE3380"/>
    <w:rsid w:val="63E36016"/>
    <w:rsid w:val="63F21DB5"/>
    <w:rsid w:val="63FF6480"/>
    <w:rsid w:val="640A1EA8"/>
    <w:rsid w:val="642900E6"/>
    <w:rsid w:val="64302590"/>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505357"/>
    <w:rsid w:val="6B874EAB"/>
    <w:rsid w:val="6B985938"/>
    <w:rsid w:val="6BFD3458"/>
    <w:rsid w:val="6C423778"/>
    <w:rsid w:val="6CAF118B"/>
    <w:rsid w:val="6CBB7E1F"/>
    <w:rsid w:val="6CC01E51"/>
    <w:rsid w:val="6CF372CA"/>
    <w:rsid w:val="6D027F59"/>
    <w:rsid w:val="6D2D1C64"/>
    <w:rsid w:val="6D475F5F"/>
    <w:rsid w:val="6D600E21"/>
    <w:rsid w:val="6D68133A"/>
    <w:rsid w:val="6DA55AEF"/>
    <w:rsid w:val="6DA82289"/>
    <w:rsid w:val="6DDD441D"/>
    <w:rsid w:val="6DE915B6"/>
    <w:rsid w:val="6E061A11"/>
    <w:rsid w:val="6E345B45"/>
    <w:rsid w:val="6E5743D1"/>
    <w:rsid w:val="6E63668A"/>
    <w:rsid w:val="6E671CA5"/>
    <w:rsid w:val="6E741E30"/>
    <w:rsid w:val="6E9A5352"/>
    <w:rsid w:val="6EA0733B"/>
    <w:rsid w:val="6EBB122E"/>
    <w:rsid w:val="6EBB2C83"/>
    <w:rsid w:val="6EC77A48"/>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6965A9"/>
    <w:rsid w:val="718D73C3"/>
    <w:rsid w:val="71900A0A"/>
    <w:rsid w:val="719A4E18"/>
    <w:rsid w:val="71BC787F"/>
    <w:rsid w:val="71BE3E19"/>
    <w:rsid w:val="72011EEA"/>
    <w:rsid w:val="720A0C12"/>
    <w:rsid w:val="72341211"/>
    <w:rsid w:val="727517BE"/>
    <w:rsid w:val="72BB53F2"/>
    <w:rsid w:val="72CF29B8"/>
    <w:rsid w:val="73004C22"/>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A112E"/>
    <w:rsid w:val="781E6439"/>
    <w:rsid w:val="78214A6B"/>
    <w:rsid w:val="7824041B"/>
    <w:rsid w:val="78897474"/>
    <w:rsid w:val="78A64B86"/>
    <w:rsid w:val="78BD078C"/>
    <w:rsid w:val="78DE3D6C"/>
    <w:rsid w:val="78E33867"/>
    <w:rsid w:val="78E52BDC"/>
    <w:rsid w:val="78F93EFF"/>
    <w:rsid w:val="790776EC"/>
    <w:rsid w:val="7969025D"/>
    <w:rsid w:val="798701EE"/>
    <w:rsid w:val="798720C7"/>
    <w:rsid w:val="798B75C8"/>
    <w:rsid w:val="798D230A"/>
    <w:rsid w:val="79945547"/>
    <w:rsid w:val="79A3081B"/>
    <w:rsid w:val="79A8143C"/>
    <w:rsid w:val="7A071D78"/>
    <w:rsid w:val="7A2D742D"/>
    <w:rsid w:val="7A5600FC"/>
    <w:rsid w:val="7A6447EC"/>
    <w:rsid w:val="7A716D06"/>
    <w:rsid w:val="7AC662B5"/>
    <w:rsid w:val="7B240194"/>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next w:val="11"/>
    <w:autoRedefine/>
    <w:qFormat/>
    <w:uiPriority w:val="0"/>
    <w:pPr>
      <w:spacing w:after="120"/>
    </w:pPr>
  </w:style>
  <w:style w:type="paragraph" w:styleId="11">
    <w:name w:val="Body Text 2"/>
    <w:basedOn w:val="1"/>
    <w:next w:val="10"/>
    <w:autoRedefine/>
    <w:qFormat/>
    <w:uiPriority w:val="0"/>
    <w:pPr>
      <w:spacing w:line="500" w:lineRule="exact"/>
    </w:pPr>
  </w:style>
  <w:style w:type="paragraph" w:styleId="12">
    <w:name w:val="Body Text Indent"/>
    <w:basedOn w:val="1"/>
    <w:link w:val="43"/>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4"/>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Normal Indent1"/>
    <w:basedOn w:val="1"/>
    <w:autoRedefine/>
    <w:qFormat/>
    <w:uiPriority w:val="0"/>
    <w:pPr>
      <w:widowControl/>
      <w:ind w:firstLine="420"/>
      <w:jc w:val="left"/>
    </w:pPr>
    <w:rPr>
      <w:rFonts w:ascii="Times New Roman"/>
      <w:kern w:val="0"/>
    </w:rPr>
  </w:style>
  <w:style w:type="paragraph" w:customStyle="1" w:styleId="39">
    <w:name w:val="样式 宋体 行距: 1.5 倍行距"/>
    <w:basedOn w:val="40"/>
    <w:next w:val="1"/>
    <w:autoRedefine/>
    <w:qFormat/>
    <w:uiPriority w:val="0"/>
    <w:pPr>
      <w:jc w:val="center"/>
    </w:pPr>
    <w:rPr>
      <w:rFonts w:ascii="Times New Roman"/>
      <w:b/>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9"/>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Char Char2"/>
    <w:basedOn w:val="8"/>
    <w:autoRedefine/>
    <w:qFormat/>
    <w:uiPriority w:val="0"/>
    <w:pPr>
      <w:spacing w:line="240" w:lineRule="auto"/>
    </w:pPr>
  </w:style>
  <w:style w:type="character" w:customStyle="1" w:styleId="43">
    <w:name w:val="正文文本缩进 字符"/>
    <w:link w:val="12"/>
    <w:autoRedefine/>
    <w:qFormat/>
    <w:uiPriority w:val="0"/>
    <w:rPr>
      <w:rFonts w:ascii="宋体"/>
      <w:kern w:val="2"/>
      <w:sz w:val="24"/>
    </w:rPr>
  </w:style>
  <w:style w:type="character" w:customStyle="1" w:styleId="44">
    <w:name w:val="正文文本缩进 3 字符"/>
    <w:link w:val="24"/>
    <w:autoRedefine/>
    <w:qFormat/>
    <w:uiPriority w:val="0"/>
    <w:rPr>
      <w:rFonts w:ascii="宋体" w:eastAsia="宋体"/>
      <w:color w:val="FF0000"/>
      <w:kern w:val="2"/>
      <w:sz w:val="24"/>
      <w:lang w:val="en-US" w:eastAsia="zh-CN" w:bidi="ar-SA"/>
    </w:rPr>
  </w:style>
  <w:style w:type="character" w:customStyle="1" w:styleId="45">
    <w:name w:val="超链接 New New"/>
    <w:autoRedefine/>
    <w:qFormat/>
    <w:uiPriority w:val="0"/>
    <w:rPr>
      <w:color w:val="000000"/>
      <w:sz w:val="18"/>
      <w:szCs w:val="18"/>
      <w:u w:val="none"/>
    </w:rPr>
  </w:style>
  <w:style w:type="character" w:customStyle="1" w:styleId="46">
    <w:name w:val="超链接 New"/>
    <w:autoRedefine/>
    <w:qFormat/>
    <w:uiPriority w:val="0"/>
    <w:rPr>
      <w:color w:val="000000"/>
      <w:sz w:val="18"/>
      <w:szCs w:val="18"/>
      <w:u w:val="none"/>
    </w:rPr>
  </w:style>
  <w:style w:type="character" w:customStyle="1" w:styleId="47">
    <w:name w:val="默认段落字体1"/>
    <w:autoRedefine/>
    <w:qFormat/>
    <w:uiPriority w:val="0"/>
    <w:rPr>
      <w:rFonts w:hint="default"/>
    </w:rPr>
  </w:style>
  <w:style w:type="character" w:customStyle="1" w:styleId="48">
    <w:name w:val="默认段落字体 New New"/>
    <w:link w:val="49"/>
    <w:autoRedefine/>
    <w:qFormat/>
    <w:uiPriority w:val="0"/>
    <w:rPr>
      <w:rFonts w:ascii="Tahoma" w:hAnsi="Tahoma"/>
      <w:szCs w:val="24"/>
    </w:rPr>
  </w:style>
  <w:style w:type="paragraph" w:customStyle="1" w:styleId="49">
    <w:name w:val="Char New New"/>
    <w:basedOn w:val="1"/>
    <w:link w:val="48"/>
    <w:autoRedefine/>
    <w:qFormat/>
    <w:uiPriority w:val="0"/>
    <w:pPr>
      <w:spacing w:line="240" w:lineRule="auto"/>
    </w:pPr>
    <w:rPr>
      <w:rFonts w:ascii="Tahoma" w:hAnsi="Tahoma"/>
      <w:szCs w:val="24"/>
    </w:rPr>
  </w:style>
  <w:style w:type="character" w:customStyle="1" w:styleId="50">
    <w:name w:val="默认段落字体 New"/>
    <w:link w:val="51"/>
    <w:autoRedefine/>
    <w:qFormat/>
    <w:uiPriority w:val="0"/>
    <w:rPr>
      <w:rFonts w:ascii="Tahoma" w:hAnsi="Tahoma"/>
      <w:szCs w:val="24"/>
    </w:rPr>
  </w:style>
  <w:style w:type="paragraph" w:customStyle="1" w:styleId="51">
    <w:name w:val="Char New"/>
    <w:basedOn w:val="1"/>
    <w:link w:val="50"/>
    <w:autoRedefine/>
    <w:qFormat/>
    <w:uiPriority w:val="0"/>
    <w:pPr>
      <w:spacing w:line="240" w:lineRule="auto"/>
    </w:pPr>
    <w:rPr>
      <w:rFonts w:ascii="Tahoma" w:hAnsi="Tahoma"/>
      <w:szCs w:val="24"/>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New"/>
    <w:autoRedefine/>
    <w:qFormat/>
    <w:uiPriority w:val="0"/>
    <w:rPr>
      <w:rFonts w:eastAsia="宋体"/>
      <w:kern w:val="2"/>
      <w:sz w:val="24"/>
      <w:szCs w:val="24"/>
      <w:lang w:val="en-US" w:eastAsia="zh-CN" w:bidi="ar-SA"/>
    </w:rPr>
  </w:style>
  <w:style w:type="character" w:customStyle="1" w:styleId="54">
    <w:name w:val="Char Char1"/>
    <w:autoRedefine/>
    <w:qFormat/>
    <w:uiPriority w:val="0"/>
    <w:rPr>
      <w:rFonts w:ascii="宋体" w:eastAsia="宋体"/>
      <w:color w:val="FF0000"/>
      <w:kern w:val="2"/>
      <w:sz w:val="24"/>
      <w:lang w:val="en-US" w:eastAsia="zh-CN" w:bidi="ar-SA"/>
    </w:rPr>
  </w:style>
  <w:style w:type="character" w:customStyle="1" w:styleId="55">
    <w:name w:val="页码 New"/>
    <w:autoRedefine/>
    <w:qFormat/>
    <w:uiPriority w:val="0"/>
    <w:rPr>
      <w:rFonts w:eastAsia="宋体"/>
      <w:kern w:val="2"/>
      <w:sz w:val="24"/>
      <w:szCs w:val="24"/>
      <w:lang w:val="en-US" w:eastAsia="zh-CN" w:bidi="ar-SA"/>
    </w:rPr>
  </w:style>
  <w:style w:type="paragraph" w:customStyle="1" w:styleId="56">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页脚 New New New New New New New New New New New New New"/>
    <w:basedOn w:val="59"/>
    <w:autoRedefine/>
    <w:qFormat/>
    <w:uiPriority w:val="0"/>
    <w:pPr>
      <w:widowControl/>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页脚 New New New New New"/>
    <w:basedOn w:val="64"/>
    <w:autoRedefine/>
    <w:qFormat/>
    <w:uiPriority w:val="0"/>
    <w:pPr>
      <w:tabs>
        <w:tab w:val="center" w:pos="4153"/>
        <w:tab w:val="right" w:pos="8306"/>
      </w:tabs>
      <w:snapToGrid w:val="0"/>
      <w:jc w:val="left"/>
    </w:pPr>
    <w:rPr>
      <w:sz w:val="18"/>
    </w:rPr>
  </w:style>
  <w:style w:type="paragraph" w:customStyle="1" w:styleId="64">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纯文本 New New"/>
    <w:basedOn w:val="66"/>
    <w:autoRedefine/>
    <w:qFormat/>
    <w:uiPriority w:val="0"/>
    <w:rPr>
      <w:rFonts w:ascii="宋体" w:hAnsi="Courier New"/>
      <w:szCs w:val="24"/>
    </w:rPr>
  </w:style>
  <w:style w:type="paragraph" w:customStyle="1" w:styleId="66">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8">
    <w:name w:val="页脚1"/>
    <w:basedOn w:val="67"/>
    <w:autoRedefine/>
    <w:qFormat/>
    <w:uiPriority w:val="0"/>
    <w:pPr>
      <w:widowControl/>
      <w:tabs>
        <w:tab w:val="center" w:pos="4153"/>
        <w:tab w:val="right" w:pos="8306"/>
      </w:tabs>
      <w:snapToGrid w:val="0"/>
      <w:jc w:val="left"/>
    </w:pPr>
    <w:rPr>
      <w:kern w:val="0"/>
      <w:sz w:val="18"/>
    </w:rPr>
  </w:style>
  <w:style w:type="paragraph" w:customStyle="1" w:styleId="69">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0">
    <w:name w:val="标题 3 New New"/>
    <w:basedOn w:val="71"/>
    <w:next w:val="71"/>
    <w:autoRedefine/>
    <w:qFormat/>
    <w:uiPriority w:val="0"/>
    <w:pPr>
      <w:keepNext/>
      <w:keepLines/>
      <w:spacing w:before="120" w:after="120"/>
      <w:jc w:val="center"/>
      <w:outlineLvl w:val="2"/>
    </w:pPr>
    <w:rPr>
      <w:sz w:val="24"/>
    </w:rPr>
  </w:style>
  <w:style w:type="paragraph" w:customStyle="1" w:styleId="71">
    <w:name w:val="正文缩进 New"/>
    <w:basedOn w:val="72"/>
    <w:autoRedefine/>
    <w:qFormat/>
    <w:uiPriority w:val="0"/>
    <w:pPr>
      <w:widowControl/>
      <w:ind w:firstLine="420"/>
      <w:jc w:val="left"/>
    </w:pPr>
    <w:rPr>
      <w:kern w:val="0"/>
      <w:sz w:val="20"/>
    </w:rPr>
  </w:style>
  <w:style w:type="paragraph" w:customStyle="1" w:styleId="7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普通(网站) New"/>
    <w:basedOn w:val="74"/>
    <w:autoRedefine/>
    <w:qFormat/>
    <w:uiPriority w:val="0"/>
    <w:rPr>
      <w:sz w:val="24"/>
    </w:rPr>
  </w:style>
  <w:style w:type="paragraph" w:customStyle="1" w:styleId="74">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文本缩进 New"/>
    <w:basedOn w:val="72"/>
    <w:autoRedefine/>
    <w:qFormat/>
    <w:uiPriority w:val="0"/>
    <w:pPr>
      <w:ind w:firstLine="560" w:firstLineChars="200"/>
    </w:pPr>
  </w:style>
  <w:style w:type="paragraph" w:customStyle="1" w:styleId="76">
    <w:name w:val="Char"/>
    <w:basedOn w:val="8"/>
    <w:autoRedefine/>
    <w:qFormat/>
    <w:uiPriority w:val="0"/>
    <w:pPr>
      <w:spacing w:line="240" w:lineRule="auto"/>
    </w:pPr>
  </w:style>
  <w:style w:type="paragraph" w:customStyle="1" w:styleId="7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页脚 New New New New"/>
    <w:basedOn w:val="79"/>
    <w:autoRedefine/>
    <w:qFormat/>
    <w:uiPriority w:val="0"/>
    <w:pPr>
      <w:tabs>
        <w:tab w:val="center" w:pos="4153"/>
        <w:tab w:val="right" w:pos="8306"/>
      </w:tabs>
      <w:snapToGrid w:val="0"/>
      <w:jc w:val="left"/>
    </w:pPr>
    <w:rPr>
      <w:sz w:val="18"/>
      <w:szCs w:val="18"/>
    </w:rPr>
  </w:style>
  <w:style w:type="paragraph" w:customStyle="1" w:styleId="79">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页眉 New New New New New New New New New"/>
    <w:basedOn w:val="5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眉 New New New New New New New New"/>
    <w:basedOn w:val="85"/>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9">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样式2"/>
    <w:basedOn w:val="21"/>
    <w:autoRedefine/>
    <w:qFormat/>
    <w:uiPriority w:val="0"/>
    <w:pPr>
      <w:tabs>
        <w:tab w:val="right" w:leader="dot" w:pos="9345"/>
      </w:tabs>
    </w:pPr>
    <w:rPr>
      <w:rFonts w:hAnsi="宋体"/>
      <w:b/>
      <w:color w:val="0000FF"/>
      <w:u w:val="single"/>
    </w:rPr>
  </w:style>
  <w:style w:type="paragraph" w:customStyle="1" w:styleId="91">
    <w:name w:val="页脚 New New New New New New New New"/>
    <w:basedOn w:val="92"/>
    <w:autoRedefine/>
    <w:qFormat/>
    <w:uiPriority w:val="0"/>
    <w:pPr>
      <w:tabs>
        <w:tab w:val="center" w:pos="4153"/>
        <w:tab w:val="right" w:pos="8306"/>
      </w:tabs>
      <w:snapToGrid w:val="0"/>
      <w:jc w:val="left"/>
    </w:pPr>
    <w:rPr>
      <w:sz w:val="18"/>
      <w:szCs w:val="18"/>
    </w:rPr>
  </w:style>
  <w:style w:type="paragraph" w:customStyle="1" w:styleId="92">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页脚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95">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6">
    <w:name w:val="页脚 New New New New New New"/>
    <w:basedOn w:val="74"/>
    <w:autoRedefine/>
    <w:qFormat/>
    <w:uiPriority w:val="0"/>
    <w:pPr>
      <w:tabs>
        <w:tab w:val="center" w:pos="4153"/>
        <w:tab w:val="right" w:pos="8306"/>
      </w:tabs>
      <w:snapToGrid w:val="0"/>
      <w:jc w:val="left"/>
    </w:pPr>
    <w:rPr>
      <w:sz w:val="18"/>
    </w:rPr>
  </w:style>
  <w:style w:type="paragraph" w:customStyle="1" w:styleId="97">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眉 New New New New New"/>
    <w:basedOn w:val="7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1">
    <w:name w:val="页脚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102">
    <w:name w:val="页眉 New New New New New New"/>
    <w:basedOn w:val="8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3">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页眉 New New"/>
    <w:basedOn w:val="6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眉 New"/>
    <w:basedOn w:val="10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脚 New"/>
    <w:basedOn w:val="106"/>
    <w:autoRedefine/>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脚 New New New"/>
    <w:basedOn w:val="66"/>
    <w:autoRedefine/>
    <w:qFormat/>
    <w:uiPriority w:val="0"/>
    <w:pPr>
      <w:tabs>
        <w:tab w:val="center" w:pos="4153"/>
        <w:tab w:val="right" w:pos="8306"/>
      </w:tabs>
      <w:snapToGrid w:val="0"/>
      <w:jc w:val="left"/>
    </w:pPr>
    <w:rPr>
      <w:sz w:val="18"/>
      <w:szCs w:val="18"/>
    </w:rPr>
  </w:style>
  <w:style w:type="paragraph" w:customStyle="1" w:styleId="113">
    <w:name w:val="页眉 New New New New"/>
    <w:basedOn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4">
    <w:name w:val="纯文本 New"/>
    <w:basedOn w:val="61"/>
    <w:autoRedefine/>
    <w:qFormat/>
    <w:uiPriority w:val="0"/>
    <w:rPr>
      <w:rFonts w:ascii="宋体" w:hAnsi="Courier New"/>
      <w:szCs w:val="24"/>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页脚 New New New New New New New New New New New New"/>
    <w:basedOn w:val="121"/>
    <w:autoRedefine/>
    <w:qFormat/>
    <w:uiPriority w:val="0"/>
    <w:pPr>
      <w:tabs>
        <w:tab w:val="center" w:pos="4153"/>
        <w:tab w:val="right" w:pos="8306"/>
      </w:tabs>
      <w:snapToGrid w:val="0"/>
      <w:jc w:val="left"/>
    </w:pPr>
    <w:rPr>
      <w:sz w:val="18"/>
      <w:szCs w:val="18"/>
    </w:rPr>
  </w:style>
  <w:style w:type="paragraph" w:customStyle="1" w:styleId="121">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目录 31"/>
    <w:basedOn w:val="67"/>
    <w:next w:val="67"/>
    <w:autoRedefine/>
    <w:qFormat/>
    <w:uiPriority w:val="0"/>
    <w:pPr>
      <w:ind w:left="561"/>
      <w:jc w:val="left"/>
    </w:pPr>
  </w:style>
  <w:style w:type="paragraph" w:customStyle="1" w:styleId="123">
    <w:name w:val="p0"/>
    <w:basedOn w:val="60"/>
    <w:autoRedefine/>
    <w:qFormat/>
    <w:uiPriority w:val="0"/>
    <w:pPr>
      <w:widowControl/>
      <w:spacing w:line="360" w:lineRule="auto"/>
    </w:pPr>
    <w:rPr>
      <w:rFonts w:ascii="宋体" w:hAnsi="宋体" w:cs="宋体"/>
      <w:kern w:val="0"/>
      <w:sz w:val="24"/>
      <w:szCs w:val="24"/>
    </w:rPr>
  </w:style>
  <w:style w:type="paragraph" w:customStyle="1" w:styleId="124">
    <w:name w:val="页眉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7">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标题 2 New"/>
    <w:basedOn w:val="8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1">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3">
    <w:name w:val="正文文本缩进 New New New New"/>
    <w:basedOn w:val="126"/>
    <w:autoRedefine/>
    <w:qFormat/>
    <w:uiPriority w:val="0"/>
    <w:pPr>
      <w:ind w:firstLine="560" w:firstLineChars="200"/>
    </w:pPr>
    <w:rPr>
      <w:szCs w:val="28"/>
    </w:rPr>
  </w:style>
  <w:style w:type="paragraph" w:customStyle="1" w:styleId="134">
    <w:name w:val="页脚 New New New New New New New"/>
    <w:basedOn w:val="81"/>
    <w:autoRedefine/>
    <w:qFormat/>
    <w:uiPriority w:val="0"/>
    <w:pPr>
      <w:widowControl/>
      <w:tabs>
        <w:tab w:val="center" w:pos="4153"/>
        <w:tab w:val="right" w:pos="8306"/>
      </w:tabs>
      <w:snapToGrid w:val="0"/>
      <w:jc w:val="left"/>
    </w:pPr>
    <w:rPr>
      <w:kern w:val="0"/>
      <w:sz w:val="18"/>
      <w:szCs w:val="20"/>
    </w:rPr>
  </w:style>
  <w:style w:type="paragraph" w:customStyle="1" w:styleId="13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页脚 New New New New New New New New New"/>
    <w:basedOn w:val="80"/>
    <w:autoRedefine/>
    <w:qFormat/>
    <w:uiPriority w:val="0"/>
    <w:pPr>
      <w:tabs>
        <w:tab w:val="center" w:pos="4153"/>
        <w:tab w:val="right" w:pos="8306"/>
      </w:tabs>
      <w:snapToGrid w:val="0"/>
      <w:jc w:val="left"/>
    </w:pPr>
    <w:rPr>
      <w:sz w:val="18"/>
      <w:szCs w:val="18"/>
    </w:rPr>
  </w:style>
  <w:style w:type="paragraph" w:customStyle="1" w:styleId="137">
    <w:name w:val="页脚 New New"/>
    <w:basedOn w:val="61"/>
    <w:autoRedefine/>
    <w:qFormat/>
    <w:uiPriority w:val="0"/>
    <w:pPr>
      <w:tabs>
        <w:tab w:val="center" w:pos="4153"/>
        <w:tab w:val="right" w:pos="8306"/>
      </w:tabs>
      <w:snapToGrid w:val="0"/>
      <w:jc w:val="left"/>
    </w:pPr>
    <w:rPr>
      <w:sz w:val="18"/>
      <w:szCs w:val="18"/>
    </w:rPr>
  </w:style>
  <w:style w:type="paragraph" w:customStyle="1" w:styleId="13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样式1"/>
    <w:basedOn w:val="5"/>
    <w:autoRedefine/>
    <w:qFormat/>
    <w:uiPriority w:val="0"/>
    <w:pPr>
      <w:tabs>
        <w:tab w:val="right" w:leader="dot" w:pos="9345"/>
      </w:tabs>
    </w:pPr>
    <w:rPr>
      <w:rFonts w:ascii="宋体" w:hAnsi="宋体"/>
      <w:b/>
      <w:caps/>
      <w:u w:val="single"/>
    </w:rPr>
  </w:style>
  <w:style w:type="paragraph" w:customStyle="1" w:styleId="142">
    <w:name w:val="页眉 New New New"/>
    <w:basedOn w:val="6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5">
    <w:name w:val="正文正"/>
    <w:basedOn w:val="1"/>
    <w:autoRedefine/>
    <w:qFormat/>
    <w:uiPriority w:val="0"/>
    <w:pPr>
      <w:spacing w:line="560" w:lineRule="exact"/>
      <w:ind w:firstLine="561"/>
    </w:pPr>
    <w:rPr>
      <w:rFonts w:ascii="Calibri" w:hAnsi="Calibri"/>
      <w:sz w:val="28"/>
      <w:szCs w:val="28"/>
    </w:rPr>
  </w:style>
  <w:style w:type="paragraph" w:customStyle="1" w:styleId="14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7">
    <w:name w:val="标题 2 New New"/>
    <w:basedOn w:val="116"/>
    <w:next w:val="116"/>
    <w:autoRedefine/>
    <w:qFormat/>
    <w:uiPriority w:val="0"/>
    <w:pPr>
      <w:autoSpaceDE w:val="0"/>
      <w:autoSpaceDN w:val="0"/>
      <w:adjustRightInd w:val="0"/>
      <w:jc w:val="left"/>
      <w:outlineLvl w:val="1"/>
    </w:pPr>
    <w:rPr>
      <w:kern w:val="0"/>
      <w:sz w:val="24"/>
    </w:rPr>
  </w:style>
  <w:style w:type="paragraph" w:customStyle="1" w:styleId="148">
    <w:name w:val="标题 1 New"/>
    <w:basedOn w:val="116"/>
    <w:next w:val="116"/>
    <w:autoRedefine/>
    <w:qFormat/>
    <w:uiPriority w:val="0"/>
    <w:pPr>
      <w:autoSpaceDE w:val="0"/>
      <w:autoSpaceDN w:val="0"/>
      <w:adjustRightInd w:val="0"/>
      <w:jc w:val="left"/>
      <w:outlineLvl w:val="0"/>
    </w:pPr>
    <w:rPr>
      <w:kern w:val="0"/>
      <w:sz w:val="30"/>
    </w:rPr>
  </w:style>
  <w:style w:type="paragraph" w:customStyle="1" w:styleId="149">
    <w:name w:val="WPSOffice手动目录 1"/>
    <w:autoRedefine/>
    <w:qFormat/>
    <w:uiPriority w:val="0"/>
    <w:rPr>
      <w:rFonts w:ascii="Times New Roman" w:hAnsi="Times New Roman" w:eastAsia="宋体" w:cs="Times New Roman"/>
      <w:lang w:val="en-US" w:eastAsia="zh-CN" w:bidi="ar-SA"/>
    </w:rPr>
  </w:style>
  <w:style w:type="paragraph" w:customStyle="1" w:styleId="15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2">
    <w:name w:val="正文缩进1"/>
    <w:basedOn w:val="1"/>
    <w:autoRedefine/>
    <w:qFormat/>
    <w:uiPriority w:val="0"/>
    <w:pPr>
      <w:widowControl/>
      <w:ind w:firstLine="420"/>
      <w:jc w:val="left"/>
    </w:pPr>
    <w:rPr>
      <w:kern w:val="0"/>
    </w:rPr>
  </w:style>
  <w:style w:type="character" w:styleId="153">
    <w:name w:val="Placeholder Text"/>
    <w:basedOn w:val="32"/>
    <w:semiHidden/>
    <w:qFormat/>
    <w:uiPriority w:val="99"/>
    <w:rPr>
      <w:color w:val="808080"/>
    </w:rPr>
  </w:style>
  <w:style w:type="paragraph" w:customStyle="1" w:styleId="154">
    <w:name w:val="正文文本1"/>
    <w:basedOn w:val="1"/>
    <w:qFormat/>
    <w:uiPriority w:val="0"/>
    <w:pPr>
      <w:spacing w:after="120"/>
    </w:pPr>
  </w:style>
  <w:style w:type="paragraph" w:customStyle="1" w:styleId="155">
    <w:name w:val="目录 3 New"/>
    <w:basedOn w:val="116"/>
    <w:next w:val="116"/>
    <w:qFormat/>
    <w:uiPriority w:val="0"/>
    <w:pPr>
      <w:ind w:left="561"/>
      <w:jc w:val="left"/>
    </w:pPr>
    <w:rPr>
      <w:sz w:val="24"/>
    </w:rPr>
  </w:style>
  <w:style w:type="paragraph" w:customStyle="1" w:styleId="156">
    <w:name w:val="Table Text"/>
    <w:basedOn w:val="1"/>
    <w:semiHidden/>
    <w:qFormat/>
    <w:uiPriority w:val="0"/>
    <w:rPr>
      <w:rFonts w:ascii="宋体" w:hAnsi="宋体" w:eastAsia="宋体" w:cs="宋体"/>
      <w:sz w:val="15"/>
      <w:szCs w:val="15"/>
      <w:lang w:val="en-US" w:eastAsia="en-US" w:bidi="ar-SA"/>
    </w:rPr>
  </w:style>
  <w:style w:type="paragraph" w:customStyle="1" w:styleId="157">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58">
    <w:name w:val="NormalCharacter"/>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63</Pages>
  <Words>19585</Words>
  <Characters>21283</Characters>
  <Lines>292</Lines>
  <Paragraphs>82</Paragraphs>
  <TotalTime>1</TotalTime>
  <ScaleCrop>false</ScaleCrop>
  <LinksUpToDate>false</LinksUpToDate>
  <CharactersWithSpaces>21598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火火火莲</cp:lastModifiedBy>
  <cp:lastPrinted>2026-04-01T02:04:00Z</cp:lastPrinted>
  <dcterms:modified xsi:type="dcterms:W3CDTF">2026-04-02T07:57:20Z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eyJoZGlkIjoiMmIyMTU2YjM5YmVlYTRlYTk0MGQyODg2YjZmMGQ2NDYiLCJ1c2VySWQiOiI0MjMyOTk5NzEifQ==</vt:lpwstr>
  </property>
</Properties>
</file>