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A701F36">
      <w:pPr>
        <w:pStyle w:val="140"/>
        <w:wordWrap w:val="0"/>
        <w:adjustRightInd w:val="0"/>
        <w:snapToGrid w:val="0"/>
        <w:spacing w:line="360" w:lineRule="auto"/>
        <w:jc w:val="center"/>
        <w:rPr>
          <w:rFonts w:hint="eastAsia" w:ascii="宋体" w:hAnsi="宋体" w:eastAsia="宋体" w:cs="宋体"/>
          <w:b/>
          <w:bCs w:val="0"/>
          <w:snapToGrid w:val="0"/>
          <w:color w:val="auto"/>
          <w:kern w:val="0"/>
          <w:sz w:val="48"/>
          <w:szCs w:val="48"/>
          <w:highlight w:val="none"/>
          <w:lang w:val="en-US" w:eastAsia="zh-CN"/>
        </w:rPr>
      </w:pPr>
    </w:p>
    <w:p w14:paraId="071A9C1E">
      <w:pPr>
        <w:pStyle w:val="140"/>
        <w:wordWrap w:val="0"/>
        <w:adjustRightInd w:val="0"/>
        <w:snapToGrid w:val="0"/>
        <w:spacing w:line="360" w:lineRule="auto"/>
        <w:jc w:val="center"/>
        <w:rPr>
          <w:rFonts w:hint="default" w:ascii="宋体" w:hAnsi="宋体" w:eastAsia="宋体" w:cs="宋体"/>
          <w:b/>
          <w:bCs w:val="0"/>
          <w:snapToGrid w:val="0"/>
          <w:color w:val="auto"/>
          <w:kern w:val="0"/>
          <w:sz w:val="48"/>
          <w:szCs w:val="48"/>
          <w:highlight w:val="none"/>
          <w:lang w:val="en-US"/>
        </w:rPr>
      </w:pPr>
      <w:r>
        <w:rPr>
          <w:rFonts w:hint="eastAsia" w:ascii="宋体" w:hAnsi="宋体" w:eastAsia="宋体" w:cs="宋体"/>
          <w:b/>
          <w:bCs w:val="0"/>
          <w:snapToGrid w:val="0"/>
          <w:color w:val="auto"/>
          <w:kern w:val="0"/>
          <w:sz w:val="48"/>
          <w:szCs w:val="48"/>
          <w:highlight w:val="none"/>
          <w:lang w:val="en-US" w:eastAsia="zh-CN"/>
        </w:rPr>
        <w:t>南雄市“银杏染秋”乡村振兴示范带建设项目-澜河镇典型村建设项目监理</w:t>
      </w:r>
    </w:p>
    <w:p w14:paraId="62123A87">
      <w:pPr>
        <w:pStyle w:val="140"/>
        <w:wordWrap w:val="0"/>
        <w:adjustRightInd w:val="0"/>
        <w:snapToGrid w:val="0"/>
        <w:spacing w:line="360" w:lineRule="auto"/>
        <w:jc w:val="center"/>
        <w:rPr>
          <w:rFonts w:hint="eastAsia" w:ascii="宋体" w:hAnsi="宋体" w:eastAsia="宋体" w:cs="宋体"/>
          <w:b/>
          <w:bCs/>
          <w:snapToGrid w:val="0"/>
          <w:color w:val="auto"/>
          <w:kern w:val="0"/>
          <w:sz w:val="72"/>
          <w:szCs w:val="72"/>
          <w:highlight w:val="none"/>
        </w:rPr>
      </w:pPr>
    </w:p>
    <w:p w14:paraId="1BF0EF58">
      <w:pPr>
        <w:pStyle w:val="140"/>
        <w:wordWrap w:val="0"/>
        <w:adjustRightInd w:val="0"/>
        <w:snapToGrid w:val="0"/>
        <w:spacing w:line="360" w:lineRule="auto"/>
        <w:jc w:val="center"/>
        <w:rPr>
          <w:rFonts w:hint="eastAsia" w:ascii="黑体" w:hAnsi="黑体" w:eastAsia="黑体" w:cs="黑体"/>
          <w:b/>
          <w:bCs/>
          <w:snapToGrid w:val="0"/>
          <w:color w:val="auto"/>
          <w:kern w:val="0"/>
          <w:sz w:val="72"/>
          <w:szCs w:val="72"/>
          <w:highlight w:val="none"/>
        </w:rPr>
      </w:pPr>
      <w:r>
        <w:rPr>
          <w:rFonts w:hint="eastAsia" w:ascii="黑体" w:hAnsi="黑体" w:eastAsia="黑体" w:cs="黑体"/>
          <w:b/>
          <w:bCs/>
          <w:snapToGrid w:val="0"/>
          <w:color w:val="auto"/>
          <w:kern w:val="0"/>
          <w:sz w:val="72"/>
          <w:szCs w:val="72"/>
          <w:highlight w:val="none"/>
        </w:rPr>
        <w:t>招标文件</w:t>
      </w:r>
    </w:p>
    <w:p w14:paraId="5D16E7B6">
      <w:pPr>
        <w:pStyle w:val="140"/>
        <w:wordWrap w:val="0"/>
        <w:adjustRightInd w:val="0"/>
        <w:snapToGrid w:val="0"/>
        <w:spacing w:line="360" w:lineRule="auto"/>
        <w:jc w:val="center"/>
        <w:rPr>
          <w:rFonts w:hint="eastAsia" w:ascii="黑体" w:hAnsi="黑体" w:eastAsia="黑体" w:cs="黑体"/>
          <w:b/>
          <w:bCs/>
          <w:snapToGrid w:val="0"/>
          <w:color w:val="auto"/>
          <w:kern w:val="0"/>
          <w:sz w:val="72"/>
          <w:szCs w:val="72"/>
          <w:highlight w:val="none"/>
        </w:rPr>
      </w:pPr>
    </w:p>
    <w:p w14:paraId="502F787B">
      <w:pPr>
        <w:pStyle w:val="9"/>
        <w:rPr>
          <w:rFonts w:hint="eastAsia" w:ascii="宋体" w:hAnsi="宋体" w:eastAsia="宋体" w:cs="宋体"/>
          <w:color w:val="auto"/>
          <w:highlight w:val="none"/>
        </w:rPr>
      </w:pPr>
    </w:p>
    <w:tbl>
      <w:tblPr>
        <w:tblStyle w:val="32"/>
        <w:tblW w:w="9560" w:type="dxa"/>
        <w:tblInd w:w="68" w:type="dxa"/>
        <w:tblLayout w:type="fixed"/>
        <w:tblCellMar>
          <w:top w:w="0" w:type="dxa"/>
          <w:left w:w="0" w:type="dxa"/>
          <w:bottom w:w="0" w:type="dxa"/>
          <w:right w:w="0" w:type="dxa"/>
        </w:tblCellMar>
      </w:tblPr>
      <w:tblGrid>
        <w:gridCol w:w="4540"/>
        <w:gridCol w:w="5020"/>
      </w:tblGrid>
      <w:tr w14:paraId="5B7851DB">
        <w:tblPrEx>
          <w:tblCellMar>
            <w:top w:w="0" w:type="dxa"/>
            <w:left w:w="0" w:type="dxa"/>
            <w:bottom w:w="0" w:type="dxa"/>
            <w:right w:w="0" w:type="dxa"/>
          </w:tblCellMar>
        </w:tblPrEx>
        <w:trPr>
          <w:trHeight w:val="1017" w:hRule="atLeast"/>
        </w:trPr>
        <w:tc>
          <w:tcPr>
            <w:tcW w:w="4540" w:type="dxa"/>
            <w:noWrap w:val="0"/>
            <w:vAlign w:val="center"/>
          </w:tcPr>
          <w:p w14:paraId="19B05598">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020" w:type="dxa"/>
            <w:noWrap w:val="0"/>
            <w:vAlign w:val="center"/>
          </w:tcPr>
          <w:p w14:paraId="4CDDB186">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lang w:eastAsia="zh-CN"/>
              </w:rPr>
            </w:pPr>
            <w:r>
              <w:rPr>
                <w:rFonts w:hint="eastAsia" w:hAnsi="宋体" w:cs="宋体"/>
                <w:snapToGrid w:val="0"/>
                <w:color w:val="auto"/>
                <w:kern w:val="0"/>
                <w:sz w:val="28"/>
                <w:highlight w:val="none"/>
                <w:lang w:eastAsia="zh-CN"/>
              </w:rPr>
              <w:t>南雄市澜河镇人民政府</w:t>
            </w:r>
          </w:p>
        </w:tc>
      </w:tr>
      <w:tr w14:paraId="2CBB4BB2">
        <w:tblPrEx>
          <w:tblCellMar>
            <w:top w:w="0" w:type="dxa"/>
            <w:left w:w="0" w:type="dxa"/>
            <w:bottom w:w="0" w:type="dxa"/>
            <w:right w:w="0" w:type="dxa"/>
          </w:tblCellMar>
        </w:tblPrEx>
        <w:trPr>
          <w:trHeight w:val="875" w:hRule="atLeast"/>
        </w:trPr>
        <w:tc>
          <w:tcPr>
            <w:tcW w:w="4540" w:type="dxa"/>
            <w:noWrap w:val="0"/>
            <w:vAlign w:val="center"/>
          </w:tcPr>
          <w:p w14:paraId="6B68C026">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020" w:type="dxa"/>
            <w:noWrap w:val="0"/>
            <w:vAlign w:val="center"/>
          </w:tcPr>
          <w:p w14:paraId="36D73449">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szCs w:val="28"/>
                <w:highlight w:val="none"/>
              </w:rPr>
            </w:pPr>
          </w:p>
        </w:tc>
      </w:tr>
      <w:tr w14:paraId="645BB448">
        <w:tblPrEx>
          <w:tblCellMar>
            <w:top w:w="0" w:type="dxa"/>
            <w:left w:w="0" w:type="dxa"/>
            <w:bottom w:w="0" w:type="dxa"/>
            <w:right w:w="0" w:type="dxa"/>
          </w:tblCellMar>
        </w:tblPrEx>
        <w:trPr>
          <w:trHeight w:val="965" w:hRule="atLeast"/>
        </w:trPr>
        <w:tc>
          <w:tcPr>
            <w:tcW w:w="4540" w:type="dxa"/>
            <w:noWrap w:val="0"/>
            <w:vAlign w:val="center"/>
          </w:tcPr>
          <w:p w14:paraId="4981F6BE">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020" w:type="dxa"/>
            <w:noWrap w:val="0"/>
            <w:vAlign w:val="center"/>
          </w:tcPr>
          <w:p w14:paraId="23A57082">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szCs w:val="28"/>
                <w:highlight w:val="none"/>
              </w:rPr>
            </w:pPr>
            <w:r>
              <w:rPr>
                <w:rFonts w:hint="eastAsia" w:hAnsi="宋体" w:cs="宋体"/>
                <w:snapToGrid w:val="0"/>
                <w:color w:val="auto"/>
                <w:kern w:val="0"/>
                <w:sz w:val="28"/>
                <w:szCs w:val="28"/>
                <w:highlight w:val="none"/>
                <w:lang w:eastAsia="zh-CN"/>
              </w:rPr>
              <w:t>广东省南沣建设管理有限公司</w:t>
            </w:r>
          </w:p>
        </w:tc>
      </w:tr>
      <w:tr w14:paraId="098F8F52">
        <w:tblPrEx>
          <w:tblCellMar>
            <w:top w:w="0" w:type="dxa"/>
            <w:left w:w="0" w:type="dxa"/>
            <w:bottom w:w="0" w:type="dxa"/>
            <w:right w:w="0" w:type="dxa"/>
          </w:tblCellMar>
        </w:tblPrEx>
        <w:trPr>
          <w:trHeight w:val="810" w:hRule="atLeast"/>
        </w:trPr>
        <w:tc>
          <w:tcPr>
            <w:tcW w:w="4540" w:type="dxa"/>
            <w:noWrap w:val="0"/>
            <w:vAlign w:val="center"/>
          </w:tcPr>
          <w:p w14:paraId="0C1C584E">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标</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文</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件</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编</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制</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人（签字）：</w:t>
            </w:r>
          </w:p>
        </w:tc>
        <w:tc>
          <w:tcPr>
            <w:tcW w:w="5020" w:type="dxa"/>
            <w:noWrap w:val="0"/>
            <w:vAlign w:val="center"/>
          </w:tcPr>
          <w:p w14:paraId="76BE7CA7">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szCs w:val="28"/>
                <w:highlight w:val="none"/>
              </w:rPr>
            </w:pPr>
          </w:p>
        </w:tc>
      </w:tr>
      <w:tr w14:paraId="496B1452">
        <w:tblPrEx>
          <w:tblCellMar>
            <w:top w:w="0" w:type="dxa"/>
            <w:left w:w="0" w:type="dxa"/>
            <w:bottom w:w="0" w:type="dxa"/>
            <w:right w:w="0" w:type="dxa"/>
          </w:tblCellMar>
        </w:tblPrEx>
        <w:trPr>
          <w:trHeight w:val="945" w:hRule="atLeast"/>
        </w:trPr>
        <w:tc>
          <w:tcPr>
            <w:tcW w:w="4540" w:type="dxa"/>
            <w:tcBorders>
              <w:bottom w:val="nil"/>
            </w:tcBorders>
            <w:noWrap w:val="0"/>
            <w:vAlign w:val="center"/>
          </w:tcPr>
          <w:p w14:paraId="47ED2180">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020" w:type="dxa"/>
            <w:tcBorders>
              <w:bottom w:val="nil"/>
            </w:tcBorders>
            <w:noWrap w:val="0"/>
            <w:vAlign w:val="center"/>
          </w:tcPr>
          <w:p w14:paraId="6B53BC2D">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szCs w:val="28"/>
                <w:highlight w:val="none"/>
              </w:rPr>
            </w:pPr>
          </w:p>
        </w:tc>
      </w:tr>
      <w:tr w14:paraId="0E8555BD">
        <w:tblPrEx>
          <w:tblCellMar>
            <w:top w:w="0" w:type="dxa"/>
            <w:left w:w="0" w:type="dxa"/>
            <w:bottom w:w="0" w:type="dxa"/>
            <w:right w:w="0" w:type="dxa"/>
          </w:tblCellMar>
        </w:tblPrEx>
        <w:trPr>
          <w:trHeight w:val="892" w:hRule="atLeast"/>
        </w:trPr>
        <w:tc>
          <w:tcPr>
            <w:tcW w:w="4540" w:type="dxa"/>
            <w:tcBorders>
              <w:top w:val="nil"/>
              <w:left w:val="nil"/>
              <w:bottom w:val="nil"/>
              <w:right w:val="nil"/>
            </w:tcBorders>
            <w:noWrap w:val="0"/>
            <w:vAlign w:val="center"/>
          </w:tcPr>
          <w:p w14:paraId="42244913">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标</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文</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件</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编</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制</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日</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期：</w:t>
            </w:r>
          </w:p>
        </w:tc>
        <w:tc>
          <w:tcPr>
            <w:tcW w:w="5020" w:type="dxa"/>
            <w:tcBorders>
              <w:top w:val="nil"/>
              <w:left w:val="nil"/>
              <w:bottom w:val="nil"/>
              <w:right w:val="nil"/>
            </w:tcBorders>
            <w:noWrap w:val="0"/>
            <w:vAlign w:val="center"/>
          </w:tcPr>
          <w:p w14:paraId="11EA8024">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lang w:val="en-US" w:eastAsia="zh-CN"/>
              </w:rPr>
              <w:t>2026</w:t>
            </w:r>
            <w:r>
              <w:rPr>
                <w:rFonts w:hint="eastAsia" w:ascii="宋体" w:hAnsi="宋体" w:eastAsia="宋体" w:cs="宋体"/>
                <w:snapToGrid w:val="0"/>
                <w:color w:val="auto"/>
                <w:kern w:val="0"/>
                <w:sz w:val="28"/>
                <w:highlight w:val="none"/>
              </w:rPr>
              <w:t>年</w:t>
            </w:r>
            <w:r>
              <w:rPr>
                <w:rFonts w:hint="eastAsia" w:hAnsi="宋体" w:cs="宋体"/>
                <w:snapToGrid w:val="0"/>
                <w:color w:val="auto"/>
                <w:kern w:val="0"/>
                <w:sz w:val="28"/>
                <w:highlight w:val="none"/>
                <w:lang w:val="en-US" w:eastAsia="zh-CN"/>
              </w:rPr>
              <w:t>9</w:t>
            </w:r>
            <w:r>
              <w:rPr>
                <w:rFonts w:hint="eastAsia" w:ascii="宋体" w:hAnsi="宋体" w:eastAsia="宋体" w:cs="宋体"/>
                <w:snapToGrid w:val="0"/>
                <w:color w:val="auto"/>
                <w:kern w:val="0"/>
                <w:sz w:val="28"/>
                <w:highlight w:val="none"/>
              </w:rPr>
              <w:t>月</w:t>
            </w:r>
          </w:p>
        </w:tc>
      </w:tr>
    </w:tbl>
    <w:p w14:paraId="007E9629">
      <w:pPr>
        <w:pStyle w:val="140"/>
        <w:wordWrap w:val="0"/>
        <w:adjustRightInd w:val="0"/>
        <w:snapToGrid w:val="0"/>
        <w:spacing w:line="360" w:lineRule="auto"/>
        <w:jc w:val="both"/>
        <w:rPr>
          <w:rFonts w:hint="eastAsia" w:ascii="Times New Roman" w:hAnsi="Times New Roman" w:eastAsia="宋体" w:cs="Times New Roman"/>
          <w:b/>
          <w:snapToGrid w:val="0"/>
          <w:color w:val="auto"/>
          <w:kern w:val="0"/>
          <w:sz w:val="44"/>
          <w:szCs w:val="44"/>
          <w:highlight w:val="none"/>
          <w:lang w:eastAsia="zh-CN"/>
        </w:rPr>
      </w:pPr>
    </w:p>
    <w:p w14:paraId="756B971E">
      <w:pPr>
        <w:tabs>
          <w:tab w:val="left" w:pos="4935"/>
        </w:tabs>
        <w:wordWrap w:val="0"/>
        <w:adjustRightInd w:val="0"/>
        <w:snapToGrid w:val="0"/>
        <w:jc w:val="center"/>
        <w:rPr>
          <w:rFonts w:hint="eastAsia" w:ascii="Times New Roman"/>
          <w:b/>
          <w:snapToGrid w:val="0"/>
          <w:color w:val="auto"/>
          <w:kern w:val="0"/>
          <w:sz w:val="28"/>
          <w:szCs w:val="28"/>
          <w:highlight w:val="none"/>
        </w:rPr>
        <w:sectPr>
          <w:footerReference r:id="rId5" w:type="default"/>
          <w:endnotePr>
            <w:numFmt w:val="decimal"/>
          </w:endnotePr>
          <w:pgSz w:w="11906" w:h="16838"/>
          <w:pgMar w:top="1361" w:right="1247" w:bottom="1361" w:left="1247" w:header="850" w:footer="992" w:gutter="0"/>
          <w:pgBorders>
            <w:top w:val="none" w:sz="0" w:space="0"/>
            <w:left w:val="none" w:sz="0" w:space="0"/>
            <w:bottom w:val="none" w:sz="0" w:space="0"/>
            <w:right w:val="none" w:sz="0" w:space="0"/>
          </w:pgBorders>
          <w:pgNumType w:start="1"/>
          <w:cols w:space="720" w:num="1"/>
          <w:rtlGutter w:val="0"/>
          <w:docGrid w:linePitch="327" w:charSpace="0"/>
        </w:sectPr>
      </w:pPr>
    </w:p>
    <w:p w14:paraId="55500055">
      <w:pPr>
        <w:tabs>
          <w:tab w:val="left" w:pos="4935"/>
        </w:tabs>
        <w:wordWrap w:val="0"/>
        <w:adjustRightInd w:val="0"/>
        <w:snapToGrid w:val="0"/>
        <w:jc w:val="center"/>
        <w:rPr>
          <w:rFonts w:hint="eastAsia" w:ascii="Times New Roman"/>
          <w:b/>
          <w:snapToGrid w:val="0"/>
          <w:color w:val="auto"/>
          <w:kern w:val="0"/>
          <w:sz w:val="28"/>
          <w:szCs w:val="28"/>
          <w:highlight w:val="none"/>
        </w:rPr>
        <w:sectPr>
          <w:endnotePr>
            <w:numFmt w:val="decimal"/>
          </w:endnotePr>
          <w:pgSz w:w="11906" w:h="16838"/>
          <w:pgMar w:top="1361" w:right="1247" w:bottom="1361" w:left="1247" w:header="850" w:footer="992" w:gutter="0"/>
          <w:pgBorders>
            <w:top w:val="none" w:sz="0" w:space="0"/>
            <w:left w:val="none" w:sz="0" w:space="0"/>
            <w:bottom w:val="none" w:sz="0" w:space="0"/>
            <w:right w:val="none" w:sz="0" w:space="0"/>
          </w:pgBorders>
          <w:pgNumType w:start="1"/>
          <w:cols w:space="720" w:num="1"/>
          <w:rtlGutter w:val="0"/>
          <w:docGrid w:linePitch="327" w:charSpace="0"/>
        </w:sectPr>
      </w:pPr>
    </w:p>
    <w:p w14:paraId="75865215">
      <w:pPr>
        <w:spacing w:line="240" w:lineRule="auto"/>
        <w:jc w:val="center"/>
        <w:rPr>
          <w:b/>
          <w:bCs/>
          <w:color w:val="auto"/>
          <w:sz w:val="44"/>
          <w:szCs w:val="32"/>
          <w:highlight w:val="none"/>
        </w:rPr>
      </w:pPr>
      <w:r>
        <w:rPr>
          <w:rFonts w:hAnsi="宋体"/>
          <w:b/>
          <w:bCs/>
          <w:color w:val="auto"/>
          <w:sz w:val="36"/>
          <w:szCs w:val="32"/>
          <w:highlight w:val="none"/>
        </w:rPr>
        <w:t>目</w:t>
      </w:r>
      <w:r>
        <w:rPr>
          <w:rFonts w:hint="eastAsia" w:hAnsi="宋体"/>
          <w:b/>
          <w:bCs/>
          <w:color w:val="auto"/>
          <w:sz w:val="36"/>
          <w:szCs w:val="32"/>
          <w:highlight w:val="none"/>
        </w:rPr>
        <w:t xml:space="preserve">  </w:t>
      </w:r>
      <w:r>
        <w:rPr>
          <w:rFonts w:hAnsi="宋体"/>
          <w:b/>
          <w:bCs/>
          <w:color w:val="auto"/>
          <w:sz w:val="36"/>
          <w:szCs w:val="32"/>
          <w:highlight w:val="none"/>
        </w:rPr>
        <w:t>录</w:t>
      </w:r>
    </w:p>
    <w:p w14:paraId="3CFADD7A">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TOC \o "1-3" \h \u </w:instrText>
      </w:r>
      <w:r>
        <w:rPr>
          <w:rFonts w:hint="eastAsia" w:hAnsi="宋体" w:cs="宋体"/>
          <w:color w:val="auto"/>
          <w:szCs w:val="24"/>
          <w:highlight w:val="none"/>
        </w:rPr>
        <w:fldChar w:fldCharType="separate"/>
      </w: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_Toc10652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第一章 投标人须知</w:t>
      </w:r>
      <w:r>
        <w:rPr>
          <w:b/>
          <w:bCs/>
          <w:color w:val="auto"/>
          <w:highlight w:val="none"/>
        </w:rPr>
        <w:tab/>
      </w:r>
      <w:r>
        <w:rPr>
          <w:b/>
          <w:bCs/>
          <w:color w:val="auto"/>
          <w:highlight w:val="none"/>
        </w:rPr>
        <w:fldChar w:fldCharType="begin"/>
      </w:r>
      <w:r>
        <w:rPr>
          <w:b/>
          <w:bCs/>
          <w:color w:val="auto"/>
          <w:highlight w:val="none"/>
        </w:rPr>
        <w:instrText xml:space="preserve"> PAGEREF _Toc10652 \h </w:instrText>
      </w:r>
      <w:r>
        <w:rPr>
          <w:b/>
          <w:bCs/>
          <w:color w:val="auto"/>
          <w:highlight w:val="none"/>
        </w:rPr>
        <w:fldChar w:fldCharType="separate"/>
      </w:r>
      <w:r>
        <w:rPr>
          <w:b/>
          <w:bCs/>
          <w:color w:val="auto"/>
          <w:highlight w:val="none"/>
        </w:rPr>
        <w:t>3</w:t>
      </w:r>
      <w:r>
        <w:rPr>
          <w:b/>
          <w:bCs/>
          <w:color w:val="auto"/>
          <w:highlight w:val="none"/>
        </w:rPr>
        <w:fldChar w:fldCharType="end"/>
      </w:r>
      <w:r>
        <w:rPr>
          <w:rFonts w:hint="eastAsia" w:hAnsi="宋体" w:cs="宋体"/>
          <w:b/>
          <w:bCs/>
          <w:color w:val="auto"/>
          <w:szCs w:val="24"/>
          <w:highlight w:val="none"/>
        </w:rPr>
        <w:fldChar w:fldCharType="end"/>
      </w:r>
    </w:p>
    <w:p w14:paraId="19259798">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_Toc5307 </w:instrText>
      </w:r>
      <w:r>
        <w:rPr>
          <w:rFonts w:hint="eastAsia" w:hAnsi="宋体" w:cs="宋体"/>
          <w:color w:val="auto"/>
          <w:szCs w:val="24"/>
          <w:highlight w:val="none"/>
        </w:rPr>
        <w:fldChar w:fldCharType="separate"/>
      </w:r>
      <w:r>
        <w:rPr>
          <w:rFonts w:hint="eastAsia" w:ascii="Times New Roman"/>
          <w:snapToGrid w:val="0"/>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_Toc5307 \h </w:instrText>
      </w:r>
      <w:r>
        <w:rPr>
          <w:color w:val="auto"/>
          <w:highlight w:val="none"/>
        </w:rPr>
        <w:fldChar w:fldCharType="separate"/>
      </w:r>
      <w:r>
        <w:rPr>
          <w:color w:val="auto"/>
          <w:highlight w:val="none"/>
        </w:rPr>
        <w:t>3</w:t>
      </w:r>
      <w:r>
        <w:rPr>
          <w:color w:val="auto"/>
          <w:highlight w:val="none"/>
        </w:rPr>
        <w:fldChar w:fldCharType="end"/>
      </w:r>
      <w:r>
        <w:rPr>
          <w:rFonts w:hint="eastAsia" w:hAnsi="宋体" w:cs="宋体"/>
          <w:color w:val="auto"/>
          <w:szCs w:val="24"/>
          <w:highlight w:val="none"/>
        </w:rPr>
        <w:fldChar w:fldCharType="end"/>
      </w:r>
    </w:p>
    <w:p w14:paraId="39587AB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_Toc32223 </w:instrText>
      </w:r>
      <w:r>
        <w:rPr>
          <w:rFonts w:hint="eastAsia" w:hAnsi="宋体" w:cs="宋体"/>
          <w:color w:val="auto"/>
          <w:szCs w:val="24"/>
          <w:highlight w:val="none"/>
        </w:rPr>
        <w:fldChar w:fldCharType="separate"/>
      </w:r>
      <w:r>
        <w:rPr>
          <w:rFonts w:hint="eastAsia" w:ascii="Times New Roman"/>
          <w:snapToGrid w:val="0"/>
          <w:color w:val="auto"/>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_Toc32223 \h </w:instrText>
      </w:r>
      <w:r>
        <w:rPr>
          <w:color w:val="auto"/>
          <w:highlight w:val="none"/>
        </w:rPr>
        <w:fldChar w:fldCharType="separate"/>
      </w:r>
      <w:r>
        <w:rPr>
          <w:color w:val="auto"/>
          <w:highlight w:val="none"/>
        </w:rPr>
        <w:t>10</w:t>
      </w:r>
      <w:r>
        <w:rPr>
          <w:color w:val="auto"/>
          <w:highlight w:val="none"/>
        </w:rPr>
        <w:fldChar w:fldCharType="end"/>
      </w:r>
      <w:r>
        <w:rPr>
          <w:rFonts w:hint="eastAsia" w:hAnsi="宋体" w:cs="宋体"/>
          <w:color w:val="auto"/>
          <w:szCs w:val="24"/>
          <w:highlight w:val="none"/>
        </w:rPr>
        <w:fldChar w:fldCharType="end"/>
      </w:r>
    </w:p>
    <w:p w14:paraId="22C8774C">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_Toc9819 </w:instrText>
      </w:r>
      <w:r>
        <w:rPr>
          <w:rFonts w:hint="eastAsia" w:hAnsi="宋体" w:cs="宋体"/>
          <w:color w:val="auto"/>
          <w:szCs w:val="24"/>
          <w:highlight w:val="none"/>
        </w:rPr>
        <w:fldChar w:fldCharType="separate"/>
      </w:r>
      <w:r>
        <w:rPr>
          <w:rFonts w:hint="eastAsia"/>
          <w:bCs/>
          <w:color w:val="auto"/>
          <w:highlight w:val="none"/>
        </w:rPr>
        <w:t>第三节 投标人须知正文</w:t>
      </w:r>
      <w:r>
        <w:rPr>
          <w:color w:val="auto"/>
          <w:highlight w:val="none"/>
        </w:rPr>
        <w:tab/>
      </w:r>
      <w:r>
        <w:rPr>
          <w:color w:val="auto"/>
          <w:highlight w:val="none"/>
        </w:rPr>
        <w:fldChar w:fldCharType="begin"/>
      </w:r>
      <w:r>
        <w:rPr>
          <w:color w:val="auto"/>
          <w:highlight w:val="none"/>
        </w:rPr>
        <w:instrText xml:space="preserve"> PAGEREF _Toc9819 \h </w:instrText>
      </w:r>
      <w:r>
        <w:rPr>
          <w:color w:val="auto"/>
          <w:highlight w:val="none"/>
        </w:rPr>
        <w:fldChar w:fldCharType="separate"/>
      </w:r>
      <w:r>
        <w:rPr>
          <w:color w:val="auto"/>
          <w:highlight w:val="none"/>
        </w:rPr>
        <w:t>11</w:t>
      </w:r>
      <w:r>
        <w:rPr>
          <w:color w:val="auto"/>
          <w:highlight w:val="none"/>
        </w:rPr>
        <w:fldChar w:fldCharType="end"/>
      </w:r>
      <w:r>
        <w:rPr>
          <w:rFonts w:hint="eastAsia" w:hAnsi="宋体" w:cs="宋体"/>
          <w:color w:val="auto"/>
          <w:szCs w:val="24"/>
          <w:highlight w:val="none"/>
        </w:rPr>
        <w:fldChar w:fldCharType="end"/>
      </w:r>
    </w:p>
    <w:p w14:paraId="47BDF04D">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_Toc5851 </w:instrText>
      </w:r>
      <w:r>
        <w:rPr>
          <w:rFonts w:hint="eastAsia" w:hAnsi="宋体" w:cs="宋体"/>
          <w:color w:val="auto"/>
          <w:szCs w:val="24"/>
          <w:highlight w:val="none"/>
        </w:rPr>
        <w:fldChar w:fldCharType="separate"/>
      </w:r>
      <w:r>
        <w:rPr>
          <w:rFonts w:hint="eastAsia"/>
          <w:bCs/>
          <w:snapToGrid w:val="0"/>
          <w:color w:val="auto"/>
          <w:kern w:val="0"/>
          <w:highlight w:val="none"/>
        </w:rPr>
        <w:t>1．项目概况、招标范围和标段划分、投标费用</w:t>
      </w:r>
      <w:r>
        <w:rPr>
          <w:color w:val="auto"/>
          <w:highlight w:val="none"/>
        </w:rPr>
        <w:tab/>
      </w:r>
      <w:r>
        <w:rPr>
          <w:color w:val="auto"/>
          <w:highlight w:val="none"/>
        </w:rPr>
        <w:fldChar w:fldCharType="begin"/>
      </w:r>
      <w:r>
        <w:rPr>
          <w:color w:val="auto"/>
          <w:highlight w:val="none"/>
        </w:rPr>
        <w:instrText xml:space="preserve"> PAGEREF _Toc5851 \h </w:instrText>
      </w:r>
      <w:r>
        <w:rPr>
          <w:color w:val="auto"/>
          <w:highlight w:val="none"/>
        </w:rPr>
        <w:fldChar w:fldCharType="separate"/>
      </w:r>
      <w:r>
        <w:rPr>
          <w:color w:val="auto"/>
          <w:highlight w:val="none"/>
        </w:rPr>
        <w:t>11</w:t>
      </w:r>
      <w:r>
        <w:rPr>
          <w:color w:val="auto"/>
          <w:highlight w:val="none"/>
        </w:rPr>
        <w:fldChar w:fldCharType="end"/>
      </w:r>
      <w:r>
        <w:rPr>
          <w:rFonts w:hint="eastAsia" w:hAnsi="宋体" w:cs="宋体"/>
          <w:color w:val="auto"/>
          <w:szCs w:val="24"/>
          <w:highlight w:val="none"/>
        </w:rPr>
        <w:fldChar w:fldCharType="end"/>
      </w:r>
    </w:p>
    <w:p w14:paraId="1FF4DBA0">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_Toc1649 </w:instrText>
      </w:r>
      <w:r>
        <w:rPr>
          <w:rFonts w:hint="eastAsia" w:hAnsi="宋体" w:cs="宋体"/>
          <w:color w:val="auto"/>
          <w:szCs w:val="24"/>
          <w:highlight w:val="none"/>
        </w:rPr>
        <w:fldChar w:fldCharType="separate"/>
      </w:r>
      <w:r>
        <w:rPr>
          <w:rFonts w:hint="eastAsia"/>
          <w:bCs/>
          <w:snapToGrid w:val="0"/>
          <w:color w:val="auto"/>
          <w:kern w:val="0"/>
          <w:highlight w:val="none"/>
        </w:rPr>
        <w:t>2．投标人资格要求</w:t>
      </w:r>
      <w:r>
        <w:rPr>
          <w:color w:val="auto"/>
          <w:highlight w:val="none"/>
        </w:rPr>
        <w:tab/>
      </w:r>
      <w:r>
        <w:rPr>
          <w:color w:val="auto"/>
          <w:highlight w:val="none"/>
        </w:rPr>
        <w:fldChar w:fldCharType="begin"/>
      </w:r>
      <w:r>
        <w:rPr>
          <w:color w:val="auto"/>
          <w:highlight w:val="none"/>
        </w:rPr>
        <w:instrText xml:space="preserve"> PAGEREF _Toc1649 \h </w:instrText>
      </w:r>
      <w:r>
        <w:rPr>
          <w:color w:val="auto"/>
          <w:highlight w:val="none"/>
        </w:rPr>
        <w:fldChar w:fldCharType="separate"/>
      </w:r>
      <w:r>
        <w:rPr>
          <w:color w:val="auto"/>
          <w:highlight w:val="none"/>
        </w:rPr>
        <w:t>12</w:t>
      </w:r>
      <w:r>
        <w:rPr>
          <w:color w:val="auto"/>
          <w:highlight w:val="none"/>
        </w:rPr>
        <w:fldChar w:fldCharType="end"/>
      </w:r>
      <w:r>
        <w:rPr>
          <w:rFonts w:hint="eastAsia" w:hAnsi="宋体" w:cs="宋体"/>
          <w:color w:val="auto"/>
          <w:szCs w:val="24"/>
          <w:highlight w:val="none"/>
        </w:rPr>
        <w:fldChar w:fldCharType="end"/>
      </w:r>
    </w:p>
    <w:p w14:paraId="056C7719">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_Toc14234 </w:instrText>
      </w:r>
      <w:r>
        <w:rPr>
          <w:rFonts w:hint="eastAsia" w:hAnsi="宋体" w:cs="宋体"/>
          <w:color w:val="auto"/>
          <w:szCs w:val="24"/>
          <w:highlight w:val="none"/>
        </w:rPr>
        <w:fldChar w:fldCharType="separate"/>
      </w:r>
      <w:r>
        <w:rPr>
          <w:rFonts w:hint="eastAsia" w:ascii="宋体" w:hAnsi="宋体" w:cs="宋体"/>
          <w:bCs/>
          <w:snapToGrid w:val="0"/>
          <w:color w:val="auto"/>
          <w:kern w:val="0"/>
          <w:highlight w:val="none"/>
        </w:rPr>
        <w:t>3．获取招标文件</w:t>
      </w:r>
      <w:r>
        <w:rPr>
          <w:color w:val="auto"/>
          <w:highlight w:val="none"/>
        </w:rPr>
        <w:tab/>
      </w:r>
      <w:r>
        <w:rPr>
          <w:color w:val="auto"/>
          <w:highlight w:val="none"/>
        </w:rPr>
        <w:fldChar w:fldCharType="begin"/>
      </w:r>
      <w:r>
        <w:rPr>
          <w:color w:val="auto"/>
          <w:highlight w:val="none"/>
        </w:rPr>
        <w:instrText xml:space="preserve"> PAGEREF _Toc14234 \h </w:instrText>
      </w:r>
      <w:r>
        <w:rPr>
          <w:color w:val="auto"/>
          <w:highlight w:val="none"/>
        </w:rPr>
        <w:fldChar w:fldCharType="separate"/>
      </w:r>
      <w:r>
        <w:rPr>
          <w:color w:val="auto"/>
          <w:highlight w:val="none"/>
        </w:rPr>
        <w:t>13</w:t>
      </w:r>
      <w:r>
        <w:rPr>
          <w:color w:val="auto"/>
          <w:highlight w:val="none"/>
        </w:rPr>
        <w:fldChar w:fldCharType="end"/>
      </w:r>
      <w:r>
        <w:rPr>
          <w:rFonts w:hint="eastAsia" w:hAnsi="宋体" w:cs="宋体"/>
          <w:color w:val="auto"/>
          <w:szCs w:val="24"/>
          <w:highlight w:val="none"/>
        </w:rPr>
        <w:fldChar w:fldCharType="end"/>
      </w:r>
    </w:p>
    <w:p w14:paraId="0F7AB75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_Toc6862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4．服务期限</w:t>
      </w:r>
      <w:r>
        <w:rPr>
          <w:color w:val="auto"/>
          <w:highlight w:val="none"/>
        </w:rPr>
        <w:tab/>
      </w:r>
      <w:r>
        <w:rPr>
          <w:color w:val="auto"/>
          <w:highlight w:val="none"/>
        </w:rPr>
        <w:fldChar w:fldCharType="begin"/>
      </w:r>
      <w:r>
        <w:rPr>
          <w:color w:val="auto"/>
          <w:highlight w:val="none"/>
        </w:rPr>
        <w:instrText xml:space="preserve"> PAGEREF _Toc6862 \h </w:instrText>
      </w:r>
      <w:r>
        <w:rPr>
          <w:color w:val="auto"/>
          <w:highlight w:val="none"/>
        </w:rPr>
        <w:fldChar w:fldCharType="separate"/>
      </w:r>
      <w:r>
        <w:rPr>
          <w:color w:val="auto"/>
          <w:highlight w:val="none"/>
        </w:rPr>
        <w:t>15</w:t>
      </w:r>
      <w:r>
        <w:rPr>
          <w:color w:val="auto"/>
          <w:highlight w:val="none"/>
        </w:rPr>
        <w:fldChar w:fldCharType="end"/>
      </w:r>
      <w:r>
        <w:rPr>
          <w:rFonts w:hint="eastAsia" w:hAnsi="宋体" w:cs="宋体"/>
          <w:color w:val="auto"/>
          <w:szCs w:val="24"/>
          <w:highlight w:val="none"/>
        </w:rPr>
        <w:fldChar w:fldCharType="end"/>
      </w:r>
    </w:p>
    <w:p w14:paraId="2EDB0405">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_Toc15565 </w:instrText>
      </w:r>
      <w:r>
        <w:rPr>
          <w:rFonts w:hint="eastAsia" w:hAnsi="宋体" w:cs="宋体"/>
          <w:color w:val="auto"/>
          <w:szCs w:val="24"/>
          <w:highlight w:val="none"/>
        </w:rPr>
        <w:fldChar w:fldCharType="separate"/>
      </w:r>
      <w:r>
        <w:rPr>
          <w:rFonts w:hint="eastAsia" w:hAnsi="宋体" w:cs="宋体"/>
          <w:snapToGrid w:val="0"/>
          <w:color w:val="auto"/>
          <w:highlight w:val="none"/>
        </w:rPr>
        <w:t>5．服务标准</w:t>
      </w:r>
      <w:r>
        <w:rPr>
          <w:color w:val="auto"/>
          <w:highlight w:val="none"/>
        </w:rPr>
        <w:tab/>
      </w:r>
      <w:r>
        <w:rPr>
          <w:color w:val="auto"/>
          <w:highlight w:val="none"/>
        </w:rPr>
        <w:fldChar w:fldCharType="begin"/>
      </w:r>
      <w:r>
        <w:rPr>
          <w:color w:val="auto"/>
          <w:highlight w:val="none"/>
        </w:rPr>
        <w:instrText xml:space="preserve"> PAGEREF _Toc15565 \h </w:instrText>
      </w:r>
      <w:r>
        <w:rPr>
          <w:color w:val="auto"/>
          <w:highlight w:val="none"/>
        </w:rPr>
        <w:fldChar w:fldCharType="separate"/>
      </w:r>
      <w:r>
        <w:rPr>
          <w:color w:val="auto"/>
          <w:highlight w:val="none"/>
        </w:rPr>
        <w:t>15</w:t>
      </w:r>
      <w:r>
        <w:rPr>
          <w:color w:val="auto"/>
          <w:highlight w:val="none"/>
        </w:rPr>
        <w:fldChar w:fldCharType="end"/>
      </w:r>
      <w:r>
        <w:rPr>
          <w:rFonts w:hint="eastAsia" w:hAnsi="宋体" w:cs="宋体"/>
          <w:color w:val="auto"/>
          <w:szCs w:val="24"/>
          <w:highlight w:val="none"/>
        </w:rPr>
        <w:fldChar w:fldCharType="end"/>
      </w:r>
    </w:p>
    <w:p w14:paraId="243FA6A0">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_Toc17907 </w:instrText>
      </w:r>
      <w:r>
        <w:rPr>
          <w:rFonts w:hint="eastAsia" w:hAnsi="宋体" w:cs="宋体"/>
          <w:color w:val="auto"/>
          <w:szCs w:val="24"/>
          <w:highlight w:val="none"/>
        </w:rPr>
        <w:fldChar w:fldCharType="separate"/>
      </w:r>
      <w:r>
        <w:rPr>
          <w:rFonts w:hint="eastAsia" w:hAnsi="宋体" w:cs="宋体"/>
          <w:snapToGrid w:val="0"/>
          <w:color w:val="auto"/>
          <w:highlight w:val="none"/>
        </w:rPr>
        <w:t>6．现场踏勘</w:t>
      </w:r>
      <w:r>
        <w:rPr>
          <w:color w:val="auto"/>
          <w:highlight w:val="none"/>
        </w:rPr>
        <w:tab/>
      </w:r>
      <w:r>
        <w:rPr>
          <w:color w:val="auto"/>
          <w:highlight w:val="none"/>
        </w:rPr>
        <w:fldChar w:fldCharType="begin"/>
      </w:r>
      <w:r>
        <w:rPr>
          <w:color w:val="auto"/>
          <w:highlight w:val="none"/>
        </w:rPr>
        <w:instrText xml:space="preserve"> PAGEREF _Toc17907 \h </w:instrText>
      </w:r>
      <w:r>
        <w:rPr>
          <w:color w:val="auto"/>
          <w:highlight w:val="none"/>
        </w:rPr>
        <w:fldChar w:fldCharType="separate"/>
      </w:r>
      <w:r>
        <w:rPr>
          <w:color w:val="auto"/>
          <w:highlight w:val="none"/>
        </w:rPr>
        <w:t>15</w:t>
      </w:r>
      <w:r>
        <w:rPr>
          <w:color w:val="auto"/>
          <w:highlight w:val="none"/>
        </w:rPr>
        <w:fldChar w:fldCharType="end"/>
      </w:r>
      <w:r>
        <w:rPr>
          <w:rFonts w:hint="eastAsia" w:hAnsi="宋体" w:cs="宋体"/>
          <w:color w:val="auto"/>
          <w:szCs w:val="24"/>
          <w:highlight w:val="none"/>
        </w:rPr>
        <w:fldChar w:fldCharType="end"/>
      </w:r>
    </w:p>
    <w:p w14:paraId="3F5A9394">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_Toc7619 </w:instrText>
      </w:r>
      <w:r>
        <w:rPr>
          <w:rFonts w:hint="eastAsia" w:hAnsi="宋体" w:cs="宋体"/>
          <w:color w:val="auto"/>
          <w:szCs w:val="24"/>
          <w:highlight w:val="none"/>
        </w:rPr>
        <w:fldChar w:fldCharType="separate"/>
      </w:r>
      <w:r>
        <w:rPr>
          <w:rFonts w:hint="eastAsia" w:hAnsi="宋体" w:cs="宋体"/>
          <w:snapToGrid w:val="0"/>
          <w:color w:val="auto"/>
          <w:highlight w:val="none"/>
        </w:rPr>
        <w:t>7．招标文件的提问和答疑</w:t>
      </w:r>
      <w:r>
        <w:rPr>
          <w:color w:val="auto"/>
          <w:highlight w:val="none"/>
        </w:rPr>
        <w:tab/>
      </w:r>
      <w:r>
        <w:rPr>
          <w:color w:val="auto"/>
          <w:highlight w:val="none"/>
        </w:rPr>
        <w:fldChar w:fldCharType="begin"/>
      </w:r>
      <w:r>
        <w:rPr>
          <w:color w:val="auto"/>
          <w:highlight w:val="none"/>
        </w:rPr>
        <w:instrText xml:space="preserve"> PAGEREF _Toc7619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52297C4D">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_Toc4159 </w:instrText>
      </w:r>
      <w:r>
        <w:rPr>
          <w:rFonts w:hint="eastAsia" w:hAnsi="宋体" w:cs="宋体"/>
          <w:color w:val="auto"/>
          <w:szCs w:val="24"/>
          <w:highlight w:val="none"/>
        </w:rPr>
        <w:fldChar w:fldCharType="separate"/>
      </w:r>
      <w:r>
        <w:rPr>
          <w:rFonts w:hint="eastAsia" w:hAnsi="宋体" w:cs="宋体"/>
          <w:snapToGrid w:val="0"/>
          <w:color w:val="auto"/>
          <w:highlight w:val="none"/>
        </w:rPr>
        <w:t>8．最高投标限价</w:t>
      </w:r>
      <w:r>
        <w:rPr>
          <w:color w:val="auto"/>
          <w:highlight w:val="none"/>
        </w:rPr>
        <w:tab/>
      </w:r>
      <w:r>
        <w:rPr>
          <w:color w:val="auto"/>
          <w:highlight w:val="none"/>
        </w:rPr>
        <w:fldChar w:fldCharType="begin"/>
      </w:r>
      <w:r>
        <w:rPr>
          <w:color w:val="auto"/>
          <w:highlight w:val="none"/>
        </w:rPr>
        <w:instrText xml:space="preserve"> PAGEREF _Toc4159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46B73444">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_Toc4086 </w:instrText>
      </w:r>
      <w:r>
        <w:rPr>
          <w:rFonts w:hint="eastAsia" w:hAnsi="宋体" w:cs="宋体"/>
          <w:color w:val="auto"/>
          <w:szCs w:val="24"/>
          <w:highlight w:val="none"/>
        </w:rPr>
        <w:fldChar w:fldCharType="separate"/>
      </w:r>
      <w:r>
        <w:rPr>
          <w:rFonts w:hint="eastAsia" w:hAnsi="宋体" w:cs="宋体"/>
          <w:snapToGrid w:val="0"/>
          <w:color w:val="auto"/>
          <w:highlight w:val="none"/>
        </w:rPr>
        <w:t>9．投标报价</w:t>
      </w:r>
      <w:r>
        <w:rPr>
          <w:color w:val="auto"/>
          <w:highlight w:val="none"/>
        </w:rPr>
        <w:tab/>
      </w:r>
      <w:r>
        <w:rPr>
          <w:color w:val="auto"/>
          <w:highlight w:val="none"/>
        </w:rPr>
        <w:fldChar w:fldCharType="begin"/>
      </w:r>
      <w:r>
        <w:rPr>
          <w:color w:val="auto"/>
          <w:highlight w:val="none"/>
        </w:rPr>
        <w:instrText xml:space="preserve"> PAGEREF _Toc4086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749666C6">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_Toc31873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10．投标文件的编制要求</w:t>
      </w:r>
      <w:r>
        <w:rPr>
          <w:color w:val="auto"/>
          <w:highlight w:val="none"/>
        </w:rPr>
        <w:tab/>
      </w:r>
      <w:r>
        <w:rPr>
          <w:color w:val="auto"/>
          <w:highlight w:val="none"/>
        </w:rPr>
        <w:fldChar w:fldCharType="begin"/>
      </w:r>
      <w:r>
        <w:rPr>
          <w:color w:val="auto"/>
          <w:highlight w:val="none"/>
        </w:rPr>
        <w:instrText xml:space="preserve"> PAGEREF _Toc31873 \h </w:instrText>
      </w:r>
      <w:r>
        <w:rPr>
          <w:color w:val="auto"/>
          <w:highlight w:val="none"/>
        </w:rPr>
        <w:fldChar w:fldCharType="separate"/>
      </w:r>
      <w:r>
        <w:rPr>
          <w:color w:val="auto"/>
          <w:highlight w:val="none"/>
        </w:rPr>
        <w:t>17</w:t>
      </w:r>
      <w:r>
        <w:rPr>
          <w:color w:val="auto"/>
          <w:highlight w:val="none"/>
        </w:rPr>
        <w:fldChar w:fldCharType="end"/>
      </w:r>
      <w:r>
        <w:rPr>
          <w:rFonts w:hint="eastAsia" w:hAnsi="宋体" w:cs="宋体"/>
          <w:color w:val="auto"/>
          <w:szCs w:val="24"/>
          <w:highlight w:val="none"/>
        </w:rPr>
        <w:fldChar w:fldCharType="end"/>
      </w:r>
    </w:p>
    <w:p w14:paraId="5705908E">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_Toc24639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11．电子投标</w:t>
      </w:r>
      <w:r>
        <w:rPr>
          <w:color w:val="auto"/>
          <w:highlight w:val="none"/>
        </w:rPr>
        <w:tab/>
      </w:r>
      <w:r>
        <w:rPr>
          <w:color w:val="auto"/>
          <w:highlight w:val="none"/>
        </w:rPr>
        <w:fldChar w:fldCharType="begin"/>
      </w:r>
      <w:r>
        <w:rPr>
          <w:color w:val="auto"/>
          <w:highlight w:val="none"/>
        </w:rPr>
        <w:instrText xml:space="preserve"> PAGEREF _Toc24639 \h </w:instrText>
      </w:r>
      <w:r>
        <w:rPr>
          <w:color w:val="auto"/>
          <w:highlight w:val="none"/>
        </w:rPr>
        <w:fldChar w:fldCharType="separate"/>
      </w:r>
      <w:r>
        <w:rPr>
          <w:color w:val="auto"/>
          <w:highlight w:val="none"/>
        </w:rPr>
        <w:t>20</w:t>
      </w:r>
      <w:r>
        <w:rPr>
          <w:color w:val="auto"/>
          <w:highlight w:val="none"/>
        </w:rPr>
        <w:fldChar w:fldCharType="end"/>
      </w:r>
      <w:r>
        <w:rPr>
          <w:rFonts w:hint="eastAsia" w:hAnsi="宋体" w:cs="宋体"/>
          <w:color w:val="auto"/>
          <w:szCs w:val="24"/>
          <w:highlight w:val="none"/>
        </w:rPr>
        <w:fldChar w:fldCharType="end"/>
      </w:r>
    </w:p>
    <w:p w14:paraId="645F4083">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_Toc13209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12. 投标文件的提交</w:t>
      </w:r>
      <w:r>
        <w:rPr>
          <w:color w:val="auto"/>
          <w:highlight w:val="none"/>
        </w:rPr>
        <w:tab/>
      </w:r>
      <w:r>
        <w:rPr>
          <w:color w:val="auto"/>
          <w:highlight w:val="none"/>
        </w:rPr>
        <w:fldChar w:fldCharType="begin"/>
      </w:r>
      <w:r>
        <w:rPr>
          <w:color w:val="auto"/>
          <w:highlight w:val="none"/>
        </w:rPr>
        <w:instrText xml:space="preserve"> PAGEREF _Toc13209 \h </w:instrText>
      </w:r>
      <w:r>
        <w:rPr>
          <w:color w:val="auto"/>
          <w:highlight w:val="none"/>
        </w:rPr>
        <w:fldChar w:fldCharType="separate"/>
      </w:r>
      <w:r>
        <w:rPr>
          <w:color w:val="auto"/>
          <w:highlight w:val="none"/>
        </w:rPr>
        <w:t>21</w:t>
      </w:r>
      <w:r>
        <w:rPr>
          <w:color w:val="auto"/>
          <w:highlight w:val="none"/>
        </w:rPr>
        <w:fldChar w:fldCharType="end"/>
      </w:r>
      <w:r>
        <w:rPr>
          <w:rFonts w:hint="eastAsia" w:hAnsi="宋体" w:cs="宋体"/>
          <w:color w:val="auto"/>
          <w:szCs w:val="24"/>
          <w:highlight w:val="none"/>
        </w:rPr>
        <w:fldChar w:fldCharType="end"/>
      </w:r>
    </w:p>
    <w:p w14:paraId="0A034721">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_Toc3521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13．投标有效期</w:t>
      </w:r>
      <w:r>
        <w:rPr>
          <w:color w:val="auto"/>
          <w:highlight w:val="none"/>
        </w:rPr>
        <w:tab/>
      </w:r>
      <w:r>
        <w:rPr>
          <w:color w:val="auto"/>
          <w:highlight w:val="none"/>
        </w:rPr>
        <w:fldChar w:fldCharType="begin"/>
      </w:r>
      <w:r>
        <w:rPr>
          <w:color w:val="auto"/>
          <w:highlight w:val="none"/>
        </w:rPr>
        <w:instrText xml:space="preserve"> PAGEREF _Toc3521 \h </w:instrText>
      </w:r>
      <w:r>
        <w:rPr>
          <w:color w:val="auto"/>
          <w:highlight w:val="none"/>
        </w:rPr>
        <w:fldChar w:fldCharType="separate"/>
      </w:r>
      <w:r>
        <w:rPr>
          <w:color w:val="auto"/>
          <w:highlight w:val="none"/>
        </w:rPr>
        <w:t>21</w:t>
      </w:r>
      <w:r>
        <w:rPr>
          <w:color w:val="auto"/>
          <w:highlight w:val="none"/>
        </w:rPr>
        <w:fldChar w:fldCharType="end"/>
      </w:r>
      <w:r>
        <w:rPr>
          <w:rFonts w:hint="eastAsia" w:hAnsi="宋体" w:cs="宋体"/>
          <w:color w:val="auto"/>
          <w:szCs w:val="24"/>
          <w:highlight w:val="none"/>
        </w:rPr>
        <w:fldChar w:fldCharType="end"/>
      </w:r>
    </w:p>
    <w:p w14:paraId="4C289EA9">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_Toc21206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14．开标</w:t>
      </w:r>
      <w:r>
        <w:rPr>
          <w:color w:val="auto"/>
          <w:highlight w:val="none"/>
        </w:rPr>
        <w:tab/>
      </w:r>
      <w:r>
        <w:rPr>
          <w:color w:val="auto"/>
          <w:highlight w:val="none"/>
        </w:rPr>
        <w:fldChar w:fldCharType="begin"/>
      </w:r>
      <w:r>
        <w:rPr>
          <w:color w:val="auto"/>
          <w:highlight w:val="none"/>
        </w:rPr>
        <w:instrText xml:space="preserve"> PAGEREF _Toc21206 \h </w:instrText>
      </w:r>
      <w:r>
        <w:rPr>
          <w:color w:val="auto"/>
          <w:highlight w:val="none"/>
        </w:rPr>
        <w:fldChar w:fldCharType="separate"/>
      </w:r>
      <w:r>
        <w:rPr>
          <w:color w:val="auto"/>
          <w:highlight w:val="none"/>
        </w:rPr>
        <w:t>22</w:t>
      </w:r>
      <w:r>
        <w:rPr>
          <w:color w:val="auto"/>
          <w:highlight w:val="none"/>
        </w:rPr>
        <w:fldChar w:fldCharType="end"/>
      </w:r>
      <w:r>
        <w:rPr>
          <w:rFonts w:hint="eastAsia" w:hAnsi="宋体" w:cs="宋体"/>
          <w:color w:val="auto"/>
          <w:szCs w:val="24"/>
          <w:highlight w:val="none"/>
        </w:rPr>
        <w:fldChar w:fldCharType="end"/>
      </w:r>
    </w:p>
    <w:p w14:paraId="4FF32FAF">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_Toc22622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15．评标</w:t>
      </w:r>
      <w:r>
        <w:rPr>
          <w:color w:val="auto"/>
          <w:highlight w:val="none"/>
        </w:rPr>
        <w:tab/>
      </w:r>
      <w:r>
        <w:rPr>
          <w:color w:val="auto"/>
          <w:highlight w:val="none"/>
        </w:rPr>
        <w:fldChar w:fldCharType="begin"/>
      </w:r>
      <w:r>
        <w:rPr>
          <w:color w:val="auto"/>
          <w:highlight w:val="none"/>
        </w:rPr>
        <w:instrText xml:space="preserve"> PAGEREF _Toc22622 \h </w:instrText>
      </w:r>
      <w:r>
        <w:rPr>
          <w:color w:val="auto"/>
          <w:highlight w:val="none"/>
        </w:rPr>
        <w:fldChar w:fldCharType="separate"/>
      </w:r>
      <w:r>
        <w:rPr>
          <w:color w:val="auto"/>
          <w:highlight w:val="none"/>
        </w:rPr>
        <w:t>23</w:t>
      </w:r>
      <w:r>
        <w:rPr>
          <w:color w:val="auto"/>
          <w:highlight w:val="none"/>
        </w:rPr>
        <w:fldChar w:fldCharType="end"/>
      </w:r>
      <w:r>
        <w:rPr>
          <w:rFonts w:hint="eastAsia" w:hAnsi="宋体" w:cs="宋体"/>
          <w:color w:val="auto"/>
          <w:szCs w:val="24"/>
          <w:highlight w:val="none"/>
        </w:rPr>
        <w:fldChar w:fldCharType="end"/>
      </w:r>
    </w:p>
    <w:p w14:paraId="47D94010">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_Toc6939 </w:instrText>
      </w:r>
      <w:r>
        <w:rPr>
          <w:rFonts w:hint="eastAsia" w:hAnsi="宋体" w:cs="宋体"/>
          <w:color w:val="auto"/>
          <w:szCs w:val="24"/>
          <w:highlight w:val="none"/>
        </w:rPr>
        <w:fldChar w:fldCharType="separate"/>
      </w:r>
      <w:r>
        <w:rPr>
          <w:rFonts w:hint="eastAsia" w:ascii="宋体" w:hAnsi="宋体" w:eastAsia="宋体" w:cs="宋体"/>
          <w:bCs/>
          <w:color w:val="auto"/>
          <w:szCs w:val="22"/>
          <w:highlight w:val="none"/>
        </w:rPr>
        <w:t>表1 综合评分表</w:t>
      </w:r>
      <w:r>
        <w:rPr>
          <w:color w:val="auto"/>
          <w:highlight w:val="none"/>
        </w:rPr>
        <w:tab/>
      </w:r>
      <w:r>
        <w:rPr>
          <w:color w:val="auto"/>
          <w:highlight w:val="none"/>
        </w:rPr>
        <w:fldChar w:fldCharType="begin"/>
      </w:r>
      <w:r>
        <w:rPr>
          <w:color w:val="auto"/>
          <w:highlight w:val="none"/>
        </w:rPr>
        <w:instrText xml:space="preserve"> PAGEREF _Toc6939 \h </w:instrText>
      </w:r>
      <w:r>
        <w:rPr>
          <w:color w:val="auto"/>
          <w:highlight w:val="none"/>
        </w:rPr>
        <w:fldChar w:fldCharType="separate"/>
      </w:r>
      <w:r>
        <w:rPr>
          <w:color w:val="auto"/>
          <w:highlight w:val="none"/>
        </w:rPr>
        <w:t>27</w:t>
      </w:r>
      <w:r>
        <w:rPr>
          <w:color w:val="auto"/>
          <w:highlight w:val="none"/>
        </w:rPr>
        <w:fldChar w:fldCharType="end"/>
      </w:r>
      <w:r>
        <w:rPr>
          <w:rFonts w:hint="eastAsia" w:hAnsi="宋体" w:cs="宋体"/>
          <w:color w:val="auto"/>
          <w:szCs w:val="24"/>
          <w:highlight w:val="none"/>
        </w:rPr>
        <w:fldChar w:fldCharType="end"/>
      </w:r>
    </w:p>
    <w:p w14:paraId="65D40805">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_Toc9172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16．推荐</w:t>
      </w:r>
      <w:r>
        <w:rPr>
          <w:rFonts w:hint="eastAsia" w:hAnsi="宋体" w:cs="宋体"/>
          <w:snapToGrid w:val="0"/>
          <w:color w:val="auto"/>
          <w:kern w:val="0"/>
          <w:szCs w:val="24"/>
          <w:highlight w:val="none"/>
          <w:lang w:val="en-US" w:eastAsia="zh-CN"/>
        </w:rPr>
        <w:t>定标</w:t>
      </w:r>
      <w:r>
        <w:rPr>
          <w:rFonts w:hint="eastAsia" w:hAnsi="宋体" w:cs="宋体"/>
          <w:snapToGrid w:val="0"/>
          <w:color w:val="auto"/>
          <w:kern w:val="0"/>
          <w:szCs w:val="24"/>
          <w:highlight w:val="none"/>
        </w:rPr>
        <w:t>候选人</w:t>
      </w:r>
      <w:r>
        <w:rPr>
          <w:color w:val="auto"/>
          <w:highlight w:val="none"/>
        </w:rPr>
        <w:tab/>
      </w:r>
      <w:r>
        <w:rPr>
          <w:color w:val="auto"/>
          <w:highlight w:val="none"/>
        </w:rPr>
        <w:fldChar w:fldCharType="begin"/>
      </w:r>
      <w:r>
        <w:rPr>
          <w:color w:val="auto"/>
          <w:highlight w:val="none"/>
        </w:rPr>
        <w:instrText xml:space="preserve"> PAGEREF _Toc9172 \h </w:instrText>
      </w:r>
      <w:r>
        <w:rPr>
          <w:color w:val="auto"/>
          <w:highlight w:val="none"/>
        </w:rPr>
        <w:fldChar w:fldCharType="separate"/>
      </w:r>
      <w:r>
        <w:rPr>
          <w:color w:val="auto"/>
          <w:highlight w:val="none"/>
        </w:rPr>
        <w:t>31</w:t>
      </w:r>
      <w:r>
        <w:rPr>
          <w:color w:val="auto"/>
          <w:highlight w:val="none"/>
        </w:rPr>
        <w:fldChar w:fldCharType="end"/>
      </w:r>
      <w:r>
        <w:rPr>
          <w:rFonts w:hint="eastAsia" w:hAnsi="宋体" w:cs="宋体"/>
          <w:color w:val="auto"/>
          <w:szCs w:val="24"/>
          <w:highlight w:val="none"/>
        </w:rPr>
        <w:fldChar w:fldCharType="end"/>
      </w:r>
    </w:p>
    <w:p w14:paraId="384FB8E1">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_Toc30223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17．评标结果公示</w:t>
      </w:r>
      <w:r>
        <w:rPr>
          <w:color w:val="auto"/>
          <w:highlight w:val="none"/>
        </w:rPr>
        <w:tab/>
      </w:r>
      <w:r>
        <w:rPr>
          <w:color w:val="auto"/>
          <w:highlight w:val="none"/>
        </w:rPr>
        <w:fldChar w:fldCharType="begin"/>
      </w:r>
      <w:r>
        <w:rPr>
          <w:color w:val="auto"/>
          <w:highlight w:val="none"/>
        </w:rPr>
        <w:instrText xml:space="preserve"> PAGEREF _Toc30223 \h </w:instrText>
      </w:r>
      <w:r>
        <w:rPr>
          <w:color w:val="auto"/>
          <w:highlight w:val="none"/>
        </w:rPr>
        <w:fldChar w:fldCharType="separate"/>
      </w:r>
      <w:r>
        <w:rPr>
          <w:color w:val="auto"/>
          <w:highlight w:val="none"/>
        </w:rPr>
        <w:t>31</w:t>
      </w:r>
      <w:r>
        <w:rPr>
          <w:color w:val="auto"/>
          <w:highlight w:val="none"/>
        </w:rPr>
        <w:fldChar w:fldCharType="end"/>
      </w:r>
      <w:r>
        <w:rPr>
          <w:rFonts w:hint="eastAsia" w:hAnsi="宋体" w:cs="宋体"/>
          <w:color w:val="auto"/>
          <w:szCs w:val="24"/>
          <w:highlight w:val="none"/>
        </w:rPr>
        <w:fldChar w:fldCharType="end"/>
      </w:r>
    </w:p>
    <w:p w14:paraId="15F9B6D7">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_Toc23707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第四节 否决投标条件</w:t>
      </w:r>
      <w:r>
        <w:rPr>
          <w:color w:val="auto"/>
          <w:highlight w:val="none"/>
        </w:rPr>
        <w:tab/>
      </w:r>
      <w:r>
        <w:rPr>
          <w:color w:val="auto"/>
          <w:highlight w:val="none"/>
        </w:rPr>
        <w:fldChar w:fldCharType="begin"/>
      </w:r>
      <w:r>
        <w:rPr>
          <w:color w:val="auto"/>
          <w:highlight w:val="none"/>
        </w:rPr>
        <w:instrText xml:space="preserve"> PAGEREF _Toc23707 \h </w:instrText>
      </w:r>
      <w:r>
        <w:rPr>
          <w:color w:val="auto"/>
          <w:highlight w:val="none"/>
        </w:rPr>
        <w:fldChar w:fldCharType="separate"/>
      </w:r>
      <w:r>
        <w:rPr>
          <w:color w:val="auto"/>
          <w:highlight w:val="none"/>
        </w:rPr>
        <w:t>33</w:t>
      </w:r>
      <w:r>
        <w:rPr>
          <w:color w:val="auto"/>
          <w:highlight w:val="none"/>
        </w:rPr>
        <w:fldChar w:fldCharType="end"/>
      </w:r>
      <w:r>
        <w:rPr>
          <w:rFonts w:hint="eastAsia" w:hAnsi="宋体" w:cs="宋体"/>
          <w:color w:val="auto"/>
          <w:szCs w:val="24"/>
          <w:highlight w:val="none"/>
        </w:rPr>
        <w:fldChar w:fldCharType="end"/>
      </w:r>
    </w:p>
    <w:p w14:paraId="65C83A5A">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_Toc27116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1．资格评审环节</w:t>
      </w:r>
      <w:r>
        <w:rPr>
          <w:color w:val="auto"/>
          <w:highlight w:val="none"/>
        </w:rPr>
        <w:tab/>
      </w:r>
      <w:r>
        <w:rPr>
          <w:color w:val="auto"/>
          <w:highlight w:val="none"/>
        </w:rPr>
        <w:fldChar w:fldCharType="begin"/>
      </w:r>
      <w:r>
        <w:rPr>
          <w:color w:val="auto"/>
          <w:highlight w:val="none"/>
        </w:rPr>
        <w:instrText xml:space="preserve"> PAGEREF _Toc27116 \h </w:instrText>
      </w:r>
      <w:r>
        <w:rPr>
          <w:color w:val="auto"/>
          <w:highlight w:val="none"/>
        </w:rPr>
        <w:fldChar w:fldCharType="separate"/>
      </w:r>
      <w:r>
        <w:rPr>
          <w:color w:val="auto"/>
          <w:highlight w:val="none"/>
        </w:rPr>
        <w:t>33</w:t>
      </w:r>
      <w:r>
        <w:rPr>
          <w:color w:val="auto"/>
          <w:highlight w:val="none"/>
        </w:rPr>
        <w:fldChar w:fldCharType="end"/>
      </w:r>
      <w:r>
        <w:rPr>
          <w:rFonts w:hint="eastAsia" w:hAnsi="宋体" w:cs="宋体"/>
          <w:color w:val="auto"/>
          <w:szCs w:val="24"/>
          <w:highlight w:val="none"/>
        </w:rPr>
        <w:fldChar w:fldCharType="end"/>
      </w:r>
    </w:p>
    <w:p w14:paraId="782259AB">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_Toc13579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2．形式评审环节</w:t>
      </w:r>
      <w:r>
        <w:rPr>
          <w:color w:val="auto"/>
          <w:highlight w:val="none"/>
        </w:rPr>
        <w:tab/>
      </w:r>
      <w:r>
        <w:rPr>
          <w:color w:val="auto"/>
          <w:highlight w:val="none"/>
        </w:rPr>
        <w:fldChar w:fldCharType="begin"/>
      </w:r>
      <w:r>
        <w:rPr>
          <w:color w:val="auto"/>
          <w:highlight w:val="none"/>
        </w:rPr>
        <w:instrText xml:space="preserve"> PAGEREF _Toc13579 \h </w:instrText>
      </w:r>
      <w:r>
        <w:rPr>
          <w:color w:val="auto"/>
          <w:highlight w:val="none"/>
        </w:rPr>
        <w:fldChar w:fldCharType="separate"/>
      </w:r>
      <w:r>
        <w:rPr>
          <w:color w:val="auto"/>
          <w:highlight w:val="none"/>
        </w:rPr>
        <w:t>34</w:t>
      </w:r>
      <w:r>
        <w:rPr>
          <w:color w:val="auto"/>
          <w:highlight w:val="none"/>
        </w:rPr>
        <w:fldChar w:fldCharType="end"/>
      </w:r>
      <w:r>
        <w:rPr>
          <w:rFonts w:hint="eastAsia" w:hAnsi="宋体" w:cs="宋体"/>
          <w:color w:val="auto"/>
          <w:szCs w:val="24"/>
          <w:highlight w:val="none"/>
        </w:rPr>
        <w:fldChar w:fldCharType="end"/>
      </w:r>
    </w:p>
    <w:p w14:paraId="3480EEC6">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_Toc6314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3．响应性评审环节</w:t>
      </w:r>
      <w:r>
        <w:rPr>
          <w:color w:val="auto"/>
          <w:highlight w:val="none"/>
        </w:rPr>
        <w:tab/>
      </w:r>
      <w:r>
        <w:rPr>
          <w:color w:val="auto"/>
          <w:highlight w:val="none"/>
        </w:rPr>
        <w:fldChar w:fldCharType="begin"/>
      </w:r>
      <w:r>
        <w:rPr>
          <w:color w:val="auto"/>
          <w:highlight w:val="none"/>
        </w:rPr>
        <w:instrText xml:space="preserve"> PAGEREF _Toc6314 \h </w:instrText>
      </w:r>
      <w:r>
        <w:rPr>
          <w:color w:val="auto"/>
          <w:highlight w:val="none"/>
        </w:rPr>
        <w:fldChar w:fldCharType="separate"/>
      </w:r>
      <w:r>
        <w:rPr>
          <w:color w:val="auto"/>
          <w:highlight w:val="none"/>
        </w:rPr>
        <w:t>34</w:t>
      </w:r>
      <w:r>
        <w:rPr>
          <w:color w:val="auto"/>
          <w:highlight w:val="none"/>
        </w:rPr>
        <w:fldChar w:fldCharType="end"/>
      </w:r>
      <w:r>
        <w:rPr>
          <w:rFonts w:hint="eastAsia" w:hAnsi="宋体" w:cs="宋体"/>
          <w:color w:val="auto"/>
          <w:szCs w:val="24"/>
          <w:highlight w:val="none"/>
        </w:rPr>
        <w:fldChar w:fldCharType="end"/>
      </w:r>
    </w:p>
    <w:p w14:paraId="621152FF">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_Toc1100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4．其他</w:t>
      </w:r>
      <w:r>
        <w:rPr>
          <w:color w:val="auto"/>
          <w:highlight w:val="none"/>
        </w:rPr>
        <w:tab/>
      </w:r>
      <w:r>
        <w:rPr>
          <w:color w:val="auto"/>
          <w:highlight w:val="none"/>
        </w:rPr>
        <w:fldChar w:fldCharType="begin"/>
      </w:r>
      <w:r>
        <w:rPr>
          <w:color w:val="auto"/>
          <w:highlight w:val="none"/>
        </w:rPr>
        <w:instrText xml:space="preserve"> PAGEREF _Toc1100 \h </w:instrText>
      </w:r>
      <w:r>
        <w:rPr>
          <w:color w:val="auto"/>
          <w:highlight w:val="none"/>
        </w:rPr>
        <w:fldChar w:fldCharType="separate"/>
      </w:r>
      <w:r>
        <w:rPr>
          <w:color w:val="auto"/>
          <w:highlight w:val="none"/>
        </w:rPr>
        <w:t>34</w:t>
      </w:r>
      <w:r>
        <w:rPr>
          <w:color w:val="auto"/>
          <w:highlight w:val="none"/>
        </w:rPr>
        <w:fldChar w:fldCharType="end"/>
      </w:r>
      <w:r>
        <w:rPr>
          <w:rFonts w:hint="eastAsia" w:hAnsi="宋体" w:cs="宋体"/>
          <w:color w:val="auto"/>
          <w:szCs w:val="24"/>
          <w:highlight w:val="none"/>
        </w:rPr>
        <w:fldChar w:fldCharType="end"/>
      </w:r>
    </w:p>
    <w:p w14:paraId="6B1FF071">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_Toc3478 </w:instrText>
      </w:r>
      <w:r>
        <w:rPr>
          <w:rFonts w:hint="eastAsia" w:hAnsi="宋体" w:cs="宋体"/>
          <w:color w:val="auto"/>
          <w:szCs w:val="24"/>
          <w:highlight w:val="none"/>
        </w:rPr>
        <w:fldChar w:fldCharType="separate"/>
      </w:r>
      <w:r>
        <w:rPr>
          <w:rFonts w:hint="eastAsia" w:ascii="宋体" w:hAnsi="宋体" w:eastAsia="宋体" w:cs="宋体"/>
          <w:bCs/>
          <w:color w:val="auto"/>
          <w:highlight w:val="none"/>
          <w:lang w:val="en-US" w:eastAsia="zh-CN"/>
        </w:rPr>
        <w:t>第五节 定标规定及细则</w:t>
      </w:r>
      <w:r>
        <w:rPr>
          <w:color w:val="auto"/>
          <w:highlight w:val="none"/>
        </w:rPr>
        <w:tab/>
      </w:r>
      <w:r>
        <w:rPr>
          <w:color w:val="auto"/>
          <w:highlight w:val="none"/>
        </w:rPr>
        <w:fldChar w:fldCharType="begin"/>
      </w:r>
      <w:r>
        <w:rPr>
          <w:color w:val="auto"/>
          <w:highlight w:val="none"/>
        </w:rPr>
        <w:instrText xml:space="preserve"> PAGEREF _Toc3478 \h </w:instrText>
      </w:r>
      <w:r>
        <w:rPr>
          <w:color w:val="auto"/>
          <w:highlight w:val="none"/>
        </w:rPr>
        <w:fldChar w:fldCharType="separate"/>
      </w:r>
      <w:r>
        <w:rPr>
          <w:color w:val="auto"/>
          <w:highlight w:val="none"/>
        </w:rPr>
        <w:t>36</w:t>
      </w:r>
      <w:r>
        <w:rPr>
          <w:color w:val="auto"/>
          <w:highlight w:val="none"/>
        </w:rPr>
        <w:fldChar w:fldCharType="end"/>
      </w:r>
      <w:r>
        <w:rPr>
          <w:rFonts w:hint="eastAsia" w:hAnsi="宋体" w:cs="宋体"/>
          <w:color w:val="auto"/>
          <w:szCs w:val="24"/>
          <w:highlight w:val="none"/>
        </w:rPr>
        <w:fldChar w:fldCharType="end"/>
      </w:r>
    </w:p>
    <w:p w14:paraId="57EC0580">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_Toc7706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1</w:t>
      </w:r>
      <w:r>
        <w:rPr>
          <w:rFonts w:hint="eastAsia" w:ascii="宋体" w:hAnsi="宋体" w:eastAsia="宋体" w:cs="宋体"/>
          <w:snapToGrid w:val="0"/>
          <w:color w:val="auto"/>
          <w:highlight w:val="none"/>
        </w:rPr>
        <w:t>.</w:t>
      </w:r>
      <w:r>
        <w:rPr>
          <w:rFonts w:hint="eastAsia" w:ascii="宋体" w:hAnsi="宋体" w:eastAsia="宋体" w:cs="宋体"/>
          <w:snapToGrid w:val="0"/>
          <w:color w:val="auto"/>
          <w:highlight w:val="none"/>
          <w:lang w:val="en-US" w:eastAsia="zh-CN"/>
        </w:rPr>
        <w:t>定标规定</w:t>
      </w:r>
      <w:r>
        <w:rPr>
          <w:color w:val="auto"/>
          <w:highlight w:val="none"/>
        </w:rPr>
        <w:tab/>
      </w:r>
      <w:r>
        <w:rPr>
          <w:color w:val="auto"/>
          <w:highlight w:val="none"/>
        </w:rPr>
        <w:fldChar w:fldCharType="begin"/>
      </w:r>
      <w:r>
        <w:rPr>
          <w:color w:val="auto"/>
          <w:highlight w:val="none"/>
        </w:rPr>
        <w:instrText xml:space="preserve"> PAGEREF _Toc7706 \h </w:instrText>
      </w:r>
      <w:r>
        <w:rPr>
          <w:color w:val="auto"/>
          <w:highlight w:val="none"/>
        </w:rPr>
        <w:fldChar w:fldCharType="separate"/>
      </w:r>
      <w:r>
        <w:rPr>
          <w:color w:val="auto"/>
          <w:highlight w:val="none"/>
        </w:rPr>
        <w:t>36</w:t>
      </w:r>
      <w:r>
        <w:rPr>
          <w:color w:val="auto"/>
          <w:highlight w:val="none"/>
        </w:rPr>
        <w:fldChar w:fldCharType="end"/>
      </w:r>
      <w:r>
        <w:rPr>
          <w:rFonts w:hint="eastAsia" w:hAnsi="宋体" w:cs="宋体"/>
          <w:color w:val="auto"/>
          <w:szCs w:val="24"/>
          <w:highlight w:val="none"/>
        </w:rPr>
        <w:fldChar w:fldCharType="end"/>
      </w:r>
    </w:p>
    <w:p w14:paraId="6F301D25">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_Toc29848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2.定标细则</w:t>
      </w:r>
      <w:r>
        <w:rPr>
          <w:color w:val="auto"/>
          <w:highlight w:val="none"/>
        </w:rPr>
        <w:tab/>
      </w:r>
      <w:r>
        <w:rPr>
          <w:color w:val="auto"/>
          <w:highlight w:val="none"/>
        </w:rPr>
        <w:fldChar w:fldCharType="begin"/>
      </w:r>
      <w:r>
        <w:rPr>
          <w:color w:val="auto"/>
          <w:highlight w:val="none"/>
        </w:rPr>
        <w:instrText xml:space="preserve"> PAGEREF _Toc29848 \h </w:instrText>
      </w:r>
      <w:r>
        <w:rPr>
          <w:color w:val="auto"/>
          <w:highlight w:val="none"/>
        </w:rPr>
        <w:fldChar w:fldCharType="separate"/>
      </w:r>
      <w:r>
        <w:rPr>
          <w:color w:val="auto"/>
          <w:highlight w:val="none"/>
        </w:rPr>
        <w:t>37</w:t>
      </w:r>
      <w:r>
        <w:rPr>
          <w:color w:val="auto"/>
          <w:highlight w:val="none"/>
        </w:rPr>
        <w:fldChar w:fldCharType="end"/>
      </w:r>
      <w:r>
        <w:rPr>
          <w:rFonts w:hint="eastAsia" w:hAnsi="宋体" w:cs="宋体"/>
          <w:color w:val="auto"/>
          <w:szCs w:val="24"/>
          <w:highlight w:val="none"/>
        </w:rPr>
        <w:fldChar w:fldCharType="end"/>
      </w:r>
    </w:p>
    <w:p w14:paraId="536752BF">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_Toc29036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3.定标结果公示</w:t>
      </w:r>
      <w:r>
        <w:rPr>
          <w:color w:val="auto"/>
          <w:highlight w:val="none"/>
        </w:rPr>
        <w:tab/>
      </w:r>
      <w:r>
        <w:rPr>
          <w:color w:val="auto"/>
          <w:highlight w:val="none"/>
        </w:rPr>
        <w:fldChar w:fldCharType="begin"/>
      </w:r>
      <w:r>
        <w:rPr>
          <w:color w:val="auto"/>
          <w:highlight w:val="none"/>
        </w:rPr>
        <w:instrText xml:space="preserve"> PAGEREF _Toc29036 \h </w:instrText>
      </w:r>
      <w:r>
        <w:rPr>
          <w:color w:val="auto"/>
          <w:highlight w:val="none"/>
        </w:rPr>
        <w:fldChar w:fldCharType="separate"/>
      </w:r>
      <w:r>
        <w:rPr>
          <w:color w:val="auto"/>
          <w:highlight w:val="none"/>
        </w:rPr>
        <w:t>38</w:t>
      </w:r>
      <w:r>
        <w:rPr>
          <w:color w:val="auto"/>
          <w:highlight w:val="none"/>
        </w:rPr>
        <w:fldChar w:fldCharType="end"/>
      </w:r>
      <w:r>
        <w:rPr>
          <w:rFonts w:hint="eastAsia" w:hAnsi="宋体" w:cs="宋体"/>
          <w:color w:val="auto"/>
          <w:szCs w:val="24"/>
          <w:highlight w:val="none"/>
        </w:rPr>
        <w:fldChar w:fldCharType="end"/>
      </w:r>
    </w:p>
    <w:p w14:paraId="791113EA">
      <w:pPr>
        <w:pStyle w:val="13"/>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_Toc28855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4.中标确认</w:t>
      </w:r>
      <w:r>
        <w:rPr>
          <w:color w:val="auto"/>
          <w:highlight w:val="none"/>
        </w:rPr>
        <w:tab/>
      </w:r>
      <w:r>
        <w:rPr>
          <w:color w:val="auto"/>
          <w:highlight w:val="none"/>
        </w:rPr>
        <w:fldChar w:fldCharType="begin"/>
      </w:r>
      <w:r>
        <w:rPr>
          <w:color w:val="auto"/>
          <w:highlight w:val="none"/>
        </w:rPr>
        <w:instrText xml:space="preserve"> PAGEREF _Toc28855 \h </w:instrText>
      </w:r>
      <w:r>
        <w:rPr>
          <w:color w:val="auto"/>
          <w:highlight w:val="none"/>
        </w:rPr>
        <w:fldChar w:fldCharType="separate"/>
      </w:r>
      <w:r>
        <w:rPr>
          <w:color w:val="auto"/>
          <w:highlight w:val="none"/>
        </w:rPr>
        <w:t>39</w:t>
      </w:r>
      <w:r>
        <w:rPr>
          <w:color w:val="auto"/>
          <w:highlight w:val="none"/>
        </w:rPr>
        <w:fldChar w:fldCharType="end"/>
      </w:r>
      <w:r>
        <w:rPr>
          <w:rFonts w:hint="eastAsia" w:hAnsi="宋体" w:cs="宋体"/>
          <w:color w:val="auto"/>
          <w:szCs w:val="24"/>
          <w:highlight w:val="none"/>
        </w:rPr>
        <w:fldChar w:fldCharType="end"/>
      </w:r>
    </w:p>
    <w:p w14:paraId="30A9E518">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_Toc28020 </w:instrText>
      </w:r>
      <w:r>
        <w:rPr>
          <w:rFonts w:hint="eastAsia" w:hAnsi="宋体" w:cs="宋体"/>
          <w:b/>
          <w:bCs/>
          <w:color w:val="auto"/>
          <w:szCs w:val="24"/>
          <w:highlight w:val="none"/>
        </w:rPr>
        <w:fldChar w:fldCharType="separate"/>
      </w:r>
      <w:r>
        <w:rPr>
          <w:rFonts w:hint="eastAsia" w:hAnsi="宋体" w:cs="宋体"/>
          <w:b/>
          <w:bCs/>
          <w:snapToGrid w:val="0"/>
          <w:color w:val="auto"/>
          <w:szCs w:val="22"/>
          <w:highlight w:val="none"/>
        </w:rPr>
        <w:t>第二章 中标人须知</w:t>
      </w:r>
      <w:r>
        <w:rPr>
          <w:b/>
          <w:bCs/>
          <w:color w:val="auto"/>
          <w:highlight w:val="none"/>
        </w:rPr>
        <w:tab/>
      </w:r>
      <w:r>
        <w:rPr>
          <w:b/>
          <w:bCs/>
          <w:color w:val="auto"/>
          <w:highlight w:val="none"/>
        </w:rPr>
        <w:fldChar w:fldCharType="begin"/>
      </w:r>
      <w:r>
        <w:rPr>
          <w:b/>
          <w:bCs/>
          <w:color w:val="auto"/>
          <w:highlight w:val="none"/>
        </w:rPr>
        <w:instrText xml:space="preserve"> PAGEREF _Toc28020 \h </w:instrText>
      </w:r>
      <w:r>
        <w:rPr>
          <w:b/>
          <w:bCs/>
          <w:color w:val="auto"/>
          <w:highlight w:val="none"/>
        </w:rPr>
        <w:fldChar w:fldCharType="separate"/>
      </w:r>
      <w:r>
        <w:rPr>
          <w:b/>
          <w:bCs/>
          <w:color w:val="auto"/>
          <w:highlight w:val="none"/>
        </w:rPr>
        <w:t>40</w:t>
      </w:r>
      <w:r>
        <w:rPr>
          <w:b/>
          <w:bCs/>
          <w:color w:val="auto"/>
          <w:highlight w:val="none"/>
        </w:rPr>
        <w:fldChar w:fldCharType="end"/>
      </w:r>
      <w:r>
        <w:rPr>
          <w:rFonts w:hint="eastAsia" w:hAnsi="宋体" w:cs="宋体"/>
          <w:b/>
          <w:bCs/>
          <w:color w:val="auto"/>
          <w:szCs w:val="24"/>
          <w:highlight w:val="none"/>
        </w:rPr>
        <w:fldChar w:fldCharType="end"/>
      </w:r>
    </w:p>
    <w:p w14:paraId="6D49B60A">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_Toc17424 </w:instrText>
      </w:r>
      <w:r>
        <w:rPr>
          <w:rFonts w:hint="eastAsia" w:hAnsi="宋体" w:cs="宋体"/>
          <w:b/>
          <w:bCs/>
          <w:color w:val="auto"/>
          <w:szCs w:val="24"/>
          <w:highlight w:val="none"/>
        </w:rPr>
        <w:fldChar w:fldCharType="separate"/>
      </w:r>
      <w:r>
        <w:rPr>
          <w:rFonts w:hint="eastAsia" w:hAnsi="宋体" w:cs="宋体"/>
          <w:b/>
          <w:bCs/>
          <w:snapToGrid w:val="0"/>
          <w:color w:val="auto"/>
          <w:szCs w:val="32"/>
          <w:highlight w:val="none"/>
        </w:rPr>
        <w:t>第三章 拟签订合同的主要条款</w:t>
      </w:r>
      <w:r>
        <w:rPr>
          <w:b/>
          <w:bCs/>
          <w:color w:val="auto"/>
          <w:highlight w:val="none"/>
        </w:rPr>
        <w:tab/>
      </w:r>
      <w:r>
        <w:rPr>
          <w:b/>
          <w:bCs/>
          <w:color w:val="auto"/>
          <w:highlight w:val="none"/>
        </w:rPr>
        <w:fldChar w:fldCharType="begin"/>
      </w:r>
      <w:r>
        <w:rPr>
          <w:b/>
          <w:bCs/>
          <w:color w:val="auto"/>
          <w:highlight w:val="none"/>
        </w:rPr>
        <w:instrText xml:space="preserve"> PAGEREF _Toc17424 \h </w:instrText>
      </w:r>
      <w:r>
        <w:rPr>
          <w:b/>
          <w:bCs/>
          <w:color w:val="auto"/>
          <w:highlight w:val="none"/>
        </w:rPr>
        <w:fldChar w:fldCharType="separate"/>
      </w:r>
      <w:r>
        <w:rPr>
          <w:b/>
          <w:bCs/>
          <w:color w:val="auto"/>
          <w:highlight w:val="none"/>
        </w:rPr>
        <w:t>44</w:t>
      </w:r>
      <w:r>
        <w:rPr>
          <w:b/>
          <w:bCs/>
          <w:color w:val="auto"/>
          <w:highlight w:val="none"/>
        </w:rPr>
        <w:fldChar w:fldCharType="end"/>
      </w:r>
      <w:r>
        <w:rPr>
          <w:rFonts w:hint="eastAsia" w:hAnsi="宋体" w:cs="宋体"/>
          <w:b/>
          <w:bCs/>
          <w:color w:val="auto"/>
          <w:szCs w:val="24"/>
          <w:highlight w:val="none"/>
        </w:rPr>
        <w:fldChar w:fldCharType="end"/>
      </w:r>
    </w:p>
    <w:p w14:paraId="27219DF6">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_Toc3062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第四章 技术要求</w:t>
      </w:r>
      <w:r>
        <w:rPr>
          <w:b/>
          <w:bCs/>
          <w:color w:val="auto"/>
          <w:highlight w:val="none"/>
        </w:rPr>
        <w:tab/>
      </w:r>
      <w:r>
        <w:rPr>
          <w:b/>
          <w:bCs/>
          <w:color w:val="auto"/>
          <w:highlight w:val="none"/>
        </w:rPr>
        <w:fldChar w:fldCharType="begin"/>
      </w:r>
      <w:r>
        <w:rPr>
          <w:b/>
          <w:bCs/>
          <w:color w:val="auto"/>
          <w:highlight w:val="none"/>
        </w:rPr>
        <w:instrText xml:space="preserve"> PAGEREF _Toc3062 \h </w:instrText>
      </w:r>
      <w:r>
        <w:rPr>
          <w:b/>
          <w:bCs/>
          <w:color w:val="auto"/>
          <w:highlight w:val="none"/>
        </w:rPr>
        <w:fldChar w:fldCharType="separate"/>
      </w:r>
      <w:r>
        <w:rPr>
          <w:b/>
          <w:bCs/>
          <w:color w:val="auto"/>
          <w:highlight w:val="none"/>
        </w:rPr>
        <w:t>58</w:t>
      </w:r>
      <w:r>
        <w:rPr>
          <w:b/>
          <w:bCs/>
          <w:color w:val="auto"/>
          <w:highlight w:val="none"/>
        </w:rPr>
        <w:fldChar w:fldCharType="end"/>
      </w:r>
      <w:r>
        <w:rPr>
          <w:rFonts w:hint="eastAsia" w:hAnsi="宋体" w:cs="宋体"/>
          <w:b/>
          <w:bCs/>
          <w:color w:val="auto"/>
          <w:szCs w:val="24"/>
          <w:highlight w:val="none"/>
        </w:rPr>
        <w:fldChar w:fldCharType="end"/>
      </w:r>
    </w:p>
    <w:p w14:paraId="2C08C91F">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_Toc4295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第五章 投标文件格式</w:t>
      </w:r>
      <w:r>
        <w:rPr>
          <w:b/>
          <w:bCs/>
          <w:color w:val="auto"/>
          <w:highlight w:val="none"/>
        </w:rPr>
        <w:tab/>
      </w:r>
      <w:r>
        <w:rPr>
          <w:b/>
          <w:bCs/>
          <w:color w:val="auto"/>
          <w:highlight w:val="none"/>
        </w:rPr>
        <w:fldChar w:fldCharType="begin"/>
      </w:r>
      <w:r>
        <w:rPr>
          <w:b/>
          <w:bCs/>
          <w:color w:val="auto"/>
          <w:highlight w:val="none"/>
        </w:rPr>
        <w:instrText xml:space="preserve"> PAGEREF _Toc4295 \h </w:instrText>
      </w:r>
      <w:r>
        <w:rPr>
          <w:b/>
          <w:bCs/>
          <w:color w:val="auto"/>
          <w:highlight w:val="none"/>
        </w:rPr>
        <w:fldChar w:fldCharType="separate"/>
      </w:r>
      <w:r>
        <w:rPr>
          <w:b/>
          <w:bCs/>
          <w:color w:val="auto"/>
          <w:highlight w:val="none"/>
        </w:rPr>
        <w:t>60</w:t>
      </w:r>
      <w:r>
        <w:rPr>
          <w:b/>
          <w:bCs/>
          <w:color w:val="auto"/>
          <w:highlight w:val="none"/>
        </w:rPr>
        <w:fldChar w:fldCharType="end"/>
      </w:r>
      <w:r>
        <w:rPr>
          <w:rFonts w:hint="eastAsia" w:hAnsi="宋体" w:cs="宋体"/>
          <w:b/>
          <w:bCs/>
          <w:color w:val="auto"/>
          <w:szCs w:val="24"/>
          <w:highlight w:val="none"/>
        </w:rPr>
        <w:fldChar w:fldCharType="end"/>
      </w:r>
    </w:p>
    <w:p w14:paraId="0669A6BE">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_Toc29621 </w:instrText>
      </w:r>
      <w:r>
        <w:rPr>
          <w:rFonts w:hint="eastAsia" w:hAnsi="宋体" w:cs="宋体"/>
          <w:color w:val="auto"/>
          <w:szCs w:val="24"/>
          <w:highlight w:val="none"/>
        </w:rPr>
        <w:fldChar w:fldCharType="separate"/>
      </w:r>
      <w:r>
        <w:rPr>
          <w:rFonts w:hint="eastAsia" w:ascii="Times New Roman"/>
          <w:snapToGrid w:val="0"/>
          <w:color w:val="auto"/>
          <w:highlight w:val="none"/>
        </w:rPr>
        <w:t>格式一 封面</w:t>
      </w:r>
      <w:r>
        <w:rPr>
          <w:color w:val="auto"/>
          <w:highlight w:val="none"/>
        </w:rPr>
        <w:tab/>
      </w:r>
      <w:r>
        <w:rPr>
          <w:color w:val="auto"/>
          <w:highlight w:val="none"/>
        </w:rPr>
        <w:fldChar w:fldCharType="begin"/>
      </w:r>
      <w:r>
        <w:rPr>
          <w:color w:val="auto"/>
          <w:highlight w:val="none"/>
        </w:rPr>
        <w:instrText xml:space="preserve"> PAGEREF _Toc29621 \h </w:instrText>
      </w:r>
      <w:r>
        <w:rPr>
          <w:color w:val="auto"/>
          <w:highlight w:val="none"/>
        </w:rPr>
        <w:fldChar w:fldCharType="separate"/>
      </w:r>
      <w:r>
        <w:rPr>
          <w:color w:val="auto"/>
          <w:highlight w:val="none"/>
        </w:rPr>
        <w:t>60</w:t>
      </w:r>
      <w:r>
        <w:rPr>
          <w:color w:val="auto"/>
          <w:highlight w:val="none"/>
        </w:rPr>
        <w:fldChar w:fldCharType="end"/>
      </w:r>
      <w:r>
        <w:rPr>
          <w:rFonts w:hint="eastAsia" w:hAnsi="宋体" w:cs="宋体"/>
          <w:color w:val="auto"/>
          <w:szCs w:val="24"/>
          <w:highlight w:val="none"/>
        </w:rPr>
        <w:fldChar w:fldCharType="end"/>
      </w:r>
    </w:p>
    <w:p w14:paraId="73A27CF4">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_Toc19706 </w:instrText>
      </w:r>
      <w:r>
        <w:rPr>
          <w:rFonts w:hint="eastAsia" w:hAnsi="宋体" w:cs="宋体"/>
          <w:color w:val="auto"/>
          <w:szCs w:val="24"/>
          <w:highlight w:val="none"/>
        </w:rPr>
        <w:fldChar w:fldCharType="separate"/>
      </w:r>
      <w:r>
        <w:rPr>
          <w:rFonts w:hint="eastAsia" w:ascii="Times New Roman"/>
          <w:snapToGrid w:val="0"/>
          <w:color w:val="auto"/>
          <w:highlight w:val="none"/>
        </w:rPr>
        <w:t>格式二 投标函</w:t>
      </w:r>
      <w:r>
        <w:rPr>
          <w:color w:val="auto"/>
          <w:highlight w:val="none"/>
        </w:rPr>
        <w:tab/>
      </w:r>
      <w:r>
        <w:rPr>
          <w:color w:val="auto"/>
          <w:highlight w:val="none"/>
        </w:rPr>
        <w:fldChar w:fldCharType="begin"/>
      </w:r>
      <w:r>
        <w:rPr>
          <w:color w:val="auto"/>
          <w:highlight w:val="none"/>
        </w:rPr>
        <w:instrText xml:space="preserve"> PAGEREF _Toc19706 \h </w:instrText>
      </w:r>
      <w:r>
        <w:rPr>
          <w:color w:val="auto"/>
          <w:highlight w:val="none"/>
        </w:rPr>
        <w:fldChar w:fldCharType="separate"/>
      </w:r>
      <w:r>
        <w:rPr>
          <w:color w:val="auto"/>
          <w:highlight w:val="none"/>
        </w:rPr>
        <w:t>61</w:t>
      </w:r>
      <w:r>
        <w:rPr>
          <w:color w:val="auto"/>
          <w:highlight w:val="none"/>
        </w:rPr>
        <w:fldChar w:fldCharType="end"/>
      </w:r>
      <w:r>
        <w:rPr>
          <w:rFonts w:hint="eastAsia" w:hAnsi="宋体" w:cs="宋体"/>
          <w:color w:val="auto"/>
          <w:szCs w:val="24"/>
          <w:highlight w:val="none"/>
        </w:rPr>
        <w:fldChar w:fldCharType="end"/>
      </w:r>
    </w:p>
    <w:p w14:paraId="2249A66F">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_Toc30827 </w:instrText>
      </w:r>
      <w:r>
        <w:rPr>
          <w:rFonts w:hint="eastAsia" w:hAnsi="宋体" w:cs="宋体"/>
          <w:color w:val="auto"/>
          <w:szCs w:val="24"/>
          <w:highlight w:val="none"/>
        </w:rPr>
        <w:fldChar w:fldCharType="separate"/>
      </w:r>
      <w:r>
        <w:rPr>
          <w:rFonts w:hint="eastAsia" w:hAnsi="宋体" w:cs="宋体"/>
          <w:snapToGrid w:val="0"/>
          <w:color w:val="auto"/>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_Toc30827 \h </w:instrText>
      </w:r>
      <w:r>
        <w:rPr>
          <w:color w:val="auto"/>
          <w:highlight w:val="none"/>
        </w:rPr>
        <w:fldChar w:fldCharType="separate"/>
      </w:r>
      <w:r>
        <w:rPr>
          <w:color w:val="auto"/>
          <w:highlight w:val="none"/>
        </w:rPr>
        <w:t>62</w:t>
      </w:r>
      <w:r>
        <w:rPr>
          <w:color w:val="auto"/>
          <w:highlight w:val="none"/>
        </w:rPr>
        <w:fldChar w:fldCharType="end"/>
      </w:r>
      <w:r>
        <w:rPr>
          <w:rFonts w:hint="eastAsia" w:hAnsi="宋体" w:cs="宋体"/>
          <w:color w:val="auto"/>
          <w:szCs w:val="24"/>
          <w:highlight w:val="none"/>
        </w:rPr>
        <w:fldChar w:fldCharType="end"/>
      </w:r>
    </w:p>
    <w:p w14:paraId="2ED5904E">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_Toc22542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_Toc22542 \h </w:instrText>
      </w:r>
      <w:r>
        <w:rPr>
          <w:color w:val="auto"/>
          <w:highlight w:val="none"/>
        </w:rPr>
        <w:fldChar w:fldCharType="separate"/>
      </w:r>
      <w:r>
        <w:rPr>
          <w:color w:val="auto"/>
          <w:highlight w:val="none"/>
        </w:rPr>
        <w:t>64</w:t>
      </w:r>
      <w:r>
        <w:rPr>
          <w:color w:val="auto"/>
          <w:highlight w:val="none"/>
        </w:rPr>
        <w:fldChar w:fldCharType="end"/>
      </w:r>
      <w:r>
        <w:rPr>
          <w:rFonts w:hint="eastAsia" w:hAnsi="宋体" w:cs="宋体"/>
          <w:color w:val="auto"/>
          <w:szCs w:val="24"/>
          <w:highlight w:val="none"/>
        </w:rPr>
        <w:fldChar w:fldCharType="end"/>
      </w:r>
    </w:p>
    <w:p w14:paraId="15F7207E">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_Toc15411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_Toc15411 \h </w:instrText>
      </w:r>
      <w:r>
        <w:rPr>
          <w:color w:val="auto"/>
          <w:highlight w:val="none"/>
        </w:rPr>
        <w:fldChar w:fldCharType="separate"/>
      </w:r>
      <w:r>
        <w:rPr>
          <w:color w:val="auto"/>
          <w:highlight w:val="none"/>
        </w:rPr>
        <w:t>65</w:t>
      </w:r>
      <w:r>
        <w:rPr>
          <w:color w:val="auto"/>
          <w:highlight w:val="none"/>
        </w:rPr>
        <w:fldChar w:fldCharType="end"/>
      </w:r>
      <w:r>
        <w:rPr>
          <w:rFonts w:hint="eastAsia" w:hAnsi="宋体" w:cs="宋体"/>
          <w:color w:val="auto"/>
          <w:szCs w:val="24"/>
          <w:highlight w:val="none"/>
        </w:rPr>
        <w:fldChar w:fldCharType="end"/>
      </w:r>
    </w:p>
    <w:p w14:paraId="2160BD6C">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_Toc19398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格式六 投标人基本情况表</w:t>
      </w:r>
      <w:r>
        <w:rPr>
          <w:color w:val="auto"/>
          <w:highlight w:val="none"/>
        </w:rPr>
        <w:tab/>
      </w:r>
      <w:r>
        <w:rPr>
          <w:color w:val="auto"/>
          <w:highlight w:val="none"/>
        </w:rPr>
        <w:fldChar w:fldCharType="begin"/>
      </w:r>
      <w:r>
        <w:rPr>
          <w:color w:val="auto"/>
          <w:highlight w:val="none"/>
        </w:rPr>
        <w:instrText xml:space="preserve"> PAGEREF _Toc19398 \h </w:instrText>
      </w:r>
      <w:r>
        <w:rPr>
          <w:color w:val="auto"/>
          <w:highlight w:val="none"/>
        </w:rPr>
        <w:fldChar w:fldCharType="separate"/>
      </w:r>
      <w:r>
        <w:rPr>
          <w:color w:val="auto"/>
          <w:highlight w:val="none"/>
        </w:rPr>
        <w:t>66</w:t>
      </w:r>
      <w:r>
        <w:rPr>
          <w:color w:val="auto"/>
          <w:highlight w:val="none"/>
        </w:rPr>
        <w:fldChar w:fldCharType="end"/>
      </w:r>
      <w:r>
        <w:rPr>
          <w:rFonts w:hint="eastAsia" w:hAnsi="宋体" w:cs="宋体"/>
          <w:color w:val="auto"/>
          <w:szCs w:val="24"/>
          <w:highlight w:val="none"/>
        </w:rPr>
        <w:fldChar w:fldCharType="end"/>
      </w:r>
    </w:p>
    <w:p w14:paraId="393A027C">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_Toc22906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格式七 总监理工程师任职声明（适用于无任职项目）</w:t>
      </w:r>
      <w:r>
        <w:rPr>
          <w:color w:val="auto"/>
          <w:highlight w:val="none"/>
        </w:rPr>
        <w:tab/>
      </w:r>
      <w:r>
        <w:rPr>
          <w:color w:val="auto"/>
          <w:highlight w:val="none"/>
        </w:rPr>
        <w:fldChar w:fldCharType="begin"/>
      </w:r>
      <w:r>
        <w:rPr>
          <w:color w:val="auto"/>
          <w:highlight w:val="none"/>
        </w:rPr>
        <w:instrText xml:space="preserve"> PAGEREF _Toc22906 \h </w:instrText>
      </w:r>
      <w:r>
        <w:rPr>
          <w:color w:val="auto"/>
          <w:highlight w:val="none"/>
        </w:rPr>
        <w:fldChar w:fldCharType="separate"/>
      </w:r>
      <w:r>
        <w:rPr>
          <w:color w:val="auto"/>
          <w:highlight w:val="none"/>
        </w:rPr>
        <w:t>67</w:t>
      </w:r>
      <w:r>
        <w:rPr>
          <w:color w:val="auto"/>
          <w:highlight w:val="none"/>
        </w:rPr>
        <w:fldChar w:fldCharType="end"/>
      </w:r>
      <w:r>
        <w:rPr>
          <w:rFonts w:hint="eastAsia" w:hAnsi="宋体" w:cs="宋体"/>
          <w:color w:val="auto"/>
          <w:szCs w:val="24"/>
          <w:highlight w:val="none"/>
        </w:rPr>
        <w:fldChar w:fldCharType="end"/>
      </w:r>
    </w:p>
    <w:p w14:paraId="14823E3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_Toc27081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格式八 总监理工程师任职声明（适用于有任职项目）</w:t>
      </w:r>
      <w:r>
        <w:rPr>
          <w:color w:val="auto"/>
          <w:highlight w:val="none"/>
        </w:rPr>
        <w:tab/>
      </w:r>
      <w:r>
        <w:rPr>
          <w:color w:val="auto"/>
          <w:highlight w:val="none"/>
        </w:rPr>
        <w:fldChar w:fldCharType="begin"/>
      </w:r>
      <w:r>
        <w:rPr>
          <w:color w:val="auto"/>
          <w:highlight w:val="none"/>
        </w:rPr>
        <w:instrText xml:space="preserve"> PAGEREF _Toc27081 \h </w:instrText>
      </w:r>
      <w:r>
        <w:rPr>
          <w:color w:val="auto"/>
          <w:highlight w:val="none"/>
        </w:rPr>
        <w:fldChar w:fldCharType="separate"/>
      </w:r>
      <w:r>
        <w:rPr>
          <w:color w:val="auto"/>
          <w:highlight w:val="none"/>
        </w:rPr>
        <w:t>68</w:t>
      </w:r>
      <w:r>
        <w:rPr>
          <w:color w:val="auto"/>
          <w:highlight w:val="none"/>
        </w:rPr>
        <w:fldChar w:fldCharType="end"/>
      </w:r>
      <w:r>
        <w:rPr>
          <w:rFonts w:hint="eastAsia" w:hAnsi="宋体" w:cs="宋体"/>
          <w:color w:val="auto"/>
          <w:szCs w:val="24"/>
          <w:highlight w:val="none"/>
        </w:rPr>
        <w:fldChar w:fldCharType="end"/>
      </w:r>
    </w:p>
    <w:p w14:paraId="63039FF7">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_Toc136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格式九 总监理工程师任职项目情况表</w:t>
      </w:r>
      <w:r>
        <w:rPr>
          <w:color w:val="auto"/>
          <w:highlight w:val="none"/>
        </w:rPr>
        <w:tab/>
      </w:r>
      <w:r>
        <w:rPr>
          <w:color w:val="auto"/>
          <w:highlight w:val="none"/>
        </w:rPr>
        <w:fldChar w:fldCharType="begin"/>
      </w:r>
      <w:r>
        <w:rPr>
          <w:color w:val="auto"/>
          <w:highlight w:val="none"/>
        </w:rPr>
        <w:instrText xml:space="preserve"> PAGEREF _Toc136 \h </w:instrText>
      </w:r>
      <w:r>
        <w:rPr>
          <w:color w:val="auto"/>
          <w:highlight w:val="none"/>
        </w:rPr>
        <w:fldChar w:fldCharType="separate"/>
      </w:r>
      <w:r>
        <w:rPr>
          <w:color w:val="auto"/>
          <w:highlight w:val="none"/>
        </w:rPr>
        <w:t>69</w:t>
      </w:r>
      <w:r>
        <w:rPr>
          <w:color w:val="auto"/>
          <w:highlight w:val="none"/>
        </w:rPr>
        <w:fldChar w:fldCharType="end"/>
      </w:r>
      <w:r>
        <w:rPr>
          <w:rFonts w:hint="eastAsia" w:hAnsi="宋体" w:cs="宋体"/>
          <w:color w:val="auto"/>
          <w:szCs w:val="24"/>
          <w:highlight w:val="none"/>
        </w:rPr>
        <w:fldChar w:fldCharType="end"/>
      </w:r>
    </w:p>
    <w:p w14:paraId="712288D3">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_Toc18807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w:t>
      </w:r>
      <w:r>
        <w:rPr>
          <w:rFonts w:hint="eastAsia" w:hAnsi="宋体" w:cs="宋体"/>
          <w:bCs/>
          <w:snapToGrid w:val="0"/>
          <w:color w:val="auto"/>
          <w:kern w:val="0"/>
          <w:szCs w:val="24"/>
          <w:highlight w:val="none"/>
        </w:rPr>
        <w:t>十 项目监理机构组成人员汇总表</w:t>
      </w:r>
      <w:r>
        <w:rPr>
          <w:color w:val="auto"/>
          <w:highlight w:val="none"/>
        </w:rPr>
        <w:tab/>
      </w:r>
      <w:r>
        <w:rPr>
          <w:color w:val="auto"/>
          <w:highlight w:val="none"/>
        </w:rPr>
        <w:fldChar w:fldCharType="begin"/>
      </w:r>
      <w:r>
        <w:rPr>
          <w:color w:val="auto"/>
          <w:highlight w:val="none"/>
        </w:rPr>
        <w:instrText xml:space="preserve"> PAGEREF _Toc18807 \h </w:instrText>
      </w:r>
      <w:r>
        <w:rPr>
          <w:color w:val="auto"/>
          <w:highlight w:val="none"/>
        </w:rPr>
        <w:fldChar w:fldCharType="separate"/>
      </w:r>
      <w:r>
        <w:rPr>
          <w:color w:val="auto"/>
          <w:highlight w:val="none"/>
        </w:rPr>
        <w:t>70</w:t>
      </w:r>
      <w:r>
        <w:rPr>
          <w:color w:val="auto"/>
          <w:highlight w:val="none"/>
        </w:rPr>
        <w:fldChar w:fldCharType="end"/>
      </w:r>
      <w:r>
        <w:rPr>
          <w:rFonts w:hint="eastAsia" w:hAnsi="宋体" w:cs="宋体"/>
          <w:color w:val="auto"/>
          <w:szCs w:val="24"/>
          <w:highlight w:val="none"/>
        </w:rPr>
        <w:fldChar w:fldCharType="end"/>
      </w:r>
    </w:p>
    <w:p w14:paraId="2F77B48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_Toc23185 </w:instrText>
      </w:r>
      <w:r>
        <w:rPr>
          <w:rFonts w:hint="eastAsia" w:hAnsi="宋体" w:cs="宋体"/>
          <w:color w:val="auto"/>
          <w:szCs w:val="24"/>
          <w:highlight w:val="none"/>
        </w:rPr>
        <w:fldChar w:fldCharType="separate"/>
      </w:r>
      <w:r>
        <w:rPr>
          <w:rFonts w:hint="eastAsia" w:ascii="宋体" w:hAnsi="宋体" w:cs="宋体"/>
          <w:bCs/>
          <w:snapToGrid w:val="0"/>
          <w:color w:val="auto"/>
          <w:highlight w:val="none"/>
        </w:rPr>
        <w:t>格式十一 总监理工程师简历表</w:t>
      </w:r>
      <w:r>
        <w:rPr>
          <w:color w:val="auto"/>
          <w:highlight w:val="none"/>
        </w:rPr>
        <w:tab/>
      </w:r>
      <w:r>
        <w:rPr>
          <w:color w:val="auto"/>
          <w:highlight w:val="none"/>
        </w:rPr>
        <w:fldChar w:fldCharType="begin"/>
      </w:r>
      <w:r>
        <w:rPr>
          <w:color w:val="auto"/>
          <w:highlight w:val="none"/>
        </w:rPr>
        <w:instrText xml:space="preserve"> PAGEREF _Toc23185 \h </w:instrText>
      </w:r>
      <w:r>
        <w:rPr>
          <w:color w:val="auto"/>
          <w:highlight w:val="none"/>
        </w:rPr>
        <w:fldChar w:fldCharType="separate"/>
      </w:r>
      <w:r>
        <w:rPr>
          <w:color w:val="auto"/>
          <w:highlight w:val="none"/>
        </w:rPr>
        <w:t>71</w:t>
      </w:r>
      <w:r>
        <w:rPr>
          <w:color w:val="auto"/>
          <w:highlight w:val="none"/>
        </w:rPr>
        <w:fldChar w:fldCharType="end"/>
      </w:r>
      <w:r>
        <w:rPr>
          <w:rFonts w:hint="eastAsia" w:hAnsi="宋体" w:cs="宋体"/>
          <w:color w:val="auto"/>
          <w:szCs w:val="24"/>
          <w:highlight w:val="none"/>
        </w:rPr>
        <w:fldChar w:fldCharType="end"/>
      </w:r>
    </w:p>
    <w:p w14:paraId="36123FEA">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_Toc26946 </w:instrText>
      </w:r>
      <w:r>
        <w:rPr>
          <w:rFonts w:hint="eastAsia" w:hAnsi="宋体" w:cs="宋体"/>
          <w:color w:val="auto"/>
          <w:szCs w:val="24"/>
          <w:highlight w:val="none"/>
        </w:rPr>
        <w:fldChar w:fldCharType="separate"/>
      </w:r>
      <w:r>
        <w:rPr>
          <w:rFonts w:hint="eastAsia" w:ascii="宋体" w:hAnsi="宋体" w:cs="宋体"/>
          <w:bCs/>
          <w:snapToGrid w:val="0"/>
          <w:color w:val="auto"/>
          <w:highlight w:val="none"/>
        </w:rPr>
        <w:t>格式十二 其他拟派人员简历表</w:t>
      </w:r>
      <w:r>
        <w:rPr>
          <w:color w:val="auto"/>
          <w:highlight w:val="none"/>
        </w:rPr>
        <w:tab/>
      </w:r>
      <w:r>
        <w:rPr>
          <w:color w:val="auto"/>
          <w:highlight w:val="none"/>
        </w:rPr>
        <w:fldChar w:fldCharType="begin"/>
      </w:r>
      <w:r>
        <w:rPr>
          <w:color w:val="auto"/>
          <w:highlight w:val="none"/>
        </w:rPr>
        <w:instrText xml:space="preserve"> PAGEREF _Toc26946 \h </w:instrText>
      </w:r>
      <w:r>
        <w:rPr>
          <w:color w:val="auto"/>
          <w:highlight w:val="none"/>
        </w:rPr>
        <w:fldChar w:fldCharType="separate"/>
      </w:r>
      <w:r>
        <w:rPr>
          <w:color w:val="auto"/>
          <w:highlight w:val="none"/>
        </w:rPr>
        <w:t>72</w:t>
      </w:r>
      <w:r>
        <w:rPr>
          <w:color w:val="auto"/>
          <w:highlight w:val="none"/>
        </w:rPr>
        <w:fldChar w:fldCharType="end"/>
      </w:r>
      <w:r>
        <w:rPr>
          <w:rFonts w:hint="eastAsia" w:hAnsi="宋体" w:cs="宋体"/>
          <w:color w:val="auto"/>
          <w:szCs w:val="24"/>
          <w:highlight w:val="none"/>
        </w:rPr>
        <w:fldChar w:fldCharType="end"/>
      </w:r>
    </w:p>
    <w:p w14:paraId="1C067BA5">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_Toc9763 </w:instrText>
      </w:r>
      <w:r>
        <w:rPr>
          <w:rFonts w:hint="eastAsia" w:hAnsi="宋体" w:cs="宋体"/>
          <w:color w:val="auto"/>
          <w:szCs w:val="24"/>
          <w:highlight w:val="none"/>
        </w:rPr>
        <w:fldChar w:fldCharType="separate"/>
      </w:r>
      <w:r>
        <w:rPr>
          <w:rFonts w:hint="eastAsia"/>
          <w:bCs/>
          <w:color w:val="auto"/>
          <w:highlight w:val="none"/>
          <w:lang w:val="en-US" w:eastAsia="zh-CN"/>
        </w:rPr>
        <w:t>格式十三 原件一览表</w:t>
      </w:r>
      <w:r>
        <w:rPr>
          <w:color w:val="auto"/>
          <w:highlight w:val="none"/>
        </w:rPr>
        <w:tab/>
      </w:r>
      <w:r>
        <w:rPr>
          <w:color w:val="auto"/>
          <w:highlight w:val="none"/>
        </w:rPr>
        <w:fldChar w:fldCharType="begin"/>
      </w:r>
      <w:r>
        <w:rPr>
          <w:color w:val="auto"/>
          <w:highlight w:val="none"/>
        </w:rPr>
        <w:instrText xml:space="preserve"> PAGEREF _Toc9763 \h </w:instrText>
      </w:r>
      <w:r>
        <w:rPr>
          <w:color w:val="auto"/>
          <w:highlight w:val="none"/>
        </w:rPr>
        <w:fldChar w:fldCharType="separate"/>
      </w:r>
      <w:r>
        <w:rPr>
          <w:color w:val="auto"/>
          <w:highlight w:val="none"/>
        </w:rPr>
        <w:t>73</w:t>
      </w:r>
      <w:r>
        <w:rPr>
          <w:color w:val="auto"/>
          <w:highlight w:val="none"/>
        </w:rPr>
        <w:fldChar w:fldCharType="end"/>
      </w:r>
      <w:r>
        <w:rPr>
          <w:rFonts w:hint="eastAsia" w:hAnsi="宋体" w:cs="宋体"/>
          <w:color w:val="auto"/>
          <w:szCs w:val="24"/>
          <w:highlight w:val="none"/>
        </w:rPr>
        <w:fldChar w:fldCharType="end"/>
      </w:r>
    </w:p>
    <w:p w14:paraId="13716A29">
      <w:pPr>
        <w:pStyle w:val="2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_Toc26582 </w:instrText>
      </w:r>
      <w:r>
        <w:rPr>
          <w:rFonts w:hint="eastAsia" w:hAnsi="宋体" w:cs="宋体"/>
          <w:color w:val="auto"/>
          <w:szCs w:val="24"/>
          <w:highlight w:val="none"/>
        </w:rPr>
        <w:fldChar w:fldCharType="separate"/>
      </w:r>
      <w:r>
        <w:rPr>
          <w:rFonts w:hint="eastAsia" w:ascii="宋体" w:hAnsi="Times New Roman" w:eastAsia="宋体" w:cs="Times New Roman"/>
          <w:bCs/>
          <w:color w:val="auto"/>
          <w:highlight w:val="none"/>
          <w:lang w:val="en-US" w:eastAsia="zh-CN"/>
        </w:rPr>
        <w:t>格式十四 定标因素评审资料</w:t>
      </w:r>
      <w:r>
        <w:rPr>
          <w:color w:val="auto"/>
          <w:highlight w:val="none"/>
        </w:rPr>
        <w:tab/>
      </w:r>
      <w:r>
        <w:rPr>
          <w:color w:val="auto"/>
          <w:highlight w:val="none"/>
        </w:rPr>
        <w:fldChar w:fldCharType="begin"/>
      </w:r>
      <w:r>
        <w:rPr>
          <w:color w:val="auto"/>
          <w:highlight w:val="none"/>
        </w:rPr>
        <w:instrText xml:space="preserve"> PAGEREF _Toc26582 \h </w:instrText>
      </w:r>
      <w:r>
        <w:rPr>
          <w:color w:val="auto"/>
          <w:highlight w:val="none"/>
        </w:rPr>
        <w:fldChar w:fldCharType="separate"/>
      </w:r>
      <w:r>
        <w:rPr>
          <w:color w:val="auto"/>
          <w:highlight w:val="none"/>
        </w:rPr>
        <w:t>74</w:t>
      </w:r>
      <w:r>
        <w:rPr>
          <w:color w:val="auto"/>
          <w:highlight w:val="none"/>
        </w:rPr>
        <w:fldChar w:fldCharType="end"/>
      </w:r>
      <w:r>
        <w:rPr>
          <w:rFonts w:hint="eastAsia" w:hAnsi="宋体" w:cs="宋体"/>
          <w:color w:val="auto"/>
          <w:szCs w:val="24"/>
          <w:highlight w:val="none"/>
        </w:rPr>
        <w:fldChar w:fldCharType="end"/>
      </w:r>
    </w:p>
    <w:p w14:paraId="1AA4B448">
      <w:pPr>
        <w:pStyle w:val="20"/>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_Toc24615 </w:instrText>
      </w:r>
      <w:r>
        <w:rPr>
          <w:rFonts w:hint="eastAsia" w:hAnsi="宋体" w:cs="宋体"/>
          <w:b/>
          <w:bCs/>
          <w:color w:val="auto"/>
          <w:szCs w:val="24"/>
          <w:highlight w:val="none"/>
        </w:rPr>
        <w:fldChar w:fldCharType="separate"/>
      </w:r>
      <w:r>
        <w:rPr>
          <w:rFonts w:hint="eastAsia" w:ascii="宋体" w:hAnsi="宋体" w:cs="宋体"/>
          <w:b/>
          <w:bCs/>
          <w:color w:val="auto"/>
          <w:kern w:val="44"/>
          <w:szCs w:val="22"/>
          <w:highlight w:val="none"/>
        </w:rPr>
        <w:t>第六章 建设工程监理合同</w:t>
      </w:r>
      <w:r>
        <w:rPr>
          <w:b/>
          <w:bCs/>
          <w:color w:val="auto"/>
          <w:highlight w:val="none"/>
        </w:rPr>
        <w:tab/>
      </w:r>
      <w:r>
        <w:rPr>
          <w:b/>
          <w:bCs/>
          <w:color w:val="auto"/>
          <w:highlight w:val="none"/>
        </w:rPr>
        <w:fldChar w:fldCharType="begin"/>
      </w:r>
      <w:r>
        <w:rPr>
          <w:b/>
          <w:bCs/>
          <w:color w:val="auto"/>
          <w:highlight w:val="none"/>
        </w:rPr>
        <w:instrText xml:space="preserve"> PAGEREF _Toc24615 \h </w:instrText>
      </w:r>
      <w:r>
        <w:rPr>
          <w:b/>
          <w:bCs/>
          <w:color w:val="auto"/>
          <w:highlight w:val="none"/>
        </w:rPr>
        <w:fldChar w:fldCharType="separate"/>
      </w:r>
      <w:r>
        <w:rPr>
          <w:b/>
          <w:bCs/>
          <w:color w:val="auto"/>
          <w:highlight w:val="none"/>
        </w:rPr>
        <w:t>75</w:t>
      </w:r>
      <w:r>
        <w:rPr>
          <w:b/>
          <w:bCs/>
          <w:color w:val="auto"/>
          <w:highlight w:val="none"/>
        </w:rPr>
        <w:fldChar w:fldCharType="end"/>
      </w:r>
      <w:r>
        <w:rPr>
          <w:rFonts w:hint="eastAsia" w:hAnsi="宋体" w:cs="宋体"/>
          <w:b/>
          <w:bCs/>
          <w:color w:val="auto"/>
          <w:szCs w:val="24"/>
          <w:highlight w:val="none"/>
        </w:rPr>
        <w:fldChar w:fldCharType="end"/>
      </w:r>
    </w:p>
    <w:p w14:paraId="5F171C8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cs="宋体"/>
          <w:color w:val="auto"/>
          <w:szCs w:val="24"/>
          <w:highlight w:val="none"/>
        </w:rPr>
      </w:pPr>
      <w:r>
        <w:rPr>
          <w:rFonts w:hint="eastAsia" w:hAnsi="宋体" w:cs="宋体"/>
          <w:color w:val="auto"/>
          <w:szCs w:val="24"/>
          <w:highlight w:val="none"/>
        </w:rPr>
        <w:fldChar w:fldCharType="end"/>
      </w:r>
    </w:p>
    <w:p w14:paraId="1371EE43">
      <w:pPr>
        <w:bidi w:val="0"/>
        <w:rPr>
          <w:rFonts w:hint="eastAsia"/>
          <w:color w:val="auto"/>
          <w:highlight w:val="none"/>
        </w:rPr>
      </w:pPr>
    </w:p>
    <w:p w14:paraId="3743EF93">
      <w:pPr>
        <w:bidi w:val="0"/>
        <w:rPr>
          <w:rFonts w:hint="eastAsia"/>
          <w:color w:val="auto"/>
          <w:highlight w:val="none"/>
        </w:rPr>
      </w:pPr>
    </w:p>
    <w:p w14:paraId="0A284C17">
      <w:pPr>
        <w:bidi w:val="0"/>
        <w:rPr>
          <w:rFonts w:hint="eastAsia"/>
          <w:color w:val="auto"/>
          <w:highlight w:val="none"/>
        </w:rPr>
      </w:pPr>
    </w:p>
    <w:p w14:paraId="123C6FDF">
      <w:pPr>
        <w:bidi w:val="0"/>
        <w:rPr>
          <w:rFonts w:hint="eastAsia"/>
          <w:color w:val="auto"/>
          <w:highlight w:val="none"/>
        </w:rPr>
      </w:pPr>
    </w:p>
    <w:p w14:paraId="44813715">
      <w:pPr>
        <w:bidi w:val="0"/>
        <w:rPr>
          <w:rFonts w:hint="eastAsia"/>
          <w:color w:val="auto"/>
          <w:highlight w:val="none"/>
        </w:rPr>
      </w:pPr>
    </w:p>
    <w:p w14:paraId="58F7A115">
      <w:pPr>
        <w:bidi w:val="0"/>
        <w:rPr>
          <w:rFonts w:hint="eastAsia"/>
          <w:color w:val="auto"/>
          <w:highlight w:val="none"/>
        </w:rPr>
      </w:pPr>
    </w:p>
    <w:p w14:paraId="6B9386F7">
      <w:pPr>
        <w:bidi w:val="0"/>
        <w:rPr>
          <w:rFonts w:hint="eastAsia"/>
          <w:color w:val="auto"/>
          <w:highlight w:val="none"/>
        </w:rPr>
      </w:pPr>
    </w:p>
    <w:p w14:paraId="28F58085">
      <w:pPr>
        <w:bidi w:val="0"/>
        <w:rPr>
          <w:rFonts w:hint="eastAsia"/>
          <w:color w:val="auto"/>
          <w:highlight w:val="none"/>
        </w:rPr>
      </w:pPr>
    </w:p>
    <w:p w14:paraId="28B813C7">
      <w:pPr>
        <w:bidi w:val="0"/>
        <w:rPr>
          <w:rFonts w:hint="eastAsia"/>
          <w:color w:val="auto"/>
          <w:highlight w:val="none"/>
        </w:rPr>
      </w:pPr>
    </w:p>
    <w:p w14:paraId="0E90437B">
      <w:pPr>
        <w:bidi w:val="0"/>
        <w:rPr>
          <w:rFonts w:hint="eastAsia"/>
          <w:color w:val="auto"/>
          <w:highlight w:val="none"/>
        </w:rPr>
      </w:pPr>
    </w:p>
    <w:p w14:paraId="1BAFF4CC">
      <w:pPr>
        <w:bidi w:val="0"/>
        <w:rPr>
          <w:rFonts w:hint="eastAsia"/>
          <w:color w:val="auto"/>
          <w:highlight w:val="none"/>
        </w:rPr>
      </w:pPr>
    </w:p>
    <w:p w14:paraId="1F13E7EE">
      <w:pPr>
        <w:pStyle w:val="2"/>
        <w:wordWrap w:val="0"/>
        <w:autoSpaceDE/>
        <w:autoSpaceDN/>
        <w:snapToGrid w:val="0"/>
        <w:spacing w:line="440" w:lineRule="exact"/>
        <w:jc w:val="center"/>
        <w:rPr>
          <w:rFonts w:ascii="Times New Roman"/>
          <w:b/>
          <w:snapToGrid w:val="0"/>
          <w:color w:val="auto"/>
          <w:sz w:val="32"/>
          <w:szCs w:val="22"/>
          <w:highlight w:val="none"/>
        </w:rPr>
      </w:pPr>
      <w:bookmarkStart w:id="0" w:name="_Toc10652"/>
      <w:r>
        <w:rPr>
          <w:rFonts w:hint="eastAsia" w:ascii="Times New Roman"/>
          <w:b/>
          <w:snapToGrid w:val="0"/>
          <w:color w:val="auto"/>
          <w:sz w:val="32"/>
          <w:szCs w:val="22"/>
          <w:highlight w:val="none"/>
        </w:rPr>
        <w:t>第一章 投标人须知</w:t>
      </w:r>
      <w:bookmarkEnd w:id="0"/>
    </w:p>
    <w:p w14:paraId="63D555D4">
      <w:pPr>
        <w:pStyle w:val="3"/>
        <w:wordWrap w:val="0"/>
        <w:autoSpaceDE/>
        <w:autoSpaceDN/>
        <w:snapToGrid w:val="0"/>
        <w:spacing w:before="260" w:after="260" w:line="440" w:lineRule="exact"/>
        <w:jc w:val="both"/>
        <w:rPr>
          <w:rFonts w:ascii="Times New Roman"/>
          <w:b/>
          <w:snapToGrid w:val="0"/>
          <w:color w:val="auto"/>
          <w:highlight w:val="none"/>
        </w:rPr>
      </w:pPr>
      <w:bookmarkStart w:id="1" w:name="_Hlt127175444"/>
      <w:bookmarkEnd w:id="1"/>
      <w:bookmarkStart w:id="2" w:name="_Toc4883"/>
      <w:bookmarkStart w:id="3" w:name="_Toc5307"/>
      <w:bookmarkStart w:id="4" w:name="_Hlt120077520"/>
      <w:r>
        <w:rPr>
          <w:rFonts w:hint="eastAsia" w:ascii="Times New Roman"/>
          <w:b/>
          <w:snapToGrid w:val="0"/>
          <w:color w:val="auto"/>
          <w:highlight w:val="none"/>
        </w:rPr>
        <w:t>第一节 投标人须知前附表</w:t>
      </w:r>
      <w:bookmarkEnd w:id="2"/>
      <w:bookmarkEnd w:id="3"/>
    </w:p>
    <w:tbl>
      <w:tblPr>
        <w:tblStyle w:val="32"/>
        <w:tblW w:w="9302" w:type="dxa"/>
        <w:tblInd w:w="-7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21"/>
        <w:gridCol w:w="1725"/>
        <w:gridCol w:w="6856"/>
      </w:tblGrid>
      <w:tr w14:paraId="645E6C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586B6D7">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序号</w:t>
            </w:r>
          </w:p>
        </w:tc>
        <w:tc>
          <w:tcPr>
            <w:tcW w:w="1725" w:type="dxa"/>
            <w:tcBorders>
              <w:top w:val="single" w:color="auto" w:sz="4" w:space="0"/>
              <w:left w:val="single" w:color="auto" w:sz="4" w:space="0"/>
              <w:bottom w:val="single" w:color="auto" w:sz="4" w:space="0"/>
              <w:right w:val="single" w:color="auto" w:sz="4" w:space="0"/>
            </w:tcBorders>
            <w:vAlign w:val="center"/>
          </w:tcPr>
          <w:p w14:paraId="57A8B09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内容</w:t>
            </w:r>
          </w:p>
        </w:tc>
        <w:tc>
          <w:tcPr>
            <w:tcW w:w="6856" w:type="dxa"/>
            <w:tcBorders>
              <w:top w:val="single" w:color="auto" w:sz="4" w:space="0"/>
              <w:left w:val="single" w:color="auto" w:sz="4" w:space="0"/>
              <w:bottom w:val="single" w:color="auto" w:sz="4" w:space="0"/>
              <w:right w:val="single" w:color="auto" w:sz="4" w:space="0"/>
            </w:tcBorders>
            <w:vAlign w:val="center"/>
          </w:tcPr>
          <w:p w14:paraId="3F8C0C7E">
            <w:pPr>
              <w:keepNext w:val="0"/>
              <w:keepLines w:val="0"/>
              <w:pageBreakBefore w:val="0"/>
              <w:widowControl w:val="0"/>
              <w:tabs>
                <w:tab w:val="left" w:pos="1180"/>
              </w:tabs>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说明与要求</w:t>
            </w:r>
          </w:p>
        </w:tc>
      </w:tr>
      <w:tr w14:paraId="43D6D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3DD6CC94">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w:t>
            </w:r>
          </w:p>
        </w:tc>
        <w:tc>
          <w:tcPr>
            <w:tcW w:w="1725" w:type="dxa"/>
            <w:tcBorders>
              <w:top w:val="single" w:color="auto" w:sz="4" w:space="0"/>
              <w:left w:val="single" w:color="auto" w:sz="4" w:space="0"/>
              <w:bottom w:val="single" w:color="auto" w:sz="4" w:space="0"/>
              <w:right w:val="single" w:color="auto" w:sz="4" w:space="0"/>
            </w:tcBorders>
            <w:vAlign w:val="center"/>
          </w:tcPr>
          <w:p w14:paraId="35EFC05F">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项目名称</w:t>
            </w:r>
          </w:p>
        </w:tc>
        <w:tc>
          <w:tcPr>
            <w:tcW w:w="6856" w:type="dxa"/>
            <w:tcBorders>
              <w:top w:val="single" w:color="auto" w:sz="4" w:space="0"/>
              <w:left w:val="single" w:color="auto" w:sz="4" w:space="0"/>
              <w:bottom w:val="single" w:color="auto" w:sz="4" w:space="0"/>
              <w:right w:val="single" w:color="auto" w:sz="4" w:space="0"/>
            </w:tcBorders>
            <w:vAlign w:val="center"/>
          </w:tcPr>
          <w:p w14:paraId="4EA79A8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val="en-US" w:eastAsia="zh-CN"/>
              </w:rPr>
              <w:t>南雄市“银杏染秋”乡村振兴示范带建设项目-澜河镇典型村建设项目监理</w:t>
            </w:r>
          </w:p>
        </w:tc>
      </w:tr>
      <w:tr w14:paraId="43690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7D0E76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w:t>
            </w:r>
          </w:p>
        </w:tc>
        <w:tc>
          <w:tcPr>
            <w:tcW w:w="1725" w:type="dxa"/>
            <w:tcBorders>
              <w:top w:val="single" w:color="auto" w:sz="4" w:space="0"/>
              <w:left w:val="single" w:color="auto" w:sz="4" w:space="0"/>
              <w:bottom w:val="single" w:color="auto" w:sz="4" w:space="0"/>
              <w:right w:val="single" w:color="auto" w:sz="4" w:space="0"/>
            </w:tcBorders>
            <w:vAlign w:val="center"/>
          </w:tcPr>
          <w:p w14:paraId="485E14F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项目业主</w:t>
            </w:r>
          </w:p>
        </w:tc>
        <w:tc>
          <w:tcPr>
            <w:tcW w:w="6856" w:type="dxa"/>
            <w:tcBorders>
              <w:top w:val="single" w:color="auto" w:sz="4" w:space="0"/>
              <w:left w:val="single" w:color="auto" w:sz="4" w:space="0"/>
              <w:bottom w:val="single" w:color="auto" w:sz="4" w:space="0"/>
              <w:right w:val="single" w:color="auto" w:sz="4" w:space="0"/>
            </w:tcBorders>
            <w:vAlign w:val="center"/>
          </w:tcPr>
          <w:p w14:paraId="6BA364F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int="default" w:hAnsi="宋体" w:eastAsia="宋体" w:cs="宋体"/>
                <w:snapToGrid w:val="0"/>
                <w:color w:val="auto"/>
                <w:kern w:val="0"/>
                <w:szCs w:val="24"/>
                <w:highlight w:val="none"/>
                <w:lang w:val="en-US" w:eastAsia="zh-CN"/>
              </w:rPr>
            </w:pPr>
            <w:r>
              <w:rPr>
                <w:rFonts w:hint="eastAsia" w:hAnsi="宋体" w:cs="宋体"/>
                <w:color w:val="auto"/>
                <w:kern w:val="2"/>
                <w:sz w:val="24"/>
                <w:szCs w:val="22"/>
                <w:highlight w:val="none"/>
                <w:lang w:val="en-US" w:eastAsia="zh-CN" w:bidi="ar-SA"/>
              </w:rPr>
              <w:t>南雄市澜河镇人民政府</w:t>
            </w:r>
          </w:p>
        </w:tc>
      </w:tr>
      <w:tr w14:paraId="336E2C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DFF910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3</w:t>
            </w:r>
          </w:p>
        </w:tc>
        <w:tc>
          <w:tcPr>
            <w:tcW w:w="1725" w:type="dxa"/>
            <w:tcBorders>
              <w:top w:val="single" w:color="auto" w:sz="4" w:space="0"/>
              <w:left w:val="single" w:color="auto" w:sz="4" w:space="0"/>
              <w:bottom w:val="single" w:color="auto" w:sz="4" w:space="0"/>
              <w:right w:val="single" w:color="auto" w:sz="4" w:space="0"/>
            </w:tcBorders>
            <w:vAlign w:val="center"/>
          </w:tcPr>
          <w:p w14:paraId="18C0DA7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项目批准部门</w:t>
            </w:r>
          </w:p>
        </w:tc>
        <w:tc>
          <w:tcPr>
            <w:tcW w:w="6856" w:type="dxa"/>
            <w:tcBorders>
              <w:top w:val="single" w:color="auto" w:sz="4" w:space="0"/>
              <w:left w:val="single" w:color="auto" w:sz="4" w:space="0"/>
              <w:bottom w:val="single" w:color="auto" w:sz="4" w:space="0"/>
              <w:right w:val="single" w:color="auto" w:sz="4" w:space="0"/>
            </w:tcBorders>
            <w:vAlign w:val="center"/>
          </w:tcPr>
          <w:p w14:paraId="2E29E32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南雄市发展和改革局</w:t>
            </w:r>
          </w:p>
        </w:tc>
      </w:tr>
      <w:tr w14:paraId="5DD750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604FD8BE">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4</w:t>
            </w:r>
          </w:p>
        </w:tc>
        <w:tc>
          <w:tcPr>
            <w:tcW w:w="1725" w:type="dxa"/>
            <w:tcBorders>
              <w:top w:val="single" w:color="auto" w:sz="4" w:space="0"/>
              <w:left w:val="single" w:color="auto" w:sz="4" w:space="0"/>
              <w:bottom w:val="single" w:color="auto" w:sz="4" w:space="0"/>
              <w:right w:val="single" w:color="auto" w:sz="4" w:space="0"/>
            </w:tcBorders>
            <w:vAlign w:val="center"/>
          </w:tcPr>
          <w:p w14:paraId="57BCCD6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项目批准文号</w:t>
            </w:r>
          </w:p>
        </w:tc>
        <w:tc>
          <w:tcPr>
            <w:tcW w:w="6856" w:type="dxa"/>
            <w:tcBorders>
              <w:top w:val="single" w:color="auto" w:sz="4" w:space="0"/>
              <w:left w:val="single" w:color="auto" w:sz="4" w:space="0"/>
              <w:bottom w:val="single" w:color="auto" w:sz="4" w:space="0"/>
              <w:right w:val="single" w:color="auto" w:sz="4" w:space="0"/>
            </w:tcBorders>
            <w:vAlign w:val="center"/>
          </w:tcPr>
          <w:p w14:paraId="57D8DDB2">
            <w:pPr>
              <w:pStyle w:val="118"/>
              <w:keepNext w:val="0"/>
              <w:keepLines w:val="0"/>
              <w:pageBreakBefore w:val="0"/>
              <w:widowControl w:val="0"/>
              <w:kinsoku/>
              <w:overflowPunct/>
              <w:topLinePunct w:val="0"/>
              <w:autoSpaceDE/>
              <w:autoSpaceDN/>
              <w:bidi w:val="0"/>
              <w:spacing w:line="50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szCs w:val="24"/>
                <w:highlight w:val="none"/>
                <w:lang w:val="en-US" w:eastAsia="zh-CN" w:bidi="ar-SA"/>
              </w:rPr>
              <w:t>雄发改投审〔2024〕106号</w:t>
            </w:r>
            <w:r>
              <w:rPr>
                <w:rFonts w:hint="eastAsia" w:ascii="宋体" w:hAnsi="宋体" w:cs="宋体"/>
                <w:snapToGrid w:val="0"/>
                <w:color w:val="auto"/>
                <w:kern w:val="0"/>
                <w:sz w:val="24"/>
                <w:szCs w:val="24"/>
                <w:highlight w:val="none"/>
                <w:lang w:val="en-US" w:eastAsia="zh-CN" w:bidi="ar-SA"/>
              </w:rPr>
              <w:t>、雄发改投审〔2026〕95号</w:t>
            </w:r>
          </w:p>
        </w:tc>
      </w:tr>
      <w:tr w14:paraId="623462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503694D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5</w:t>
            </w:r>
          </w:p>
        </w:tc>
        <w:tc>
          <w:tcPr>
            <w:tcW w:w="1725" w:type="dxa"/>
            <w:tcBorders>
              <w:top w:val="single" w:color="auto" w:sz="4" w:space="0"/>
              <w:left w:val="single" w:color="auto" w:sz="4" w:space="0"/>
              <w:bottom w:val="single" w:color="auto" w:sz="4" w:space="0"/>
              <w:right w:val="single" w:color="auto" w:sz="4" w:space="0"/>
            </w:tcBorders>
            <w:vAlign w:val="center"/>
          </w:tcPr>
          <w:p w14:paraId="72D2C587">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项目代码</w:t>
            </w:r>
          </w:p>
        </w:tc>
        <w:tc>
          <w:tcPr>
            <w:tcW w:w="6856" w:type="dxa"/>
            <w:tcBorders>
              <w:top w:val="single" w:color="auto" w:sz="4" w:space="0"/>
              <w:left w:val="single" w:color="auto" w:sz="4" w:space="0"/>
              <w:bottom w:val="single" w:color="auto" w:sz="4" w:space="0"/>
              <w:right w:val="single" w:color="auto" w:sz="4" w:space="0"/>
            </w:tcBorders>
            <w:vAlign w:val="center"/>
          </w:tcPr>
          <w:p w14:paraId="7B8909F4">
            <w:pPr>
              <w:pStyle w:val="118"/>
              <w:keepNext w:val="0"/>
              <w:keepLines w:val="0"/>
              <w:pageBreakBefore w:val="0"/>
              <w:widowControl w:val="0"/>
              <w:kinsoku/>
              <w:overflowPunct/>
              <w:topLinePunct w:val="0"/>
              <w:autoSpaceDE/>
              <w:autoSpaceDN/>
              <w:bidi w:val="0"/>
              <w:spacing w:line="50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highlight w:val="none"/>
                <w:lang w:eastAsia="zh-CN"/>
              </w:rPr>
              <w:t>2407-440282-20-01-288869</w:t>
            </w:r>
          </w:p>
        </w:tc>
      </w:tr>
      <w:tr w14:paraId="1BFEA9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1493F984">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w:t>
            </w:r>
          </w:p>
        </w:tc>
        <w:tc>
          <w:tcPr>
            <w:tcW w:w="1725" w:type="dxa"/>
            <w:tcBorders>
              <w:top w:val="single" w:color="auto" w:sz="4" w:space="0"/>
              <w:left w:val="single" w:color="auto" w:sz="4" w:space="0"/>
              <w:bottom w:val="single" w:color="auto" w:sz="4" w:space="0"/>
              <w:right w:val="single" w:color="auto" w:sz="4" w:space="0"/>
            </w:tcBorders>
            <w:vAlign w:val="center"/>
          </w:tcPr>
          <w:p w14:paraId="1BD7AB34">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color w:val="auto"/>
                <w:kern w:val="0"/>
                <w:szCs w:val="24"/>
                <w:highlight w:val="none"/>
              </w:rPr>
            </w:pPr>
            <w:r>
              <w:rPr>
                <w:rFonts w:hint="eastAsia" w:hAnsi="宋体" w:cs="宋体"/>
                <w:color w:val="auto"/>
                <w:kern w:val="0"/>
                <w:szCs w:val="24"/>
                <w:highlight w:val="none"/>
              </w:rPr>
              <w:t>资金来源</w:t>
            </w:r>
          </w:p>
          <w:p w14:paraId="4A9233F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color w:val="auto"/>
                <w:kern w:val="0"/>
                <w:szCs w:val="24"/>
                <w:highlight w:val="none"/>
              </w:rPr>
            </w:pPr>
            <w:r>
              <w:rPr>
                <w:rFonts w:hint="eastAsia" w:hAnsi="宋体" w:cs="宋体"/>
                <w:color w:val="auto"/>
                <w:kern w:val="0"/>
                <w:szCs w:val="24"/>
                <w:highlight w:val="none"/>
              </w:rPr>
              <w:t>及出资比例</w:t>
            </w:r>
          </w:p>
        </w:tc>
        <w:tc>
          <w:tcPr>
            <w:tcW w:w="6856" w:type="dxa"/>
            <w:tcBorders>
              <w:top w:val="single" w:color="auto" w:sz="4" w:space="0"/>
              <w:left w:val="single" w:color="auto" w:sz="4" w:space="0"/>
              <w:bottom w:val="single" w:color="auto" w:sz="4" w:space="0"/>
              <w:right w:val="single" w:color="auto" w:sz="4" w:space="0"/>
            </w:tcBorders>
            <w:vAlign w:val="center"/>
          </w:tcPr>
          <w:p w14:paraId="76B77C04">
            <w:pPr>
              <w:keepNext w:val="0"/>
              <w:keepLines w:val="0"/>
              <w:pageBreakBefore w:val="0"/>
              <w:widowControl w:val="0"/>
              <w:tabs>
                <w:tab w:val="left" w:pos="5679"/>
              </w:tabs>
              <w:kinsoku/>
              <w:wordWrap w:val="0"/>
              <w:overflowPunct/>
              <w:topLinePunct w:val="0"/>
              <w:autoSpaceDE/>
              <w:autoSpaceDN/>
              <w:bidi w:val="0"/>
              <w:adjustRightInd w:val="0"/>
              <w:snapToGrid w:val="0"/>
              <w:spacing w:line="240" w:lineRule="auto"/>
              <w:ind w:firstLine="480" w:firstLineChars="200"/>
              <w:jc w:val="left"/>
              <w:textAlignment w:val="auto"/>
              <w:rPr>
                <w:rFonts w:hint="default" w:hAnsi="宋体" w:eastAsia="宋体" w:cs="宋体"/>
                <w:color w:val="auto"/>
                <w:kern w:val="0"/>
                <w:szCs w:val="24"/>
                <w:highlight w:val="none"/>
                <w:lang w:val="en-US" w:eastAsia="zh-CN"/>
              </w:rPr>
            </w:pPr>
            <w:r>
              <w:rPr>
                <w:rFonts w:hint="eastAsia" w:hAnsi="宋体" w:cs="宋体"/>
                <w:color w:val="auto"/>
                <w:kern w:val="0"/>
                <w:szCs w:val="24"/>
                <w:highlight w:val="none"/>
                <w:lang w:eastAsia="zh-CN"/>
              </w:rPr>
              <w:t>市财政统筹；</w:t>
            </w:r>
            <w:r>
              <w:rPr>
                <w:rFonts w:hint="eastAsia" w:hAnsi="宋体" w:cs="宋体"/>
                <w:color w:val="auto"/>
                <w:kern w:val="0"/>
                <w:szCs w:val="24"/>
                <w:highlight w:val="none"/>
              </w:rPr>
              <w:t>100%</w:t>
            </w:r>
            <w:r>
              <w:rPr>
                <w:rFonts w:hint="eastAsia" w:hAnsi="宋体" w:cs="宋体"/>
                <w:color w:val="auto"/>
                <w:kern w:val="0"/>
                <w:szCs w:val="24"/>
                <w:highlight w:val="none"/>
                <w:lang w:eastAsia="zh-CN"/>
              </w:rPr>
              <w:tab/>
            </w:r>
            <w:r>
              <w:rPr>
                <w:rFonts w:hint="eastAsia" w:hAnsi="宋体" w:cs="宋体"/>
                <w:color w:val="auto"/>
                <w:kern w:val="0"/>
                <w:szCs w:val="24"/>
                <w:highlight w:val="none"/>
                <w:lang w:val="en-US" w:eastAsia="zh-CN"/>
              </w:rPr>
              <w:t xml:space="preserve">   </w:t>
            </w:r>
          </w:p>
        </w:tc>
      </w:tr>
      <w:tr w14:paraId="72479D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06" w:hRule="atLeast"/>
        </w:trPr>
        <w:tc>
          <w:tcPr>
            <w:tcW w:w="721" w:type="dxa"/>
            <w:tcBorders>
              <w:top w:val="single" w:color="auto" w:sz="4" w:space="0"/>
              <w:left w:val="single" w:color="auto" w:sz="4" w:space="0"/>
              <w:bottom w:val="single" w:color="auto" w:sz="4" w:space="0"/>
              <w:right w:val="single" w:color="auto" w:sz="4" w:space="0"/>
            </w:tcBorders>
            <w:vAlign w:val="center"/>
          </w:tcPr>
          <w:p w14:paraId="4637D8F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7</w:t>
            </w:r>
          </w:p>
        </w:tc>
        <w:tc>
          <w:tcPr>
            <w:tcW w:w="1725" w:type="dxa"/>
            <w:tcBorders>
              <w:top w:val="single" w:color="auto" w:sz="4" w:space="0"/>
              <w:left w:val="single" w:color="auto" w:sz="4" w:space="0"/>
              <w:bottom w:val="single" w:color="auto" w:sz="4" w:space="0"/>
              <w:right w:val="single" w:color="auto" w:sz="4" w:space="0"/>
            </w:tcBorders>
            <w:vAlign w:val="center"/>
          </w:tcPr>
          <w:p w14:paraId="77253800">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招标人</w:t>
            </w:r>
          </w:p>
        </w:tc>
        <w:tc>
          <w:tcPr>
            <w:tcW w:w="6856" w:type="dxa"/>
            <w:tcBorders>
              <w:top w:val="single" w:color="auto" w:sz="4" w:space="0"/>
              <w:left w:val="single" w:color="auto" w:sz="4" w:space="0"/>
              <w:bottom w:val="single" w:color="auto" w:sz="4" w:space="0"/>
              <w:right w:val="single" w:color="auto" w:sz="4" w:space="0"/>
            </w:tcBorders>
            <w:vAlign w:val="center"/>
          </w:tcPr>
          <w:p w14:paraId="5A9928FC">
            <w:pPr>
              <w:pStyle w:val="118"/>
              <w:keepNext w:val="0"/>
              <w:keepLines w:val="0"/>
              <w:pageBreakBefore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南雄市澜河镇人民政府</w:t>
            </w:r>
          </w:p>
        </w:tc>
      </w:tr>
      <w:tr w14:paraId="5E106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7430DF1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8</w:t>
            </w:r>
          </w:p>
        </w:tc>
        <w:tc>
          <w:tcPr>
            <w:tcW w:w="1725" w:type="dxa"/>
            <w:tcBorders>
              <w:top w:val="single" w:color="auto" w:sz="4" w:space="0"/>
              <w:left w:val="single" w:color="auto" w:sz="4" w:space="0"/>
              <w:bottom w:val="single" w:color="auto" w:sz="4" w:space="0"/>
              <w:right w:val="single" w:color="auto" w:sz="4" w:space="0"/>
            </w:tcBorders>
            <w:vAlign w:val="center"/>
          </w:tcPr>
          <w:p w14:paraId="261C8C5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招标代理机构</w:t>
            </w:r>
          </w:p>
        </w:tc>
        <w:tc>
          <w:tcPr>
            <w:tcW w:w="6856" w:type="dxa"/>
            <w:tcBorders>
              <w:top w:val="single" w:color="auto" w:sz="4" w:space="0"/>
              <w:left w:val="single" w:color="auto" w:sz="4" w:space="0"/>
              <w:bottom w:val="single" w:color="auto" w:sz="4" w:space="0"/>
              <w:right w:val="single" w:color="auto" w:sz="4" w:space="0"/>
            </w:tcBorders>
            <w:vAlign w:val="center"/>
          </w:tcPr>
          <w:p w14:paraId="6F767643">
            <w:pPr>
              <w:pStyle w:val="118"/>
              <w:keepNext w:val="0"/>
              <w:keepLines w:val="0"/>
              <w:pageBreakBefore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广东省南沣建设管理有限公司</w:t>
            </w:r>
          </w:p>
        </w:tc>
      </w:tr>
      <w:tr w14:paraId="044E25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5705A2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9</w:t>
            </w:r>
          </w:p>
        </w:tc>
        <w:tc>
          <w:tcPr>
            <w:tcW w:w="1725" w:type="dxa"/>
            <w:tcBorders>
              <w:top w:val="single" w:color="auto" w:sz="4" w:space="0"/>
              <w:left w:val="single" w:color="auto" w:sz="4" w:space="0"/>
              <w:bottom w:val="single" w:color="auto" w:sz="4" w:space="0"/>
              <w:right w:val="single" w:color="auto" w:sz="4" w:space="0"/>
            </w:tcBorders>
            <w:vAlign w:val="center"/>
          </w:tcPr>
          <w:p w14:paraId="7EE75531">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施工单位</w:t>
            </w:r>
          </w:p>
        </w:tc>
        <w:tc>
          <w:tcPr>
            <w:tcW w:w="6856" w:type="dxa"/>
            <w:tcBorders>
              <w:top w:val="single" w:color="auto" w:sz="4" w:space="0"/>
              <w:left w:val="single" w:color="auto" w:sz="4" w:space="0"/>
              <w:bottom w:val="single" w:color="auto" w:sz="4" w:space="0"/>
              <w:right w:val="single" w:color="auto" w:sz="4" w:space="0"/>
            </w:tcBorders>
            <w:vAlign w:val="center"/>
          </w:tcPr>
          <w:p w14:paraId="6D1878C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int="eastAsia" w:hAnsi="宋体" w:eastAsia="宋体" w:cs="宋体"/>
                <w:bCs/>
                <w:snapToGrid w:val="0"/>
                <w:color w:val="auto"/>
                <w:kern w:val="0"/>
                <w:szCs w:val="24"/>
                <w:highlight w:val="none"/>
                <w:lang w:val="en-US" w:eastAsia="zh-CN"/>
              </w:rPr>
            </w:pPr>
            <w:r>
              <w:rPr>
                <w:rFonts w:hint="eastAsia" w:hAnsi="宋体" w:cs="宋体"/>
                <w:bCs/>
                <w:snapToGrid w:val="0"/>
                <w:color w:val="auto"/>
                <w:kern w:val="0"/>
                <w:szCs w:val="24"/>
                <w:highlight w:val="none"/>
                <w:lang w:val="en-US" w:eastAsia="zh-CN"/>
              </w:rPr>
              <w:t>待定</w:t>
            </w:r>
          </w:p>
        </w:tc>
      </w:tr>
      <w:tr w14:paraId="023F17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210D3EE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10</w:t>
            </w:r>
          </w:p>
        </w:tc>
        <w:tc>
          <w:tcPr>
            <w:tcW w:w="1725" w:type="dxa"/>
            <w:tcBorders>
              <w:top w:val="single" w:color="auto" w:sz="4" w:space="0"/>
              <w:left w:val="single" w:color="auto" w:sz="4" w:space="0"/>
              <w:bottom w:val="single" w:color="auto" w:sz="4" w:space="0"/>
              <w:right w:val="single" w:color="auto" w:sz="4" w:space="0"/>
            </w:tcBorders>
            <w:vAlign w:val="center"/>
          </w:tcPr>
          <w:p w14:paraId="3115F49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建设地点</w:t>
            </w:r>
          </w:p>
        </w:tc>
        <w:tc>
          <w:tcPr>
            <w:tcW w:w="6856" w:type="dxa"/>
            <w:tcBorders>
              <w:top w:val="single" w:color="auto" w:sz="4" w:space="0"/>
              <w:left w:val="single" w:color="auto" w:sz="4" w:space="0"/>
              <w:bottom w:val="single" w:color="auto" w:sz="4" w:space="0"/>
              <w:right w:val="single" w:color="auto" w:sz="4" w:space="0"/>
            </w:tcBorders>
            <w:vAlign w:val="center"/>
          </w:tcPr>
          <w:p w14:paraId="505F32D6">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bCs/>
                <w:snapToGrid w:val="0"/>
                <w:color w:val="auto"/>
                <w:kern w:val="0"/>
                <w:szCs w:val="24"/>
                <w:highlight w:val="none"/>
              </w:rPr>
            </w:pPr>
            <w:r>
              <w:rPr>
                <w:rFonts w:hint="eastAsia" w:hAnsi="宋体" w:cs="宋体"/>
                <w:bCs/>
                <w:snapToGrid w:val="0"/>
                <w:color w:val="auto"/>
                <w:kern w:val="0"/>
                <w:szCs w:val="24"/>
                <w:highlight w:val="none"/>
              </w:rPr>
              <w:t>南雄市</w:t>
            </w:r>
            <w:r>
              <w:rPr>
                <w:rFonts w:hint="eastAsia" w:hAnsi="宋体" w:cs="宋体"/>
                <w:bCs/>
                <w:snapToGrid w:val="0"/>
                <w:color w:val="auto"/>
                <w:kern w:val="0"/>
                <w:szCs w:val="24"/>
                <w:highlight w:val="none"/>
                <w:lang w:val="en-US" w:eastAsia="zh-CN"/>
              </w:rPr>
              <w:t>澜河镇</w:t>
            </w:r>
          </w:p>
        </w:tc>
      </w:tr>
      <w:tr w14:paraId="65D7BE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14B1F5F5">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w:t>
            </w:r>
          </w:p>
        </w:tc>
        <w:tc>
          <w:tcPr>
            <w:tcW w:w="1725" w:type="dxa"/>
            <w:tcBorders>
              <w:top w:val="single" w:color="auto" w:sz="4" w:space="0"/>
              <w:left w:val="single" w:color="auto" w:sz="4" w:space="0"/>
              <w:bottom w:val="single" w:color="auto" w:sz="4" w:space="0"/>
              <w:right w:val="single" w:color="auto" w:sz="4" w:space="0"/>
            </w:tcBorders>
            <w:vAlign w:val="center"/>
          </w:tcPr>
          <w:p w14:paraId="001C56B3">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建设内容和规模</w:t>
            </w:r>
          </w:p>
        </w:tc>
        <w:tc>
          <w:tcPr>
            <w:tcW w:w="6856" w:type="dxa"/>
            <w:tcBorders>
              <w:top w:val="single" w:color="auto" w:sz="4" w:space="0"/>
              <w:left w:val="single" w:color="auto" w:sz="4" w:space="0"/>
              <w:bottom w:val="single" w:color="auto" w:sz="4" w:space="0"/>
              <w:right w:val="single" w:color="auto" w:sz="4" w:space="0"/>
            </w:tcBorders>
            <w:vAlign w:val="center"/>
          </w:tcPr>
          <w:p w14:paraId="61FF7BC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lang w:val="en-US" w:eastAsia="zh-CN"/>
              </w:rPr>
              <w:t>新铺路面约3148平方米，平整场地约2023平方米，建设护栏约281米，挡土墙、景墙约268米，新砌水沟约120米，排水沟加盖盖板约488米，新砌路缘石约338米，铺设透水砖约179平方米，风貌提升改造约1581平方米，建设花池、宣传栏及绿化提升等。</w:t>
            </w:r>
          </w:p>
        </w:tc>
      </w:tr>
      <w:tr w14:paraId="551D6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2BEE5EB">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w:t>
            </w:r>
          </w:p>
        </w:tc>
        <w:tc>
          <w:tcPr>
            <w:tcW w:w="1725" w:type="dxa"/>
            <w:tcBorders>
              <w:top w:val="single" w:color="auto" w:sz="4" w:space="0"/>
              <w:left w:val="single" w:color="auto" w:sz="4" w:space="0"/>
              <w:bottom w:val="single" w:color="auto" w:sz="4" w:space="0"/>
              <w:right w:val="single" w:color="auto" w:sz="4" w:space="0"/>
            </w:tcBorders>
            <w:vAlign w:val="center"/>
          </w:tcPr>
          <w:p w14:paraId="1821EF45">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项目总投资</w:t>
            </w:r>
          </w:p>
        </w:tc>
        <w:tc>
          <w:tcPr>
            <w:tcW w:w="6856" w:type="dxa"/>
            <w:tcBorders>
              <w:top w:val="single" w:color="auto" w:sz="4" w:space="0"/>
              <w:left w:val="single" w:color="auto" w:sz="4" w:space="0"/>
              <w:bottom w:val="single" w:color="auto" w:sz="4" w:space="0"/>
              <w:right w:val="single" w:color="auto" w:sz="4" w:space="0"/>
            </w:tcBorders>
            <w:vAlign w:val="center"/>
          </w:tcPr>
          <w:p w14:paraId="04124A96">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default" w:hAnsi="宋体" w:cs="宋体"/>
                <w:snapToGrid w:val="0"/>
                <w:color w:val="auto"/>
                <w:kern w:val="0"/>
                <w:szCs w:val="24"/>
                <w:highlight w:val="none"/>
                <w:lang w:val="en-US"/>
              </w:rPr>
            </w:pPr>
            <w:r>
              <w:rPr>
                <w:rFonts w:hint="eastAsia" w:hAnsi="宋体" w:cs="宋体"/>
                <w:color w:val="auto"/>
                <w:kern w:val="0"/>
                <w:sz w:val="24"/>
                <w:szCs w:val="24"/>
                <w:highlight w:val="none"/>
                <w:lang w:val="en-US" w:eastAsia="zh-CN" w:bidi="ar-SA"/>
              </w:rPr>
              <w:t>项目概算投资261.42万元。其中建安工程费用为224.79万元。</w:t>
            </w:r>
          </w:p>
        </w:tc>
      </w:tr>
      <w:tr w14:paraId="2CAB2A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17C28341">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w:t>
            </w:r>
          </w:p>
        </w:tc>
        <w:tc>
          <w:tcPr>
            <w:tcW w:w="1725" w:type="dxa"/>
            <w:tcBorders>
              <w:top w:val="single" w:color="auto" w:sz="4" w:space="0"/>
              <w:left w:val="single" w:color="auto" w:sz="4" w:space="0"/>
              <w:bottom w:val="single" w:color="auto" w:sz="4" w:space="0"/>
              <w:right w:val="single" w:color="auto" w:sz="4" w:space="0"/>
            </w:tcBorders>
            <w:vAlign w:val="center"/>
          </w:tcPr>
          <w:p w14:paraId="48692287">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招标范围</w:t>
            </w:r>
          </w:p>
        </w:tc>
        <w:tc>
          <w:tcPr>
            <w:tcW w:w="6856" w:type="dxa"/>
            <w:tcBorders>
              <w:top w:val="single" w:color="auto" w:sz="4" w:space="0"/>
              <w:left w:val="single" w:color="auto" w:sz="4" w:space="0"/>
              <w:bottom w:val="single" w:color="auto" w:sz="4" w:space="0"/>
              <w:right w:val="single" w:color="auto" w:sz="4" w:space="0"/>
            </w:tcBorders>
            <w:vAlign w:val="center"/>
          </w:tcPr>
          <w:p w14:paraId="2C6997D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项目建设施工阶段监理（含施工准备阶段、施工阶段、工程竣工结算阶段和保修阶段监理）</w:t>
            </w:r>
          </w:p>
        </w:tc>
      </w:tr>
      <w:tr w14:paraId="19DFB7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27FBAB8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14</w:t>
            </w:r>
          </w:p>
        </w:tc>
        <w:tc>
          <w:tcPr>
            <w:tcW w:w="1725" w:type="dxa"/>
            <w:tcBorders>
              <w:top w:val="single" w:color="auto" w:sz="4" w:space="0"/>
              <w:left w:val="single" w:color="auto" w:sz="4" w:space="0"/>
              <w:bottom w:val="single" w:color="auto" w:sz="4" w:space="0"/>
              <w:right w:val="single" w:color="auto" w:sz="4" w:space="0"/>
            </w:tcBorders>
            <w:vAlign w:val="center"/>
          </w:tcPr>
          <w:p w14:paraId="1ABE1D3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标段划分</w:t>
            </w:r>
          </w:p>
        </w:tc>
        <w:tc>
          <w:tcPr>
            <w:tcW w:w="6856" w:type="dxa"/>
            <w:tcBorders>
              <w:top w:val="single" w:color="auto" w:sz="4" w:space="0"/>
              <w:left w:val="single" w:color="auto" w:sz="4" w:space="0"/>
              <w:bottom w:val="single" w:color="auto" w:sz="4" w:space="0"/>
              <w:right w:val="single" w:color="auto" w:sz="4" w:space="0"/>
            </w:tcBorders>
            <w:vAlign w:val="center"/>
          </w:tcPr>
          <w:p w14:paraId="5F3BE59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本招标项目不划分标段。</w:t>
            </w:r>
          </w:p>
        </w:tc>
      </w:tr>
      <w:tr w14:paraId="30738F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21244A96">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15</w:t>
            </w:r>
          </w:p>
        </w:tc>
        <w:tc>
          <w:tcPr>
            <w:tcW w:w="1725" w:type="dxa"/>
            <w:tcBorders>
              <w:top w:val="single" w:color="auto" w:sz="4" w:space="0"/>
              <w:left w:val="single" w:color="auto" w:sz="4" w:space="0"/>
              <w:bottom w:val="single" w:color="auto" w:sz="4" w:space="0"/>
              <w:right w:val="single" w:color="auto" w:sz="4" w:space="0"/>
            </w:tcBorders>
            <w:vAlign w:val="center"/>
          </w:tcPr>
          <w:p w14:paraId="2ED9C9EC">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投标人资格要求</w:t>
            </w:r>
          </w:p>
        </w:tc>
        <w:tc>
          <w:tcPr>
            <w:tcW w:w="6856" w:type="dxa"/>
            <w:tcBorders>
              <w:top w:val="single" w:color="auto" w:sz="4" w:space="0"/>
              <w:left w:val="single" w:color="auto" w:sz="4" w:space="0"/>
              <w:bottom w:val="single" w:color="auto" w:sz="4" w:space="0"/>
              <w:right w:val="single" w:color="auto" w:sz="4" w:space="0"/>
            </w:tcBorders>
            <w:vAlign w:val="center"/>
          </w:tcPr>
          <w:p w14:paraId="0D206C1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color w:val="auto"/>
                <w:szCs w:val="24"/>
                <w:highlight w:val="none"/>
              </w:rPr>
            </w:pPr>
            <w:r>
              <w:rPr>
                <w:rFonts w:hint="eastAsia" w:hAnsi="宋体" w:cs="宋体"/>
                <w:color w:val="auto"/>
                <w:szCs w:val="24"/>
                <w:highlight w:val="none"/>
              </w:rPr>
              <w:t>1．本次招标不接受联合体投标。</w:t>
            </w:r>
          </w:p>
          <w:p w14:paraId="529DCE1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color w:val="auto"/>
                <w:szCs w:val="24"/>
                <w:highlight w:val="none"/>
              </w:rPr>
            </w:pPr>
            <w:r>
              <w:rPr>
                <w:rFonts w:hint="eastAsia" w:hAnsi="宋体" w:cs="宋体"/>
                <w:color w:val="auto"/>
                <w:szCs w:val="24"/>
                <w:highlight w:val="none"/>
              </w:rPr>
              <w:t>2．资质要求</w:t>
            </w:r>
          </w:p>
          <w:p w14:paraId="642C475E">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2.1 投标人须具备独立法人资格，按国家法律经营。</w:t>
            </w:r>
          </w:p>
          <w:p w14:paraId="1B05D0B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auto"/>
                <w:szCs w:val="24"/>
                <w:highlight w:val="none"/>
              </w:rPr>
            </w:pPr>
            <w:r>
              <w:rPr>
                <w:rFonts w:hint="eastAsia" w:hAnsi="宋体" w:cs="宋体"/>
                <w:color w:val="auto"/>
                <w:szCs w:val="24"/>
                <w:highlight w:val="none"/>
              </w:rPr>
              <w:t xml:space="preserve">2.2 </w:t>
            </w:r>
            <w:r>
              <w:rPr>
                <w:rFonts w:hint="eastAsia" w:ascii="宋体" w:hAnsi="宋体" w:eastAsia="宋体" w:cs="宋体"/>
                <w:color w:val="auto"/>
                <w:szCs w:val="24"/>
                <w:highlight w:val="none"/>
              </w:rPr>
              <w:t>投标人须具备以下资质之一：①工程监理综合资质；②市政公用工程监理</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级以上（含</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级）资质。</w:t>
            </w:r>
          </w:p>
          <w:p w14:paraId="6716041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2.3 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0F9AA64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3．相关人员要求</w:t>
            </w:r>
          </w:p>
          <w:p w14:paraId="2107FCA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3.1 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6B6E986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拟派总监理工程师现阶段有担任其他在施建设工程项目总监理工程师职务的，须得到任职项目建设单位书面同意后方可担任本招标项目总监理工程师。</w:t>
            </w:r>
          </w:p>
          <w:p w14:paraId="6BE7C6A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3.2 投标人与其拟派往本项目监理机构的所有人员之间必须具备合法、唯一的劳动聘用关系。拟派人员中具备注册执业资格的，其注册单位须与投标人保持一致。</w:t>
            </w:r>
          </w:p>
          <w:p w14:paraId="1ED821A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4．禁止投标条款</w:t>
            </w:r>
          </w:p>
          <w:p w14:paraId="0833C19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4.1 投标人不得存在下列情形之一：</w:t>
            </w:r>
          </w:p>
          <w:p w14:paraId="299514E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（1）为招标人不具有独立法人资格的附属机构（单位）；</w:t>
            </w:r>
          </w:p>
          <w:p w14:paraId="0B2B39D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（2）与招标人存在利害关系且可能影响招标公正性；</w:t>
            </w:r>
          </w:p>
          <w:p w14:paraId="5FC8277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（3）与本招标项目的其他投标人为同一个单位负责人；</w:t>
            </w:r>
          </w:p>
          <w:p w14:paraId="49266B0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（4）与本招标项目的其他投标人存在控股、管理关系；</w:t>
            </w:r>
          </w:p>
          <w:p w14:paraId="343EFA1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（5）为本招标项目的代建人；</w:t>
            </w:r>
          </w:p>
          <w:p w14:paraId="1CB0BD1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（6）为本招标项目的招标代理机构；</w:t>
            </w:r>
          </w:p>
          <w:p w14:paraId="30FB528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（7）与本招标项目的代建人或招标代理机构同为一个法定代表人；</w:t>
            </w:r>
          </w:p>
          <w:p w14:paraId="56595C4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（8）与本招标项目的代建人或招标代理机构存在控股或参股关系；</w:t>
            </w:r>
          </w:p>
          <w:p w14:paraId="0441BB4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（9）与本招标项目的施工承包人以及建筑材料、建筑构配件和设备供应商有隶属关系或者其他利害关系；</w:t>
            </w:r>
          </w:p>
          <w:p w14:paraId="5DCBDC4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（10）被依法暂停或者取消投标资格；</w:t>
            </w:r>
          </w:p>
          <w:p w14:paraId="6CDF16D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（11）被责令停产停业、暂扣或者吊销许可证、暂扣或者吊销执照；</w:t>
            </w:r>
          </w:p>
          <w:p w14:paraId="5519D06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（12）进入清算程序，或被宣告破产，或其他丧失履约能力的情形；</w:t>
            </w:r>
          </w:p>
          <w:p w14:paraId="6DBA64D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（13）在最近三年内发生重大监理质量问题（以相关行业主管部门的行政处罚决定或司法机关出具的有关法律文书为准）；</w:t>
            </w:r>
          </w:p>
          <w:p w14:paraId="3E8ACAD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（14）</w:t>
            </w:r>
            <w:r>
              <w:rPr>
                <w:rFonts w:hint="eastAsia" w:hAnsi="宋体" w:cs="宋体"/>
                <w:color w:val="auto"/>
                <w:kern w:val="0"/>
                <w:highlight w:val="none"/>
              </w:rPr>
              <w:t>被“信用中国”网站（https://www.creditchina.gov.cn）发布的《法人和非法人组织公共信用信息报告》列为严重失信主体名单的</w:t>
            </w:r>
            <w:r>
              <w:rPr>
                <w:rFonts w:hint="eastAsia" w:hAnsi="宋体" w:cs="宋体"/>
                <w:color w:val="auto"/>
                <w:szCs w:val="24"/>
                <w:highlight w:val="none"/>
              </w:rPr>
              <w:t>。</w:t>
            </w:r>
          </w:p>
          <w:p w14:paraId="2949755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color w:val="auto"/>
                <w:szCs w:val="24"/>
                <w:highlight w:val="none"/>
              </w:rPr>
            </w:pPr>
            <w:r>
              <w:rPr>
                <w:rFonts w:hint="eastAsia" w:hAnsi="宋体" w:cs="宋体"/>
                <w:color w:val="auto"/>
                <w:szCs w:val="24"/>
                <w:highlight w:val="none"/>
              </w:rPr>
              <w:t>4.2 招标人拒绝以下名单中的单位参加本次投标：</w:t>
            </w:r>
          </w:p>
          <w:tbl>
            <w:tblPr>
              <w:tblStyle w:val="32"/>
              <w:tblW w:w="6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2769"/>
              <w:gridCol w:w="3129"/>
            </w:tblGrid>
            <w:tr w14:paraId="3D97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6" w:type="dxa"/>
                  <w:noWrap w:val="0"/>
                  <w:vAlign w:val="center"/>
                </w:tcPr>
                <w:p w14:paraId="6AB372BC">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2769" w:type="dxa"/>
                  <w:noWrap w:val="0"/>
                  <w:vAlign w:val="center"/>
                </w:tcPr>
                <w:p w14:paraId="41FE400C">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w:t>
                  </w:r>
                </w:p>
              </w:tc>
              <w:tc>
                <w:tcPr>
                  <w:tcW w:w="3129" w:type="dxa"/>
                  <w:noWrap w:val="0"/>
                  <w:vAlign w:val="center"/>
                </w:tcPr>
                <w:p w14:paraId="718699A3">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拒绝原因</w:t>
                  </w:r>
                </w:p>
              </w:tc>
            </w:tr>
            <w:tr w14:paraId="0751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6" w:type="dxa"/>
                  <w:noWrap w:val="0"/>
                  <w:vAlign w:val="center"/>
                </w:tcPr>
                <w:p w14:paraId="23C4DA3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rPr>
                    <w:t>1</w:t>
                  </w:r>
                </w:p>
              </w:tc>
              <w:tc>
                <w:tcPr>
                  <w:tcW w:w="2769" w:type="dxa"/>
                  <w:noWrap w:val="0"/>
                  <w:vAlign w:val="center"/>
                </w:tcPr>
                <w:p w14:paraId="0077429A">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eastAsia="宋体" w:cs="宋体"/>
                      <w:color w:val="auto"/>
                      <w:sz w:val="24"/>
                      <w:szCs w:val="24"/>
                      <w:highlight w:val="none"/>
                      <w:lang w:eastAsia="zh-CN"/>
                    </w:rPr>
                    <w:t>南雄市澜河镇人民政府</w:t>
                  </w:r>
                </w:p>
              </w:tc>
              <w:tc>
                <w:tcPr>
                  <w:tcW w:w="3129" w:type="dxa"/>
                  <w:noWrap w:val="0"/>
                  <w:vAlign w:val="center"/>
                </w:tcPr>
                <w:p w14:paraId="4C1E0EA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rPr>
                    <w:t>为本招标项目的招标人</w:t>
                  </w:r>
                </w:p>
              </w:tc>
            </w:tr>
            <w:tr w14:paraId="6529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6" w:type="dxa"/>
                  <w:noWrap w:val="0"/>
                  <w:vAlign w:val="center"/>
                </w:tcPr>
                <w:p w14:paraId="4F14588F">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rPr>
                    <w:t>2</w:t>
                  </w:r>
                </w:p>
              </w:tc>
              <w:tc>
                <w:tcPr>
                  <w:tcW w:w="2769" w:type="dxa"/>
                  <w:noWrap w:val="0"/>
                  <w:vAlign w:val="center"/>
                </w:tcPr>
                <w:p w14:paraId="66AECE01">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snapToGrid w:val="0"/>
                      <w:color w:val="auto"/>
                      <w:kern w:val="0"/>
                      <w:sz w:val="24"/>
                      <w:szCs w:val="24"/>
                      <w:highlight w:val="none"/>
                      <w:lang w:val="en-US" w:eastAsia="zh-CN" w:bidi="ar-SA"/>
                    </w:rPr>
                  </w:pPr>
                  <w:r>
                    <w:rPr>
                      <w:rFonts w:hint="eastAsia" w:hAnsi="宋体" w:eastAsia="宋体" w:cs="宋体"/>
                      <w:color w:val="auto"/>
                      <w:sz w:val="24"/>
                      <w:szCs w:val="24"/>
                      <w:highlight w:val="none"/>
                      <w:lang w:eastAsia="zh-CN"/>
                    </w:rPr>
                    <w:t>广东省南沣建设管理有限公司</w:t>
                  </w:r>
                </w:p>
              </w:tc>
              <w:tc>
                <w:tcPr>
                  <w:tcW w:w="3129" w:type="dxa"/>
                  <w:noWrap w:val="0"/>
                  <w:vAlign w:val="center"/>
                </w:tcPr>
                <w:p w14:paraId="443CF49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为本招标项目的招标代理机构</w:t>
                  </w:r>
                </w:p>
              </w:tc>
            </w:tr>
            <w:tr w14:paraId="2381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6" w:type="dxa"/>
                  <w:noWrap w:val="0"/>
                  <w:vAlign w:val="center"/>
                </w:tcPr>
                <w:p w14:paraId="4B33FD2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769" w:type="dxa"/>
                  <w:noWrap w:val="0"/>
                  <w:vAlign w:val="center"/>
                </w:tcPr>
                <w:p w14:paraId="592BC905">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yellow"/>
                      <w:lang w:val="en-US" w:eastAsia="zh-CN" w:bidi="ar-SA"/>
                    </w:rPr>
                  </w:pPr>
                  <w:r>
                    <w:rPr>
                      <w:rFonts w:hint="eastAsia" w:ascii="宋体" w:hAnsi="宋体" w:eastAsia="宋体" w:cs="宋体"/>
                      <w:snapToGrid w:val="0"/>
                      <w:color w:val="auto"/>
                      <w:kern w:val="0"/>
                      <w:sz w:val="24"/>
                      <w:szCs w:val="24"/>
                      <w:highlight w:val="none"/>
                      <w:lang w:val="en-US" w:eastAsia="zh-CN"/>
                    </w:rPr>
                    <w:t>中咨管理顾问有限责任公司</w:t>
                  </w:r>
                </w:p>
              </w:tc>
              <w:tc>
                <w:tcPr>
                  <w:tcW w:w="3129" w:type="dxa"/>
                  <w:noWrap w:val="0"/>
                  <w:vAlign w:val="center"/>
                </w:tcPr>
                <w:p w14:paraId="586AD18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yellow"/>
                      <w:lang w:val="en-US" w:eastAsia="zh-CN" w:bidi="ar-SA"/>
                    </w:rPr>
                  </w:pPr>
                  <w:r>
                    <w:rPr>
                      <w:rFonts w:hint="eastAsia" w:ascii="宋体" w:hAnsi="宋体" w:eastAsia="宋体" w:cs="宋体"/>
                      <w:snapToGrid w:val="0"/>
                      <w:color w:val="auto"/>
                      <w:kern w:val="0"/>
                      <w:sz w:val="24"/>
                      <w:szCs w:val="24"/>
                      <w:highlight w:val="none"/>
                      <w:lang w:val="en-US" w:eastAsia="zh-CN"/>
                    </w:rPr>
                    <w:t>为本项目的可行性研究报告编制单位</w:t>
                  </w:r>
                </w:p>
              </w:tc>
            </w:tr>
            <w:tr w14:paraId="359C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76" w:type="dxa"/>
                  <w:noWrap w:val="0"/>
                  <w:vAlign w:val="center"/>
                </w:tcPr>
                <w:p w14:paraId="39D7DAA8">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2769" w:type="dxa"/>
                  <w:noWrap w:val="0"/>
                  <w:vAlign w:val="center"/>
                </w:tcPr>
                <w:p w14:paraId="53EC72F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广东省国际工程咨询有限公司</w:t>
                  </w:r>
                </w:p>
              </w:tc>
              <w:tc>
                <w:tcPr>
                  <w:tcW w:w="3129" w:type="dxa"/>
                  <w:noWrap w:val="0"/>
                  <w:vAlign w:val="center"/>
                </w:tcPr>
                <w:p w14:paraId="32465E6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为本项目的可行性研究报告修编单位</w:t>
                  </w:r>
                </w:p>
              </w:tc>
            </w:tr>
            <w:tr w14:paraId="3D1E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76" w:type="dxa"/>
                  <w:noWrap w:val="0"/>
                  <w:vAlign w:val="center"/>
                </w:tcPr>
                <w:p w14:paraId="3415CDB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hAnsi="宋体" w:cs="宋体"/>
                      <w:snapToGrid w:val="0"/>
                      <w:color w:val="auto"/>
                      <w:kern w:val="0"/>
                      <w:sz w:val="24"/>
                      <w:szCs w:val="24"/>
                      <w:highlight w:val="none"/>
                      <w:lang w:val="en-US" w:eastAsia="zh-CN"/>
                    </w:rPr>
                    <w:t>5</w:t>
                  </w:r>
                </w:p>
              </w:tc>
              <w:tc>
                <w:tcPr>
                  <w:tcW w:w="2769" w:type="dxa"/>
                  <w:noWrap w:val="0"/>
                  <w:vAlign w:val="center"/>
                </w:tcPr>
                <w:p w14:paraId="145FEB1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中图设计有限公司</w:t>
                  </w:r>
                </w:p>
              </w:tc>
              <w:tc>
                <w:tcPr>
                  <w:tcW w:w="3129" w:type="dxa"/>
                  <w:noWrap w:val="0"/>
                  <w:vAlign w:val="center"/>
                </w:tcPr>
                <w:p w14:paraId="628E2B23">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为本项目的初步设计、概算单位</w:t>
                  </w:r>
                </w:p>
              </w:tc>
            </w:tr>
          </w:tbl>
          <w:p w14:paraId="4BF20E3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5．其他要求</w:t>
            </w:r>
          </w:p>
          <w:p w14:paraId="3CD97D3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058520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33CFB009">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16</w:t>
            </w:r>
          </w:p>
        </w:tc>
        <w:tc>
          <w:tcPr>
            <w:tcW w:w="1725" w:type="dxa"/>
            <w:tcBorders>
              <w:top w:val="single" w:color="auto" w:sz="4" w:space="0"/>
              <w:left w:val="single" w:color="auto" w:sz="4" w:space="0"/>
              <w:bottom w:val="single" w:color="auto" w:sz="4" w:space="0"/>
              <w:right w:val="single" w:color="auto" w:sz="4" w:space="0"/>
            </w:tcBorders>
            <w:vAlign w:val="center"/>
          </w:tcPr>
          <w:p w14:paraId="4B3059CD">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服务期限</w:t>
            </w:r>
          </w:p>
        </w:tc>
        <w:tc>
          <w:tcPr>
            <w:tcW w:w="6856" w:type="dxa"/>
            <w:tcBorders>
              <w:top w:val="single" w:color="auto" w:sz="4" w:space="0"/>
              <w:left w:val="single" w:color="auto" w:sz="4" w:space="0"/>
              <w:bottom w:val="single" w:color="auto" w:sz="4" w:space="0"/>
              <w:right w:val="single" w:color="auto" w:sz="4" w:space="0"/>
            </w:tcBorders>
            <w:vAlign w:val="center"/>
          </w:tcPr>
          <w:p w14:paraId="1D4A2A9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本项目施工工期为</w:t>
            </w:r>
            <w:r>
              <w:rPr>
                <w:rFonts w:hint="eastAsia" w:hAnsi="宋体" w:cs="宋体"/>
                <w:snapToGrid w:val="0"/>
                <w:color w:val="auto"/>
                <w:kern w:val="0"/>
                <w:szCs w:val="24"/>
                <w:highlight w:val="none"/>
                <w:lang w:val="en-US" w:eastAsia="zh-CN"/>
              </w:rPr>
              <w:t>50</w:t>
            </w:r>
            <w:r>
              <w:rPr>
                <w:rFonts w:hint="eastAsia" w:hAnsi="宋体" w:cs="宋体"/>
                <w:snapToGrid w:val="0"/>
                <w:color w:val="auto"/>
                <w:kern w:val="0"/>
                <w:szCs w:val="24"/>
                <w:highlight w:val="none"/>
              </w:rPr>
              <w:t>日历天。监理服务期从监理合同签订之日起计，至本工程缺陷责任保修期结束且本工程结算金额经政府主管部门审定且双方的责任义务履行完毕时止。</w:t>
            </w:r>
          </w:p>
        </w:tc>
      </w:tr>
      <w:tr w14:paraId="5245DA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632115A1">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17</w:t>
            </w:r>
          </w:p>
        </w:tc>
        <w:tc>
          <w:tcPr>
            <w:tcW w:w="1725" w:type="dxa"/>
            <w:tcBorders>
              <w:top w:val="single" w:color="auto" w:sz="4" w:space="0"/>
              <w:left w:val="single" w:color="auto" w:sz="4" w:space="0"/>
              <w:bottom w:val="single" w:color="auto" w:sz="4" w:space="0"/>
              <w:right w:val="single" w:color="auto" w:sz="4" w:space="0"/>
            </w:tcBorders>
            <w:vAlign w:val="center"/>
          </w:tcPr>
          <w:p w14:paraId="1D855039">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服务标准</w:t>
            </w:r>
          </w:p>
        </w:tc>
        <w:tc>
          <w:tcPr>
            <w:tcW w:w="6856" w:type="dxa"/>
            <w:tcBorders>
              <w:top w:val="single" w:color="auto" w:sz="4" w:space="0"/>
              <w:left w:val="single" w:color="auto" w:sz="4" w:space="0"/>
              <w:bottom w:val="single" w:color="auto" w:sz="4" w:space="0"/>
              <w:right w:val="single" w:color="auto" w:sz="4" w:space="0"/>
            </w:tcBorders>
            <w:vAlign w:val="center"/>
          </w:tcPr>
          <w:p w14:paraId="281D7C5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工程质量达到合格或以上标准。</w:t>
            </w:r>
          </w:p>
        </w:tc>
      </w:tr>
      <w:tr w14:paraId="303D1D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DECD39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18</w:t>
            </w:r>
          </w:p>
        </w:tc>
        <w:tc>
          <w:tcPr>
            <w:tcW w:w="1725" w:type="dxa"/>
            <w:tcBorders>
              <w:top w:val="single" w:color="auto" w:sz="4" w:space="0"/>
              <w:left w:val="single" w:color="auto" w:sz="4" w:space="0"/>
              <w:bottom w:val="single" w:color="auto" w:sz="4" w:space="0"/>
              <w:right w:val="single" w:color="auto" w:sz="4" w:space="0"/>
            </w:tcBorders>
            <w:vAlign w:val="center"/>
          </w:tcPr>
          <w:p w14:paraId="7ABC73DE">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最高投标限价</w:t>
            </w:r>
          </w:p>
        </w:tc>
        <w:tc>
          <w:tcPr>
            <w:tcW w:w="6856" w:type="dxa"/>
            <w:tcBorders>
              <w:top w:val="single" w:color="auto" w:sz="4" w:space="0"/>
              <w:left w:val="single" w:color="auto" w:sz="4" w:space="0"/>
              <w:bottom w:val="single" w:color="auto" w:sz="4" w:space="0"/>
              <w:right w:val="single" w:color="auto" w:sz="4" w:space="0"/>
            </w:tcBorders>
            <w:vAlign w:val="center"/>
          </w:tcPr>
          <w:p w14:paraId="5F830A8E">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bCs/>
                <w:color w:val="auto"/>
                <w:szCs w:val="24"/>
                <w:highlight w:val="none"/>
              </w:rPr>
              <w:t>详见招标文件“第一章 投标人须知 8 最高投标限价”</w:t>
            </w:r>
          </w:p>
        </w:tc>
      </w:tr>
      <w:tr w14:paraId="64F38A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8C5E825">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19</w:t>
            </w:r>
          </w:p>
        </w:tc>
        <w:tc>
          <w:tcPr>
            <w:tcW w:w="1725" w:type="dxa"/>
            <w:tcBorders>
              <w:top w:val="single" w:color="auto" w:sz="4" w:space="0"/>
              <w:left w:val="single" w:color="auto" w:sz="4" w:space="0"/>
              <w:bottom w:val="single" w:color="auto" w:sz="4" w:space="0"/>
              <w:right w:val="single" w:color="auto" w:sz="4" w:space="0"/>
            </w:tcBorders>
            <w:vAlign w:val="center"/>
          </w:tcPr>
          <w:p w14:paraId="0C0A586F">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投标保证金</w:t>
            </w:r>
          </w:p>
        </w:tc>
        <w:tc>
          <w:tcPr>
            <w:tcW w:w="6856" w:type="dxa"/>
            <w:tcBorders>
              <w:top w:val="single" w:color="auto" w:sz="4" w:space="0"/>
              <w:left w:val="single" w:color="auto" w:sz="4" w:space="0"/>
              <w:bottom w:val="single" w:color="auto" w:sz="4" w:space="0"/>
              <w:right w:val="single" w:color="auto" w:sz="4" w:space="0"/>
            </w:tcBorders>
            <w:vAlign w:val="center"/>
          </w:tcPr>
          <w:p w14:paraId="762A52A9">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1.投标人须缴纳金额为人民币</w:t>
            </w:r>
            <w:r>
              <w:rPr>
                <w:rFonts w:hint="eastAsia" w:hAnsi="宋体" w:cs="宋体"/>
                <w:color w:val="auto"/>
                <w:highlight w:val="none"/>
                <w:u w:val="single"/>
                <w:lang w:val="en-US" w:eastAsia="zh-CN"/>
              </w:rPr>
              <w:t>壹仟元整</w:t>
            </w:r>
            <w:r>
              <w:rPr>
                <w:rFonts w:hint="eastAsia" w:hAnsi="宋体" w:cs="宋体"/>
                <w:color w:val="auto"/>
                <w:highlight w:val="none"/>
              </w:rPr>
              <w:t>的投标保证。</w:t>
            </w:r>
          </w:p>
          <w:p w14:paraId="0DF9A96E">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2.投标保证的形式包括投标保证金、投标保证担保、投标保证保险三种，由投标人自主选择。</w:t>
            </w:r>
          </w:p>
          <w:p w14:paraId="5599196F">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4B6D2757">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3EA2A083">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int="eastAsia" w:hAnsi="宋体" w:cs="宋体"/>
                <w:color w:val="auto"/>
                <w:highlight w:val="none"/>
              </w:rPr>
            </w:pPr>
            <w:r>
              <w:rPr>
                <w:rFonts w:hint="eastAsia" w:hAnsi="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w:t>
            </w:r>
          </w:p>
          <w:p w14:paraId="57607319">
            <w:pPr>
              <w:keepNext w:val="0"/>
              <w:keepLines w:val="0"/>
              <w:pageBreakBefore w:val="0"/>
              <w:widowControl w:val="0"/>
              <w:kinsoku/>
              <w:overflowPunct/>
              <w:topLinePunct w:val="0"/>
              <w:autoSpaceDE/>
              <w:autoSpaceDN/>
              <w:bidi w:val="0"/>
              <w:snapToGrid w:val="0"/>
              <w:spacing w:line="500" w:lineRule="exact"/>
              <w:textAlignment w:val="auto"/>
              <w:rPr>
                <w:rFonts w:hAnsi="宋体" w:cs="宋体"/>
                <w:color w:val="auto"/>
                <w:highlight w:val="none"/>
              </w:rPr>
            </w:pPr>
            <w:r>
              <w:rPr>
                <w:rFonts w:hint="eastAsia" w:hAnsi="宋体" w:cs="宋体"/>
                <w:color w:val="auto"/>
                <w:highlight w:val="none"/>
              </w:rPr>
              <w:t>（https://ygp.gdzwfw.gov.cn/ggzy-portal/#/440200/index），在【服务指南】栏目中下载《韶关市公共资源建设工程交易系统-投标人操作指南》，了解网上投保具体操作流程。逾期投保的，其投标无效。</w:t>
            </w:r>
          </w:p>
          <w:p w14:paraId="590C04A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7CF04B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3B1003A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20</w:t>
            </w:r>
          </w:p>
        </w:tc>
        <w:tc>
          <w:tcPr>
            <w:tcW w:w="1725" w:type="dxa"/>
            <w:tcBorders>
              <w:top w:val="single" w:color="auto" w:sz="4" w:space="0"/>
              <w:left w:val="single" w:color="auto" w:sz="4" w:space="0"/>
              <w:bottom w:val="single" w:color="auto" w:sz="4" w:space="0"/>
              <w:right w:val="single" w:color="auto" w:sz="4" w:space="0"/>
            </w:tcBorders>
            <w:vAlign w:val="center"/>
          </w:tcPr>
          <w:p w14:paraId="1D95D12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投标有效期</w:t>
            </w:r>
          </w:p>
        </w:tc>
        <w:tc>
          <w:tcPr>
            <w:tcW w:w="6856" w:type="dxa"/>
            <w:tcBorders>
              <w:top w:val="single" w:color="auto" w:sz="4" w:space="0"/>
              <w:left w:val="single" w:color="auto" w:sz="4" w:space="0"/>
              <w:bottom w:val="single" w:color="auto" w:sz="4" w:space="0"/>
              <w:right w:val="single" w:color="auto" w:sz="4" w:space="0"/>
            </w:tcBorders>
            <w:vAlign w:val="center"/>
          </w:tcPr>
          <w:p w14:paraId="3430E69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本次招标的投标有效期为</w:t>
            </w:r>
            <w:r>
              <w:rPr>
                <w:rFonts w:hint="eastAsia" w:hAnsi="宋体" w:cs="宋体"/>
                <w:snapToGrid w:val="0"/>
                <w:color w:val="auto"/>
                <w:kern w:val="0"/>
                <w:szCs w:val="24"/>
                <w:highlight w:val="none"/>
                <w:u w:val="single"/>
              </w:rPr>
              <w:t xml:space="preserve"> 90 </w:t>
            </w:r>
            <w:r>
              <w:rPr>
                <w:rFonts w:hint="eastAsia" w:hAnsi="宋体" w:cs="宋体"/>
                <w:snapToGrid w:val="0"/>
                <w:color w:val="auto"/>
                <w:kern w:val="0"/>
                <w:szCs w:val="24"/>
                <w:highlight w:val="none"/>
              </w:rPr>
              <w:t>个日历天。</w:t>
            </w:r>
          </w:p>
        </w:tc>
      </w:tr>
      <w:tr w14:paraId="7DC7D1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749407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21</w:t>
            </w:r>
          </w:p>
        </w:tc>
        <w:tc>
          <w:tcPr>
            <w:tcW w:w="1725" w:type="dxa"/>
            <w:tcBorders>
              <w:top w:val="single" w:color="auto" w:sz="4" w:space="0"/>
              <w:left w:val="single" w:color="auto" w:sz="4" w:space="0"/>
              <w:bottom w:val="single" w:color="auto" w:sz="4" w:space="0"/>
              <w:right w:val="single" w:color="auto" w:sz="4" w:space="0"/>
            </w:tcBorders>
            <w:vAlign w:val="center"/>
          </w:tcPr>
          <w:p w14:paraId="4A71EE9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投标文件组成</w:t>
            </w:r>
          </w:p>
        </w:tc>
        <w:tc>
          <w:tcPr>
            <w:tcW w:w="6856" w:type="dxa"/>
            <w:tcBorders>
              <w:top w:val="single" w:color="auto" w:sz="4" w:space="0"/>
              <w:left w:val="single" w:color="auto" w:sz="4" w:space="0"/>
              <w:bottom w:val="single" w:color="auto" w:sz="4" w:space="0"/>
              <w:right w:val="single" w:color="auto" w:sz="4" w:space="0"/>
            </w:tcBorders>
            <w:vAlign w:val="center"/>
          </w:tcPr>
          <w:p w14:paraId="6490055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投标文件包括商务标书、监理大纲</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定标文件三</w:t>
            </w:r>
            <w:r>
              <w:rPr>
                <w:rFonts w:hint="eastAsia" w:hAnsi="宋体" w:cs="宋体"/>
                <w:snapToGrid w:val="0"/>
                <w:color w:val="auto"/>
                <w:kern w:val="0"/>
                <w:szCs w:val="24"/>
                <w:highlight w:val="none"/>
              </w:rPr>
              <w:t>个分册。</w:t>
            </w:r>
          </w:p>
        </w:tc>
      </w:tr>
      <w:tr w14:paraId="2326FA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65B700A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22</w:t>
            </w:r>
          </w:p>
        </w:tc>
        <w:tc>
          <w:tcPr>
            <w:tcW w:w="1725" w:type="dxa"/>
            <w:tcBorders>
              <w:top w:val="single" w:color="auto" w:sz="4" w:space="0"/>
              <w:left w:val="single" w:color="auto" w:sz="4" w:space="0"/>
              <w:bottom w:val="single" w:color="auto" w:sz="4" w:space="0"/>
              <w:right w:val="single" w:color="auto" w:sz="4" w:space="0"/>
            </w:tcBorders>
            <w:vAlign w:val="center"/>
          </w:tcPr>
          <w:p w14:paraId="1191AEF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评标方法</w:t>
            </w:r>
          </w:p>
        </w:tc>
        <w:tc>
          <w:tcPr>
            <w:tcW w:w="6856" w:type="dxa"/>
            <w:tcBorders>
              <w:top w:val="single" w:color="auto" w:sz="4" w:space="0"/>
              <w:left w:val="single" w:color="auto" w:sz="4" w:space="0"/>
              <w:bottom w:val="single" w:color="auto" w:sz="4" w:space="0"/>
              <w:right w:val="single" w:color="auto" w:sz="4" w:space="0"/>
            </w:tcBorders>
            <w:vAlign w:val="center"/>
          </w:tcPr>
          <w:p w14:paraId="0FD013F3">
            <w:pPr>
              <w:keepNext w:val="0"/>
              <w:keepLines w:val="0"/>
              <w:pageBreakBefore w:val="0"/>
              <w:widowControl w:val="0"/>
              <w:kinsoku/>
              <w:wordWrap w:val="0"/>
              <w:overflowPunct/>
              <w:topLinePunct w:val="0"/>
              <w:autoSpaceDE/>
              <w:autoSpaceDN/>
              <w:bidi w:val="0"/>
              <w:adjustRightInd w:val="0"/>
              <w:snapToGrid w:val="0"/>
              <w:spacing w:line="5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综合评估法</w:t>
            </w:r>
          </w:p>
        </w:tc>
      </w:tr>
      <w:tr w14:paraId="5C645A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4D968E7">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23</w:t>
            </w:r>
          </w:p>
        </w:tc>
        <w:tc>
          <w:tcPr>
            <w:tcW w:w="1725" w:type="dxa"/>
            <w:tcBorders>
              <w:top w:val="single" w:color="auto" w:sz="4" w:space="0"/>
              <w:left w:val="single" w:color="auto" w:sz="4" w:space="0"/>
              <w:bottom w:val="single" w:color="auto" w:sz="4" w:space="0"/>
              <w:right w:val="single" w:color="auto" w:sz="4" w:space="0"/>
            </w:tcBorders>
            <w:vAlign w:val="center"/>
          </w:tcPr>
          <w:p w14:paraId="70612F62">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定标办法</w:t>
            </w:r>
          </w:p>
        </w:tc>
        <w:tc>
          <w:tcPr>
            <w:tcW w:w="6856" w:type="dxa"/>
            <w:tcBorders>
              <w:top w:val="single" w:color="auto" w:sz="4" w:space="0"/>
              <w:left w:val="single" w:color="auto" w:sz="4" w:space="0"/>
              <w:bottom w:val="single" w:color="auto" w:sz="4" w:space="0"/>
              <w:right w:val="single" w:color="auto" w:sz="4" w:space="0"/>
            </w:tcBorders>
            <w:vAlign w:val="center"/>
          </w:tcPr>
          <w:p w14:paraId="75439FB0">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采用</w:t>
            </w:r>
            <w:r>
              <w:rPr>
                <w:rFonts w:hint="eastAsia" w:ascii="宋体" w:hAnsi="宋体" w:eastAsia="宋体" w:cs="宋体"/>
                <w:b/>
                <w:bCs w:val="0"/>
                <w:snapToGrid w:val="0"/>
                <w:color w:val="auto"/>
                <w:kern w:val="0"/>
                <w:sz w:val="24"/>
                <w:szCs w:val="24"/>
                <w:highlight w:val="none"/>
                <w:lang w:val="en-US" w:eastAsia="zh-CN"/>
              </w:rPr>
              <w:t>评定分离</w:t>
            </w:r>
            <w:r>
              <w:rPr>
                <w:rFonts w:hint="eastAsia" w:ascii="宋体" w:hAnsi="宋体" w:eastAsia="宋体" w:cs="宋体"/>
                <w:bCs/>
                <w:snapToGrid w:val="0"/>
                <w:color w:val="auto"/>
                <w:kern w:val="0"/>
                <w:sz w:val="24"/>
                <w:szCs w:val="24"/>
                <w:highlight w:val="none"/>
                <w:lang w:val="en-US" w:eastAsia="zh-CN"/>
              </w:rPr>
              <w:t>的项目，应选定下列定标办法：</w:t>
            </w:r>
          </w:p>
          <w:p w14:paraId="1DEC3609">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14:paraId="1638F9FB">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14:paraId="498B8CF1">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14:paraId="33FC7A30">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hAnsi="宋体" w:cs="宋体"/>
                <w:snapToGrid w:val="0"/>
                <w:color w:val="auto"/>
                <w:kern w:val="0"/>
                <w:szCs w:val="24"/>
                <w:highlight w:val="none"/>
              </w:rPr>
            </w:pPr>
            <w:r>
              <w:rPr>
                <w:rFonts w:hint="eastAsia" w:ascii="宋体" w:hAnsi="宋体" w:eastAsia="宋体" w:cs="宋体"/>
                <w:bCs/>
                <w:snapToGrid w:val="0"/>
                <w:color w:val="auto"/>
                <w:kern w:val="0"/>
                <w:sz w:val="24"/>
                <w:szCs w:val="24"/>
                <w:highlight w:val="none"/>
                <w:lang w:val="en-US" w:eastAsia="zh-CN"/>
              </w:rPr>
              <w:t>□其他方法：</w:t>
            </w:r>
            <w:r>
              <w:rPr>
                <w:rFonts w:hint="eastAsia" w:ascii="宋体" w:hAnsi="宋体" w:eastAsia="宋体" w:cs="宋体"/>
                <w:bCs/>
                <w:snapToGrid w:val="0"/>
                <w:color w:val="auto"/>
                <w:kern w:val="0"/>
                <w:sz w:val="24"/>
                <w:szCs w:val="24"/>
                <w:highlight w:val="none"/>
                <w:u w:val="single"/>
                <w:lang w:val="en-US" w:eastAsia="zh-CN"/>
              </w:rPr>
              <w:t xml:space="preserve">       </w:t>
            </w:r>
          </w:p>
        </w:tc>
      </w:tr>
      <w:tr w14:paraId="42CF9A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09B2896">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4</w:t>
            </w:r>
          </w:p>
        </w:tc>
        <w:tc>
          <w:tcPr>
            <w:tcW w:w="1725" w:type="dxa"/>
            <w:tcBorders>
              <w:top w:val="single" w:color="auto" w:sz="4" w:space="0"/>
              <w:left w:val="single" w:color="auto" w:sz="4" w:space="0"/>
              <w:bottom w:val="single" w:color="auto" w:sz="4" w:space="0"/>
              <w:right w:val="single" w:color="auto" w:sz="4" w:space="0"/>
            </w:tcBorders>
            <w:vAlign w:val="center"/>
          </w:tcPr>
          <w:p w14:paraId="076C9B2B">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监理大纲评审</w:t>
            </w:r>
          </w:p>
          <w:p w14:paraId="7550766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方式</w:t>
            </w:r>
          </w:p>
        </w:tc>
        <w:tc>
          <w:tcPr>
            <w:tcW w:w="6856" w:type="dxa"/>
            <w:tcBorders>
              <w:top w:val="single" w:color="auto" w:sz="4" w:space="0"/>
              <w:left w:val="single" w:color="auto" w:sz="4" w:space="0"/>
              <w:bottom w:val="single" w:color="auto" w:sz="4" w:space="0"/>
              <w:right w:val="single" w:color="auto" w:sz="4" w:space="0"/>
            </w:tcBorders>
            <w:vAlign w:val="center"/>
          </w:tcPr>
          <w:p w14:paraId="478149D4">
            <w:pPr>
              <w:keepNext w:val="0"/>
              <w:keepLines w:val="0"/>
              <w:pageBreakBefore w:val="0"/>
              <w:widowControl w:val="0"/>
              <w:kinsoku/>
              <w:wordWrap w:val="0"/>
              <w:overflowPunct/>
              <w:topLinePunct w:val="0"/>
              <w:autoSpaceDE/>
              <w:autoSpaceDN/>
              <w:bidi w:val="0"/>
              <w:adjustRightInd w:val="0"/>
              <w:snapToGrid w:val="0"/>
              <w:spacing w:line="24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本次招标监理大纲</w:t>
            </w:r>
            <w:r>
              <w:rPr>
                <w:rFonts w:hint="eastAsia" w:hAnsi="宋体" w:cs="宋体"/>
                <w:snapToGrid w:val="0"/>
                <w:color w:val="auto"/>
                <w:kern w:val="0"/>
                <w:szCs w:val="24"/>
                <w:highlight w:val="none"/>
                <w:u w:val="single"/>
              </w:rPr>
              <w:t xml:space="preserve"> 不采用 </w:t>
            </w:r>
            <w:r>
              <w:rPr>
                <w:rFonts w:hint="eastAsia" w:hAnsi="宋体" w:cs="宋体"/>
                <w:snapToGrid w:val="0"/>
                <w:color w:val="auto"/>
                <w:kern w:val="0"/>
                <w:szCs w:val="24"/>
                <w:highlight w:val="none"/>
              </w:rPr>
              <w:t>“暗标”方式进行评审。</w:t>
            </w:r>
          </w:p>
        </w:tc>
      </w:tr>
      <w:tr w14:paraId="6FA96B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DFAD2F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5</w:t>
            </w:r>
          </w:p>
        </w:tc>
        <w:tc>
          <w:tcPr>
            <w:tcW w:w="1725" w:type="dxa"/>
            <w:tcBorders>
              <w:top w:val="single" w:color="auto" w:sz="4" w:space="0"/>
              <w:left w:val="single" w:color="auto" w:sz="4" w:space="0"/>
              <w:bottom w:val="single" w:color="auto" w:sz="4" w:space="0"/>
              <w:right w:val="single" w:color="auto" w:sz="4" w:space="0"/>
            </w:tcBorders>
            <w:vAlign w:val="center"/>
          </w:tcPr>
          <w:p w14:paraId="0AACF20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w:t>
            </w:r>
          </w:p>
        </w:tc>
        <w:tc>
          <w:tcPr>
            <w:tcW w:w="6856" w:type="dxa"/>
            <w:tcBorders>
              <w:top w:val="single" w:color="auto" w:sz="4" w:space="0"/>
              <w:left w:val="single" w:color="auto" w:sz="4" w:space="0"/>
              <w:bottom w:val="single" w:color="auto" w:sz="4" w:space="0"/>
              <w:right w:val="single" w:color="auto" w:sz="4" w:space="0"/>
            </w:tcBorders>
            <w:vAlign w:val="center"/>
          </w:tcPr>
          <w:p w14:paraId="529DB29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评标委员会由</w:t>
            </w:r>
            <w:r>
              <w:rPr>
                <w:rFonts w:hint="eastAsia" w:hAnsi="宋体" w:cs="宋体"/>
                <w:snapToGrid w:val="0"/>
                <w:color w:val="auto"/>
                <w:kern w:val="0"/>
                <w:szCs w:val="24"/>
                <w:highlight w:val="none"/>
                <w:u w:val="single"/>
              </w:rPr>
              <w:t xml:space="preserve"> 5 </w:t>
            </w:r>
            <w:r>
              <w:rPr>
                <w:rFonts w:hint="eastAsia" w:hAnsi="宋体" w:cs="宋体"/>
                <w:snapToGrid w:val="0"/>
                <w:color w:val="auto"/>
                <w:kern w:val="0"/>
                <w:szCs w:val="24"/>
                <w:highlight w:val="none"/>
              </w:rPr>
              <w:t>人组成，其中招标人代表</w:t>
            </w:r>
            <w:r>
              <w:rPr>
                <w:rFonts w:hint="eastAsia" w:hAnsi="宋体" w:cs="宋体"/>
                <w:snapToGrid w:val="0"/>
                <w:color w:val="auto"/>
                <w:kern w:val="0"/>
                <w:szCs w:val="24"/>
                <w:highlight w:val="none"/>
                <w:u w:val="single"/>
              </w:rPr>
              <w:t xml:space="preserve"> 0 </w:t>
            </w:r>
            <w:r>
              <w:rPr>
                <w:rFonts w:hint="eastAsia" w:hAnsi="宋体" w:cs="宋体"/>
                <w:snapToGrid w:val="0"/>
                <w:color w:val="auto"/>
                <w:kern w:val="0"/>
                <w:szCs w:val="24"/>
                <w:highlight w:val="none"/>
              </w:rPr>
              <w:t>人，专家</w:t>
            </w:r>
            <w:r>
              <w:rPr>
                <w:rFonts w:hint="eastAsia" w:hAnsi="宋体" w:cs="宋体"/>
                <w:snapToGrid w:val="0"/>
                <w:color w:val="auto"/>
                <w:kern w:val="0"/>
                <w:szCs w:val="24"/>
                <w:highlight w:val="none"/>
                <w:u w:val="single"/>
              </w:rPr>
              <w:t xml:space="preserve"> 5 </w:t>
            </w:r>
            <w:r>
              <w:rPr>
                <w:rFonts w:hint="eastAsia" w:hAnsi="宋体" w:cs="宋体"/>
                <w:snapToGrid w:val="0"/>
                <w:color w:val="auto"/>
                <w:kern w:val="0"/>
                <w:szCs w:val="24"/>
                <w:highlight w:val="none"/>
              </w:rPr>
              <w:t>人。专家从广东省综合评标评审专家库</w:t>
            </w:r>
            <w:r>
              <w:rPr>
                <w:rFonts w:hint="eastAsia" w:hAnsi="宋体" w:cs="宋体"/>
                <w:snapToGrid w:val="0"/>
                <w:color w:val="auto"/>
                <w:kern w:val="0"/>
                <w:szCs w:val="24"/>
                <w:highlight w:val="none"/>
                <w:lang w:val="en-US" w:eastAsia="zh-CN"/>
              </w:rPr>
              <w:t>-韶关区域</w:t>
            </w:r>
            <w:r>
              <w:rPr>
                <w:rFonts w:hint="eastAsia" w:hAnsi="宋体" w:cs="宋体"/>
                <w:snapToGrid w:val="0"/>
                <w:color w:val="auto"/>
                <w:kern w:val="0"/>
                <w:szCs w:val="24"/>
                <w:highlight w:val="none"/>
              </w:rPr>
              <w:t>中随机抽取，其中技术类专家</w:t>
            </w:r>
            <w:r>
              <w:rPr>
                <w:rFonts w:hint="eastAsia" w:hAnsi="宋体" w:cs="宋体"/>
                <w:snapToGrid w:val="0"/>
                <w:color w:val="auto"/>
                <w:kern w:val="0"/>
                <w:szCs w:val="24"/>
                <w:highlight w:val="none"/>
                <w:u w:val="single"/>
              </w:rPr>
              <w:t xml:space="preserve"> 3 </w:t>
            </w:r>
            <w:r>
              <w:rPr>
                <w:rFonts w:hint="eastAsia" w:hAnsi="宋体" w:cs="宋体"/>
                <w:snapToGrid w:val="0"/>
                <w:color w:val="auto"/>
                <w:kern w:val="0"/>
                <w:szCs w:val="24"/>
                <w:highlight w:val="none"/>
              </w:rPr>
              <w:t>人，经济类专家</w:t>
            </w:r>
            <w:r>
              <w:rPr>
                <w:rFonts w:hint="eastAsia" w:hAnsi="宋体" w:cs="宋体"/>
                <w:snapToGrid w:val="0"/>
                <w:color w:val="auto"/>
                <w:kern w:val="0"/>
                <w:szCs w:val="24"/>
                <w:highlight w:val="none"/>
                <w:u w:val="single"/>
              </w:rPr>
              <w:t xml:space="preserve"> 2 </w:t>
            </w:r>
            <w:r>
              <w:rPr>
                <w:rFonts w:hint="eastAsia" w:hAnsi="宋体" w:cs="宋体"/>
                <w:snapToGrid w:val="0"/>
                <w:color w:val="auto"/>
                <w:kern w:val="0"/>
                <w:szCs w:val="24"/>
                <w:highlight w:val="none"/>
              </w:rPr>
              <w:t>人。</w:t>
            </w:r>
          </w:p>
        </w:tc>
      </w:tr>
      <w:tr w14:paraId="47ADC6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29FC053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26</w:t>
            </w:r>
          </w:p>
        </w:tc>
        <w:tc>
          <w:tcPr>
            <w:tcW w:w="1725" w:type="dxa"/>
            <w:tcBorders>
              <w:top w:val="single" w:color="auto" w:sz="4" w:space="0"/>
              <w:left w:val="single" w:color="auto" w:sz="4" w:space="0"/>
              <w:bottom w:val="single" w:color="auto" w:sz="4" w:space="0"/>
              <w:right w:val="single" w:color="auto" w:sz="4" w:space="0"/>
            </w:tcBorders>
            <w:vAlign w:val="center"/>
          </w:tcPr>
          <w:p w14:paraId="09913F9A">
            <w:pPr>
              <w:keepNext w:val="0"/>
              <w:keepLines w:val="0"/>
              <w:pageBreakBefore w:val="0"/>
              <w:kinsoku/>
              <w:wordWrap w:val="0"/>
              <w:overflowPunct/>
              <w:topLinePunct w:val="0"/>
              <w:autoSpaceDE/>
              <w:autoSpaceDN/>
              <w:bidi w:val="0"/>
              <w:adjustRightInd w:val="0"/>
              <w:snapToGrid w:val="0"/>
              <w:spacing w:line="5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定标委员会</w:t>
            </w:r>
          </w:p>
        </w:tc>
        <w:tc>
          <w:tcPr>
            <w:tcW w:w="6856" w:type="dxa"/>
            <w:tcBorders>
              <w:top w:val="single" w:color="auto" w:sz="4" w:space="0"/>
              <w:left w:val="single" w:color="auto" w:sz="4" w:space="0"/>
              <w:bottom w:val="single" w:color="auto" w:sz="4" w:space="0"/>
              <w:right w:val="single" w:color="auto" w:sz="4" w:space="0"/>
            </w:tcBorders>
            <w:vAlign w:val="center"/>
          </w:tcPr>
          <w:p w14:paraId="05A6EE79">
            <w:pPr>
              <w:keepNext w:val="0"/>
              <w:keepLines w:val="0"/>
              <w:pageBreakBefore w:val="0"/>
              <w:kinsoku/>
              <w:wordWrap w:val="0"/>
              <w:overflowPunct/>
              <w:topLinePunct w:val="0"/>
              <w:autoSpaceDE/>
              <w:autoSpaceDN/>
              <w:bidi w:val="0"/>
              <w:adjustRightInd w:val="0"/>
              <w:snapToGrid w:val="0"/>
              <w:spacing w:line="500" w:lineRule="exact"/>
              <w:ind w:firstLine="480" w:firstLineChars="200"/>
              <w:jc w:val="both"/>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本项目定标委员会组成人员为</w:t>
            </w:r>
            <w:r>
              <w:rPr>
                <w:rFonts w:hint="eastAsia" w:ascii="宋体" w:hAnsi="宋体" w:eastAsia="宋体" w:cs="宋体"/>
                <w:snapToGrid w:val="0"/>
                <w:color w:val="auto"/>
                <w:kern w:val="0"/>
                <w:sz w:val="24"/>
                <w:szCs w:val="24"/>
                <w:highlight w:val="none"/>
                <w:u w:val="single"/>
                <w:lang w:val="en-US" w:eastAsia="zh-CN"/>
              </w:rPr>
              <w:t xml:space="preserve"> 7 </w:t>
            </w:r>
            <w:r>
              <w:rPr>
                <w:rFonts w:hint="eastAsia" w:ascii="宋体" w:hAnsi="宋体" w:eastAsia="宋体" w:cs="宋体"/>
                <w:snapToGrid w:val="0"/>
                <w:color w:val="auto"/>
                <w:kern w:val="0"/>
                <w:sz w:val="24"/>
                <w:szCs w:val="24"/>
                <w:highlight w:val="none"/>
                <w:lang w:val="en-US" w:eastAsia="zh-CN"/>
              </w:rPr>
              <w:t>人。</w:t>
            </w:r>
          </w:p>
        </w:tc>
      </w:tr>
      <w:tr w14:paraId="25526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6C8EF480">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7</w:t>
            </w:r>
          </w:p>
        </w:tc>
        <w:tc>
          <w:tcPr>
            <w:tcW w:w="1725" w:type="dxa"/>
            <w:tcBorders>
              <w:top w:val="single" w:color="auto" w:sz="4" w:space="0"/>
              <w:left w:val="single" w:color="auto" w:sz="4" w:space="0"/>
              <w:bottom w:val="single" w:color="auto" w:sz="4" w:space="0"/>
              <w:right w:val="single" w:color="auto" w:sz="4" w:space="0"/>
            </w:tcBorders>
            <w:vAlign w:val="center"/>
          </w:tcPr>
          <w:p w14:paraId="552F32F6">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rPr>
              <w:t>招标文件要求提交的用于评审的证书、证件、证明原件</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如有</w:t>
            </w:r>
            <w:r>
              <w:rPr>
                <w:rFonts w:hint="eastAsia" w:ascii="宋体" w:hAnsi="宋体" w:eastAsia="宋体" w:cs="宋体"/>
                <w:snapToGrid w:val="0"/>
                <w:color w:val="auto"/>
                <w:kern w:val="0"/>
                <w:sz w:val="24"/>
                <w:szCs w:val="24"/>
                <w:highlight w:val="none"/>
                <w:lang w:eastAsia="zh-CN"/>
              </w:rPr>
              <w:t>）</w:t>
            </w:r>
          </w:p>
        </w:tc>
        <w:tc>
          <w:tcPr>
            <w:tcW w:w="6856" w:type="dxa"/>
            <w:tcBorders>
              <w:top w:val="single" w:color="auto" w:sz="4" w:space="0"/>
              <w:left w:val="single" w:color="auto" w:sz="4" w:space="0"/>
              <w:bottom w:val="single" w:color="auto" w:sz="4" w:space="0"/>
              <w:right w:val="single" w:color="auto" w:sz="4" w:space="0"/>
            </w:tcBorders>
            <w:vAlign w:val="center"/>
          </w:tcPr>
          <w:p w14:paraId="576AF0D8">
            <w:pPr>
              <w:keepNext w:val="0"/>
              <w:keepLines w:val="0"/>
              <w:pageBreakBefore w:val="0"/>
              <w:widowControl w:val="0"/>
              <w:kinsoku/>
              <w:wordWrap w:val="0"/>
              <w:overflowPunct/>
              <w:topLinePunct w:val="0"/>
              <w:autoSpaceDE/>
              <w:autoSpaceDN/>
              <w:bidi w:val="0"/>
              <w:adjustRightInd w:val="0"/>
              <w:snapToGrid w:val="0"/>
              <w:spacing w:line="500" w:lineRule="exact"/>
              <w:jc w:val="left"/>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投标人提交用于评审的证书、证件、证明原件的，应自行准备两张“原件一览表”(详见</w:t>
            </w:r>
            <w:r>
              <w:rPr>
                <w:rFonts w:hint="eastAsia" w:hAnsi="宋体" w:cs="宋体"/>
                <w:snapToGrid w:val="0"/>
                <w:color w:val="auto"/>
                <w:kern w:val="0"/>
                <w:sz w:val="24"/>
                <w:szCs w:val="24"/>
                <w:highlight w:val="none"/>
                <w:lang w:val="en-US" w:eastAsia="zh-CN"/>
              </w:rPr>
              <w:t>投标文件格式</w:t>
            </w:r>
            <w:r>
              <w:rPr>
                <w:rFonts w:hint="eastAsia" w:ascii="宋体" w:hAnsi="宋体" w:eastAsia="宋体" w:cs="宋体"/>
                <w:snapToGrid w:val="0"/>
                <w:color w:val="auto"/>
                <w:kern w:val="0"/>
                <w:sz w:val="24"/>
                <w:szCs w:val="24"/>
                <w:highlight w:val="none"/>
              </w:rPr>
              <w:t>，投标人须自行填写，表格可扩展)，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评标结束后，招标代理机构将退回投标人的原件。若投标人未按要求提交相应证明材料原件或投标文件中证明材料的彩色扫描件与原件不一致，评审时相应证明材料不予认可。</w:t>
            </w:r>
          </w:p>
        </w:tc>
      </w:tr>
      <w:tr w14:paraId="763F08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2B8D4F0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8</w:t>
            </w:r>
          </w:p>
        </w:tc>
        <w:tc>
          <w:tcPr>
            <w:tcW w:w="1725" w:type="dxa"/>
            <w:tcBorders>
              <w:top w:val="single" w:color="auto" w:sz="4" w:space="0"/>
              <w:left w:val="single" w:color="auto" w:sz="4" w:space="0"/>
              <w:bottom w:val="single" w:color="auto" w:sz="4" w:space="0"/>
              <w:right w:val="single" w:color="auto" w:sz="4" w:space="0"/>
            </w:tcBorders>
            <w:vAlign w:val="center"/>
          </w:tcPr>
          <w:p w14:paraId="4549CDC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招标人</w:t>
            </w:r>
          </w:p>
          <w:p w14:paraId="1A72C92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29648EC8">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单位名称：</w:t>
            </w:r>
            <w:r>
              <w:rPr>
                <w:rFonts w:hint="eastAsia" w:hAnsi="宋体" w:cs="宋体"/>
                <w:bCs/>
                <w:snapToGrid w:val="0"/>
                <w:color w:val="auto"/>
                <w:kern w:val="0"/>
                <w:sz w:val="24"/>
                <w:szCs w:val="24"/>
                <w:highlight w:val="none"/>
                <w:lang w:val="en-US" w:eastAsia="zh-CN"/>
              </w:rPr>
              <w:t>南雄市澜河镇人民政府</w:t>
            </w:r>
          </w:p>
          <w:p w14:paraId="41A0B803">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办公地址：广东省韶关市‌南雄市澜河镇新街75号</w:t>
            </w:r>
          </w:p>
          <w:p w14:paraId="198E711E">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联系人（部门）：</w:t>
            </w:r>
            <w:r>
              <w:rPr>
                <w:rFonts w:hint="eastAsia" w:hAnsi="宋体" w:cs="宋体"/>
                <w:snapToGrid w:val="0"/>
                <w:color w:val="auto"/>
                <w:kern w:val="0"/>
                <w:sz w:val="24"/>
                <w:szCs w:val="24"/>
                <w:highlight w:val="none"/>
                <w:lang w:val="en-US" w:eastAsia="zh-CN"/>
              </w:rPr>
              <w:t>谭</w:t>
            </w:r>
            <w:r>
              <w:rPr>
                <w:rFonts w:hint="eastAsia" w:ascii="宋体" w:hAnsi="宋体" w:eastAsia="宋体" w:cs="宋体"/>
                <w:snapToGrid w:val="0"/>
                <w:color w:val="auto"/>
                <w:kern w:val="0"/>
                <w:sz w:val="24"/>
                <w:szCs w:val="24"/>
                <w:highlight w:val="none"/>
                <w:lang w:val="en-US" w:eastAsia="zh-CN"/>
              </w:rPr>
              <w:t>工</w:t>
            </w:r>
          </w:p>
          <w:p w14:paraId="7F40587B">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default"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联系电话：</w:t>
            </w:r>
            <w:r>
              <w:rPr>
                <w:rFonts w:hint="eastAsia"/>
                <w:highlight w:val="none"/>
                <w:lang w:val="en-US" w:eastAsia="zh-CN"/>
              </w:rPr>
              <w:t>0751-3532138</w:t>
            </w:r>
          </w:p>
        </w:tc>
      </w:tr>
      <w:tr w14:paraId="1BBC09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2D6600E9">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9</w:t>
            </w:r>
          </w:p>
        </w:tc>
        <w:tc>
          <w:tcPr>
            <w:tcW w:w="1725" w:type="dxa"/>
            <w:tcBorders>
              <w:top w:val="single" w:color="auto" w:sz="4" w:space="0"/>
              <w:left w:val="single" w:color="auto" w:sz="4" w:space="0"/>
              <w:bottom w:val="single" w:color="auto" w:sz="4" w:space="0"/>
              <w:right w:val="single" w:color="auto" w:sz="4" w:space="0"/>
            </w:tcBorders>
            <w:vAlign w:val="center"/>
          </w:tcPr>
          <w:p w14:paraId="718B588E">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招标代理机构</w:t>
            </w:r>
          </w:p>
          <w:p w14:paraId="49DCFD5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2257DC7C">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单位名称：</w:t>
            </w:r>
            <w:r>
              <w:rPr>
                <w:rFonts w:hint="eastAsia" w:hAnsi="宋体" w:cs="宋体"/>
                <w:bCs/>
                <w:snapToGrid w:val="0"/>
                <w:color w:val="auto"/>
                <w:kern w:val="0"/>
                <w:sz w:val="24"/>
                <w:szCs w:val="24"/>
                <w:highlight w:val="none"/>
                <w:lang w:val="en-US" w:eastAsia="zh-CN"/>
              </w:rPr>
              <w:t>广东省南沣建设管理有限公司</w:t>
            </w:r>
          </w:p>
          <w:p w14:paraId="25A72326">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办公地址：韶关市武江区沐阳东路12号卓越雅苑商住小区5幢10楼1005</w:t>
            </w:r>
          </w:p>
          <w:p w14:paraId="33D528CC">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default"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联系人（部门）：</w:t>
            </w:r>
            <w:r>
              <w:rPr>
                <w:rFonts w:hint="eastAsia" w:hAnsi="宋体" w:cs="宋体"/>
                <w:bCs/>
                <w:snapToGrid w:val="0"/>
                <w:color w:val="auto"/>
                <w:kern w:val="0"/>
                <w:sz w:val="24"/>
                <w:szCs w:val="24"/>
                <w:highlight w:val="none"/>
                <w:lang w:val="en-US" w:eastAsia="zh-CN"/>
              </w:rPr>
              <w:t>罗工、梁工</w:t>
            </w:r>
          </w:p>
          <w:p w14:paraId="28971BB1">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default"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联系电话：0751-8166399</w:t>
            </w:r>
          </w:p>
        </w:tc>
      </w:tr>
      <w:tr w14:paraId="2964BF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0AFD79F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lang w:val="en-US" w:eastAsia="zh-CN"/>
              </w:rPr>
              <w:t>30</w:t>
            </w:r>
          </w:p>
        </w:tc>
        <w:tc>
          <w:tcPr>
            <w:tcW w:w="1725" w:type="dxa"/>
            <w:tcBorders>
              <w:top w:val="single" w:color="auto" w:sz="4" w:space="0"/>
              <w:left w:val="single" w:color="auto" w:sz="4" w:space="0"/>
              <w:bottom w:val="single" w:color="auto" w:sz="4" w:space="0"/>
              <w:right w:val="single" w:color="auto" w:sz="4" w:space="0"/>
            </w:tcBorders>
            <w:vAlign w:val="center"/>
          </w:tcPr>
          <w:p w14:paraId="52964C59">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交易场所</w:t>
            </w:r>
          </w:p>
          <w:p w14:paraId="6702D2A7">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3B6726ED">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单位名称：韶关市公共资源交易中心</w:t>
            </w:r>
          </w:p>
          <w:p w14:paraId="55257C5D">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办公地址：南雄市雄东路1号(大润发)四楼韶关市公共资源交易中心南雄分中心(南雄市公共服务中心内)</w:t>
            </w:r>
          </w:p>
          <w:p w14:paraId="51A518D9">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联系人（部门）：工程交易部</w:t>
            </w:r>
          </w:p>
          <w:p w14:paraId="5AAFF5DA">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zh-CN" w:eastAsia="zh-CN"/>
              </w:rPr>
              <w:t>联系电话：0751-3860729</w:t>
            </w:r>
          </w:p>
        </w:tc>
      </w:tr>
      <w:tr w14:paraId="36518F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1B2D917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lang w:val="en-US" w:eastAsia="zh-CN"/>
              </w:rPr>
              <w:t>31</w:t>
            </w:r>
          </w:p>
        </w:tc>
        <w:tc>
          <w:tcPr>
            <w:tcW w:w="1725" w:type="dxa"/>
            <w:tcBorders>
              <w:top w:val="single" w:color="auto" w:sz="4" w:space="0"/>
              <w:left w:val="single" w:color="auto" w:sz="4" w:space="0"/>
              <w:bottom w:val="single" w:color="auto" w:sz="4" w:space="0"/>
              <w:right w:val="single" w:color="auto" w:sz="4" w:space="0"/>
            </w:tcBorders>
            <w:vAlign w:val="center"/>
          </w:tcPr>
          <w:p w14:paraId="170E61D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行政监督部门</w:t>
            </w:r>
          </w:p>
          <w:p w14:paraId="44E3D319">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302CAF8C">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单位名称：南雄市农业农村局</w:t>
            </w:r>
          </w:p>
          <w:p w14:paraId="2BB0A80F">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办公地址：南雄市沿江西路 98 号</w:t>
            </w:r>
          </w:p>
          <w:p w14:paraId="5F22DA7E">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联系人（部门）：乡村建设与农村社会事业促进股</w:t>
            </w:r>
          </w:p>
          <w:p w14:paraId="66049CE4">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zh-CN" w:eastAsia="zh-CN"/>
              </w:rPr>
              <w:t>联系电话：0751-3802620</w:t>
            </w:r>
          </w:p>
        </w:tc>
      </w:tr>
      <w:bookmarkEnd w:id="4"/>
      <w:tr w14:paraId="66E53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248E776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bookmarkStart w:id="5" w:name="_Toc122769943"/>
            <w:bookmarkStart w:id="6" w:name="_Toc122859103"/>
            <w:bookmarkStart w:id="7" w:name="_Toc122671103"/>
            <w:r>
              <w:rPr>
                <w:rFonts w:hint="eastAsia" w:hAnsi="宋体" w:cs="宋体"/>
                <w:snapToGrid w:val="0"/>
                <w:color w:val="auto"/>
                <w:kern w:val="0"/>
                <w:szCs w:val="24"/>
                <w:highlight w:val="none"/>
              </w:rPr>
              <w:t>3</w:t>
            </w:r>
            <w:r>
              <w:rPr>
                <w:rFonts w:hint="eastAsia" w:hAnsi="宋体" w:cs="宋体"/>
                <w:snapToGrid w:val="0"/>
                <w:color w:val="auto"/>
                <w:kern w:val="0"/>
                <w:szCs w:val="24"/>
                <w:highlight w:val="none"/>
                <w:lang w:val="en-US" w:eastAsia="zh-CN"/>
              </w:rPr>
              <w:t>2</w:t>
            </w:r>
          </w:p>
        </w:tc>
        <w:tc>
          <w:tcPr>
            <w:tcW w:w="1725" w:type="dxa"/>
            <w:tcBorders>
              <w:top w:val="single" w:color="auto" w:sz="4" w:space="0"/>
              <w:left w:val="single" w:color="auto" w:sz="4" w:space="0"/>
              <w:bottom w:val="single" w:color="auto" w:sz="4" w:space="0"/>
              <w:right w:val="single" w:color="auto" w:sz="4" w:space="0"/>
            </w:tcBorders>
            <w:vAlign w:val="center"/>
          </w:tcPr>
          <w:p w14:paraId="1BB76D8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术语</w:t>
            </w:r>
          </w:p>
        </w:tc>
        <w:tc>
          <w:tcPr>
            <w:tcW w:w="6856" w:type="dxa"/>
            <w:tcBorders>
              <w:top w:val="single" w:color="auto" w:sz="4" w:space="0"/>
              <w:left w:val="single" w:color="auto" w:sz="4" w:space="0"/>
              <w:bottom w:val="single" w:color="auto" w:sz="4" w:space="0"/>
              <w:right w:val="single" w:color="auto" w:sz="4" w:space="0"/>
            </w:tcBorders>
            <w:vAlign w:val="center"/>
          </w:tcPr>
          <w:p w14:paraId="236D9A7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5F580E4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2．“相关服务”是指监理人受委托人的委托，按照合同约定，在勘察、设计、保修等阶段提供的服务活动。</w:t>
            </w:r>
          </w:p>
        </w:tc>
      </w:tr>
      <w:bookmarkEnd w:id="5"/>
      <w:bookmarkEnd w:id="6"/>
      <w:bookmarkEnd w:id="7"/>
      <w:tr w14:paraId="04046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460F72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33</w:t>
            </w:r>
          </w:p>
        </w:tc>
        <w:tc>
          <w:tcPr>
            <w:tcW w:w="1725" w:type="dxa"/>
            <w:tcBorders>
              <w:top w:val="single" w:color="auto" w:sz="4" w:space="0"/>
              <w:left w:val="single" w:color="auto" w:sz="4" w:space="0"/>
              <w:bottom w:val="single" w:color="auto" w:sz="4" w:space="0"/>
              <w:right w:val="single" w:color="auto" w:sz="4" w:space="0"/>
            </w:tcBorders>
            <w:vAlign w:val="center"/>
          </w:tcPr>
          <w:p w14:paraId="4A73CDAF">
            <w:pPr>
              <w:wordWrap w:val="0"/>
              <w:adjustRightInd w:val="0"/>
              <w:snapToGrid w:val="0"/>
              <w:spacing w:line="240" w:lineRule="auto"/>
              <w:rPr>
                <w:rFonts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rPr>
              <w:t>招标代理服务费</w:t>
            </w:r>
          </w:p>
        </w:tc>
        <w:tc>
          <w:tcPr>
            <w:tcW w:w="6856" w:type="dxa"/>
            <w:tcBorders>
              <w:top w:val="single" w:color="auto" w:sz="4" w:space="0"/>
              <w:left w:val="single" w:color="auto" w:sz="4" w:space="0"/>
              <w:bottom w:val="single" w:color="auto" w:sz="4" w:space="0"/>
              <w:right w:val="single" w:color="auto" w:sz="4" w:space="0"/>
            </w:tcBorders>
            <w:vAlign w:val="center"/>
          </w:tcPr>
          <w:p w14:paraId="06FE8FD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本项目的招标代理服务费由中标人支付。招标代理服务费参照《招标代理服务收费管理暂行办法》计价格[2002]1980号文计算，不足6000.00元按6000.00元收取</w:t>
            </w:r>
            <w:r>
              <w:rPr>
                <w:rFonts w:hint="eastAsia" w:hAnsi="宋体" w:cs="宋体"/>
                <w:snapToGrid w:val="0"/>
                <w:color w:val="auto"/>
                <w:kern w:val="0"/>
                <w:szCs w:val="24"/>
                <w:highlight w:val="none"/>
              </w:rPr>
              <w:t>。</w:t>
            </w:r>
            <w:r>
              <w:rPr>
                <w:rFonts w:hint="eastAsia" w:hAnsi="宋体" w:cs="宋体"/>
                <w:snapToGrid w:val="0"/>
                <w:color w:val="auto"/>
                <w:kern w:val="0"/>
                <w:szCs w:val="24"/>
                <w:highlight w:val="none"/>
                <w:lang w:val="en-US" w:eastAsia="zh-CN"/>
              </w:rPr>
              <w:t>该费用不再另行报价，由投标人在投标报价时综合考虑在内。中标人在领取中标通知书前须向招标代理机构一次性支付本项目招标代理服务费及评标专家酬劳（评标专家酬劳按双方《建设工程招标代理合同》约定支付）。</w:t>
            </w:r>
          </w:p>
          <w:p w14:paraId="67E1D28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szCs w:val="24"/>
                <w:highlight w:val="none"/>
              </w:rPr>
            </w:pPr>
            <w:r>
              <w:rPr>
                <w:rFonts w:hint="eastAsia" w:hAnsi="宋体" w:cs="宋体"/>
                <w:snapToGrid w:val="0"/>
                <w:color w:val="auto"/>
                <w:kern w:val="0"/>
                <w:szCs w:val="24"/>
                <w:highlight w:val="none"/>
                <w:lang w:val="en-US" w:eastAsia="zh-CN"/>
              </w:rPr>
              <w:t>注：参与投标视为认可该条款。</w:t>
            </w:r>
          </w:p>
        </w:tc>
      </w:tr>
    </w:tbl>
    <w:p w14:paraId="1652D6AE">
      <w:pPr>
        <w:pStyle w:val="3"/>
        <w:wordWrap w:val="0"/>
        <w:autoSpaceDE/>
        <w:autoSpaceDN/>
        <w:snapToGrid w:val="0"/>
        <w:spacing w:before="260" w:after="260" w:line="440" w:lineRule="exact"/>
        <w:jc w:val="both"/>
        <w:rPr>
          <w:rFonts w:ascii="Times New Roman"/>
          <w:b/>
          <w:snapToGrid w:val="0"/>
          <w:color w:val="auto"/>
          <w:highlight w:val="none"/>
        </w:rPr>
        <w:sectPr>
          <w:footerReference r:id="rId6" w:type="default"/>
          <w:endnotePr>
            <w:numFmt w:val="decimal"/>
          </w:endnotePr>
          <w:pgSz w:w="11906" w:h="16838"/>
          <w:pgMar w:top="1417" w:right="1417" w:bottom="1417" w:left="1417" w:header="850" w:footer="992" w:gutter="0"/>
          <w:pgNumType w:start="1"/>
          <w:cols w:space="0" w:num="1"/>
          <w:docGrid w:linePitch="327" w:charSpace="0"/>
        </w:sectPr>
      </w:pPr>
    </w:p>
    <w:p w14:paraId="34BB5A01">
      <w:pPr>
        <w:pStyle w:val="3"/>
        <w:wordWrap w:val="0"/>
        <w:autoSpaceDE/>
        <w:autoSpaceDN/>
        <w:snapToGrid w:val="0"/>
        <w:spacing w:after="120" w:afterLines="50" w:line="440" w:lineRule="exact"/>
        <w:jc w:val="both"/>
        <w:rPr>
          <w:rFonts w:ascii="Times New Roman"/>
          <w:snapToGrid w:val="0"/>
          <w:color w:val="auto"/>
          <w:highlight w:val="none"/>
        </w:rPr>
      </w:pPr>
      <w:bookmarkStart w:id="8" w:name="_Toc714"/>
      <w:bookmarkStart w:id="9" w:name="_Toc32223"/>
      <w:r>
        <w:rPr>
          <w:rFonts w:hint="eastAsia" w:ascii="Times New Roman"/>
          <w:b/>
          <w:snapToGrid w:val="0"/>
          <w:color w:val="auto"/>
          <w:highlight w:val="none"/>
        </w:rPr>
        <w:t>第二节 重要事项时间地点一览表</w:t>
      </w:r>
      <w:bookmarkEnd w:id="8"/>
      <w:bookmarkEnd w:id="9"/>
    </w:p>
    <w:tbl>
      <w:tblPr>
        <w:tblStyle w:val="32"/>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0"/>
        <w:gridCol w:w="1455"/>
        <w:gridCol w:w="7124"/>
      </w:tblGrid>
      <w:tr w14:paraId="5DC6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4CBFBF80">
            <w:pPr>
              <w:pStyle w:val="89"/>
              <w:keepNext w:val="0"/>
              <w:keepLines w:val="0"/>
              <w:widowControl w:val="0"/>
              <w:suppressLineNumbers w:val="0"/>
              <w:pBdr>
                <w:top w:val="none" w:color="auto" w:sz="0" w:space="0"/>
                <w:left w:val="none" w:color="auto" w:sz="0" w:space="0"/>
                <w:bottom w:val="none" w:color="auto" w:sz="0" w:space="0"/>
                <w:right w:val="none" w:color="auto" w:sz="0" w:space="0"/>
              </w:pBdr>
              <w:tabs>
                <w:tab w:val="left" w:pos="1890"/>
              </w:tabs>
              <w:wordWrap w:val="0"/>
              <w:adjustRightInd w:val="0"/>
              <w:snapToGrid w:val="0"/>
              <w:spacing w:before="0" w:beforeLines="0" w:beforeAutospacing="0" w:after="260" w:afterLines="0" w:afterAutospacing="0" w:line="440" w:lineRule="exac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1</w:t>
            </w:r>
          </w:p>
        </w:tc>
        <w:tc>
          <w:tcPr>
            <w:tcW w:w="1455" w:type="dxa"/>
            <w:noWrap w:val="0"/>
            <w:vAlign w:val="center"/>
          </w:tcPr>
          <w:p w14:paraId="7A1B8137">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招标公告</w:t>
            </w:r>
          </w:p>
          <w:p w14:paraId="5F2C1B8C">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发布时间</w:t>
            </w:r>
          </w:p>
        </w:tc>
        <w:tc>
          <w:tcPr>
            <w:tcW w:w="7124" w:type="dxa"/>
            <w:noWrap w:val="0"/>
            <w:vAlign w:val="center"/>
          </w:tcPr>
          <w:p w14:paraId="06E2F7DF">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240" w:leftChars="0" w:right="0" w:rightChars="0" w:hanging="240" w:hangingChars="10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color w:val="auto"/>
                <w:sz w:val="24"/>
                <w:szCs w:val="20"/>
                <w:highlight w:val="none"/>
                <w:u w:val="none"/>
                <w:lang w:val="en-US" w:eastAsia="zh-CN"/>
              </w:rPr>
              <w:t>2026</w:t>
            </w:r>
            <w:r>
              <w:rPr>
                <w:rFonts w:hint="eastAsia" w:ascii="宋体" w:hAnsi="宋体"/>
                <w:i w:val="0"/>
                <w:iCs w:val="0"/>
                <w:color w:val="auto"/>
                <w:sz w:val="24"/>
                <w:szCs w:val="20"/>
                <w:highlight w:val="none"/>
                <w:u w:val="none"/>
                <w:lang w:val="en-US" w:eastAsia="zh-CN"/>
              </w:rPr>
              <w:t>年</w:t>
            </w:r>
            <w:r>
              <w:rPr>
                <w:rFonts w:hint="eastAsia"/>
                <w:i w:val="0"/>
                <w:iCs w:val="0"/>
                <w:color w:val="auto"/>
                <w:sz w:val="24"/>
                <w:szCs w:val="20"/>
                <w:highlight w:val="none"/>
                <w:u w:val="none"/>
                <w:lang w:val="en-US" w:eastAsia="zh-CN"/>
              </w:rPr>
              <w:t>9</w:t>
            </w:r>
            <w:r>
              <w:rPr>
                <w:rFonts w:hint="eastAsia" w:ascii="宋体" w:hAnsi="宋体"/>
                <w:color w:val="auto"/>
                <w:sz w:val="24"/>
                <w:szCs w:val="20"/>
                <w:highlight w:val="none"/>
                <w:u w:val="none"/>
              </w:rPr>
              <w:t>月</w:t>
            </w:r>
            <w:r>
              <w:rPr>
                <w:rFonts w:hint="eastAsia"/>
                <w:color w:val="auto"/>
                <w:sz w:val="24"/>
                <w:szCs w:val="20"/>
                <w:highlight w:val="none"/>
                <w:u w:val="none"/>
                <w:lang w:val="en-US" w:eastAsia="zh-CN"/>
              </w:rPr>
              <w:t>28</w:t>
            </w:r>
            <w:r>
              <w:rPr>
                <w:rFonts w:hint="eastAsia" w:ascii="宋体" w:hAnsi="宋体"/>
                <w:color w:val="auto"/>
                <w:sz w:val="24"/>
                <w:szCs w:val="20"/>
                <w:highlight w:val="none"/>
                <w:u w:val="none"/>
              </w:rPr>
              <w:t>日</w:t>
            </w:r>
            <w:r>
              <w:rPr>
                <w:rFonts w:hint="eastAsia"/>
                <w:color w:val="auto"/>
                <w:sz w:val="24"/>
                <w:szCs w:val="20"/>
                <w:highlight w:val="none"/>
                <w:u w:val="none"/>
                <w:lang w:val="en-US" w:eastAsia="zh-CN"/>
              </w:rPr>
              <w:t>18</w:t>
            </w:r>
            <w:r>
              <w:rPr>
                <w:rFonts w:hint="eastAsia" w:ascii="宋体" w:hAnsi="宋体"/>
                <w:color w:val="auto"/>
                <w:sz w:val="24"/>
                <w:szCs w:val="20"/>
                <w:highlight w:val="none"/>
                <w:u w:val="none"/>
              </w:rPr>
              <w:t>时</w:t>
            </w:r>
            <w:r>
              <w:rPr>
                <w:rFonts w:hint="eastAsia" w:cs="宋体"/>
                <w:color w:val="auto"/>
                <w:kern w:val="2"/>
                <w:sz w:val="24"/>
                <w:szCs w:val="24"/>
                <w:highlight w:val="none"/>
                <w:u w:val="none"/>
                <w:lang w:val="en-US" w:eastAsia="zh-CN" w:bidi="ar-SA"/>
              </w:rPr>
              <w:t>00</w:t>
            </w:r>
            <w:r>
              <w:rPr>
                <w:rFonts w:hint="eastAsia" w:ascii="宋体" w:hAnsi="宋体"/>
                <w:color w:val="auto"/>
                <w:sz w:val="24"/>
                <w:szCs w:val="20"/>
                <w:highlight w:val="none"/>
                <w:u w:val="none"/>
              </w:rPr>
              <w:t>分</w:t>
            </w:r>
          </w:p>
        </w:tc>
      </w:tr>
      <w:tr w14:paraId="62C3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59F16E43">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2</w:t>
            </w:r>
          </w:p>
        </w:tc>
        <w:tc>
          <w:tcPr>
            <w:tcW w:w="1455" w:type="dxa"/>
            <w:noWrap w:val="0"/>
            <w:vAlign w:val="center"/>
          </w:tcPr>
          <w:p w14:paraId="4939EA84">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lang w:val="en-US" w:eastAsia="zh-CN"/>
              </w:rPr>
              <w:t>获取招标文件截止时</w:t>
            </w:r>
            <w:r>
              <w:rPr>
                <w:rFonts w:hint="eastAsia" w:ascii="宋体" w:hAnsi="宋体" w:eastAsia="宋体" w:cs="宋体"/>
                <w:i w:val="0"/>
                <w:caps w:val="0"/>
                <w:color w:val="auto"/>
                <w:spacing w:val="0"/>
                <w:sz w:val="24"/>
                <w:szCs w:val="24"/>
                <w:highlight w:val="none"/>
              </w:rPr>
              <w:t>间</w:t>
            </w:r>
          </w:p>
        </w:tc>
        <w:tc>
          <w:tcPr>
            <w:tcW w:w="7124" w:type="dxa"/>
            <w:noWrap w:val="0"/>
            <w:vAlign w:val="center"/>
          </w:tcPr>
          <w:p w14:paraId="52EE57DE">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eastAsia="宋体" w:cs="宋体"/>
                <w:i w:val="0"/>
                <w:caps w:val="0"/>
                <w:color w:val="auto"/>
                <w:spacing w:val="0"/>
                <w:sz w:val="24"/>
                <w:szCs w:val="24"/>
                <w:highlight w:val="none"/>
                <w:lang w:val="en-US" w:eastAsia="zh-CN"/>
              </w:rPr>
              <w:t>2026年</w:t>
            </w:r>
            <w:r>
              <w:rPr>
                <w:rFonts w:hint="eastAsia" w:cs="宋体"/>
                <w:i w:val="0"/>
                <w:caps w:val="0"/>
                <w:color w:val="auto"/>
                <w:spacing w:val="0"/>
                <w:sz w:val="24"/>
                <w:szCs w:val="24"/>
                <w:highlight w:val="none"/>
                <w:lang w:val="en-US" w:eastAsia="zh-CN"/>
              </w:rPr>
              <w:t>10</w:t>
            </w:r>
            <w:r>
              <w:rPr>
                <w:rFonts w:hint="eastAsia" w:ascii="宋体" w:hAnsi="宋体" w:eastAsia="宋体" w:cs="宋体"/>
                <w:i w:val="0"/>
                <w:caps w:val="0"/>
                <w:color w:val="auto"/>
                <w:spacing w:val="0"/>
                <w:sz w:val="24"/>
                <w:szCs w:val="24"/>
                <w:highlight w:val="none"/>
              </w:rPr>
              <w:t>月</w:t>
            </w:r>
            <w:r>
              <w:rPr>
                <w:rFonts w:hint="eastAsia" w:cs="宋体"/>
                <w:i w:val="0"/>
                <w:caps w:val="0"/>
                <w:color w:val="auto"/>
                <w:spacing w:val="0"/>
                <w:sz w:val="24"/>
                <w:szCs w:val="24"/>
                <w:highlight w:val="none"/>
                <w:lang w:val="en-US" w:eastAsia="zh-CN"/>
              </w:rPr>
              <w:t>27</w:t>
            </w:r>
            <w:r>
              <w:rPr>
                <w:rFonts w:hint="eastAsia" w:ascii="宋体" w:hAnsi="宋体" w:eastAsia="宋体" w:cs="宋体"/>
                <w:i w:val="0"/>
                <w:caps w:val="0"/>
                <w:color w:val="auto"/>
                <w:spacing w:val="0"/>
                <w:sz w:val="24"/>
                <w:szCs w:val="24"/>
                <w:highlight w:val="none"/>
              </w:rPr>
              <w:t>日</w:t>
            </w:r>
            <w:r>
              <w:rPr>
                <w:rFonts w:hint="eastAsia" w:cs="宋体"/>
                <w:i w:val="0"/>
                <w:caps w:val="0"/>
                <w:color w:val="auto"/>
                <w:spacing w:val="0"/>
                <w:sz w:val="24"/>
                <w:szCs w:val="24"/>
                <w:highlight w:val="none"/>
                <w:lang w:val="en-US" w:eastAsia="zh-CN"/>
              </w:rPr>
              <w:t>9</w:t>
            </w:r>
            <w:r>
              <w:rPr>
                <w:rFonts w:hint="eastAsia" w:ascii="宋体" w:hAnsi="宋体" w:eastAsia="宋体" w:cs="宋体"/>
                <w:i w:val="0"/>
                <w:caps w:val="0"/>
                <w:color w:val="auto"/>
                <w:spacing w:val="0"/>
                <w:sz w:val="24"/>
                <w:szCs w:val="24"/>
                <w:highlight w:val="none"/>
              </w:rPr>
              <w:t>时</w:t>
            </w:r>
            <w:r>
              <w:rPr>
                <w:rFonts w:hint="eastAsia" w:cs="宋体"/>
                <w:i w:val="0"/>
                <w:caps w:val="0"/>
                <w:color w:val="auto"/>
                <w:spacing w:val="0"/>
                <w:sz w:val="24"/>
                <w:szCs w:val="24"/>
                <w:highlight w:val="none"/>
                <w:lang w:val="en-US" w:eastAsia="zh-CN"/>
              </w:rPr>
              <w:t>30</w:t>
            </w:r>
            <w:r>
              <w:rPr>
                <w:rFonts w:hint="eastAsia" w:ascii="宋体" w:hAnsi="宋体" w:eastAsia="宋体" w:cs="宋体"/>
                <w:i w:val="0"/>
                <w:caps w:val="0"/>
                <w:color w:val="auto"/>
                <w:spacing w:val="0"/>
                <w:sz w:val="24"/>
                <w:szCs w:val="24"/>
                <w:highlight w:val="none"/>
              </w:rPr>
              <w:t>分</w:t>
            </w:r>
          </w:p>
        </w:tc>
      </w:tr>
      <w:tr w14:paraId="6D0B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611FFBDE">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3</w:t>
            </w:r>
          </w:p>
        </w:tc>
        <w:tc>
          <w:tcPr>
            <w:tcW w:w="1455" w:type="dxa"/>
            <w:noWrap w:val="0"/>
            <w:vAlign w:val="center"/>
          </w:tcPr>
          <w:p w14:paraId="73C989AF">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网上提问</w:t>
            </w:r>
          </w:p>
          <w:p w14:paraId="27CE579F">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截止时间</w:t>
            </w:r>
          </w:p>
        </w:tc>
        <w:tc>
          <w:tcPr>
            <w:tcW w:w="7124" w:type="dxa"/>
            <w:noWrap w:val="0"/>
            <w:vAlign w:val="center"/>
          </w:tcPr>
          <w:p w14:paraId="2C25F0B1">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eastAsia="宋体" w:cs="宋体"/>
                <w:i w:val="0"/>
                <w:caps w:val="0"/>
                <w:color w:val="auto"/>
                <w:spacing w:val="0"/>
                <w:sz w:val="24"/>
                <w:szCs w:val="24"/>
                <w:highlight w:val="none"/>
                <w:lang w:val="en-US" w:eastAsia="zh-CN"/>
              </w:rPr>
              <w:t>2026年</w:t>
            </w:r>
            <w:r>
              <w:rPr>
                <w:rFonts w:hint="eastAsia" w:cs="宋体"/>
                <w:i w:val="0"/>
                <w:caps w:val="0"/>
                <w:color w:val="auto"/>
                <w:spacing w:val="0"/>
                <w:sz w:val="24"/>
                <w:szCs w:val="24"/>
                <w:highlight w:val="none"/>
                <w:lang w:val="en-US" w:eastAsia="zh-CN"/>
              </w:rPr>
              <w:t>10</w:t>
            </w:r>
            <w:r>
              <w:rPr>
                <w:rFonts w:hint="eastAsia" w:ascii="宋体" w:hAnsi="宋体" w:eastAsia="宋体" w:cs="宋体"/>
                <w:i w:val="0"/>
                <w:caps w:val="0"/>
                <w:color w:val="auto"/>
                <w:spacing w:val="0"/>
                <w:sz w:val="24"/>
                <w:szCs w:val="24"/>
                <w:highlight w:val="none"/>
              </w:rPr>
              <w:t>月</w:t>
            </w:r>
            <w:r>
              <w:rPr>
                <w:rFonts w:hint="eastAsia" w:cs="宋体"/>
                <w:i w:val="0"/>
                <w:caps w:val="0"/>
                <w:color w:val="auto"/>
                <w:spacing w:val="0"/>
                <w:sz w:val="24"/>
                <w:szCs w:val="24"/>
                <w:highlight w:val="none"/>
                <w:lang w:val="en-US" w:eastAsia="zh-CN"/>
              </w:rPr>
              <w:t>17</w:t>
            </w:r>
            <w:r>
              <w:rPr>
                <w:rFonts w:hint="eastAsia" w:ascii="宋体" w:hAnsi="宋体" w:eastAsia="宋体" w:cs="宋体"/>
                <w:i w:val="0"/>
                <w:caps w:val="0"/>
                <w:color w:val="auto"/>
                <w:spacing w:val="0"/>
                <w:sz w:val="24"/>
                <w:szCs w:val="24"/>
                <w:highlight w:val="none"/>
              </w:rPr>
              <w:t>日</w:t>
            </w:r>
            <w:r>
              <w:rPr>
                <w:rFonts w:hint="eastAsia" w:cs="宋体"/>
                <w:i w:val="0"/>
                <w:caps w:val="0"/>
                <w:color w:val="auto"/>
                <w:spacing w:val="0"/>
                <w:sz w:val="24"/>
                <w:szCs w:val="24"/>
                <w:highlight w:val="none"/>
                <w:lang w:val="en-US" w:eastAsia="zh-CN"/>
              </w:rPr>
              <w:t>16</w:t>
            </w:r>
            <w:r>
              <w:rPr>
                <w:rFonts w:hint="eastAsia" w:ascii="宋体" w:hAnsi="宋体" w:eastAsia="宋体" w:cs="宋体"/>
                <w:i w:val="0"/>
                <w:caps w:val="0"/>
                <w:color w:val="auto"/>
                <w:spacing w:val="0"/>
                <w:sz w:val="24"/>
                <w:szCs w:val="24"/>
                <w:highlight w:val="none"/>
              </w:rPr>
              <w:t>时</w:t>
            </w:r>
            <w:r>
              <w:rPr>
                <w:rFonts w:hint="eastAsia" w:cs="宋体"/>
                <w:i w:val="0"/>
                <w:caps w:val="0"/>
                <w:color w:val="auto"/>
                <w:spacing w:val="0"/>
                <w:sz w:val="24"/>
                <w:szCs w:val="24"/>
                <w:highlight w:val="none"/>
                <w:lang w:val="en-US" w:eastAsia="zh-CN"/>
              </w:rPr>
              <w:t>00</w:t>
            </w:r>
            <w:r>
              <w:rPr>
                <w:rFonts w:hint="eastAsia" w:ascii="宋体" w:hAnsi="宋体" w:eastAsia="宋体" w:cs="宋体"/>
                <w:i w:val="0"/>
                <w:caps w:val="0"/>
                <w:color w:val="auto"/>
                <w:spacing w:val="0"/>
                <w:sz w:val="24"/>
                <w:szCs w:val="24"/>
                <w:highlight w:val="none"/>
              </w:rPr>
              <w:t>分</w:t>
            </w:r>
          </w:p>
        </w:tc>
      </w:tr>
      <w:tr w14:paraId="1DA77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307BC3C4">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4</w:t>
            </w:r>
          </w:p>
        </w:tc>
        <w:tc>
          <w:tcPr>
            <w:tcW w:w="1455" w:type="dxa"/>
            <w:noWrap w:val="0"/>
            <w:vAlign w:val="center"/>
          </w:tcPr>
          <w:p w14:paraId="495ECBAD">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网上答疑</w:t>
            </w:r>
          </w:p>
          <w:p w14:paraId="01604367">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时间</w:t>
            </w:r>
          </w:p>
        </w:tc>
        <w:tc>
          <w:tcPr>
            <w:tcW w:w="7124" w:type="dxa"/>
            <w:noWrap w:val="0"/>
            <w:vAlign w:val="center"/>
          </w:tcPr>
          <w:p w14:paraId="16FCFF9B">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240" w:leftChars="0" w:right="0" w:rightChars="0" w:hanging="240" w:hangingChars="10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eastAsia="宋体" w:cs="宋体"/>
                <w:i w:val="0"/>
                <w:caps w:val="0"/>
                <w:color w:val="auto"/>
                <w:spacing w:val="0"/>
                <w:sz w:val="24"/>
                <w:szCs w:val="24"/>
                <w:highlight w:val="none"/>
                <w:lang w:val="en-US" w:eastAsia="zh-CN"/>
              </w:rPr>
              <w:t>2026年10月17日16时</w:t>
            </w:r>
            <w:r>
              <w:rPr>
                <w:rFonts w:hint="eastAsia" w:cs="宋体"/>
                <w:i w:val="0"/>
                <w:caps w:val="0"/>
                <w:color w:val="auto"/>
                <w:spacing w:val="0"/>
                <w:sz w:val="24"/>
                <w:szCs w:val="24"/>
                <w:highlight w:val="none"/>
                <w:lang w:val="en-US" w:eastAsia="zh-CN"/>
              </w:rPr>
              <w:t>3</w:t>
            </w:r>
            <w:r>
              <w:rPr>
                <w:rFonts w:hint="eastAsia" w:ascii="宋体" w:hAnsi="宋体" w:eastAsia="宋体" w:cs="宋体"/>
                <w:i w:val="0"/>
                <w:caps w:val="0"/>
                <w:color w:val="auto"/>
                <w:spacing w:val="0"/>
                <w:sz w:val="24"/>
                <w:szCs w:val="24"/>
                <w:highlight w:val="none"/>
                <w:lang w:val="en-US" w:eastAsia="zh-CN"/>
              </w:rPr>
              <w:t>0分</w:t>
            </w:r>
            <w:r>
              <w:rPr>
                <w:rFonts w:hint="eastAsia" w:ascii="宋体" w:hAnsi="宋体" w:eastAsia="宋体" w:cs="宋体"/>
                <w:color w:val="auto"/>
                <w:kern w:val="2"/>
                <w:sz w:val="24"/>
                <w:szCs w:val="24"/>
                <w:highlight w:val="none"/>
                <w:lang w:val="en-US" w:eastAsia="zh-CN" w:bidi="ar-SA"/>
              </w:rPr>
              <w:t>至2026年</w:t>
            </w:r>
            <w:r>
              <w:rPr>
                <w:rFonts w:hint="eastAsia" w:cs="宋体"/>
                <w:color w:val="auto"/>
                <w:kern w:val="2"/>
                <w:sz w:val="24"/>
                <w:szCs w:val="24"/>
                <w:highlight w:val="none"/>
                <w:lang w:val="en-US" w:eastAsia="zh-CN" w:bidi="ar-SA"/>
              </w:rPr>
              <w:t>10</w:t>
            </w:r>
            <w:r>
              <w:rPr>
                <w:rFonts w:hint="eastAsia" w:ascii="宋体" w:hAnsi="宋体" w:eastAsia="宋体" w:cs="宋体"/>
                <w:color w:val="auto"/>
                <w:kern w:val="2"/>
                <w:sz w:val="24"/>
                <w:szCs w:val="24"/>
                <w:highlight w:val="none"/>
                <w:lang w:val="en-US" w:eastAsia="zh-CN" w:bidi="ar-SA"/>
              </w:rPr>
              <w:t>月</w:t>
            </w:r>
            <w:r>
              <w:rPr>
                <w:rFonts w:hint="eastAsia" w:cs="宋体"/>
                <w:color w:val="auto"/>
                <w:kern w:val="2"/>
                <w:sz w:val="24"/>
                <w:szCs w:val="24"/>
                <w:highlight w:val="none"/>
                <w:lang w:val="en-US" w:eastAsia="zh-CN" w:bidi="ar-SA"/>
              </w:rPr>
              <w:t>20</w:t>
            </w:r>
            <w:r>
              <w:rPr>
                <w:rFonts w:hint="eastAsia" w:ascii="宋体" w:hAnsi="宋体" w:eastAsia="宋体" w:cs="宋体"/>
                <w:color w:val="auto"/>
                <w:kern w:val="2"/>
                <w:sz w:val="24"/>
                <w:szCs w:val="24"/>
                <w:highlight w:val="none"/>
                <w:lang w:val="en-US" w:eastAsia="zh-CN" w:bidi="ar-SA"/>
              </w:rPr>
              <w:t>日</w:t>
            </w:r>
            <w:r>
              <w:rPr>
                <w:rFonts w:hint="eastAsia" w:cs="宋体"/>
                <w:color w:val="auto"/>
                <w:kern w:val="2"/>
                <w:sz w:val="24"/>
                <w:szCs w:val="24"/>
                <w:highlight w:val="none"/>
                <w:lang w:val="en-US" w:eastAsia="zh-CN" w:bidi="ar-SA"/>
              </w:rPr>
              <w:t>16</w:t>
            </w:r>
            <w:r>
              <w:rPr>
                <w:rFonts w:hint="eastAsia" w:ascii="宋体" w:hAnsi="宋体" w:eastAsia="宋体" w:cs="宋体"/>
                <w:color w:val="auto"/>
                <w:kern w:val="2"/>
                <w:sz w:val="24"/>
                <w:szCs w:val="24"/>
                <w:highlight w:val="none"/>
                <w:lang w:val="en-US" w:eastAsia="zh-CN" w:bidi="ar-SA"/>
              </w:rPr>
              <w:t>时</w:t>
            </w:r>
            <w:r>
              <w:rPr>
                <w:rFonts w:hint="eastAsia" w:cs="宋体"/>
                <w:color w:val="auto"/>
                <w:kern w:val="2"/>
                <w:sz w:val="24"/>
                <w:szCs w:val="24"/>
                <w:highlight w:val="none"/>
                <w:lang w:val="en-US" w:eastAsia="zh-CN" w:bidi="ar-SA"/>
              </w:rPr>
              <w:t>00</w:t>
            </w:r>
            <w:bookmarkStart w:id="350" w:name="_GoBack"/>
            <w:bookmarkEnd w:id="350"/>
            <w:r>
              <w:rPr>
                <w:rFonts w:hint="eastAsia" w:ascii="宋体" w:hAnsi="宋体" w:eastAsia="宋体" w:cs="宋体"/>
                <w:color w:val="auto"/>
                <w:kern w:val="2"/>
                <w:sz w:val="24"/>
                <w:szCs w:val="24"/>
                <w:highlight w:val="none"/>
                <w:lang w:val="en-US" w:eastAsia="zh-CN" w:bidi="ar-SA"/>
              </w:rPr>
              <w:t>分</w:t>
            </w:r>
          </w:p>
        </w:tc>
      </w:tr>
      <w:tr w14:paraId="0F8C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jc w:val="center"/>
        </w:trPr>
        <w:tc>
          <w:tcPr>
            <w:tcW w:w="600" w:type="dxa"/>
            <w:noWrap w:val="0"/>
            <w:vAlign w:val="center"/>
          </w:tcPr>
          <w:p w14:paraId="66DC5209">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5</w:t>
            </w:r>
          </w:p>
        </w:tc>
        <w:tc>
          <w:tcPr>
            <w:tcW w:w="1455" w:type="dxa"/>
            <w:noWrap w:val="0"/>
            <w:vAlign w:val="center"/>
          </w:tcPr>
          <w:p w14:paraId="388DA3D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投标保证缴</w:t>
            </w:r>
          </w:p>
          <w:p w14:paraId="4306352E">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纳截止时间</w:t>
            </w:r>
          </w:p>
        </w:tc>
        <w:tc>
          <w:tcPr>
            <w:tcW w:w="7124" w:type="dxa"/>
            <w:noWrap w:val="0"/>
            <w:vAlign w:val="center"/>
          </w:tcPr>
          <w:p w14:paraId="0B700665">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right="0" w:firstLine="21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投标保证金到账截止时间：</w:t>
            </w:r>
            <w:r>
              <w:rPr>
                <w:rFonts w:hint="eastAsia" w:ascii="宋体" w:hAnsi="宋体" w:eastAsia="宋体" w:cs="宋体"/>
                <w:i w:val="0"/>
                <w:caps w:val="0"/>
                <w:color w:val="auto"/>
                <w:spacing w:val="0"/>
                <w:sz w:val="24"/>
                <w:szCs w:val="24"/>
                <w:highlight w:val="none"/>
                <w:lang w:val="en-US" w:eastAsia="zh-CN"/>
              </w:rPr>
              <w:t>2026年10月26日9时30分</w:t>
            </w:r>
            <w:r>
              <w:rPr>
                <w:rFonts w:hint="eastAsia" w:ascii="宋体" w:hAnsi="宋体" w:eastAsia="宋体" w:cs="宋体"/>
                <w:i w:val="0"/>
                <w:caps w:val="0"/>
                <w:color w:val="auto"/>
                <w:spacing w:val="0"/>
                <w:sz w:val="24"/>
                <w:szCs w:val="24"/>
                <w:highlight w:val="none"/>
              </w:rPr>
              <w:t>；</w:t>
            </w:r>
          </w:p>
          <w:p w14:paraId="65B10400">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right="0" w:firstLine="210"/>
              <w:jc w:val="left"/>
              <w:rPr>
                <w:rFonts w:hint="eastAsia" w:ascii="宋体" w:hAnsi="宋体" w:eastAsia="宋体" w:cs="宋体"/>
                <w:i w:val="0"/>
                <w:caps w:val="0"/>
                <w:color w:val="auto"/>
                <w:spacing w:val="0"/>
                <w:sz w:val="24"/>
                <w:szCs w:val="24"/>
                <w:highlight w:val="none"/>
                <w:lang w:val="en-US" w:eastAsia="zh-CN"/>
              </w:rPr>
            </w:pPr>
            <w:r>
              <w:rPr>
                <w:rFonts w:hint="eastAsia" w:ascii="宋体" w:hAnsi="宋体" w:eastAsia="宋体" w:cs="宋体"/>
                <w:i w:val="0"/>
                <w:caps w:val="0"/>
                <w:color w:val="auto"/>
                <w:spacing w:val="0"/>
                <w:sz w:val="24"/>
                <w:szCs w:val="24"/>
                <w:highlight w:val="none"/>
              </w:rPr>
              <w:t>投标保证担保</w:t>
            </w:r>
            <w:r>
              <w:rPr>
                <w:rFonts w:hint="eastAsia" w:ascii="宋体" w:hAnsi="宋体" w:eastAsia="宋体" w:cs="宋体"/>
                <w:i w:val="0"/>
                <w:caps w:val="0"/>
                <w:color w:val="auto"/>
                <w:spacing w:val="0"/>
                <w:sz w:val="24"/>
                <w:szCs w:val="24"/>
                <w:highlight w:val="none"/>
                <w:lang w:val="en-US" w:eastAsia="zh-CN"/>
              </w:rPr>
              <w:t>办理</w:t>
            </w:r>
            <w:r>
              <w:rPr>
                <w:rFonts w:hint="eastAsia" w:ascii="宋体" w:hAnsi="宋体" w:eastAsia="宋体" w:cs="宋体"/>
                <w:i w:val="0"/>
                <w:caps w:val="0"/>
                <w:color w:val="auto"/>
                <w:spacing w:val="0"/>
                <w:sz w:val="24"/>
                <w:szCs w:val="24"/>
                <w:highlight w:val="none"/>
              </w:rPr>
              <w:t>截止时间：</w:t>
            </w:r>
            <w:r>
              <w:rPr>
                <w:rFonts w:hint="eastAsia" w:ascii="宋体" w:hAnsi="宋体" w:eastAsia="宋体" w:cs="宋体"/>
                <w:i w:val="0"/>
                <w:caps w:val="0"/>
                <w:color w:val="auto"/>
                <w:spacing w:val="0"/>
                <w:sz w:val="24"/>
                <w:szCs w:val="24"/>
                <w:highlight w:val="none"/>
                <w:lang w:val="en-US" w:eastAsia="zh-CN"/>
              </w:rPr>
              <w:t>2026年10月26日9时30分；</w:t>
            </w:r>
          </w:p>
          <w:p w14:paraId="700095D8">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right="0" w:firstLine="210"/>
              <w:jc w:val="left"/>
              <w:rPr>
                <w:rFonts w:hint="eastAsia" w:ascii="宋体" w:hAnsi="宋体" w:eastAsia="宋体" w:cs="宋体"/>
                <w:color w:val="auto"/>
                <w:sz w:val="24"/>
                <w:szCs w:val="24"/>
                <w:highlight w:val="none"/>
                <w:lang w:eastAsia="zh-CN"/>
              </w:rPr>
            </w:pPr>
            <w:r>
              <w:rPr>
                <w:rFonts w:hint="eastAsia" w:ascii="宋体" w:hAnsi="宋体" w:eastAsia="宋体" w:cs="宋体"/>
                <w:caps w:val="0"/>
                <w:smallCaps w:val="0"/>
                <w:snapToGrid w:val="0"/>
                <w:color w:val="auto"/>
                <w:spacing w:val="0"/>
                <w:kern w:val="0"/>
                <w:sz w:val="24"/>
                <w:szCs w:val="24"/>
                <w:highlight w:val="none"/>
                <w:lang w:eastAsia="zh-CN"/>
              </w:rPr>
              <w:t>投标保证保险投保截止时间：</w:t>
            </w:r>
            <w:r>
              <w:rPr>
                <w:rFonts w:hint="eastAsia" w:ascii="宋体" w:hAnsi="宋体" w:eastAsia="宋体" w:cs="宋体"/>
                <w:caps w:val="0"/>
                <w:smallCaps w:val="0"/>
                <w:snapToGrid w:val="0"/>
                <w:color w:val="auto"/>
                <w:spacing w:val="0"/>
                <w:kern w:val="0"/>
                <w:sz w:val="24"/>
                <w:szCs w:val="24"/>
                <w:highlight w:val="none"/>
                <w:lang w:val="en-US" w:eastAsia="zh-CN"/>
              </w:rPr>
              <w:t>2026年10月26日9时30分</w:t>
            </w:r>
            <w:r>
              <w:rPr>
                <w:rFonts w:hint="eastAsia" w:ascii="宋体" w:hAnsi="宋体" w:eastAsia="宋体" w:cs="宋体"/>
                <w:caps w:val="0"/>
                <w:smallCaps w:val="0"/>
                <w:snapToGrid w:val="0"/>
                <w:color w:val="auto"/>
                <w:spacing w:val="0"/>
                <w:kern w:val="0"/>
                <w:sz w:val="24"/>
                <w:szCs w:val="24"/>
                <w:highlight w:val="none"/>
                <w:lang w:eastAsia="zh-CN"/>
              </w:rPr>
              <w:t>。</w:t>
            </w:r>
          </w:p>
        </w:tc>
      </w:tr>
      <w:tr w14:paraId="3B21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jc w:val="center"/>
        </w:trPr>
        <w:tc>
          <w:tcPr>
            <w:tcW w:w="600" w:type="dxa"/>
            <w:noWrap w:val="0"/>
            <w:vAlign w:val="center"/>
          </w:tcPr>
          <w:p w14:paraId="4CA24EB4">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6</w:t>
            </w:r>
          </w:p>
        </w:tc>
        <w:tc>
          <w:tcPr>
            <w:tcW w:w="1455" w:type="dxa"/>
            <w:noWrap w:val="0"/>
            <w:vAlign w:val="center"/>
          </w:tcPr>
          <w:p w14:paraId="5FBF744A">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电子投标</w:t>
            </w:r>
          </w:p>
          <w:p w14:paraId="0ED12DAF">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截止时间</w:t>
            </w:r>
          </w:p>
        </w:tc>
        <w:tc>
          <w:tcPr>
            <w:tcW w:w="7124" w:type="dxa"/>
            <w:noWrap w:val="0"/>
            <w:vAlign w:val="center"/>
          </w:tcPr>
          <w:p w14:paraId="781AF3BE">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eastAsia="宋体" w:cs="宋体"/>
                <w:i w:val="0"/>
                <w:caps w:val="0"/>
                <w:color w:val="auto"/>
                <w:spacing w:val="0"/>
                <w:sz w:val="24"/>
                <w:szCs w:val="24"/>
                <w:highlight w:val="none"/>
                <w:lang w:val="en-US" w:eastAsia="zh-CN"/>
              </w:rPr>
              <w:t>2026年10月27日9时30分</w:t>
            </w:r>
          </w:p>
        </w:tc>
      </w:tr>
      <w:tr w14:paraId="5108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00" w:type="dxa"/>
            <w:noWrap w:val="0"/>
            <w:vAlign w:val="center"/>
          </w:tcPr>
          <w:p w14:paraId="2B233138">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7</w:t>
            </w:r>
          </w:p>
        </w:tc>
        <w:tc>
          <w:tcPr>
            <w:tcW w:w="1455" w:type="dxa"/>
            <w:noWrap w:val="0"/>
            <w:vAlign w:val="center"/>
          </w:tcPr>
          <w:p w14:paraId="6B050C66">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投标相关资料（如有）</w:t>
            </w:r>
          </w:p>
          <w:p w14:paraId="2ABFA7B2">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递交时间</w:t>
            </w:r>
          </w:p>
        </w:tc>
        <w:tc>
          <w:tcPr>
            <w:tcW w:w="7124" w:type="dxa"/>
            <w:noWrap w:val="0"/>
            <w:vAlign w:val="center"/>
          </w:tcPr>
          <w:p w14:paraId="154860C2">
            <w:pPr>
              <w:pStyle w:val="89"/>
              <w:tabs>
                <w:tab w:val="left" w:pos="1890"/>
              </w:tabs>
              <w:wordWrap w:val="0"/>
              <w:adjustRightInd w:val="0"/>
              <w:snapToGrid w:val="0"/>
              <w:spacing w:line="400" w:lineRule="exact"/>
              <w:jc w:val="left"/>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 xml:space="preserve"> 2026年10月27日9时</w:t>
            </w:r>
            <w:r>
              <w:rPr>
                <w:rFonts w:hint="eastAsia" w:ascii="宋体" w:hAnsi="宋体" w:cs="宋体"/>
                <w:i w:val="0"/>
                <w:caps w:val="0"/>
                <w:color w:val="auto"/>
                <w:spacing w:val="0"/>
                <w:kern w:val="0"/>
                <w:sz w:val="24"/>
                <w:szCs w:val="24"/>
                <w:highlight w:val="none"/>
                <w:lang w:val="en-US" w:eastAsia="zh-CN" w:bidi="ar-SA"/>
              </w:rPr>
              <w:t>0</w:t>
            </w:r>
            <w:r>
              <w:rPr>
                <w:rFonts w:hint="eastAsia" w:ascii="宋体" w:hAnsi="宋体" w:eastAsia="宋体" w:cs="宋体"/>
                <w:i w:val="0"/>
                <w:caps w:val="0"/>
                <w:color w:val="auto"/>
                <w:spacing w:val="0"/>
                <w:kern w:val="0"/>
                <w:sz w:val="24"/>
                <w:szCs w:val="24"/>
                <w:highlight w:val="none"/>
                <w:lang w:val="en-US" w:eastAsia="zh-CN" w:bidi="ar-SA"/>
              </w:rPr>
              <w:t>0分</w:t>
            </w:r>
            <w:r>
              <w:rPr>
                <w:rFonts w:hint="eastAsia" w:ascii="宋体" w:hAnsi="宋体" w:eastAsia="宋体" w:cs="宋体"/>
                <w:color w:val="auto"/>
                <w:kern w:val="2"/>
                <w:sz w:val="24"/>
                <w:szCs w:val="24"/>
                <w:highlight w:val="none"/>
                <w:lang w:val="en-US" w:eastAsia="zh-CN" w:bidi="ar-SA"/>
              </w:rPr>
              <w:t>至2026年10月27日9时30分</w:t>
            </w:r>
          </w:p>
        </w:tc>
      </w:tr>
      <w:tr w14:paraId="25A8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00" w:type="dxa"/>
            <w:noWrap w:val="0"/>
            <w:vAlign w:val="center"/>
          </w:tcPr>
          <w:p w14:paraId="0125D7AD">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8</w:t>
            </w:r>
          </w:p>
        </w:tc>
        <w:tc>
          <w:tcPr>
            <w:tcW w:w="1455" w:type="dxa"/>
            <w:noWrap w:val="0"/>
            <w:vAlign w:val="center"/>
          </w:tcPr>
          <w:p w14:paraId="78F8A6D1">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投标相关资料（如有）</w:t>
            </w:r>
          </w:p>
          <w:p w14:paraId="5756A604">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递交地点</w:t>
            </w:r>
          </w:p>
        </w:tc>
        <w:tc>
          <w:tcPr>
            <w:tcW w:w="7124" w:type="dxa"/>
            <w:noWrap w:val="0"/>
            <w:vAlign w:val="center"/>
          </w:tcPr>
          <w:p w14:paraId="469389BE">
            <w:pPr>
              <w:pStyle w:val="89"/>
              <w:tabs>
                <w:tab w:val="left" w:pos="1890"/>
              </w:tabs>
              <w:wordWrap w:val="0"/>
              <w:adjustRightInd w:val="0"/>
              <w:snapToGrid w:val="0"/>
              <w:spacing w:line="400" w:lineRule="exact"/>
              <w:ind w:firstLine="240" w:firstLineChars="100"/>
              <w:jc w:val="left"/>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递交场所：</w:t>
            </w:r>
            <w:r>
              <w:rPr>
                <w:rFonts w:hint="eastAsia" w:ascii="宋体" w:hAnsi="宋体" w:eastAsia="宋体" w:cs="宋体"/>
                <w:color w:val="auto"/>
                <w:kern w:val="2"/>
                <w:sz w:val="24"/>
                <w:szCs w:val="24"/>
                <w:highlight w:val="none"/>
                <w:u w:val="single"/>
                <w:lang w:val="en-US" w:eastAsia="zh-CN" w:bidi="ar-SA"/>
              </w:rPr>
              <w:t>韶关市公共资源交易中心</w:t>
            </w:r>
            <w:r>
              <w:rPr>
                <w:rFonts w:hint="eastAsia" w:ascii="宋体" w:hAnsi="宋体" w:eastAsia="宋体" w:cs="宋体"/>
                <w:color w:val="auto"/>
                <w:kern w:val="2"/>
                <w:sz w:val="24"/>
                <w:szCs w:val="24"/>
                <w:highlight w:val="none"/>
                <w:lang w:val="en-US" w:eastAsia="zh-CN" w:bidi="ar-SA"/>
              </w:rPr>
              <w:t>，地址：</w:t>
            </w:r>
            <w:r>
              <w:rPr>
                <w:rFonts w:hint="eastAsia" w:ascii="宋体" w:hAnsi="宋体" w:eastAsia="宋体" w:cs="宋体"/>
                <w:color w:val="auto"/>
                <w:kern w:val="2"/>
                <w:sz w:val="24"/>
                <w:szCs w:val="24"/>
                <w:highlight w:val="none"/>
                <w:u w:val="single"/>
                <w:lang w:val="en-US" w:eastAsia="zh-CN" w:bidi="ar-SA"/>
              </w:rPr>
              <w:t>南雄市雄东路1号(大润发)四楼韶关市公共资源交易中心南雄分中心(南雄市公共服务中心内)</w:t>
            </w:r>
            <w:r>
              <w:rPr>
                <w:rFonts w:hint="eastAsia" w:ascii="宋体" w:hAnsi="宋体" w:eastAsia="宋体" w:cs="宋体"/>
                <w:color w:val="auto"/>
                <w:kern w:val="2"/>
                <w:sz w:val="24"/>
                <w:szCs w:val="24"/>
                <w:highlight w:val="none"/>
                <w:lang w:val="en-US" w:eastAsia="zh-CN" w:bidi="ar-SA"/>
              </w:rPr>
              <w:t>，具体房间号以当日现场通知为准。</w:t>
            </w:r>
          </w:p>
        </w:tc>
      </w:tr>
      <w:tr w14:paraId="55B4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600" w:type="dxa"/>
            <w:noWrap w:val="0"/>
            <w:vAlign w:val="center"/>
          </w:tcPr>
          <w:p w14:paraId="72B4369C">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1455" w:type="dxa"/>
            <w:noWrap w:val="0"/>
            <w:vAlign w:val="center"/>
          </w:tcPr>
          <w:p w14:paraId="5AB14A0A">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开标时间</w:t>
            </w:r>
          </w:p>
        </w:tc>
        <w:tc>
          <w:tcPr>
            <w:tcW w:w="7124" w:type="dxa"/>
            <w:noWrap w:val="0"/>
            <w:vAlign w:val="center"/>
          </w:tcPr>
          <w:p w14:paraId="0782BCB7">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eastAsia="宋体" w:cs="宋体"/>
                <w:i w:val="0"/>
                <w:caps w:val="0"/>
                <w:color w:val="auto"/>
                <w:spacing w:val="0"/>
                <w:kern w:val="0"/>
                <w:sz w:val="24"/>
                <w:szCs w:val="24"/>
                <w:highlight w:val="none"/>
                <w:lang w:val="en-US" w:eastAsia="zh-CN" w:bidi="ar-SA"/>
              </w:rPr>
              <w:t xml:space="preserve"> 2026年10月27日9时30分</w:t>
            </w:r>
          </w:p>
        </w:tc>
      </w:tr>
      <w:tr w14:paraId="34C6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600" w:type="dxa"/>
            <w:noWrap w:val="0"/>
            <w:vAlign w:val="center"/>
          </w:tcPr>
          <w:p w14:paraId="73910071">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1455" w:type="dxa"/>
            <w:noWrap w:val="0"/>
            <w:vAlign w:val="center"/>
          </w:tcPr>
          <w:p w14:paraId="17AE5E02">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开标地点</w:t>
            </w:r>
          </w:p>
        </w:tc>
        <w:tc>
          <w:tcPr>
            <w:tcW w:w="7124" w:type="dxa"/>
            <w:noWrap w:val="0"/>
            <w:vAlign w:val="center"/>
          </w:tcPr>
          <w:p w14:paraId="210F6E30">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firstLine="21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开标场所：</w:t>
            </w:r>
            <w:r>
              <w:rPr>
                <w:rFonts w:hint="eastAsia" w:ascii="宋体" w:hAnsi="宋体" w:eastAsia="宋体" w:cs="宋体"/>
                <w:color w:val="auto"/>
                <w:kern w:val="2"/>
                <w:sz w:val="24"/>
                <w:szCs w:val="24"/>
                <w:highlight w:val="none"/>
                <w:u w:val="single"/>
                <w:lang w:val="en-US" w:eastAsia="zh-CN" w:bidi="ar-SA"/>
              </w:rPr>
              <w:t>韶关市公共资源交易中心</w:t>
            </w:r>
            <w:r>
              <w:rPr>
                <w:rFonts w:hint="eastAsia" w:ascii="宋体" w:hAnsi="宋体" w:eastAsia="宋体" w:cs="宋体"/>
                <w:color w:val="auto"/>
                <w:kern w:val="2"/>
                <w:sz w:val="24"/>
                <w:szCs w:val="24"/>
                <w:highlight w:val="none"/>
                <w:lang w:val="en-US" w:eastAsia="zh-CN" w:bidi="ar-SA"/>
              </w:rPr>
              <w:t>，地址：</w:t>
            </w:r>
            <w:r>
              <w:rPr>
                <w:rFonts w:hint="eastAsia" w:ascii="宋体" w:hAnsi="宋体" w:eastAsia="宋体" w:cs="宋体"/>
                <w:color w:val="auto"/>
                <w:kern w:val="2"/>
                <w:sz w:val="24"/>
                <w:szCs w:val="24"/>
                <w:highlight w:val="none"/>
                <w:u w:val="single"/>
                <w:lang w:val="en-US" w:eastAsia="zh-CN" w:bidi="ar-SA"/>
              </w:rPr>
              <w:t>南雄市雄东路1号(大润发)四楼韶关市公共资源交易中心南雄分中心(南雄市公共服务中心内)</w:t>
            </w:r>
            <w:r>
              <w:rPr>
                <w:rFonts w:hint="eastAsia" w:ascii="宋体" w:hAnsi="宋体" w:eastAsia="宋体" w:cs="宋体"/>
                <w:color w:val="auto"/>
                <w:kern w:val="2"/>
                <w:sz w:val="24"/>
                <w:szCs w:val="24"/>
                <w:highlight w:val="none"/>
                <w:lang w:val="en-US" w:eastAsia="zh-CN" w:bidi="ar-SA"/>
              </w:rPr>
              <w:t>，具体房间号以当日现场通知为准。</w:t>
            </w:r>
          </w:p>
        </w:tc>
      </w:tr>
      <w:tr w14:paraId="573D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00" w:type="dxa"/>
            <w:noWrap w:val="0"/>
            <w:vAlign w:val="center"/>
          </w:tcPr>
          <w:p w14:paraId="349B0B5C">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i w:val="0"/>
                <w:caps w:val="0"/>
                <w:color w:val="auto"/>
                <w:spacing w:val="0"/>
                <w:sz w:val="24"/>
                <w:szCs w:val="24"/>
                <w:highlight w:val="none"/>
                <w:lang w:val="en-US"/>
              </w:rPr>
            </w:pPr>
            <w:r>
              <w:rPr>
                <w:rFonts w:hint="eastAsia" w:ascii="宋体" w:hAnsi="宋体" w:eastAsia="宋体" w:cs="宋体"/>
                <w:color w:val="auto"/>
                <w:kern w:val="2"/>
                <w:sz w:val="24"/>
                <w:szCs w:val="24"/>
                <w:highlight w:val="none"/>
                <w:lang w:val="en-US" w:eastAsia="zh-CN" w:bidi="ar-SA"/>
              </w:rPr>
              <w:t>11</w:t>
            </w:r>
          </w:p>
        </w:tc>
        <w:tc>
          <w:tcPr>
            <w:tcW w:w="1455" w:type="dxa"/>
            <w:noWrap w:val="0"/>
            <w:vAlign w:val="center"/>
          </w:tcPr>
          <w:p w14:paraId="3A3AAFFA">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其他</w:t>
            </w:r>
          </w:p>
        </w:tc>
        <w:tc>
          <w:tcPr>
            <w:tcW w:w="7124" w:type="dxa"/>
            <w:noWrap w:val="0"/>
            <w:vAlign w:val="center"/>
          </w:tcPr>
          <w:p w14:paraId="02EDE784">
            <w:pPr>
              <w:pStyle w:val="89"/>
              <w:tabs>
                <w:tab w:val="left" w:pos="1890"/>
              </w:tabs>
              <w:wordWrap w:val="0"/>
              <w:adjustRightInd w:val="0"/>
              <w:snapToGrid w:val="0"/>
              <w:spacing w:line="400" w:lineRule="exact"/>
              <w:ind w:firstLine="240" w:firstLineChars="100"/>
              <w:jc w:val="left"/>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投标人应按有关计划时间安排办理企业CA认证、企业入库等，投标人自行下载招标文件、资料文件及招标答疑书等。若由于投标人自身原因未能及时取得上述资料的，由此发生的任何责任由投标人自负。</w:t>
            </w:r>
          </w:p>
        </w:tc>
      </w:tr>
    </w:tbl>
    <w:p w14:paraId="2E9C36F7">
      <w:pPr>
        <w:pStyle w:val="41"/>
        <w:rPr>
          <w:color w:val="auto"/>
          <w:highlight w:val="none"/>
        </w:rPr>
        <w:sectPr>
          <w:endnotePr>
            <w:numFmt w:val="decimal"/>
          </w:endnotePr>
          <w:pgSz w:w="11906" w:h="16838"/>
          <w:pgMar w:top="1417" w:right="1417" w:bottom="1417" w:left="1417" w:header="850" w:footer="992" w:gutter="0"/>
          <w:cols w:space="0" w:num="1"/>
          <w:docGrid w:linePitch="327" w:charSpace="0"/>
        </w:sectPr>
      </w:pPr>
    </w:p>
    <w:p w14:paraId="1B9AF80F">
      <w:pPr>
        <w:pStyle w:val="3"/>
        <w:keepNext w:val="0"/>
        <w:keepLines w:val="0"/>
        <w:pageBreakBefore w:val="0"/>
        <w:topLinePunct w:val="0"/>
        <w:bidi w:val="0"/>
        <w:spacing w:line="500" w:lineRule="exact"/>
        <w:textAlignment w:val="auto"/>
        <w:rPr>
          <w:b/>
          <w:bCs/>
          <w:color w:val="auto"/>
          <w:highlight w:val="none"/>
        </w:rPr>
      </w:pPr>
      <w:bookmarkStart w:id="10" w:name="_Hlt87793819"/>
      <w:bookmarkEnd w:id="10"/>
      <w:bookmarkStart w:id="11" w:name="_Toc29916"/>
      <w:bookmarkStart w:id="12" w:name="_Toc9819"/>
      <w:bookmarkStart w:id="13" w:name="_Hlt69698705"/>
      <w:bookmarkStart w:id="14" w:name="_Hlt69698754"/>
      <w:r>
        <w:rPr>
          <w:rFonts w:hint="eastAsia"/>
          <w:b/>
          <w:bCs/>
          <w:color w:val="auto"/>
          <w:highlight w:val="none"/>
        </w:rPr>
        <w:t>第三节 投标人须知</w:t>
      </w:r>
      <w:bookmarkStart w:id="15" w:name="_Hlt69669159"/>
      <w:bookmarkEnd w:id="15"/>
      <w:r>
        <w:rPr>
          <w:rFonts w:hint="eastAsia"/>
          <w:b/>
          <w:bCs/>
          <w:color w:val="auto"/>
          <w:highlight w:val="none"/>
        </w:rPr>
        <w:t>正文</w:t>
      </w:r>
      <w:bookmarkEnd w:id="11"/>
      <w:bookmarkEnd w:id="12"/>
    </w:p>
    <w:bookmarkEnd w:id="13"/>
    <w:bookmarkEnd w:id="14"/>
    <w:p w14:paraId="2D45F9E1">
      <w:pPr>
        <w:pStyle w:val="9"/>
        <w:keepNext w:val="0"/>
        <w:keepLines w:val="0"/>
        <w:pageBreakBefore w:val="0"/>
        <w:widowControl w:val="0"/>
        <w:tabs>
          <w:tab w:val="left" w:pos="1890"/>
        </w:tabs>
        <w:kinsoku w:val="0"/>
        <w:wordWrap w:val="0"/>
        <w:overflowPunct w:val="0"/>
        <w:topLinePunct w:val="0"/>
        <w:autoSpaceDE w:val="0"/>
        <w:autoSpaceDN w:val="0"/>
        <w:bidi w:val="0"/>
        <w:adjustRightInd/>
        <w:snapToGrid/>
        <w:spacing w:line="500" w:lineRule="exact"/>
        <w:ind w:firstLine="480" w:firstLineChars="200"/>
        <w:textAlignment w:val="auto"/>
        <w:rPr>
          <w:rFonts w:hint="eastAsia" w:ascii="宋体" w:hAnsi="宋体" w:eastAsia="宋体" w:cs="宋体"/>
          <w:color w:val="auto"/>
          <w:sz w:val="24"/>
          <w:highlight w:val="none"/>
        </w:rPr>
      </w:pPr>
      <w:r>
        <w:rPr>
          <w:rFonts w:hint="eastAsia" w:hAnsi="宋体" w:cs="宋体"/>
          <w:b w:val="0"/>
          <w:bCs w:val="0"/>
          <w:caps w:val="0"/>
          <w:smallCaps w:val="0"/>
          <w:snapToGrid w:val="0"/>
          <w:color w:val="auto"/>
          <w:spacing w:val="0"/>
          <w:kern w:val="0"/>
          <w:sz w:val="24"/>
          <w:szCs w:val="24"/>
          <w:highlight w:val="none"/>
          <w:u w:val="single"/>
          <w:lang w:val="en-US" w:eastAsia="zh-CN"/>
        </w:rPr>
        <w:t>南雄市“银杏染秋”乡村振兴示范带建设项目-澜河镇典型村建设项目监理</w:t>
      </w:r>
      <w:r>
        <w:rPr>
          <w:rFonts w:hint="eastAsia" w:ascii="宋体" w:hAnsi="宋体" w:eastAsia="宋体" w:cs="宋体"/>
          <w:b w:val="0"/>
          <w:bCs w:val="0"/>
          <w:caps w:val="0"/>
          <w:smallCaps w:val="0"/>
          <w:snapToGrid w:val="0"/>
          <w:color w:val="auto"/>
          <w:spacing w:val="0"/>
          <w:kern w:val="0"/>
          <w:sz w:val="24"/>
          <w:szCs w:val="24"/>
          <w:highlight w:val="none"/>
          <w:lang w:val="en-US" w:eastAsia="zh-CN"/>
        </w:rPr>
        <w:t>经</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南雄市发展和改革局</w:t>
      </w:r>
      <w:r>
        <w:rPr>
          <w:rFonts w:hint="eastAsia" w:ascii="宋体" w:hAnsi="宋体" w:eastAsia="宋体" w:cs="宋体"/>
          <w:b w:val="0"/>
          <w:bCs w:val="0"/>
          <w:caps w:val="0"/>
          <w:smallCaps w:val="0"/>
          <w:snapToGrid w:val="0"/>
          <w:color w:val="auto"/>
          <w:spacing w:val="0"/>
          <w:kern w:val="0"/>
          <w:sz w:val="24"/>
          <w:szCs w:val="24"/>
          <w:highlight w:val="none"/>
          <w:lang w:val="en-US" w:eastAsia="zh-CN"/>
        </w:rPr>
        <w:t>以</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《关于南雄市“银杏染秋”乡村振兴示范带建设项目可行性研究报告的批复》</w:t>
      </w:r>
      <w:r>
        <w:rPr>
          <w:rFonts w:hint="eastAsia" w:hAnsi="宋体" w:cs="宋体"/>
          <w:b w:val="0"/>
          <w:bCs w:val="0"/>
          <w:caps w:val="0"/>
          <w:smallCaps w:val="0"/>
          <w:snapToGrid w:val="0"/>
          <w:color w:val="auto"/>
          <w:spacing w:val="0"/>
          <w:kern w:val="0"/>
          <w:sz w:val="24"/>
          <w:szCs w:val="24"/>
          <w:highlight w:val="none"/>
          <w:u w:val="single"/>
          <w:lang w:val="en-US" w:eastAsia="zh-CN"/>
        </w:rPr>
        <w:t>、《关于同意调整南雄市“银杏染秋”乡村振兴示范带建设项目可行性研究报告的批复》</w:t>
      </w:r>
      <w:r>
        <w:rPr>
          <w:rFonts w:hint="eastAsia" w:ascii="宋体" w:hAnsi="宋体" w:eastAsia="宋体" w:cs="宋体"/>
          <w:b w:val="0"/>
          <w:bCs w:val="0"/>
          <w:caps w:val="0"/>
          <w:smallCaps w:val="0"/>
          <w:snapToGrid w:val="0"/>
          <w:color w:val="auto"/>
          <w:spacing w:val="0"/>
          <w:kern w:val="0"/>
          <w:sz w:val="24"/>
          <w:szCs w:val="24"/>
          <w:highlight w:val="none"/>
          <w:lang w:val="en-US" w:eastAsia="zh-CN"/>
        </w:rPr>
        <w:t>批准招标，项目批准文号为</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 xml:space="preserve"> 雄发改投审〔2024〕106号</w:t>
      </w:r>
      <w:r>
        <w:rPr>
          <w:rFonts w:hint="eastAsia" w:hAnsi="宋体" w:cs="宋体"/>
          <w:b w:val="0"/>
          <w:bCs w:val="0"/>
          <w:caps w:val="0"/>
          <w:smallCaps w:val="0"/>
          <w:snapToGrid w:val="0"/>
          <w:color w:val="auto"/>
          <w:spacing w:val="0"/>
          <w:kern w:val="0"/>
          <w:sz w:val="24"/>
          <w:szCs w:val="24"/>
          <w:highlight w:val="none"/>
          <w:u w:val="single"/>
          <w:lang w:val="en-US" w:eastAsia="zh-CN"/>
        </w:rPr>
        <w:t>、</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雄发改投审〔202</w:t>
      </w:r>
      <w:r>
        <w:rPr>
          <w:rFonts w:hint="eastAsia" w:hAnsi="宋体" w:cs="宋体"/>
          <w:b w:val="0"/>
          <w:bCs w:val="0"/>
          <w:caps w:val="0"/>
          <w:smallCaps w:val="0"/>
          <w:snapToGrid w:val="0"/>
          <w:color w:val="auto"/>
          <w:spacing w:val="0"/>
          <w:kern w:val="0"/>
          <w:sz w:val="24"/>
          <w:szCs w:val="24"/>
          <w:highlight w:val="none"/>
          <w:u w:val="single"/>
          <w:lang w:val="en-US" w:eastAsia="zh-CN"/>
        </w:rPr>
        <w:t>6</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w:t>
      </w:r>
      <w:r>
        <w:rPr>
          <w:rFonts w:hint="eastAsia" w:hAnsi="宋体" w:cs="宋体"/>
          <w:b w:val="0"/>
          <w:bCs w:val="0"/>
          <w:caps w:val="0"/>
          <w:smallCaps w:val="0"/>
          <w:snapToGrid w:val="0"/>
          <w:color w:val="auto"/>
          <w:spacing w:val="0"/>
          <w:kern w:val="0"/>
          <w:sz w:val="24"/>
          <w:szCs w:val="24"/>
          <w:highlight w:val="none"/>
          <w:u w:val="single"/>
          <w:lang w:val="en-US" w:eastAsia="zh-CN"/>
        </w:rPr>
        <w:t>95</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号，</w:t>
      </w:r>
      <w:r>
        <w:rPr>
          <w:rFonts w:hint="eastAsia" w:ascii="宋体" w:hAnsi="宋体" w:eastAsia="宋体" w:cs="宋体"/>
          <w:b w:val="0"/>
          <w:bCs w:val="0"/>
          <w:caps w:val="0"/>
          <w:smallCaps w:val="0"/>
          <w:snapToGrid w:val="0"/>
          <w:color w:val="auto"/>
          <w:spacing w:val="0"/>
          <w:kern w:val="0"/>
          <w:sz w:val="24"/>
          <w:szCs w:val="24"/>
          <w:highlight w:val="none"/>
          <w:lang w:val="en-US" w:eastAsia="zh-CN"/>
        </w:rPr>
        <w:t>项目代码为</w:t>
      </w:r>
      <w:r>
        <w:rPr>
          <w:rFonts w:hint="eastAsia" w:hAnsi="宋体" w:cs="宋体"/>
          <w:snapToGrid w:val="0"/>
          <w:color w:val="auto"/>
          <w:kern w:val="0"/>
          <w:sz w:val="24"/>
          <w:szCs w:val="24"/>
          <w:highlight w:val="none"/>
          <w:u w:val="single"/>
          <w:lang w:eastAsia="zh-CN"/>
        </w:rPr>
        <w:t>2407-440282-20-01-288869</w:t>
      </w:r>
      <w:r>
        <w:rPr>
          <w:rFonts w:hint="eastAsia" w:ascii="宋体" w:hAnsi="宋体" w:eastAsia="宋体" w:cs="宋体"/>
          <w:b w:val="0"/>
          <w:bCs w:val="0"/>
          <w:caps w:val="0"/>
          <w:smallCaps w:val="0"/>
          <w:snapToGrid w:val="0"/>
          <w:color w:val="auto"/>
          <w:spacing w:val="0"/>
          <w:kern w:val="0"/>
          <w:sz w:val="24"/>
          <w:szCs w:val="24"/>
          <w:highlight w:val="none"/>
          <w:lang w:val="en-US" w:eastAsia="zh-CN"/>
        </w:rPr>
        <w:t>，本工程项目业主为</w:t>
      </w:r>
      <w:r>
        <w:rPr>
          <w:rFonts w:hint="eastAsia"/>
          <w:snapToGrid w:val="0"/>
          <w:color w:val="auto"/>
          <w:kern w:val="0"/>
          <w:highlight w:val="none"/>
          <w:u w:val="single"/>
          <w:lang w:eastAsia="zh-CN"/>
        </w:rPr>
        <w:t>南雄市澜河镇人民政府</w:t>
      </w:r>
      <w:r>
        <w:rPr>
          <w:rFonts w:hint="eastAsia" w:ascii="宋体" w:hAnsi="宋体" w:eastAsia="宋体" w:cs="宋体"/>
          <w:b w:val="0"/>
          <w:bCs w:val="0"/>
          <w:caps w:val="0"/>
          <w:smallCaps w:val="0"/>
          <w:snapToGrid w:val="0"/>
          <w:color w:val="auto"/>
          <w:spacing w:val="0"/>
          <w:kern w:val="0"/>
          <w:sz w:val="24"/>
          <w:szCs w:val="24"/>
          <w:highlight w:val="none"/>
          <w:lang w:val="en-US" w:eastAsia="zh-CN"/>
        </w:rPr>
        <w:t>，建设资金来自</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市财政统筹</w:t>
      </w:r>
      <w:r>
        <w:rPr>
          <w:rFonts w:hint="eastAsia" w:ascii="宋体" w:hAnsi="宋体" w:eastAsia="宋体" w:cs="宋体"/>
          <w:b w:val="0"/>
          <w:bCs w:val="0"/>
          <w:caps w:val="0"/>
          <w:smallCaps w:val="0"/>
          <w:snapToGrid w:val="0"/>
          <w:color w:val="auto"/>
          <w:spacing w:val="0"/>
          <w:kern w:val="0"/>
          <w:sz w:val="24"/>
          <w:szCs w:val="24"/>
          <w:highlight w:val="none"/>
          <w:lang w:val="en-US" w:eastAsia="zh-CN"/>
        </w:rPr>
        <w:t>，出资比例为</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100%</w:t>
      </w:r>
      <w:r>
        <w:rPr>
          <w:rFonts w:hint="eastAsia" w:ascii="宋体" w:hAnsi="宋体" w:eastAsia="宋体" w:cs="宋体"/>
          <w:b w:val="0"/>
          <w:bCs w:val="0"/>
          <w:caps w:val="0"/>
          <w:smallCaps w:val="0"/>
          <w:snapToGrid w:val="0"/>
          <w:color w:val="auto"/>
          <w:spacing w:val="0"/>
          <w:kern w:val="0"/>
          <w:sz w:val="24"/>
          <w:szCs w:val="24"/>
          <w:highlight w:val="none"/>
          <w:lang w:val="en-US" w:eastAsia="zh-CN"/>
        </w:rPr>
        <w:t>，招标人为</w:t>
      </w:r>
      <w:r>
        <w:rPr>
          <w:rFonts w:hint="eastAsia"/>
          <w:snapToGrid w:val="0"/>
          <w:color w:val="auto"/>
          <w:kern w:val="0"/>
          <w:highlight w:val="none"/>
          <w:u w:val="single"/>
          <w:lang w:eastAsia="zh-CN"/>
        </w:rPr>
        <w:t>南雄市澜河镇人民政府</w:t>
      </w:r>
      <w:r>
        <w:rPr>
          <w:rFonts w:hint="eastAsia" w:ascii="宋体" w:hAnsi="宋体" w:eastAsia="宋体" w:cs="宋体"/>
          <w:b w:val="0"/>
          <w:bCs w:val="0"/>
          <w:caps w:val="0"/>
          <w:smallCaps w:val="0"/>
          <w:snapToGrid w:val="0"/>
          <w:color w:val="auto"/>
          <w:spacing w:val="0"/>
          <w:kern w:val="0"/>
          <w:sz w:val="24"/>
          <w:szCs w:val="24"/>
          <w:highlight w:val="none"/>
          <w:lang w:val="en-US" w:eastAsia="zh-CN"/>
        </w:rPr>
        <w:t>，</w:t>
      </w:r>
      <w:r>
        <w:rPr>
          <w:rFonts w:hint="eastAsia" w:ascii="宋体" w:hAnsi="宋体" w:eastAsia="宋体" w:cs="宋体"/>
          <w:snapToGrid w:val="0"/>
          <w:color w:val="auto"/>
          <w:kern w:val="0"/>
          <w:szCs w:val="24"/>
          <w:highlight w:val="none"/>
        </w:rPr>
        <w:t>招标代理机构为</w:t>
      </w:r>
      <w:r>
        <w:rPr>
          <w:rFonts w:hint="eastAsia"/>
          <w:snapToGrid w:val="0"/>
          <w:color w:val="auto"/>
          <w:kern w:val="0"/>
          <w:highlight w:val="none"/>
          <w:u w:val="single"/>
          <w:lang w:eastAsia="zh-CN"/>
        </w:rPr>
        <w:t>广东省南沣建设管理有限公司</w:t>
      </w:r>
      <w:r>
        <w:rPr>
          <w:rFonts w:hint="eastAsia" w:ascii="宋体" w:hAnsi="宋体" w:eastAsia="宋体" w:cs="宋体"/>
          <w:snapToGrid w:val="0"/>
          <w:color w:val="auto"/>
          <w:kern w:val="0"/>
          <w:szCs w:val="24"/>
          <w:highlight w:val="none"/>
        </w:rPr>
        <w:t>。</w:t>
      </w:r>
      <w:r>
        <w:rPr>
          <w:rFonts w:hint="eastAsia" w:ascii="宋体" w:hAnsi="宋体" w:eastAsia="宋体" w:cs="宋体"/>
          <w:color w:val="auto"/>
          <w:kern w:val="0"/>
          <w:sz w:val="24"/>
          <w:szCs w:val="22"/>
          <w:highlight w:val="none"/>
        </w:rPr>
        <w:t>项目已具备招标条件，现对该项目</w:t>
      </w:r>
      <w:r>
        <w:rPr>
          <w:rFonts w:hint="eastAsia" w:ascii="宋体" w:hAnsi="宋体" w:eastAsia="宋体" w:cs="宋体"/>
          <w:color w:val="auto"/>
          <w:kern w:val="0"/>
          <w:sz w:val="24"/>
          <w:szCs w:val="22"/>
          <w:highlight w:val="none"/>
          <w:lang w:val="en-US" w:eastAsia="zh-CN"/>
        </w:rPr>
        <w:t>的</w:t>
      </w:r>
      <w:r>
        <w:rPr>
          <w:rFonts w:hint="eastAsia" w:hAnsi="宋体" w:cs="宋体"/>
          <w:color w:val="auto"/>
          <w:sz w:val="24"/>
          <w:szCs w:val="24"/>
          <w:highlight w:val="none"/>
          <w:u w:val="single"/>
          <w:lang w:val="en-US" w:eastAsia="zh-CN"/>
        </w:rPr>
        <w:t>监理</w:t>
      </w:r>
      <w:r>
        <w:rPr>
          <w:rFonts w:hint="eastAsia" w:ascii="宋体" w:hAnsi="宋体" w:eastAsia="宋体" w:cs="宋体"/>
          <w:color w:val="auto"/>
          <w:kern w:val="0"/>
          <w:sz w:val="24"/>
          <w:szCs w:val="22"/>
          <w:highlight w:val="none"/>
        </w:rPr>
        <w:t>进行公开招标。</w:t>
      </w:r>
    </w:p>
    <w:p w14:paraId="186CB798">
      <w:pPr>
        <w:pStyle w:val="89"/>
        <w:keepNext w:val="0"/>
        <w:keepLines w:val="0"/>
        <w:pageBreakBefore w:val="0"/>
        <w:wordWrap w:val="0"/>
        <w:topLinePunct w:val="0"/>
        <w:bidi w:val="0"/>
        <w:adjustRightInd w:val="0"/>
        <w:snapToGrid w:val="0"/>
        <w:spacing w:line="500" w:lineRule="exact"/>
        <w:ind w:firstLine="480"/>
        <w:jc w:val="left"/>
        <w:textAlignment w:val="auto"/>
        <w:outlineLvl w:val="2"/>
        <w:rPr>
          <w:b/>
          <w:bCs/>
          <w:snapToGrid w:val="0"/>
          <w:color w:val="auto"/>
          <w:kern w:val="0"/>
          <w:sz w:val="24"/>
          <w:highlight w:val="none"/>
        </w:rPr>
      </w:pPr>
      <w:bookmarkStart w:id="16" w:name="_Toc5851"/>
      <w:r>
        <w:rPr>
          <w:rFonts w:hint="eastAsia"/>
          <w:b/>
          <w:bCs/>
          <w:snapToGrid w:val="0"/>
          <w:color w:val="auto"/>
          <w:kern w:val="0"/>
          <w:sz w:val="24"/>
          <w:highlight w:val="none"/>
        </w:rPr>
        <w:t>1．项目概况、招标范围和标段划分、投标费用</w:t>
      </w:r>
      <w:bookmarkEnd w:id="16"/>
    </w:p>
    <w:p w14:paraId="6AD07085">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w:t>
      </w:r>
      <w:r>
        <w:rPr>
          <w:rFonts w:hint="eastAsia" w:ascii="宋体" w:hAnsi="宋体" w:cs="宋体"/>
          <w:snapToGrid w:val="0"/>
          <w:color w:val="auto"/>
          <w:kern w:val="0"/>
          <w:sz w:val="24"/>
          <w:highlight w:val="none"/>
        </w:rPr>
        <w:t xml:space="preserve"> 项目概况</w:t>
      </w:r>
    </w:p>
    <w:p w14:paraId="693DCE7F">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1.1.1</w:t>
      </w:r>
      <w:r>
        <w:rPr>
          <w:rFonts w:hint="eastAsia" w:ascii="宋体" w:hAnsi="宋体" w:cs="宋体"/>
          <w:snapToGrid w:val="0"/>
          <w:color w:val="auto"/>
          <w:kern w:val="0"/>
          <w:sz w:val="24"/>
          <w:highlight w:val="none"/>
        </w:rPr>
        <w:t xml:space="preserve"> 建设地点：</w:t>
      </w:r>
      <w:r>
        <w:rPr>
          <w:rFonts w:hint="eastAsia" w:ascii="宋体" w:hAnsi="宋体" w:cs="宋体"/>
          <w:snapToGrid w:val="0"/>
          <w:color w:val="auto"/>
          <w:kern w:val="0"/>
          <w:sz w:val="24"/>
          <w:highlight w:val="none"/>
          <w:u w:val="single"/>
          <w:lang w:val="en-US" w:eastAsia="zh-CN"/>
        </w:rPr>
        <w:t>南雄市澜河镇</w:t>
      </w:r>
      <w:r>
        <w:rPr>
          <w:rFonts w:hint="eastAsia" w:ascii="宋体" w:hAnsi="宋体" w:cs="宋体"/>
          <w:snapToGrid w:val="0"/>
          <w:color w:val="auto"/>
          <w:kern w:val="0"/>
          <w:sz w:val="24"/>
          <w:highlight w:val="none"/>
          <w:u w:val="single"/>
          <w:lang w:eastAsia="zh-CN"/>
        </w:rPr>
        <w:t>。</w:t>
      </w:r>
    </w:p>
    <w:p w14:paraId="5BC2305E">
      <w:pPr>
        <w:pStyle w:val="89"/>
        <w:shd w:val="clear" w:color="auto" w:fill="auto"/>
        <w:wordWrap w:val="0"/>
        <w:adjustRightInd w:val="0"/>
        <w:snapToGrid w:val="0"/>
        <w:spacing w:line="440" w:lineRule="atLeast"/>
        <w:ind w:firstLine="480"/>
        <w:jc w:val="left"/>
        <w:rPr>
          <w:rFonts w:hint="eastAsia" w:ascii="宋体" w:hAnsi="宋体" w:cs="宋体"/>
          <w:snapToGrid w:val="0"/>
          <w:color w:val="auto"/>
          <w:kern w:val="0"/>
          <w:sz w:val="24"/>
          <w:highlight w:val="none"/>
          <w:u w:val="single"/>
        </w:rPr>
      </w:pPr>
      <w:r>
        <w:rPr>
          <w:rFonts w:hint="eastAsia" w:ascii="宋体" w:hAnsi="宋体" w:cs="宋体"/>
          <w:b/>
          <w:bCs/>
          <w:snapToGrid w:val="0"/>
          <w:color w:val="auto"/>
          <w:kern w:val="0"/>
          <w:sz w:val="24"/>
          <w:highlight w:val="none"/>
          <w:lang w:val="en-US" w:eastAsia="zh-CN"/>
        </w:rPr>
        <w:t xml:space="preserve">1.1.2 </w:t>
      </w:r>
      <w:r>
        <w:rPr>
          <w:rFonts w:hint="eastAsia" w:ascii="宋体" w:hAnsi="宋体" w:cs="宋体"/>
          <w:b w:val="0"/>
          <w:bCs w:val="0"/>
          <w:snapToGrid w:val="0"/>
          <w:color w:val="auto"/>
          <w:kern w:val="0"/>
          <w:sz w:val="24"/>
          <w:highlight w:val="none"/>
          <w:lang w:val="en-US" w:eastAsia="zh-CN"/>
        </w:rPr>
        <w:t>建设内容：</w:t>
      </w:r>
      <w:r>
        <w:rPr>
          <w:rFonts w:hint="eastAsia" w:ascii="宋体" w:hAnsi="宋体" w:cs="宋体"/>
          <w:b w:val="0"/>
          <w:bCs w:val="0"/>
          <w:snapToGrid w:val="0"/>
          <w:color w:val="auto"/>
          <w:kern w:val="0"/>
          <w:sz w:val="24"/>
          <w:highlight w:val="none"/>
          <w:u w:val="single"/>
          <w:lang w:val="en-US" w:eastAsia="zh-CN"/>
        </w:rPr>
        <w:t>新铺路面约3148平方米，平整场地约2023平方米，建设护栏约281米，挡土墙、景墙约268米，新砌水沟约120米，排水沟加盖盖板约488米，新砌路缘石约338米，铺设透水砖约179平方米，风貌提升改造约1581平方米，建设花池、宣传栏及绿化提升等。</w:t>
      </w:r>
    </w:p>
    <w:p w14:paraId="415961A1">
      <w:pPr>
        <w:pStyle w:val="89"/>
        <w:keepNext w:val="0"/>
        <w:keepLines w:val="0"/>
        <w:pageBreakBefore w:val="0"/>
        <w:wordWrap w:val="0"/>
        <w:topLinePunct w:val="0"/>
        <w:bidi w:val="0"/>
        <w:adjustRightInd w:val="0"/>
        <w:snapToGrid w:val="0"/>
        <w:spacing w:line="500" w:lineRule="exact"/>
        <w:ind w:firstLine="480"/>
        <w:jc w:val="left"/>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cs="宋体"/>
          <w:b/>
          <w:bCs/>
          <w:snapToGrid w:val="0"/>
          <w:color w:val="auto"/>
          <w:kern w:val="0"/>
          <w:sz w:val="24"/>
          <w:highlight w:val="none"/>
        </w:rPr>
        <w:t xml:space="preserve">1.1.3 </w:t>
      </w:r>
      <w:r>
        <w:rPr>
          <w:rFonts w:hint="eastAsia" w:ascii="宋体" w:hAnsi="宋体" w:eastAsia="宋体" w:cs="宋体"/>
          <w:snapToGrid w:val="0"/>
          <w:color w:val="auto"/>
          <w:kern w:val="0"/>
          <w:sz w:val="24"/>
          <w:szCs w:val="24"/>
          <w:highlight w:val="none"/>
          <w:lang w:val="en-US" w:eastAsia="zh-CN"/>
        </w:rPr>
        <w:t>项目总投资：</w:t>
      </w:r>
      <w:r>
        <w:rPr>
          <w:rFonts w:hint="eastAsia" w:hAnsi="宋体" w:cs="宋体"/>
          <w:color w:val="auto"/>
          <w:kern w:val="0"/>
          <w:sz w:val="24"/>
          <w:szCs w:val="24"/>
          <w:highlight w:val="none"/>
          <w:lang w:val="en-US" w:eastAsia="zh-CN" w:bidi="ar-SA"/>
        </w:rPr>
        <w:t>项目概算投资261.42万元。其中建安工程费用为224.79万元</w:t>
      </w:r>
      <w:r>
        <w:rPr>
          <w:rFonts w:hint="eastAsia"/>
          <w:snapToGrid w:val="0"/>
          <w:color w:val="auto"/>
          <w:kern w:val="0"/>
          <w:sz w:val="24"/>
          <w:highlight w:val="none"/>
          <w:u w:val="single"/>
          <w:lang w:val="en-US" w:eastAsia="zh-CN"/>
        </w:rPr>
        <w:t>。</w:t>
      </w:r>
    </w:p>
    <w:p w14:paraId="65737CC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b/>
          <w:bCs/>
          <w:snapToGrid w:val="0"/>
          <w:color w:val="auto"/>
          <w:kern w:val="0"/>
          <w:sz w:val="24"/>
          <w:highlight w:val="none"/>
        </w:rPr>
      </w:pPr>
      <w:r>
        <w:rPr>
          <w:rFonts w:hint="eastAsia" w:ascii="宋体" w:hAnsi="宋体" w:cs="宋体"/>
          <w:b/>
          <w:bCs/>
          <w:snapToGrid w:val="0"/>
          <w:color w:val="auto"/>
          <w:kern w:val="0"/>
          <w:sz w:val="24"/>
          <w:highlight w:val="none"/>
        </w:rPr>
        <w:t xml:space="preserve">1.2 </w:t>
      </w:r>
      <w:r>
        <w:rPr>
          <w:rFonts w:hint="eastAsia" w:ascii="宋体" w:hAnsi="宋体" w:cs="宋体"/>
          <w:snapToGrid w:val="0"/>
          <w:color w:val="auto"/>
          <w:kern w:val="0"/>
          <w:sz w:val="24"/>
          <w:highlight w:val="none"/>
        </w:rPr>
        <w:t>招标范围和标段划分</w:t>
      </w:r>
    </w:p>
    <w:p w14:paraId="11D1A9D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1.2.1</w:t>
      </w:r>
      <w:r>
        <w:rPr>
          <w:rFonts w:hint="eastAsia" w:ascii="宋体" w:hAnsi="宋体" w:cs="宋体"/>
          <w:snapToGrid w:val="0"/>
          <w:color w:val="auto"/>
          <w:kern w:val="0"/>
          <w:sz w:val="24"/>
          <w:highlight w:val="none"/>
        </w:rPr>
        <w:t xml:space="preserve"> 招标范围</w:t>
      </w:r>
    </w:p>
    <w:p w14:paraId="016098F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监理：项目建设施工阶段监理（含施工准备阶段、施工阶段、工程竣工结算阶段和保修阶段监理）</w:t>
      </w:r>
    </w:p>
    <w:p w14:paraId="5BA56E1B">
      <w:pPr>
        <w:keepNext w:val="0"/>
        <w:keepLines w:val="0"/>
        <w:pageBreakBefore w:val="0"/>
        <w:wordWrap w:val="0"/>
        <w:topLinePunct w:val="0"/>
        <w:bidi w:val="0"/>
        <w:adjustRightInd w:val="0"/>
        <w:snapToGrid w:val="0"/>
        <w:spacing w:line="500" w:lineRule="exact"/>
        <w:ind w:firstLine="48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1.2.2</w:t>
      </w:r>
      <w:r>
        <w:rPr>
          <w:rFonts w:hint="eastAsia" w:hAnsi="宋体" w:cs="宋体"/>
          <w:snapToGrid w:val="0"/>
          <w:color w:val="auto"/>
          <w:kern w:val="0"/>
          <w:szCs w:val="24"/>
          <w:highlight w:val="none"/>
        </w:rPr>
        <w:t xml:space="preserve"> 标段划分：本招标项目不划分标段。</w:t>
      </w:r>
    </w:p>
    <w:p w14:paraId="2ABF50FE">
      <w:pPr>
        <w:keepNext w:val="0"/>
        <w:keepLines w:val="0"/>
        <w:pageBreakBefore w:val="0"/>
        <w:wordWrap w:val="0"/>
        <w:topLinePunct w:val="0"/>
        <w:bidi w:val="0"/>
        <w:adjustRightInd w:val="0"/>
        <w:snapToGrid w:val="0"/>
        <w:spacing w:line="500" w:lineRule="exact"/>
        <w:ind w:firstLine="532" w:firstLineChars="221"/>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1.3</w:t>
      </w:r>
      <w:r>
        <w:rPr>
          <w:rFonts w:hint="eastAsia" w:hAnsi="宋体" w:cs="宋体"/>
          <w:snapToGrid w:val="0"/>
          <w:color w:val="auto"/>
          <w:kern w:val="0"/>
          <w:szCs w:val="24"/>
          <w:highlight w:val="none"/>
        </w:rPr>
        <w:t xml:space="preserve"> 投标费用：投标人应承担所有准备和参加投标的相关费用，不论投标结果如何，招标人均无义务和责任承担这些费用。</w:t>
      </w:r>
    </w:p>
    <w:p w14:paraId="6390B779">
      <w:pPr>
        <w:pStyle w:val="89"/>
        <w:keepNext w:val="0"/>
        <w:keepLines w:val="0"/>
        <w:pageBreakBefore w:val="0"/>
        <w:wordWrap w:val="0"/>
        <w:topLinePunct w:val="0"/>
        <w:bidi w:val="0"/>
        <w:adjustRightInd w:val="0"/>
        <w:snapToGrid w:val="0"/>
        <w:spacing w:line="500" w:lineRule="exact"/>
        <w:ind w:firstLine="480"/>
        <w:jc w:val="left"/>
        <w:textAlignment w:val="auto"/>
        <w:outlineLvl w:val="2"/>
        <w:rPr>
          <w:rFonts w:hint="eastAsia"/>
          <w:b/>
          <w:bCs/>
          <w:snapToGrid w:val="0"/>
          <w:color w:val="auto"/>
          <w:kern w:val="0"/>
          <w:sz w:val="24"/>
          <w:highlight w:val="none"/>
        </w:rPr>
      </w:pPr>
      <w:bookmarkStart w:id="17" w:name="_Toc31795"/>
      <w:bookmarkStart w:id="18" w:name="_Toc1649"/>
      <w:r>
        <w:rPr>
          <w:rFonts w:hint="eastAsia"/>
          <w:b/>
          <w:bCs/>
          <w:snapToGrid w:val="0"/>
          <w:color w:val="auto"/>
          <w:kern w:val="0"/>
          <w:sz w:val="24"/>
          <w:highlight w:val="none"/>
        </w:rPr>
        <w:t>2．投标人资格要求</w:t>
      </w:r>
      <w:bookmarkEnd w:id="17"/>
      <w:bookmarkEnd w:id="18"/>
      <w:bookmarkStart w:id="19" w:name="_Hlt74496495"/>
      <w:bookmarkEnd w:id="19"/>
    </w:p>
    <w:p w14:paraId="15BDEE59">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2.1</w:t>
      </w:r>
      <w:r>
        <w:rPr>
          <w:rFonts w:hint="eastAsia" w:ascii="宋体" w:hAnsi="宋体" w:cs="宋体"/>
          <w:snapToGrid w:val="0"/>
          <w:color w:val="auto"/>
          <w:kern w:val="0"/>
          <w:sz w:val="24"/>
          <w:highlight w:val="none"/>
        </w:rPr>
        <w:t xml:space="preserve"> 本次招标不接受联合体投标。</w:t>
      </w:r>
    </w:p>
    <w:p w14:paraId="76AA301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2.2</w:t>
      </w:r>
      <w:r>
        <w:rPr>
          <w:rFonts w:hint="eastAsia" w:ascii="宋体" w:hAnsi="宋体" w:cs="宋体"/>
          <w:snapToGrid w:val="0"/>
          <w:color w:val="auto"/>
          <w:kern w:val="0"/>
          <w:sz w:val="24"/>
          <w:highlight w:val="none"/>
        </w:rPr>
        <w:t xml:space="preserve"> 资格资质要求</w:t>
      </w:r>
    </w:p>
    <w:p w14:paraId="4E076EF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2.2.1</w:t>
      </w:r>
      <w:r>
        <w:rPr>
          <w:rFonts w:hint="eastAsia" w:ascii="宋体" w:hAnsi="宋体" w:cs="宋体"/>
          <w:snapToGrid w:val="0"/>
          <w:color w:val="auto"/>
          <w:kern w:val="0"/>
          <w:sz w:val="24"/>
          <w:highlight w:val="none"/>
        </w:rPr>
        <w:t xml:space="preserve"> 投标人须具备独立法人资格，按国家法律经营。</w:t>
      </w:r>
    </w:p>
    <w:p w14:paraId="12D10818">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2.2.2</w:t>
      </w:r>
      <w:r>
        <w:rPr>
          <w:rFonts w:hint="eastAsia" w:hAnsi="宋体" w:cs="宋体"/>
          <w:snapToGrid w:val="0"/>
          <w:color w:val="auto"/>
          <w:kern w:val="0"/>
          <w:szCs w:val="24"/>
          <w:highlight w:val="none"/>
        </w:rPr>
        <w:t xml:space="preserve"> </w:t>
      </w:r>
      <w:r>
        <w:rPr>
          <w:rFonts w:hint="eastAsia" w:ascii="宋体" w:hAnsi="宋体" w:eastAsia="宋体" w:cs="宋体"/>
          <w:color w:val="auto"/>
          <w:szCs w:val="24"/>
          <w:highlight w:val="none"/>
        </w:rPr>
        <w:t>投标人须具备以下资质之一：①工程监理综合资质；②市政公用工程监理</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级以上（含</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级）资质</w:t>
      </w:r>
      <w:r>
        <w:rPr>
          <w:rFonts w:hint="eastAsia" w:hAnsi="宋体" w:cs="宋体"/>
          <w:snapToGrid w:val="0"/>
          <w:color w:val="auto"/>
          <w:kern w:val="0"/>
          <w:szCs w:val="24"/>
          <w:highlight w:val="none"/>
        </w:rPr>
        <w:t>。</w:t>
      </w:r>
    </w:p>
    <w:p w14:paraId="654725AC">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color w:val="auto"/>
          <w:szCs w:val="24"/>
          <w:highlight w:val="none"/>
        </w:rPr>
      </w:pPr>
      <w:r>
        <w:rPr>
          <w:rFonts w:hint="eastAsia" w:hAnsi="宋体" w:cs="宋体"/>
          <w:b/>
          <w:bCs/>
          <w:snapToGrid w:val="0"/>
          <w:color w:val="auto"/>
          <w:kern w:val="0"/>
          <w:szCs w:val="24"/>
          <w:highlight w:val="none"/>
        </w:rPr>
        <w:t>2.2.3</w:t>
      </w:r>
      <w:r>
        <w:rPr>
          <w:rFonts w:hint="eastAsia" w:hAnsi="宋体" w:cs="宋体"/>
          <w:snapToGrid w:val="0"/>
          <w:color w:val="auto"/>
          <w:kern w:val="0"/>
          <w:szCs w:val="24"/>
          <w:highlight w:val="none"/>
        </w:rPr>
        <w:t xml:space="preserve"> </w:t>
      </w:r>
      <w:r>
        <w:rPr>
          <w:rFonts w:hint="eastAsia" w:hAnsi="宋体" w:cs="宋体"/>
          <w:color w:val="auto"/>
          <w:szCs w:val="24"/>
          <w:highlight w:val="none"/>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2565980E">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w:t>
      </w:r>
      <w:r>
        <w:rPr>
          <w:rFonts w:hint="eastAsia" w:ascii="宋体" w:hAnsi="宋体" w:cs="宋体"/>
          <w:snapToGrid w:val="0"/>
          <w:color w:val="auto"/>
          <w:kern w:val="0"/>
          <w:sz w:val="24"/>
          <w:highlight w:val="none"/>
        </w:rPr>
        <w:t xml:space="preserve"> 相关人员要求</w:t>
      </w:r>
    </w:p>
    <w:p w14:paraId="6EEF5BC5">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color w:val="auto"/>
          <w:szCs w:val="24"/>
          <w:highlight w:val="none"/>
        </w:rPr>
      </w:pPr>
      <w:r>
        <w:rPr>
          <w:rFonts w:hint="eastAsia" w:ascii="宋体" w:hAnsi="宋体" w:cs="宋体"/>
          <w:b/>
          <w:bCs/>
          <w:snapToGrid w:val="0"/>
          <w:color w:val="auto"/>
          <w:kern w:val="0"/>
          <w:sz w:val="24"/>
          <w:highlight w:val="none"/>
        </w:rPr>
        <w:t>2.3.1</w:t>
      </w:r>
      <w:r>
        <w:rPr>
          <w:rFonts w:hint="eastAsia" w:ascii="宋体" w:hAnsi="宋体" w:cs="宋体"/>
          <w:snapToGrid w:val="0"/>
          <w:color w:val="auto"/>
          <w:kern w:val="0"/>
          <w:sz w:val="24"/>
          <w:highlight w:val="none"/>
        </w:rPr>
        <w:t xml:space="preserve"> </w:t>
      </w:r>
      <w:r>
        <w:rPr>
          <w:rFonts w:hint="eastAsia" w:hAnsi="宋体" w:cs="宋体"/>
          <w:color w:val="auto"/>
          <w:szCs w:val="24"/>
          <w:highlight w:val="none"/>
        </w:rPr>
        <w:t>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25DF72A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拟派总监理工程师现阶段有担任其他在施建设工程项目总监理工程师职务的，须得到任职项目建设单位书面同意后方可担任本招标项目总监理工程师。</w:t>
      </w:r>
    </w:p>
    <w:p w14:paraId="5C2B008A">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2.3.2</w:t>
      </w:r>
      <w:r>
        <w:rPr>
          <w:rFonts w:hint="eastAsia" w:ascii="宋体" w:hAnsi="宋体" w:cs="宋体"/>
          <w:snapToGrid w:val="0"/>
          <w:color w:val="auto"/>
          <w:kern w:val="0"/>
          <w:sz w:val="24"/>
          <w:highlight w:val="none"/>
        </w:rPr>
        <w:t xml:space="preserve"> 投标人与其拟派往本项目监理机构的所有人员之间必须具备合法、唯一的劳动聘用关系。拟派人员中具备注册执业资格的，其注册单位须与投标人保持一致。</w:t>
      </w:r>
    </w:p>
    <w:p w14:paraId="18224A4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w:t>
      </w:r>
      <w:r>
        <w:rPr>
          <w:rFonts w:hint="eastAsia" w:ascii="宋体" w:hAnsi="宋体" w:cs="宋体"/>
          <w:snapToGrid w:val="0"/>
          <w:color w:val="auto"/>
          <w:kern w:val="0"/>
          <w:sz w:val="24"/>
          <w:highlight w:val="none"/>
        </w:rPr>
        <w:t xml:space="preserve"> 禁止投标条款</w:t>
      </w:r>
    </w:p>
    <w:p w14:paraId="36EC3CF1">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2.4.1</w:t>
      </w:r>
      <w:r>
        <w:rPr>
          <w:rFonts w:hint="eastAsia" w:ascii="宋体" w:hAnsi="宋体" w:cs="宋体"/>
          <w:snapToGrid w:val="0"/>
          <w:color w:val="auto"/>
          <w:kern w:val="0"/>
          <w:sz w:val="24"/>
          <w:highlight w:val="none"/>
        </w:rPr>
        <w:t xml:space="preserve"> 投标人不得存在下列情形之一：</w:t>
      </w:r>
    </w:p>
    <w:p w14:paraId="0D385A26">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（1）为招标人不具有独立法人资格的附属机构（单位）；</w:t>
      </w:r>
    </w:p>
    <w:p w14:paraId="01BCDF4F">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（2）与招标人存在利害关系且可能影响招标公正性；</w:t>
      </w:r>
    </w:p>
    <w:p w14:paraId="428CC122">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（3）与本招标项目的其他投标人为同一个单位负责人；</w:t>
      </w:r>
    </w:p>
    <w:p w14:paraId="3D3BCE1E">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（4）与本招标项目的其他投标人存在控股、管理关系；</w:t>
      </w:r>
    </w:p>
    <w:p w14:paraId="5F2F9D7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（5）为本招标项目的代建人；</w:t>
      </w:r>
    </w:p>
    <w:p w14:paraId="6205A2B6">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（6）为本招标项目的招标代理机构；</w:t>
      </w:r>
    </w:p>
    <w:p w14:paraId="1D5E95DA">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（7）与本招标项目的代建人或招标代理机构同为一个法定代表人；</w:t>
      </w:r>
    </w:p>
    <w:p w14:paraId="5448EE9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（8）与本招标项目的代建人或招标代理机构存在控股或参股关系；</w:t>
      </w:r>
    </w:p>
    <w:p w14:paraId="0D47098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（9）与本招标项目的施工承包人以及建筑材料、建筑构配件和设备供应商有隶属关系或者其他利害关系；</w:t>
      </w:r>
    </w:p>
    <w:p w14:paraId="73251437">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（10）被依法暂停或者取消投标资格；</w:t>
      </w:r>
    </w:p>
    <w:p w14:paraId="6E07AB4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（11）被责令停产停业、暂扣或者吊销许可证、暂扣或者吊销执照；</w:t>
      </w:r>
    </w:p>
    <w:p w14:paraId="5EB8C0B6">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（12）进入清算程序，或被宣告破产，或其他丧失履约能力的情形；</w:t>
      </w:r>
    </w:p>
    <w:p w14:paraId="7CDC80F1">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（13）在最近三年内发生重大监理质量问题（以相关行业主管部门的行政处罚决定或司法机关出具的有关法律文书为准）；</w:t>
      </w:r>
    </w:p>
    <w:p w14:paraId="73580F8B">
      <w:pPr>
        <w:pStyle w:val="89"/>
        <w:keepNext w:val="0"/>
        <w:keepLines w:val="0"/>
        <w:pageBreakBefore w:val="0"/>
        <w:wordWrap w:val="0"/>
        <w:topLinePunct w:val="0"/>
        <w:bidi w:val="0"/>
        <w:adjustRightInd w:val="0"/>
        <w:snapToGrid w:val="0"/>
        <w:spacing w:line="500" w:lineRule="exact"/>
        <w:ind w:firstLine="240" w:firstLineChars="1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lang w:val="en-US" w:eastAsia="zh-CN"/>
        </w:rPr>
        <w:t xml:space="preserve"> </w:t>
      </w:r>
      <w:r>
        <w:rPr>
          <w:rFonts w:hint="eastAsia" w:ascii="宋体" w:hAnsi="宋体" w:cs="宋体"/>
          <w:snapToGrid w:val="0"/>
          <w:color w:val="auto"/>
          <w:kern w:val="0"/>
          <w:sz w:val="24"/>
          <w:highlight w:val="none"/>
        </w:rPr>
        <w:t xml:space="preserve"> （14）</w:t>
      </w:r>
      <w:r>
        <w:rPr>
          <w:rFonts w:hint="eastAsia" w:ascii="宋体" w:hAnsi="宋体" w:cs="宋体"/>
          <w:color w:val="auto"/>
          <w:kern w:val="0"/>
          <w:sz w:val="24"/>
          <w:highlight w:val="none"/>
        </w:rPr>
        <w:t>被“信用中国”网站（https://www.creditchina.gov.cn）发布的《法人和非法人组织公共信用信息报告》列为严重失信主体名单的</w:t>
      </w:r>
      <w:r>
        <w:rPr>
          <w:rFonts w:hint="eastAsia" w:ascii="宋体" w:hAnsi="宋体" w:cs="宋体"/>
          <w:snapToGrid w:val="0"/>
          <w:color w:val="auto"/>
          <w:kern w:val="0"/>
          <w:sz w:val="24"/>
          <w:highlight w:val="none"/>
        </w:rPr>
        <w:t>。</w:t>
      </w:r>
    </w:p>
    <w:p w14:paraId="4D3E72E0">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2.4.2</w:t>
      </w:r>
      <w:r>
        <w:rPr>
          <w:rFonts w:hint="eastAsia" w:ascii="宋体" w:hAnsi="宋体" w:cs="宋体"/>
          <w:snapToGrid w:val="0"/>
          <w:color w:val="auto"/>
          <w:kern w:val="0"/>
          <w:sz w:val="24"/>
          <w:highlight w:val="none"/>
        </w:rPr>
        <w:t xml:space="preserve"> 招标人拒绝以下名单中的单位参加本次投标：</w:t>
      </w:r>
    </w:p>
    <w:tbl>
      <w:tblPr>
        <w:tblStyle w:val="3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3852"/>
        <w:gridCol w:w="4352"/>
      </w:tblGrid>
      <w:tr w14:paraId="61D9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6C86B00D">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2075" w:type="pct"/>
            <w:noWrap w:val="0"/>
            <w:vAlign w:val="center"/>
          </w:tcPr>
          <w:p w14:paraId="02D55EE9">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w:t>
            </w:r>
          </w:p>
        </w:tc>
        <w:tc>
          <w:tcPr>
            <w:tcW w:w="2344" w:type="pct"/>
            <w:noWrap w:val="0"/>
            <w:vAlign w:val="center"/>
          </w:tcPr>
          <w:p w14:paraId="2EB032CA">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拒绝原因</w:t>
            </w:r>
          </w:p>
        </w:tc>
      </w:tr>
      <w:tr w14:paraId="6E55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237F7AEB">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rPr>
              <w:t>1</w:t>
            </w:r>
          </w:p>
        </w:tc>
        <w:tc>
          <w:tcPr>
            <w:tcW w:w="2075" w:type="pct"/>
            <w:noWrap w:val="0"/>
            <w:vAlign w:val="center"/>
          </w:tcPr>
          <w:p w14:paraId="3A5501BD">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eastAsia="宋体" w:cs="宋体"/>
                <w:color w:val="auto"/>
                <w:sz w:val="24"/>
                <w:szCs w:val="24"/>
                <w:highlight w:val="none"/>
                <w:lang w:eastAsia="zh-CN"/>
              </w:rPr>
              <w:t>南雄市澜河镇人民政府</w:t>
            </w:r>
          </w:p>
        </w:tc>
        <w:tc>
          <w:tcPr>
            <w:tcW w:w="2344" w:type="pct"/>
            <w:noWrap w:val="0"/>
            <w:vAlign w:val="center"/>
          </w:tcPr>
          <w:p w14:paraId="453795BC">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rPr>
              <w:t>为本招标项目的招标人</w:t>
            </w:r>
          </w:p>
        </w:tc>
      </w:tr>
      <w:tr w14:paraId="5ADD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6CAFA2F7">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sz w:val="24"/>
                <w:szCs w:val="24"/>
                <w:highlight w:val="none"/>
              </w:rPr>
              <w:t>2</w:t>
            </w:r>
          </w:p>
        </w:tc>
        <w:tc>
          <w:tcPr>
            <w:tcW w:w="2075" w:type="pct"/>
            <w:noWrap w:val="0"/>
            <w:vAlign w:val="center"/>
          </w:tcPr>
          <w:p w14:paraId="22BB9E70">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snapToGrid w:val="0"/>
                <w:color w:val="auto"/>
                <w:kern w:val="0"/>
                <w:sz w:val="24"/>
                <w:szCs w:val="24"/>
                <w:highlight w:val="none"/>
                <w:lang w:val="en-US" w:eastAsia="zh-CN" w:bidi="ar-SA"/>
              </w:rPr>
            </w:pPr>
            <w:r>
              <w:rPr>
                <w:rFonts w:hint="eastAsia" w:hAnsi="宋体" w:eastAsia="宋体" w:cs="宋体"/>
                <w:color w:val="auto"/>
                <w:sz w:val="24"/>
                <w:szCs w:val="24"/>
                <w:highlight w:val="none"/>
                <w:lang w:eastAsia="zh-CN"/>
              </w:rPr>
              <w:t>广东省南沣建设管理有限公司</w:t>
            </w:r>
          </w:p>
        </w:tc>
        <w:tc>
          <w:tcPr>
            <w:tcW w:w="2344" w:type="pct"/>
            <w:noWrap w:val="0"/>
            <w:vAlign w:val="center"/>
          </w:tcPr>
          <w:p w14:paraId="64055FF4">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为本招标项目的招标代理机构</w:t>
            </w:r>
          </w:p>
        </w:tc>
      </w:tr>
      <w:tr w14:paraId="1D17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shd w:val="clear" w:color="auto" w:fill="auto"/>
            <w:noWrap w:val="0"/>
            <w:vAlign w:val="center"/>
          </w:tcPr>
          <w:p w14:paraId="2993C195">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c>
          <w:tcPr>
            <w:tcW w:w="2075" w:type="pct"/>
            <w:shd w:val="clear" w:color="auto" w:fill="auto"/>
            <w:noWrap w:val="0"/>
            <w:vAlign w:val="center"/>
          </w:tcPr>
          <w:p w14:paraId="1B6B413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中咨管理顾问有限责任公司</w:t>
            </w:r>
          </w:p>
        </w:tc>
        <w:tc>
          <w:tcPr>
            <w:tcW w:w="2344" w:type="pct"/>
            <w:shd w:val="clear" w:color="auto" w:fill="auto"/>
            <w:noWrap w:val="0"/>
            <w:vAlign w:val="center"/>
          </w:tcPr>
          <w:p w14:paraId="35434B8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为本项目的可行性研究报告编制单位</w:t>
            </w:r>
          </w:p>
        </w:tc>
      </w:tr>
      <w:tr w14:paraId="1C0F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shd w:val="clear" w:color="auto" w:fill="auto"/>
            <w:noWrap w:val="0"/>
            <w:vAlign w:val="center"/>
          </w:tcPr>
          <w:p w14:paraId="131338F9">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p>
        </w:tc>
        <w:tc>
          <w:tcPr>
            <w:tcW w:w="2075" w:type="pct"/>
            <w:noWrap w:val="0"/>
            <w:vAlign w:val="center"/>
          </w:tcPr>
          <w:p w14:paraId="54FBF44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广东省国际工程咨询有限公司</w:t>
            </w:r>
          </w:p>
        </w:tc>
        <w:tc>
          <w:tcPr>
            <w:tcW w:w="2344" w:type="pct"/>
            <w:noWrap w:val="0"/>
            <w:vAlign w:val="center"/>
          </w:tcPr>
          <w:p w14:paraId="606DF2B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为本项目的可行性研究报告修编单位</w:t>
            </w:r>
          </w:p>
        </w:tc>
      </w:tr>
      <w:tr w14:paraId="4CD1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566F4756">
            <w:pPr>
              <w:pStyle w:val="1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5</w:t>
            </w:r>
          </w:p>
        </w:tc>
        <w:tc>
          <w:tcPr>
            <w:tcW w:w="2075" w:type="pct"/>
            <w:noWrap w:val="0"/>
            <w:vAlign w:val="center"/>
          </w:tcPr>
          <w:p w14:paraId="6B6C4F3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中图设计有限公司</w:t>
            </w:r>
          </w:p>
        </w:tc>
        <w:tc>
          <w:tcPr>
            <w:tcW w:w="2344" w:type="pct"/>
            <w:noWrap w:val="0"/>
            <w:vAlign w:val="center"/>
          </w:tcPr>
          <w:p w14:paraId="0242FB13">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为本项目的初步设计、概算单位</w:t>
            </w:r>
          </w:p>
        </w:tc>
      </w:tr>
    </w:tbl>
    <w:p w14:paraId="3CD30FA1">
      <w:pPr>
        <w:pStyle w:val="89"/>
        <w:keepNext w:val="0"/>
        <w:keepLines w:val="0"/>
        <w:pageBreakBefore w:val="0"/>
        <w:wordWrap w:val="0"/>
        <w:topLinePunct w:val="0"/>
        <w:bidi w:val="0"/>
        <w:adjustRightInd w:val="0"/>
        <w:snapToGrid w:val="0"/>
        <w:spacing w:before="120" w:beforeLines="50"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2.5</w:t>
      </w:r>
      <w:r>
        <w:rPr>
          <w:rFonts w:hint="eastAsia" w:ascii="宋体" w:hAnsi="宋体" w:cs="宋体"/>
          <w:snapToGrid w:val="0"/>
          <w:color w:val="auto"/>
          <w:kern w:val="0"/>
          <w:sz w:val="24"/>
          <w:highlight w:val="none"/>
        </w:rPr>
        <w:t xml:space="preserve"> 其他要求</w:t>
      </w:r>
    </w:p>
    <w:p w14:paraId="11F25F74">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056BF140">
      <w:pPr>
        <w:pStyle w:val="89"/>
        <w:keepNext w:val="0"/>
        <w:keepLines w:val="0"/>
        <w:pageBreakBefore w:val="0"/>
        <w:wordWrap w:val="0"/>
        <w:topLinePunct w:val="0"/>
        <w:bidi w:val="0"/>
        <w:adjustRightInd w:val="0"/>
        <w:snapToGrid w:val="0"/>
        <w:spacing w:before="120" w:beforeLines="50" w:line="500" w:lineRule="exact"/>
        <w:ind w:firstLine="482" w:firstLineChars="200"/>
        <w:jc w:val="left"/>
        <w:textAlignment w:val="auto"/>
        <w:outlineLvl w:val="2"/>
        <w:rPr>
          <w:rFonts w:ascii="宋体" w:hAnsi="宋体" w:cs="宋体"/>
          <w:b/>
          <w:bCs/>
          <w:snapToGrid w:val="0"/>
          <w:color w:val="auto"/>
          <w:kern w:val="0"/>
          <w:sz w:val="24"/>
          <w:highlight w:val="none"/>
        </w:rPr>
      </w:pPr>
      <w:bookmarkStart w:id="20" w:name="_Toc14234"/>
      <w:r>
        <w:rPr>
          <w:rFonts w:hint="eastAsia" w:ascii="宋体" w:hAnsi="宋体" w:cs="宋体"/>
          <w:b/>
          <w:bCs/>
          <w:snapToGrid w:val="0"/>
          <w:color w:val="auto"/>
          <w:kern w:val="0"/>
          <w:sz w:val="24"/>
          <w:highlight w:val="none"/>
        </w:rPr>
        <w:t>3．获取招标文件</w:t>
      </w:r>
      <w:bookmarkEnd w:id="20"/>
    </w:p>
    <w:p w14:paraId="4320C108">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color w:val="auto"/>
          <w:sz w:val="24"/>
          <w:highlight w:val="none"/>
          <w:shd w:val="clear" w:color="auto" w:fill="FFFFFF"/>
        </w:rPr>
      </w:pPr>
      <w:r>
        <w:rPr>
          <w:rFonts w:hint="eastAsia" w:ascii="宋体" w:hAnsi="宋体" w:cs="宋体"/>
          <w:snapToGrid w:val="0"/>
          <w:color w:val="auto"/>
          <w:kern w:val="0"/>
          <w:sz w:val="24"/>
          <w:highlight w:val="none"/>
        </w:rPr>
        <w:t xml:space="preserve">3.1 </w:t>
      </w:r>
      <w:r>
        <w:rPr>
          <w:rFonts w:hint="eastAsia" w:ascii="宋体" w:hAnsi="宋体" w:cs="宋体"/>
          <w:color w:val="auto"/>
          <w:sz w:val="24"/>
          <w:highlight w:val="none"/>
          <w:shd w:val="clear" w:color="auto" w:fill="FFFFFF"/>
        </w:rPr>
        <w:t xml:space="preserve">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本章第二节“重要事项时间地点一览表”）前完成电子投标。   </w:t>
      </w:r>
    </w:p>
    <w:p w14:paraId="552150BB">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color w:val="auto"/>
          <w:sz w:val="24"/>
          <w:highlight w:val="none"/>
          <w:shd w:val="clear" w:color="auto" w:fill="FFFFFF"/>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8633071。</w:t>
      </w:r>
    </w:p>
    <w:p w14:paraId="1E765FD1">
      <w:pPr>
        <w:pStyle w:val="27"/>
        <w:keepNext w:val="0"/>
        <w:keepLines w:val="0"/>
        <w:pageBreakBefore w:val="0"/>
        <w:topLinePunct w:val="0"/>
        <w:bidi w:val="0"/>
        <w:spacing w:before="0" w:beforeAutospacing="0" w:after="0" w:afterAutospacing="0" w:line="500" w:lineRule="exact"/>
        <w:ind w:firstLine="480" w:firstLineChars="200"/>
        <w:textAlignment w:val="auto"/>
        <w:rPr>
          <w:snapToGrid w:val="0"/>
          <w:color w:val="auto"/>
          <w:highlight w:val="none"/>
        </w:rPr>
      </w:pPr>
      <w:r>
        <w:rPr>
          <w:rFonts w:hint="eastAsia"/>
          <w:snapToGrid w:val="0"/>
          <w:color w:val="auto"/>
          <w:highlight w:val="none"/>
        </w:rPr>
        <w:t>3.2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40E22F08">
      <w:pPr>
        <w:pStyle w:val="27"/>
        <w:keepNext w:val="0"/>
        <w:keepLines w:val="0"/>
        <w:pageBreakBefore w:val="0"/>
        <w:topLinePunct w:val="0"/>
        <w:bidi w:val="0"/>
        <w:spacing w:before="0" w:beforeAutospacing="0" w:after="0" w:afterAutospacing="0" w:line="500" w:lineRule="exact"/>
        <w:ind w:firstLine="480" w:firstLineChars="200"/>
        <w:textAlignment w:val="auto"/>
        <w:rPr>
          <w:bCs/>
          <w:color w:val="auto"/>
          <w:highlight w:val="none"/>
        </w:rPr>
      </w:pPr>
      <w:r>
        <w:rPr>
          <w:rFonts w:hint="eastAsia"/>
          <w:snapToGrid w:val="0"/>
          <w:color w:val="auto"/>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bCs/>
          <w:color w:val="auto"/>
          <w:highlight w:val="none"/>
        </w:rPr>
        <w:t xml:space="preserve"> </w:t>
      </w:r>
    </w:p>
    <w:p w14:paraId="615FCA0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kern w:val="0"/>
          <w:sz w:val="24"/>
          <w:highlight w:val="none"/>
        </w:rPr>
        <w:t>已入库企业的有关信息（如单位名称、基本账号、资质、人员等）发生变化的，应及时在建设工程交易系统进行相应变更。投标人未及时变更而造成的损失和后果，由投标人自行承担。</w:t>
      </w:r>
    </w:p>
    <w:p w14:paraId="7331E7FB">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 投标保证</w:t>
      </w:r>
    </w:p>
    <w:p w14:paraId="538038F9">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3.3.1 投标人须缴纳金额为人民币</w:t>
      </w:r>
      <w:r>
        <w:rPr>
          <w:rFonts w:hint="eastAsia" w:ascii="宋体" w:hAnsi="宋体" w:cs="宋体"/>
          <w:color w:val="auto"/>
          <w:sz w:val="24"/>
          <w:highlight w:val="none"/>
          <w:u w:val="single"/>
          <w:shd w:val="clear" w:color="auto" w:fill="FFFFFF"/>
          <w:lang w:val="en-US" w:eastAsia="zh-CN"/>
        </w:rPr>
        <w:t>壹仟元整</w:t>
      </w:r>
      <w:r>
        <w:rPr>
          <w:rFonts w:hint="eastAsia" w:ascii="宋体" w:hAnsi="宋体" w:cs="宋体"/>
          <w:color w:val="auto"/>
          <w:sz w:val="24"/>
          <w:highlight w:val="none"/>
          <w:shd w:val="clear" w:color="auto" w:fill="FFFFFF"/>
        </w:rPr>
        <w:t xml:space="preserve">的投标保证。 </w:t>
      </w:r>
    </w:p>
    <w:p w14:paraId="3F841A7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3.3.2 投标保证的形式包括投标保证金、投标保证担保、投标保证保险三种，由投标人自主选择。</w:t>
      </w:r>
    </w:p>
    <w:p w14:paraId="242D4E52">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w:t>
      </w:r>
      <w:r>
        <w:rPr>
          <w:rFonts w:hint="eastAsia" w:hAnsi="宋体" w:cs="宋体"/>
          <w:color w:val="auto"/>
          <w:highlight w:val="none"/>
          <w:lang w:val="en-US" w:eastAsia="zh-CN"/>
        </w:rPr>
        <w:t>见</w:t>
      </w:r>
      <w:r>
        <w:rPr>
          <w:rFonts w:hint="eastAsia" w:hAnsi="宋体" w:cs="宋体"/>
          <w:color w:val="auto"/>
          <w:highlight w:val="none"/>
        </w:rPr>
        <w:t>本章第二节“重要事项时间地点一览表”）前，从其基本账户将投标保证金转账到指定的缴纳账号。逾期到账的、从非投标人基本账户转出的，其投标无效。</w:t>
      </w:r>
    </w:p>
    <w:p w14:paraId="022BD332">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197E0105">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2389EFB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rPr>
        <w:t>温馨提醒：投标人采用投标保证担保或投标保证保险的，为避免在评标过程中因有效期发生争议，建议投标人将银行保函或电子保单有效期设置为较招标文件规定的投标有效期</w:t>
      </w:r>
      <w:r>
        <w:rPr>
          <w:rFonts w:hint="eastAsia" w:hAnsi="宋体" w:cs="宋体"/>
          <w:color w:val="auto"/>
          <w:sz w:val="24"/>
          <w:highlight w:val="none"/>
        </w:rPr>
        <w:t>延长</w:t>
      </w:r>
      <w:r>
        <w:rPr>
          <w:rFonts w:hint="eastAsia" w:ascii="宋体" w:hAnsi="宋体" w:cs="宋体"/>
          <w:color w:val="auto"/>
          <w:sz w:val="24"/>
          <w:highlight w:val="none"/>
        </w:rPr>
        <w:t>不少于20个日历天。</w:t>
      </w:r>
    </w:p>
    <w:p w14:paraId="532D5986">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3.4</w:t>
      </w:r>
      <w:r>
        <w:rPr>
          <w:rFonts w:hint="eastAsia" w:hAnsi="宋体" w:cs="宋体"/>
          <w:snapToGrid w:val="0"/>
          <w:color w:val="auto"/>
          <w:kern w:val="0"/>
          <w:highlight w:val="none"/>
        </w:rPr>
        <w:t xml:space="preserve"> 若投标人因自身原因未能正确完成获取招标文件、电子投标、缴纳投标保证的，其投标无效。</w:t>
      </w:r>
    </w:p>
    <w:p w14:paraId="245157B6">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highlight w:val="none"/>
        </w:rPr>
      </w:pPr>
      <w:bookmarkStart w:id="21" w:name="_Toc6862"/>
      <w:r>
        <w:rPr>
          <w:rFonts w:hint="eastAsia" w:hAnsi="宋体" w:cs="宋体"/>
          <w:b/>
          <w:bCs/>
          <w:snapToGrid w:val="0"/>
          <w:color w:val="auto"/>
          <w:kern w:val="0"/>
          <w:highlight w:val="none"/>
        </w:rPr>
        <w:t>4．服务期限</w:t>
      </w:r>
      <w:bookmarkEnd w:id="21"/>
    </w:p>
    <w:p w14:paraId="0C9B53D7">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4.1</w:t>
      </w:r>
      <w:r>
        <w:rPr>
          <w:rFonts w:hint="eastAsia" w:hAnsi="宋体" w:cs="宋体"/>
          <w:snapToGrid w:val="0"/>
          <w:color w:val="auto"/>
          <w:kern w:val="0"/>
          <w:highlight w:val="none"/>
        </w:rPr>
        <w:t xml:space="preserve"> 监理：本项目施工工期为</w:t>
      </w:r>
      <w:r>
        <w:rPr>
          <w:rFonts w:hint="eastAsia" w:hAnsi="宋体" w:cs="宋体"/>
          <w:snapToGrid w:val="0"/>
          <w:color w:val="auto"/>
          <w:kern w:val="0"/>
          <w:highlight w:val="none"/>
          <w:lang w:val="en-US" w:eastAsia="zh-CN"/>
        </w:rPr>
        <w:t>50</w:t>
      </w:r>
      <w:r>
        <w:rPr>
          <w:rFonts w:hint="eastAsia" w:hAnsi="宋体" w:cs="宋体"/>
          <w:snapToGrid w:val="0"/>
          <w:color w:val="auto"/>
          <w:kern w:val="0"/>
          <w:highlight w:val="none"/>
        </w:rPr>
        <w:t>日历天。监理服务期从监理合同签订之日起计，至本工程缺陷责任保修期结束且本工程结算金额经政府主管部门审定且双方的责任义务履行完毕时止。</w:t>
      </w:r>
    </w:p>
    <w:p w14:paraId="662EFD28">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highlight w:val="none"/>
        </w:rPr>
      </w:pPr>
      <w:bookmarkStart w:id="22" w:name="_Toc10746"/>
      <w:bookmarkStart w:id="23" w:name="_Toc15565"/>
      <w:r>
        <w:rPr>
          <w:rFonts w:hint="eastAsia" w:hAnsi="宋体" w:cs="宋体"/>
          <w:b/>
          <w:snapToGrid w:val="0"/>
          <w:color w:val="auto"/>
          <w:highlight w:val="none"/>
        </w:rPr>
        <w:t>5．服务标准</w:t>
      </w:r>
      <w:bookmarkEnd w:id="22"/>
      <w:bookmarkEnd w:id="23"/>
    </w:p>
    <w:p w14:paraId="058609F7">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5.1</w:t>
      </w:r>
      <w:r>
        <w:rPr>
          <w:rFonts w:hint="eastAsia" w:hAnsi="宋体" w:cs="宋体"/>
          <w:snapToGrid w:val="0"/>
          <w:color w:val="auto"/>
          <w:kern w:val="0"/>
          <w:highlight w:val="none"/>
        </w:rPr>
        <w:t xml:space="preserve"> 监理：</w:t>
      </w:r>
      <w:r>
        <w:rPr>
          <w:rFonts w:hint="eastAsia" w:hAnsi="宋体" w:cs="宋体"/>
          <w:color w:val="auto"/>
          <w:szCs w:val="24"/>
          <w:highlight w:val="none"/>
        </w:rPr>
        <w:t>工程质量达到合格或以上标准。</w:t>
      </w:r>
      <w:r>
        <w:rPr>
          <w:rFonts w:hint="eastAsia" w:hAnsi="宋体" w:cs="宋体"/>
          <w:snapToGrid w:val="0"/>
          <w:color w:val="auto"/>
          <w:kern w:val="0"/>
          <w:highlight w:val="none"/>
        </w:rPr>
        <w:t xml:space="preserve"> </w:t>
      </w:r>
    </w:p>
    <w:p w14:paraId="76AAD381">
      <w:pPr>
        <w:pStyle w:val="4"/>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24" w:name="_Toc32757"/>
      <w:bookmarkStart w:id="25" w:name="_Toc17907"/>
      <w:r>
        <w:rPr>
          <w:rFonts w:hint="eastAsia" w:hAnsi="宋体" w:cs="宋体"/>
          <w:b/>
          <w:snapToGrid w:val="0"/>
          <w:color w:val="auto"/>
          <w:highlight w:val="none"/>
        </w:rPr>
        <w:t>6．现场踏勘</w:t>
      </w:r>
      <w:bookmarkEnd w:id="24"/>
      <w:bookmarkEnd w:id="25"/>
    </w:p>
    <w:p w14:paraId="4BDF86C0">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6.1</w:t>
      </w:r>
      <w:r>
        <w:rPr>
          <w:rFonts w:hint="eastAsia" w:hAnsi="宋体" w:cs="宋体"/>
          <w:snapToGrid w:val="0"/>
          <w:color w:val="auto"/>
          <w:kern w:val="0"/>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4E839A8B">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6.2</w:t>
      </w:r>
      <w:r>
        <w:rPr>
          <w:rFonts w:hint="eastAsia" w:hAnsi="宋体" w:cs="宋体"/>
          <w:snapToGrid w:val="0"/>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49899BDB">
      <w:pPr>
        <w:keepNext w:val="0"/>
        <w:keepLines w:val="0"/>
        <w:pageBreakBefore w:val="0"/>
        <w:wordWrap w:val="0"/>
        <w:topLinePunct w:val="0"/>
        <w:bidi w:val="0"/>
        <w:adjustRightInd w:val="0"/>
        <w:snapToGrid w:val="0"/>
        <w:spacing w:line="500" w:lineRule="exact"/>
        <w:ind w:firstLine="560"/>
        <w:textAlignment w:val="auto"/>
        <w:rPr>
          <w:rFonts w:hAnsi="宋体" w:cs="宋体"/>
          <w:b/>
          <w:snapToGrid w:val="0"/>
          <w:color w:val="auto"/>
          <w:highlight w:val="none"/>
        </w:rPr>
      </w:pPr>
      <w:r>
        <w:rPr>
          <w:rFonts w:hint="eastAsia" w:hAnsi="宋体" w:cs="宋体"/>
          <w:b/>
          <w:bCs/>
          <w:snapToGrid w:val="0"/>
          <w:color w:val="auto"/>
          <w:kern w:val="0"/>
          <w:highlight w:val="none"/>
        </w:rPr>
        <w:t>6.3</w:t>
      </w:r>
      <w:r>
        <w:rPr>
          <w:rFonts w:hint="eastAsia" w:hAnsi="宋体" w:cs="宋体"/>
          <w:snapToGrid w:val="0"/>
          <w:color w:val="auto"/>
          <w:kern w:val="0"/>
          <w:highlight w:val="none"/>
        </w:rPr>
        <w:t xml:space="preserve"> 现场踏勘期间的交通、食宿由投标人自行安排，费用自理。</w:t>
      </w:r>
    </w:p>
    <w:p w14:paraId="15082F0A">
      <w:pPr>
        <w:pStyle w:val="4"/>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26" w:name="_Toc8198"/>
      <w:bookmarkStart w:id="27" w:name="_Toc7619"/>
      <w:r>
        <w:rPr>
          <w:rFonts w:hint="eastAsia" w:hAnsi="宋体" w:cs="宋体"/>
          <w:b/>
          <w:snapToGrid w:val="0"/>
          <w:color w:val="auto"/>
          <w:highlight w:val="none"/>
        </w:rPr>
        <w:t>7．招标文件的提问和答疑</w:t>
      </w:r>
      <w:bookmarkEnd w:id="26"/>
      <w:bookmarkEnd w:id="27"/>
      <w:bookmarkStart w:id="28" w:name="_Hlt74496410"/>
      <w:bookmarkEnd w:id="28"/>
    </w:p>
    <w:p w14:paraId="0DC8BD68">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lang w:bidi="ar"/>
        </w:rPr>
      </w:pPr>
      <w:r>
        <w:rPr>
          <w:rFonts w:hint="eastAsia" w:hAnsi="宋体" w:cs="宋体"/>
          <w:b/>
          <w:bCs/>
          <w:snapToGrid w:val="0"/>
          <w:color w:val="auto"/>
          <w:kern w:val="0"/>
          <w:highlight w:val="none"/>
        </w:rPr>
        <w:t>7.1</w:t>
      </w:r>
      <w:r>
        <w:rPr>
          <w:rFonts w:hint="eastAsia" w:hAnsi="宋体" w:cs="宋体"/>
          <w:snapToGrid w:val="0"/>
          <w:color w:val="auto"/>
          <w:kern w:val="0"/>
          <w:highlight w:val="none"/>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hAnsi="宋体" w:cs="宋体"/>
          <w:snapToGrid w:val="0"/>
          <w:color w:val="auto"/>
          <w:kern w:val="0"/>
          <w:szCs w:val="24"/>
          <w:highlight w:val="none"/>
          <w:lang w:bidi="ar"/>
        </w:rPr>
        <w:t>。</w:t>
      </w:r>
    </w:p>
    <w:p w14:paraId="46F757B1">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7.2 </w:t>
      </w:r>
      <w:r>
        <w:rPr>
          <w:rFonts w:hint="eastAsia" w:hAnsi="宋体" w:cs="宋体"/>
          <w:snapToGrid w:val="0"/>
          <w:color w:val="auto"/>
          <w:kern w:val="0"/>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7DA84538">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7.3</w:t>
      </w:r>
      <w:r>
        <w:rPr>
          <w:rFonts w:hint="eastAsia" w:hAnsi="宋体" w:cs="宋体"/>
          <w:snapToGrid w:val="0"/>
          <w:color w:val="auto"/>
          <w:kern w:val="0"/>
          <w:highlight w:val="none"/>
        </w:rPr>
        <w:t xml:space="preserve"> 招标人对招标文件所作的答疑（或修改）公告，构成招标文件的组成部分。</w:t>
      </w:r>
    </w:p>
    <w:p w14:paraId="606D41D9">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highlight w:val="none"/>
        </w:rPr>
      </w:pPr>
      <w:bookmarkStart w:id="29" w:name="_Hlt69699188"/>
      <w:bookmarkEnd w:id="29"/>
      <w:bookmarkStart w:id="30" w:name="_Hlt92513715"/>
      <w:bookmarkEnd w:id="30"/>
      <w:bookmarkStart w:id="31" w:name="_Hlt92513711"/>
      <w:bookmarkEnd w:id="31"/>
      <w:bookmarkStart w:id="32" w:name="_Toc4159"/>
      <w:bookmarkStart w:id="33" w:name="_Toc23036"/>
      <w:r>
        <w:rPr>
          <w:rFonts w:hint="eastAsia" w:hAnsi="宋体" w:cs="宋体"/>
          <w:b/>
          <w:snapToGrid w:val="0"/>
          <w:color w:val="auto"/>
          <w:highlight w:val="none"/>
        </w:rPr>
        <w:t>8．最高投标限价</w:t>
      </w:r>
      <w:bookmarkEnd w:id="32"/>
      <w:bookmarkEnd w:id="33"/>
    </w:p>
    <w:p w14:paraId="02069B36">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8.1</w:t>
      </w:r>
      <w:r>
        <w:rPr>
          <w:rFonts w:hint="eastAsia" w:hAnsi="宋体" w:cs="宋体"/>
          <w:snapToGrid w:val="0"/>
          <w:color w:val="auto"/>
          <w:kern w:val="0"/>
          <w:highlight w:val="none"/>
        </w:rPr>
        <w:t xml:space="preserve"> 本招标项目参考以下依据编制最高投标限价：</w:t>
      </w:r>
    </w:p>
    <w:p w14:paraId="1DF271C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（1）项目</w:t>
      </w:r>
      <w:r>
        <w:rPr>
          <w:rFonts w:hint="eastAsia" w:ascii="Times New Roman"/>
          <w:snapToGrid w:val="0"/>
          <w:color w:val="auto"/>
          <w:kern w:val="0"/>
          <w:highlight w:val="none"/>
        </w:rPr>
        <w:t>概算</w:t>
      </w:r>
      <w:r>
        <w:rPr>
          <w:rFonts w:hint="eastAsia" w:hAnsi="宋体" w:cs="宋体"/>
          <w:snapToGrid w:val="0"/>
          <w:color w:val="auto"/>
          <w:kern w:val="0"/>
          <w:highlight w:val="none"/>
        </w:rPr>
        <w:t>投资额；</w:t>
      </w:r>
    </w:p>
    <w:p w14:paraId="38F01F1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（2）《建设工程监理与相关服务收费标准》；</w:t>
      </w:r>
    </w:p>
    <w:p w14:paraId="76790E3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（3）监理及相关服务内容；</w:t>
      </w:r>
    </w:p>
    <w:p w14:paraId="23284B7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（4）施工现场情况、工程特点；</w:t>
      </w:r>
    </w:p>
    <w:p w14:paraId="09D542B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（5）项目所在地市场价格。</w:t>
      </w:r>
    </w:p>
    <w:p w14:paraId="570236D8">
      <w:pPr>
        <w:pStyle w:val="41"/>
        <w:keepNext w:val="0"/>
        <w:keepLines w:val="0"/>
        <w:pageBreakBefore w:val="0"/>
        <w:topLinePunct w:val="0"/>
        <w:bidi w:val="0"/>
        <w:spacing w:line="500" w:lineRule="exact"/>
        <w:jc w:val="left"/>
        <w:textAlignment w:val="auto"/>
        <w:rPr>
          <w:rFonts w:hint="eastAsia" w:ascii="宋体" w:hAnsi="宋体" w:eastAsia="宋体" w:cs="宋体"/>
          <w:b/>
          <w:bCs/>
          <w:color w:val="auto"/>
          <w:sz w:val="24"/>
          <w:highlight w:val="none"/>
          <w:u w:val="none"/>
        </w:rPr>
      </w:pPr>
      <w:r>
        <w:rPr>
          <w:rFonts w:hint="eastAsia" w:ascii="宋体" w:hAnsi="宋体" w:cs="宋体"/>
          <w:bCs/>
          <w:snapToGrid w:val="0"/>
          <w:color w:val="auto"/>
          <w:kern w:val="0"/>
          <w:sz w:val="24"/>
          <w:highlight w:val="none"/>
        </w:rPr>
        <w:t xml:space="preserve">  </w:t>
      </w:r>
      <w:r>
        <w:rPr>
          <w:rFonts w:hint="eastAsia" w:ascii="宋体" w:hAnsi="宋体" w:cs="宋体"/>
          <w:b/>
          <w:bCs/>
          <w:snapToGrid w:val="0"/>
          <w:color w:val="auto"/>
          <w:kern w:val="0"/>
          <w:sz w:val="24"/>
          <w:highlight w:val="none"/>
          <w:u w:val="none"/>
        </w:rPr>
        <w:t xml:space="preserve"> 8.2 本次招标最高投标限价为人民币（大写）：</w:t>
      </w:r>
      <w:r>
        <w:rPr>
          <w:rFonts w:hint="eastAsia" w:ascii="宋体" w:hAnsi="宋体" w:cs="宋体"/>
          <w:b/>
          <w:bCs/>
          <w:snapToGrid w:val="0"/>
          <w:color w:val="auto"/>
          <w:kern w:val="0"/>
          <w:sz w:val="24"/>
          <w:highlight w:val="none"/>
          <w:u w:val="single"/>
          <w:lang w:val="en-US" w:eastAsia="zh-CN"/>
        </w:rPr>
        <w:t>伍万陆仟壹佰玖拾陆元壹角玖分</w:t>
      </w:r>
      <w:r>
        <w:rPr>
          <w:rFonts w:hint="eastAsia" w:ascii="宋体" w:hAnsi="宋体" w:cs="宋体"/>
          <w:b/>
          <w:bCs/>
          <w:snapToGrid w:val="0"/>
          <w:color w:val="auto"/>
          <w:kern w:val="0"/>
          <w:sz w:val="24"/>
          <w:highlight w:val="none"/>
          <w:u w:val="none"/>
          <w:lang w:val="en-US" w:eastAsia="zh-CN"/>
        </w:rPr>
        <w:t>（小写：¥</w:t>
      </w:r>
      <w:r>
        <w:rPr>
          <w:rFonts w:hint="eastAsia" w:ascii="宋体" w:hAnsi="宋体" w:cs="宋体"/>
          <w:b/>
          <w:bCs/>
          <w:snapToGrid w:val="0"/>
          <w:color w:val="auto"/>
          <w:kern w:val="0"/>
          <w:sz w:val="24"/>
          <w:highlight w:val="none"/>
          <w:u w:val="single"/>
          <w:lang w:val="en-US" w:eastAsia="zh-CN"/>
        </w:rPr>
        <w:t xml:space="preserve"> 56196.19</w:t>
      </w:r>
      <w:r>
        <w:rPr>
          <w:rFonts w:hint="eastAsia" w:ascii="宋体" w:hAnsi="宋体" w:cs="宋体"/>
          <w:b/>
          <w:bCs/>
          <w:snapToGrid w:val="0"/>
          <w:color w:val="auto"/>
          <w:kern w:val="0"/>
          <w:sz w:val="24"/>
          <w:highlight w:val="none"/>
          <w:u w:val="none"/>
          <w:lang w:val="en-US" w:eastAsia="zh-CN"/>
        </w:rPr>
        <w:t>元）</w:t>
      </w:r>
      <w:r>
        <w:rPr>
          <w:rFonts w:hint="eastAsia" w:ascii="宋体" w:hAnsi="宋体" w:eastAsia="宋体" w:cs="宋体"/>
          <w:b/>
          <w:bCs/>
          <w:snapToGrid w:val="0"/>
          <w:color w:val="auto"/>
          <w:kern w:val="0"/>
          <w:sz w:val="24"/>
          <w:highlight w:val="none"/>
          <w:u w:val="none"/>
          <w:lang w:eastAsia="zh-CN"/>
        </w:rPr>
        <w:t>，监理服务费投标取费费率上限为</w:t>
      </w:r>
      <w:r>
        <w:rPr>
          <w:rFonts w:hint="eastAsia" w:ascii="宋体" w:hAnsi="宋体" w:cs="宋体"/>
          <w:b/>
          <w:bCs/>
          <w:snapToGrid w:val="0"/>
          <w:color w:val="auto"/>
          <w:kern w:val="0"/>
          <w:sz w:val="24"/>
          <w:highlight w:val="none"/>
          <w:u w:val="single"/>
          <w:lang w:val="en-US" w:eastAsia="zh-CN"/>
        </w:rPr>
        <w:t>2.499</w:t>
      </w:r>
      <w:r>
        <w:rPr>
          <w:rFonts w:hint="eastAsia" w:ascii="宋体" w:hAnsi="宋体" w:eastAsia="宋体" w:cs="宋体"/>
          <w:b/>
          <w:bCs/>
          <w:snapToGrid w:val="0"/>
          <w:color w:val="auto"/>
          <w:kern w:val="0"/>
          <w:sz w:val="24"/>
          <w:highlight w:val="none"/>
          <w:u w:val="none"/>
          <w:lang w:eastAsia="zh-CN"/>
        </w:rPr>
        <w:t>%</w:t>
      </w:r>
      <w:r>
        <w:rPr>
          <w:rFonts w:hint="eastAsia" w:ascii="宋体" w:hAnsi="宋体" w:eastAsia="宋体" w:cs="宋体"/>
          <w:b/>
          <w:bCs/>
          <w:snapToGrid w:val="0"/>
          <w:color w:val="auto"/>
          <w:kern w:val="0"/>
          <w:sz w:val="24"/>
          <w:highlight w:val="none"/>
          <w:u w:val="none"/>
        </w:rPr>
        <w:t>。</w:t>
      </w:r>
    </w:p>
    <w:p w14:paraId="26EAE16B">
      <w:pPr>
        <w:pStyle w:val="4"/>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34" w:name="_Toc7437"/>
      <w:bookmarkStart w:id="35" w:name="_Toc4086"/>
      <w:r>
        <w:rPr>
          <w:rFonts w:hint="eastAsia" w:hAnsi="宋体" w:cs="宋体"/>
          <w:b/>
          <w:snapToGrid w:val="0"/>
          <w:color w:val="auto"/>
          <w:highlight w:val="none"/>
        </w:rPr>
        <w:t>9．投标报价</w:t>
      </w:r>
      <w:bookmarkEnd w:id="34"/>
      <w:bookmarkEnd w:id="35"/>
      <w:bookmarkStart w:id="36" w:name="_Hlt74498519"/>
      <w:bookmarkEnd w:id="36"/>
    </w:p>
    <w:p w14:paraId="11808407">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9.1</w:t>
      </w:r>
      <w:r>
        <w:rPr>
          <w:rFonts w:hint="eastAsia" w:hAnsi="宋体" w:cs="宋体"/>
          <w:snapToGrid w:val="0"/>
          <w:color w:val="auto"/>
          <w:kern w:val="0"/>
          <w:highlight w:val="none"/>
        </w:rPr>
        <w:t xml:space="preserve"> 本次招标采用填报</w:t>
      </w:r>
      <w:r>
        <w:rPr>
          <w:rFonts w:hint="eastAsia" w:hAnsi="宋体" w:cs="宋体"/>
          <w:snapToGrid w:val="0"/>
          <w:color w:val="auto"/>
          <w:kern w:val="0"/>
          <w:highlight w:val="none"/>
          <w:u w:val="single"/>
        </w:rPr>
        <w:t xml:space="preserve"> 投标报价及取费费率 </w:t>
      </w:r>
      <w:r>
        <w:rPr>
          <w:rFonts w:hint="eastAsia" w:hAnsi="宋体" w:cs="宋体"/>
          <w:snapToGrid w:val="0"/>
          <w:color w:val="auto"/>
          <w:kern w:val="0"/>
          <w:highlight w:val="none"/>
        </w:rPr>
        <w:t>的方式进行报价。投标人应在《投标函》（格式二）中进行报价。</w:t>
      </w:r>
    </w:p>
    <w:p w14:paraId="66157D5C">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highlight w:val="none"/>
          <w:u w:val="single"/>
        </w:rPr>
      </w:pPr>
      <w:r>
        <w:rPr>
          <w:rFonts w:hint="eastAsia" w:hAnsi="宋体" w:cs="宋体"/>
          <w:b/>
          <w:bCs/>
          <w:snapToGrid w:val="0"/>
          <w:color w:val="auto"/>
          <w:kern w:val="0"/>
          <w:highlight w:val="none"/>
        </w:rPr>
        <w:t>9.2</w:t>
      </w:r>
      <w:r>
        <w:rPr>
          <w:rFonts w:hint="eastAsia" w:hAnsi="宋体" w:cs="宋体"/>
          <w:snapToGrid w:val="0"/>
          <w:color w:val="auto"/>
          <w:kern w:val="0"/>
          <w:highlight w:val="none"/>
        </w:rPr>
        <w:t xml:space="preserve"> 所有报价均以人民币“元”为单位，并保留两位小数。投标取费费率=投标总价÷建安工程费暂定价×100%，并保留</w:t>
      </w:r>
      <w:r>
        <w:rPr>
          <w:rFonts w:hint="eastAsia" w:hAnsi="宋体" w:cs="宋体"/>
          <w:snapToGrid w:val="0"/>
          <w:color w:val="auto"/>
          <w:kern w:val="0"/>
          <w:highlight w:val="none"/>
          <w:lang w:val="en-US" w:eastAsia="zh-CN"/>
        </w:rPr>
        <w:t>三</w:t>
      </w:r>
      <w:r>
        <w:rPr>
          <w:rFonts w:hint="eastAsia" w:hAnsi="宋体" w:cs="宋体"/>
          <w:snapToGrid w:val="0"/>
          <w:color w:val="auto"/>
          <w:kern w:val="0"/>
          <w:highlight w:val="none"/>
        </w:rPr>
        <w:t>位小数。</w:t>
      </w:r>
      <w:r>
        <w:rPr>
          <w:rFonts w:hint="eastAsia" w:hAnsi="宋体" w:cs="宋体"/>
          <w:b/>
          <w:bCs/>
          <w:snapToGrid w:val="0"/>
          <w:color w:val="auto"/>
          <w:kern w:val="0"/>
          <w:highlight w:val="none"/>
          <w:u w:val="single"/>
        </w:rPr>
        <w:t>本项目的建安工程费暂定价为人民币</w:t>
      </w:r>
      <w:r>
        <w:rPr>
          <w:rFonts w:hint="eastAsia" w:hAnsi="宋体" w:cs="宋体"/>
          <w:b/>
          <w:bCs/>
          <w:snapToGrid w:val="0"/>
          <w:color w:val="auto"/>
          <w:kern w:val="0"/>
          <w:highlight w:val="none"/>
          <w:u w:val="single"/>
          <w:lang w:val="en-US" w:eastAsia="zh-CN"/>
        </w:rPr>
        <w:t>224.79万元</w:t>
      </w:r>
      <w:r>
        <w:rPr>
          <w:rFonts w:hint="eastAsia" w:hAnsi="宋体" w:cs="宋体"/>
          <w:b w:val="0"/>
          <w:bCs w:val="0"/>
          <w:snapToGrid w:val="0"/>
          <w:color w:val="auto"/>
          <w:kern w:val="0"/>
          <w:highlight w:val="none"/>
          <w:u w:val="single"/>
        </w:rPr>
        <w:t>。</w:t>
      </w:r>
    </w:p>
    <w:p w14:paraId="67D53697">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hAnsi="宋体" w:cs="宋体"/>
          <w:b w:val="0"/>
          <w:bCs w:val="0"/>
          <w:snapToGrid w:val="0"/>
          <w:color w:val="auto"/>
          <w:kern w:val="0"/>
          <w:highlight w:val="none"/>
        </w:rPr>
      </w:pPr>
      <w:r>
        <w:rPr>
          <w:rFonts w:hint="eastAsia" w:hAnsi="宋体" w:cs="宋体"/>
          <w:b/>
          <w:bCs/>
          <w:snapToGrid w:val="0"/>
          <w:color w:val="auto"/>
          <w:kern w:val="0"/>
          <w:highlight w:val="none"/>
        </w:rPr>
        <w:t xml:space="preserve">9.3 </w:t>
      </w:r>
      <w:r>
        <w:rPr>
          <w:rFonts w:hint="eastAsia" w:hAnsi="宋体" w:cs="宋体"/>
          <w:b w:val="0"/>
          <w:bCs w:val="0"/>
          <w:snapToGrid w:val="0"/>
          <w:color w:val="auto"/>
          <w:kern w:val="0"/>
          <w:highlight w:val="none"/>
        </w:rPr>
        <w:t>监理服务费结算价在项目的合同价范围内按实结算，即：以施工</w:t>
      </w:r>
      <w:r>
        <w:rPr>
          <w:rFonts w:hint="eastAsia" w:hAnsi="宋体" w:cs="宋体"/>
          <w:b w:val="0"/>
          <w:bCs w:val="0"/>
          <w:snapToGrid w:val="0"/>
          <w:color w:val="auto"/>
          <w:kern w:val="0"/>
          <w:highlight w:val="none"/>
          <w:lang w:val="en-US" w:eastAsia="zh-CN"/>
        </w:rPr>
        <w:t>财审</w:t>
      </w:r>
      <w:r>
        <w:rPr>
          <w:rFonts w:hint="eastAsia" w:hAnsi="宋体" w:cs="宋体"/>
          <w:b w:val="0"/>
          <w:bCs w:val="0"/>
          <w:snapToGrid w:val="0"/>
          <w:color w:val="auto"/>
          <w:kern w:val="0"/>
          <w:highlight w:val="none"/>
        </w:rPr>
        <w:t>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53BE92F1">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ascii="宋体" w:hAnsi="宋体" w:eastAsia="宋体" w:cs="宋体"/>
          <w:b/>
          <w:bCs/>
          <w:snapToGrid w:val="0"/>
          <w:color w:val="auto"/>
          <w:kern w:val="0"/>
          <w:highlight w:val="none"/>
          <w:lang w:val="en-US" w:eastAsia="zh-CN"/>
        </w:rPr>
        <w:t>9.4</w:t>
      </w:r>
      <w:r>
        <w:rPr>
          <w:rFonts w:hint="eastAsia" w:hAnsi="宋体" w:cs="宋体"/>
          <w:snapToGrid w:val="0"/>
          <w:color w:val="auto"/>
          <w:kern w:val="0"/>
          <w:szCs w:val="24"/>
          <w:highlight w:val="none"/>
          <w:lang w:val="en-US" w:eastAsia="zh-CN"/>
        </w:rPr>
        <w:t xml:space="preserve"> </w:t>
      </w:r>
      <w:r>
        <w:rPr>
          <w:rFonts w:hint="eastAsia" w:hAnsi="宋体" w:cs="宋体"/>
          <w:snapToGrid w:val="0"/>
          <w:color w:val="auto"/>
          <w:kern w:val="0"/>
          <w:szCs w:val="24"/>
          <w:highlight w:val="none"/>
        </w:rPr>
        <w:t>投标人只允许有一个投标总价。投标总价必须同时用大、小写表示，大、小写报价应保持一致，若不一致，以大写报价为准。</w:t>
      </w:r>
    </w:p>
    <w:p w14:paraId="5DCB368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5 </w:t>
      </w:r>
      <w:r>
        <w:rPr>
          <w:rFonts w:hint="eastAsia" w:hAnsi="宋体" w:cs="宋体"/>
          <w:snapToGrid w:val="0"/>
          <w:color w:val="auto"/>
          <w:kern w:val="0"/>
          <w:szCs w:val="24"/>
          <w:highlight w:val="none"/>
        </w:rPr>
        <w:t>投标总价应包括国家规定的增值税税金。本次招标增值税税金按</w:t>
      </w:r>
      <w:r>
        <w:rPr>
          <w:rFonts w:hint="eastAsia" w:hAnsi="宋体" w:cs="宋体"/>
          <w:snapToGrid w:val="0"/>
          <w:color w:val="auto"/>
          <w:kern w:val="0"/>
          <w:szCs w:val="24"/>
          <w:highlight w:val="none"/>
          <w:u w:val="single"/>
        </w:rPr>
        <w:t xml:space="preserve"> 一般 </w:t>
      </w:r>
      <w:r>
        <w:rPr>
          <w:rFonts w:hint="eastAsia" w:hAnsi="宋体" w:cs="宋体"/>
          <w:snapToGrid w:val="0"/>
          <w:color w:val="auto"/>
          <w:kern w:val="0"/>
          <w:szCs w:val="24"/>
          <w:highlight w:val="none"/>
        </w:rPr>
        <w:t>计税方法计算。</w:t>
      </w:r>
    </w:p>
    <w:p w14:paraId="3A230736">
      <w:pPr>
        <w:keepNext w:val="0"/>
        <w:keepLines w:val="0"/>
        <w:pageBreakBefore w:val="0"/>
        <w:wordWrap w:val="0"/>
        <w:topLinePunct w:val="0"/>
        <w:bidi w:val="0"/>
        <w:adjustRightInd w:val="0"/>
        <w:snapToGrid w:val="0"/>
        <w:spacing w:line="500" w:lineRule="exact"/>
        <w:ind w:firstLine="482" w:firstLineChars="200"/>
        <w:textAlignment w:val="auto"/>
        <w:rPr>
          <w:rFonts w:ascii="Times New Roman"/>
          <w:snapToGrid w:val="0"/>
          <w:color w:val="auto"/>
          <w:kern w:val="0"/>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6 </w:t>
      </w:r>
      <w:r>
        <w:rPr>
          <w:rFonts w:hint="eastAsia" w:ascii="Times New Roman"/>
          <w:snapToGrid w:val="0"/>
          <w:color w:val="auto"/>
          <w:kern w:val="0"/>
          <w:highlight w:val="none"/>
        </w:rPr>
        <w:t>投标总价不得高于最高投标限价，也不得低于成本。</w:t>
      </w:r>
    </w:p>
    <w:p w14:paraId="3984452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snapToGrid w:val="0"/>
          <w:color w:val="auto"/>
          <w:szCs w:val="24"/>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7 </w:t>
      </w:r>
      <w:r>
        <w:rPr>
          <w:rFonts w:hint="eastAsia" w:hAnsi="宋体" w:cs="宋体"/>
          <w:snapToGrid w:val="0"/>
          <w:color w:val="auto"/>
          <w:kern w:val="0"/>
          <w:szCs w:val="24"/>
          <w:highlight w:val="none"/>
        </w:rPr>
        <w:t>投标人应充分了解招标项目的总体情况以及影响投标报价的其他要素。</w:t>
      </w:r>
      <w:bookmarkStart w:id="37" w:name="_（十）投标文件的编制、包装、密封"/>
      <w:bookmarkEnd w:id="37"/>
    </w:p>
    <w:p w14:paraId="14D2E1E8">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trike/>
          <w:snapToGrid w:val="0"/>
          <w:color w:val="auto"/>
          <w:szCs w:val="24"/>
          <w:highlight w:val="none"/>
        </w:rPr>
      </w:pPr>
      <w:bookmarkStart w:id="38" w:name="_Toc684"/>
      <w:bookmarkStart w:id="39" w:name="_Toc31873"/>
      <w:r>
        <w:rPr>
          <w:rFonts w:hint="eastAsia" w:hAnsi="宋体" w:cs="宋体"/>
          <w:b/>
          <w:snapToGrid w:val="0"/>
          <w:color w:val="auto"/>
          <w:szCs w:val="24"/>
          <w:highlight w:val="none"/>
        </w:rPr>
        <w:t>10．投标文件的编制</w:t>
      </w:r>
      <w:bookmarkStart w:id="40" w:name="_Hlt69208262"/>
      <w:bookmarkEnd w:id="40"/>
      <w:bookmarkStart w:id="41" w:name="_Hlt69332370"/>
      <w:bookmarkEnd w:id="41"/>
      <w:r>
        <w:rPr>
          <w:rFonts w:hint="eastAsia" w:hAnsi="宋体" w:cs="宋体"/>
          <w:b/>
          <w:snapToGrid w:val="0"/>
          <w:color w:val="auto"/>
          <w:szCs w:val="24"/>
          <w:highlight w:val="none"/>
        </w:rPr>
        <w:t>要求</w:t>
      </w:r>
      <w:bookmarkEnd w:id="38"/>
      <w:bookmarkEnd w:id="39"/>
      <w:bookmarkStart w:id="42" w:name="_Hlt78768224"/>
      <w:bookmarkEnd w:id="42"/>
      <w:bookmarkStart w:id="43" w:name="_Hlt74497202"/>
      <w:bookmarkEnd w:id="43"/>
      <w:bookmarkStart w:id="44" w:name="_Hlt74495594"/>
      <w:bookmarkEnd w:id="44"/>
    </w:p>
    <w:p w14:paraId="0A29815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snapToGrid w:val="0"/>
          <w:color w:val="auto"/>
          <w:kern w:val="0"/>
          <w:szCs w:val="24"/>
          <w:highlight w:val="none"/>
        </w:rPr>
      </w:pPr>
      <w:r>
        <w:rPr>
          <w:rFonts w:hint="eastAsia" w:hAnsi="宋体" w:cs="宋体"/>
          <w:b/>
          <w:bCs/>
          <w:snapToGrid w:val="0"/>
          <w:color w:val="auto"/>
          <w:kern w:val="0"/>
          <w:szCs w:val="24"/>
          <w:highlight w:val="none"/>
        </w:rPr>
        <w:t>10.1</w:t>
      </w:r>
      <w:r>
        <w:rPr>
          <w:rFonts w:hint="eastAsia" w:hAnsi="宋体" w:cs="宋体"/>
          <w:bCs/>
          <w:snapToGrid w:val="0"/>
          <w:color w:val="auto"/>
          <w:kern w:val="0"/>
          <w:szCs w:val="24"/>
          <w:highlight w:val="none"/>
        </w:rPr>
        <w:t xml:space="preserve"> 一般要求</w:t>
      </w:r>
    </w:p>
    <w:p w14:paraId="3FBF8EDF">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bookmarkStart w:id="45" w:name="_Hlt74496890"/>
      <w:bookmarkEnd w:id="45"/>
      <w:r>
        <w:rPr>
          <w:rFonts w:hint="eastAsia" w:hAnsi="宋体" w:cs="宋体"/>
          <w:snapToGrid w:val="0"/>
          <w:color w:val="auto"/>
          <w:kern w:val="0"/>
          <w:szCs w:val="24"/>
          <w:highlight w:val="none"/>
        </w:rPr>
        <w:t>投标文件应按第五章 投标文件格式规定的内容，投标人提交的投标文件应当使用招标文件所提供的投标文件全部格式。</w:t>
      </w:r>
    </w:p>
    <w:p w14:paraId="71146819">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10.1.1</w:t>
      </w:r>
      <w:r>
        <w:rPr>
          <w:rFonts w:hint="eastAsia" w:hAnsi="宋体" w:cs="宋体"/>
          <w:snapToGrid w:val="0"/>
          <w:color w:val="auto"/>
          <w:kern w:val="0"/>
          <w:szCs w:val="24"/>
          <w:highlight w:val="none"/>
        </w:rPr>
        <w:t>投标人必须响应招标文件，并在充分理解招标文件的基础上编制投标文件。因投标文件不符合招标文件的要求而造成的损失和后果，由投标人自行承担。</w:t>
      </w:r>
    </w:p>
    <w:p w14:paraId="21D6A1F0">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10.1.2</w:t>
      </w:r>
      <w:r>
        <w:rPr>
          <w:rFonts w:hint="eastAsia" w:hAnsi="宋体" w:cs="宋体"/>
          <w:snapToGrid w:val="0"/>
          <w:color w:val="auto"/>
          <w:kern w:val="0"/>
          <w:szCs w:val="24"/>
          <w:highlight w:val="none"/>
        </w:rPr>
        <w:t xml:space="preserve"> 投标文件包括商务标书、监理大纲</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定标文件三</w:t>
      </w:r>
      <w:r>
        <w:rPr>
          <w:rFonts w:hint="eastAsia" w:hAnsi="宋体" w:cs="宋体"/>
          <w:snapToGrid w:val="0"/>
          <w:color w:val="auto"/>
          <w:kern w:val="0"/>
          <w:szCs w:val="24"/>
          <w:highlight w:val="none"/>
        </w:rPr>
        <w:t>个分册。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韶关市公共资源建设工程交易系统-投标人操作指南》。</w:t>
      </w:r>
    </w:p>
    <w:p w14:paraId="6B35B59D">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w:t>
      </w:r>
      <w:r>
        <w:rPr>
          <w:rFonts w:hint="eastAsia" w:hAnsi="宋体" w:cs="宋体"/>
          <w:snapToGrid w:val="0"/>
          <w:color w:val="auto"/>
          <w:kern w:val="0"/>
          <w:szCs w:val="24"/>
          <w:highlight w:val="none"/>
        </w:rPr>
        <w:t xml:space="preserve"> 投标文件需按以下要求签字、盖章：</w:t>
      </w:r>
    </w:p>
    <w:p w14:paraId="66B50BFC">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10.1.3.1</w:t>
      </w:r>
      <w:r>
        <w:rPr>
          <w:rFonts w:hint="eastAsia" w:hAnsi="宋体" w:cs="宋体"/>
          <w:snapToGrid w:val="0"/>
          <w:color w:val="auto"/>
          <w:kern w:val="0"/>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49349AA1">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10.1.3.2</w:t>
      </w:r>
      <w:r>
        <w:rPr>
          <w:rFonts w:hint="eastAsia" w:hAnsi="宋体" w:cs="宋体"/>
          <w:snapToGrid w:val="0"/>
          <w:color w:val="auto"/>
          <w:kern w:val="0"/>
          <w:szCs w:val="24"/>
          <w:highlight w:val="none"/>
        </w:rPr>
        <w:t xml:space="preserve"> 投标文件封套、封面、组成内容中凡要求录入投标人名称且注明“盖单位章”处盖单位法人公章（电子印章）。</w:t>
      </w:r>
    </w:p>
    <w:p w14:paraId="38D71F78">
      <w:pPr>
        <w:pStyle w:val="11"/>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10.1.3.3</w:t>
      </w:r>
      <w:r>
        <w:rPr>
          <w:rFonts w:hint="eastAsia" w:hAnsi="宋体" w:cs="宋体"/>
          <w:snapToGrid w:val="0"/>
          <w:color w:val="auto"/>
          <w:kern w:val="0"/>
          <w:szCs w:val="24"/>
          <w:highlight w:val="none"/>
        </w:rPr>
        <w:t xml:space="preserve"> 投标文件的签字均为签字人本人亲笔署名或签章（电子印章），其余部分的扫描件无须另行签字、盖章。</w:t>
      </w:r>
    </w:p>
    <w:p w14:paraId="0D7C641C">
      <w:pPr>
        <w:keepNext w:val="0"/>
        <w:keepLines w:val="0"/>
        <w:pageBreakBefore w:val="0"/>
        <w:wordWrap w:val="0"/>
        <w:topLinePunct w:val="0"/>
        <w:bidi w:val="0"/>
        <w:adjustRightInd w:val="0"/>
        <w:snapToGrid w:val="0"/>
        <w:spacing w:line="500" w:lineRule="exact"/>
        <w:ind w:firstLine="560"/>
        <w:textAlignment w:val="auto"/>
        <w:rPr>
          <w:rFonts w:hAnsi="宋体" w:cs="宋体"/>
          <w:b/>
          <w:bCs/>
          <w:snapToGrid w:val="0"/>
          <w:color w:val="auto"/>
          <w:kern w:val="0"/>
          <w:szCs w:val="24"/>
          <w:highlight w:val="none"/>
        </w:rPr>
      </w:pPr>
      <w:bookmarkStart w:id="46" w:name="_Toc257031159"/>
      <w:bookmarkStart w:id="47" w:name="_Toc274313880"/>
      <w:r>
        <w:rPr>
          <w:rFonts w:hint="eastAsia" w:hAnsi="宋体" w:cs="宋体"/>
          <w:b/>
          <w:bCs/>
          <w:snapToGrid w:val="0"/>
          <w:color w:val="auto"/>
          <w:kern w:val="0"/>
          <w:szCs w:val="24"/>
          <w:highlight w:val="none"/>
        </w:rPr>
        <w:t>10.2 商务标书的编制要求</w:t>
      </w:r>
      <w:bookmarkEnd w:id="46"/>
      <w:bookmarkEnd w:id="47"/>
    </w:p>
    <w:p w14:paraId="47B73069">
      <w:pPr>
        <w:keepNext w:val="0"/>
        <w:keepLines w:val="0"/>
        <w:pageBreakBefore w:val="0"/>
        <w:wordWrap w:val="0"/>
        <w:topLinePunct w:val="0"/>
        <w:bidi w:val="0"/>
        <w:adjustRightInd w:val="0"/>
        <w:snapToGrid w:val="0"/>
        <w:spacing w:line="500" w:lineRule="exact"/>
        <w:ind w:firstLine="561"/>
        <w:textAlignment w:val="auto"/>
        <w:rPr>
          <w:rFonts w:hAnsi="宋体" w:cs="宋体"/>
          <w:snapToGrid w:val="0"/>
          <w:color w:val="auto"/>
          <w:kern w:val="0"/>
          <w:szCs w:val="24"/>
          <w:highlight w:val="none"/>
          <w:u w:val="single"/>
        </w:rPr>
      </w:pP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 xml:space="preserve"> </w:t>
      </w:r>
      <w:r>
        <w:rPr>
          <w:rFonts w:hint="eastAsia" w:hAnsi="宋体" w:cs="宋体"/>
          <w:bCs/>
          <w:snapToGrid w:val="0"/>
          <w:color w:val="auto"/>
          <w:kern w:val="0"/>
          <w:szCs w:val="24"/>
          <w:highlight w:val="none"/>
        </w:rPr>
        <w:t>商务标书</w:t>
      </w:r>
      <w:r>
        <w:rPr>
          <w:rFonts w:hint="eastAsia" w:hAnsi="宋体" w:cs="宋体"/>
          <w:snapToGrid w:val="0"/>
          <w:color w:val="auto"/>
          <w:kern w:val="0"/>
          <w:szCs w:val="24"/>
          <w:highlight w:val="none"/>
        </w:rPr>
        <w:t>包括但不限于以下内容：</w:t>
      </w:r>
    </w:p>
    <w:p w14:paraId="43FD68D1">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（1）封面（格式一）；</w:t>
      </w:r>
    </w:p>
    <w:p w14:paraId="04675B7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（2）目录；</w:t>
      </w:r>
    </w:p>
    <w:p w14:paraId="0B49FE84">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（3）《投标函》（格式二）；</w:t>
      </w:r>
    </w:p>
    <w:p w14:paraId="3477C2B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（4）《各项承诺一览表》（格式三）；</w:t>
      </w:r>
    </w:p>
    <w:p w14:paraId="66D3257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（5）《授权委托书》（格式四）；</w:t>
      </w:r>
    </w:p>
    <w:p w14:paraId="7D10D881">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（6）《法定代表人身份证明》（格式五）；</w:t>
      </w:r>
    </w:p>
    <w:p w14:paraId="7B16E23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2A780F7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（8）《投标人基本情况表》（格式六）及所附资料；</w:t>
      </w:r>
    </w:p>
    <w:p w14:paraId="790E8061">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（9）《总监理工程师任职声明》（格式七或格式八，由投标人根据拟派总监理工程师任职情况选用）；</w:t>
      </w:r>
    </w:p>
    <w:p w14:paraId="2AD51FB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（10）《总监理工程师任职项目情况表》（格式九）及所附资料；</w:t>
      </w:r>
    </w:p>
    <w:p w14:paraId="32B97F4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（11）《项目监理机构组成人员汇总表》（格式十）；</w:t>
      </w:r>
    </w:p>
    <w:p w14:paraId="4053952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（12）《总监理工程师简历表》（格式十一）及所附资料；</w:t>
      </w:r>
    </w:p>
    <w:p w14:paraId="594C7BA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（13）《其他拟派人员简历表》（格式十二）及所附资料；</w:t>
      </w:r>
    </w:p>
    <w:p w14:paraId="413AD7E1">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（14）详细评审阶段要求提供的评审资料（详见本节第</w:t>
      </w:r>
      <w:r>
        <w:rPr>
          <w:rFonts w:hint="eastAsia" w:hAnsi="宋体" w:cs="宋体"/>
          <w:b/>
          <w:bCs/>
          <w:snapToGrid w:val="0"/>
          <w:color w:val="auto"/>
          <w:kern w:val="0"/>
          <w:szCs w:val="24"/>
          <w:highlight w:val="none"/>
        </w:rPr>
        <w:t>15.5.1</w:t>
      </w:r>
      <w:r>
        <w:rPr>
          <w:rFonts w:hint="eastAsia" w:hAnsi="宋体" w:cs="宋体"/>
          <w:snapToGrid w:val="0"/>
          <w:color w:val="auto"/>
          <w:kern w:val="0"/>
          <w:szCs w:val="24"/>
          <w:highlight w:val="none"/>
        </w:rPr>
        <w:t>目）；</w:t>
      </w:r>
    </w:p>
    <w:p w14:paraId="190B1AB3">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15）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41401930">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10.2.2</w:t>
      </w:r>
      <w:r>
        <w:rPr>
          <w:rFonts w:hint="eastAsia" w:hAnsi="宋体" w:cs="宋体"/>
          <w:snapToGrid w:val="0"/>
          <w:color w:val="auto"/>
          <w:kern w:val="0"/>
          <w:szCs w:val="24"/>
          <w:highlight w:val="none"/>
        </w:rPr>
        <w:t xml:space="preserve"> 本节第</w:t>
      </w: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目中所列出的商务标书组成内容中，第（1）至第（13）项所有投标人均应提供。</w:t>
      </w:r>
      <w:r>
        <w:rPr>
          <w:rFonts w:hint="eastAsia" w:hAnsi="宋体" w:cs="宋体"/>
          <w:b/>
          <w:bCs/>
          <w:snapToGrid w:val="0"/>
          <w:color w:val="auto"/>
          <w:kern w:val="0"/>
          <w:szCs w:val="24"/>
          <w:highlight w:val="none"/>
        </w:rPr>
        <w:t>但拟派总监理工程师现阶段未担任任何在施建设工程项目总监理工程师的，无需提供第（10）项内容。</w:t>
      </w:r>
    </w:p>
    <w:p w14:paraId="67BCB150">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10.2.3</w:t>
      </w:r>
      <w:r>
        <w:rPr>
          <w:rFonts w:hint="eastAsia" w:hAnsi="宋体" w:cs="宋体"/>
          <w:snapToGrid w:val="0"/>
          <w:color w:val="auto"/>
          <w:kern w:val="0"/>
          <w:szCs w:val="24"/>
          <w:highlight w:val="none"/>
        </w:rPr>
        <w:t xml:space="preserve"> 商务标书的组成内容按本节第</w:t>
      </w: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目规定的顺序整理、编排后，逐页（页码起始从封面开始）连续标记页码。</w:t>
      </w:r>
    </w:p>
    <w:p w14:paraId="59BE069F">
      <w:pPr>
        <w:keepNext w:val="0"/>
        <w:keepLines w:val="0"/>
        <w:pageBreakBefore w:val="0"/>
        <w:wordWrap w:val="0"/>
        <w:topLinePunct w:val="0"/>
        <w:bidi w:val="0"/>
        <w:adjustRightInd w:val="0"/>
        <w:snapToGrid w:val="0"/>
        <w:spacing w:line="500" w:lineRule="exact"/>
        <w:ind w:firstLine="48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10.3 监理大纲的编制要求</w:t>
      </w:r>
    </w:p>
    <w:p w14:paraId="629DB213">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
          <w:snapToGrid w:val="0"/>
          <w:color w:val="auto"/>
          <w:kern w:val="0"/>
          <w:szCs w:val="24"/>
          <w:highlight w:val="none"/>
        </w:rPr>
        <w:t>10.3.1</w:t>
      </w:r>
      <w:r>
        <w:rPr>
          <w:rFonts w:hint="eastAsia" w:hAnsi="宋体" w:cs="宋体"/>
          <w:bCs/>
          <w:snapToGrid w:val="0"/>
          <w:color w:val="auto"/>
          <w:kern w:val="0"/>
          <w:szCs w:val="24"/>
          <w:highlight w:val="none"/>
        </w:rPr>
        <w:t xml:space="preserve"> 监理大纲</w:t>
      </w:r>
      <w:r>
        <w:rPr>
          <w:rFonts w:hint="eastAsia" w:hAnsi="宋体" w:cs="宋体"/>
          <w:snapToGrid w:val="0"/>
          <w:color w:val="auto"/>
          <w:kern w:val="0"/>
          <w:szCs w:val="24"/>
          <w:highlight w:val="none"/>
        </w:rPr>
        <w:t>的编制依据包括且不限于</w:t>
      </w:r>
      <w:r>
        <w:rPr>
          <w:rFonts w:hint="eastAsia" w:hAnsi="宋体" w:cs="宋体"/>
          <w:bCs/>
          <w:snapToGrid w:val="0"/>
          <w:color w:val="auto"/>
          <w:kern w:val="0"/>
          <w:szCs w:val="24"/>
          <w:highlight w:val="none"/>
        </w:rPr>
        <w:t>：</w:t>
      </w:r>
    </w:p>
    <w:p w14:paraId="7174D4D9">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（1）招标文件及</w:t>
      </w:r>
      <w:r>
        <w:rPr>
          <w:rFonts w:hint="eastAsia" w:hAnsi="宋体" w:cs="宋体"/>
          <w:snapToGrid w:val="0"/>
          <w:color w:val="auto"/>
          <w:kern w:val="0"/>
          <w:szCs w:val="24"/>
          <w:highlight w:val="none"/>
        </w:rPr>
        <w:t>其答疑（或修改）公告；</w:t>
      </w:r>
    </w:p>
    <w:p w14:paraId="68B992DF">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（2）施工现场情况、工程特点；</w:t>
      </w:r>
    </w:p>
    <w:p w14:paraId="7671535D">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（3）相关法律、法规、规定；</w:t>
      </w:r>
    </w:p>
    <w:p w14:paraId="436F5059">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23D6148A">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snapToGrid w:val="0"/>
          <w:color w:val="auto"/>
          <w:kern w:val="0"/>
          <w:szCs w:val="24"/>
          <w:highlight w:val="none"/>
        </w:rPr>
        <w:t>10.3.2</w:t>
      </w:r>
      <w:r>
        <w:rPr>
          <w:rFonts w:hint="eastAsia" w:hAnsi="宋体" w:cs="宋体"/>
          <w:bCs/>
          <w:snapToGrid w:val="0"/>
          <w:color w:val="auto"/>
          <w:kern w:val="0"/>
          <w:szCs w:val="24"/>
          <w:highlight w:val="none"/>
        </w:rPr>
        <w:t xml:space="preserve"> 监理大纲</w:t>
      </w:r>
      <w:r>
        <w:rPr>
          <w:rFonts w:hint="eastAsia" w:hAnsi="宋体" w:cs="宋体"/>
          <w:snapToGrid w:val="0"/>
          <w:color w:val="auto"/>
          <w:kern w:val="0"/>
          <w:szCs w:val="24"/>
          <w:highlight w:val="none"/>
        </w:rPr>
        <w:t>包括但不限于以下内容：</w:t>
      </w:r>
    </w:p>
    <w:p w14:paraId="7343D59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（1）封面（格式一）；</w:t>
      </w:r>
    </w:p>
    <w:p w14:paraId="6A7D563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（2）目录；</w:t>
      </w:r>
    </w:p>
    <w:p w14:paraId="5E89903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（3）监理工程概况；</w:t>
      </w:r>
    </w:p>
    <w:p w14:paraId="6502E4D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（4）监理及相关服务的范围、内容；</w:t>
      </w:r>
    </w:p>
    <w:p w14:paraId="62EE80C3">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（5）监理及相关服务的依据、目标；</w:t>
      </w:r>
    </w:p>
    <w:p w14:paraId="12B7CEC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（6）项目监理机构设置（框图）、岗位职责；</w:t>
      </w:r>
    </w:p>
    <w:p w14:paraId="2D5C7B7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（7）监理及相关服务的工作程序、方法和制度；</w:t>
      </w:r>
    </w:p>
    <w:p w14:paraId="4EBC0B7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（8）拟投入的监理及相关服务人员；</w:t>
      </w:r>
    </w:p>
    <w:p w14:paraId="4B515AF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（9）质量、进度、造价、安全、绿色施工监理措施；</w:t>
      </w:r>
    </w:p>
    <w:p w14:paraId="46695F64">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（10）合同、信息管理方案；</w:t>
      </w:r>
    </w:p>
    <w:p w14:paraId="6F5B1B0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（11）组织协调内容及措施；</w:t>
      </w:r>
    </w:p>
    <w:p w14:paraId="17F724E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（12）监理及相关服务的工作重点、难点分析；</w:t>
      </w:r>
    </w:p>
    <w:p w14:paraId="565918B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（13）对本工程监理及相关服务的合理化建议。</w:t>
      </w:r>
    </w:p>
    <w:p w14:paraId="30E005A0">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10.3.3</w:t>
      </w:r>
      <w:r>
        <w:rPr>
          <w:rFonts w:hint="eastAsia" w:hAnsi="宋体" w:cs="宋体"/>
          <w:snapToGrid w:val="0"/>
          <w:color w:val="auto"/>
          <w:kern w:val="0"/>
          <w:szCs w:val="24"/>
          <w:highlight w:val="none"/>
        </w:rPr>
        <w:t xml:space="preserve"> 本节第</w:t>
      </w:r>
      <w:r>
        <w:rPr>
          <w:rFonts w:hint="eastAsia" w:hAnsi="宋体" w:cs="宋体"/>
          <w:b/>
          <w:bCs/>
          <w:snapToGrid w:val="0"/>
          <w:color w:val="auto"/>
          <w:kern w:val="0"/>
          <w:szCs w:val="24"/>
          <w:highlight w:val="none"/>
        </w:rPr>
        <w:t>10.3.2</w:t>
      </w:r>
      <w:r>
        <w:rPr>
          <w:rFonts w:hint="eastAsia" w:hAnsi="宋体" w:cs="宋体"/>
          <w:snapToGrid w:val="0"/>
          <w:color w:val="auto"/>
          <w:kern w:val="0"/>
          <w:szCs w:val="24"/>
          <w:highlight w:val="none"/>
        </w:rPr>
        <w:t>目中所列出的</w:t>
      </w:r>
      <w:r>
        <w:rPr>
          <w:rFonts w:hint="eastAsia" w:hAnsi="宋体" w:cs="宋体"/>
          <w:bCs/>
          <w:snapToGrid w:val="0"/>
          <w:color w:val="auto"/>
          <w:kern w:val="0"/>
          <w:szCs w:val="24"/>
          <w:highlight w:val="none"/>
        </w:rPr>
        <w:t>监理大纲</w:t>
      </w:r>
      <w:r>
        <w:rPr>
          <w:rFonts w:hint="eastAsia" w:hAnsi="宋体" w:cs="宋体"/>
          <w:snapToGrid w:val="0"/>
          <w:color w:val="auto"/>
          <w:kern w:val="0"/>
          <w:szCs w:val="24"/>
          <w:highlight w:val="none"/>
        </w:rPr>
        <w:t>组成内容，所有投标人均应提供。</w:t>
      </w:r>
    </w:p>
    <w:p w14:paraId="6B83CBF1">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snapToGrid w:val="0"/>
          <w:color w:val="auto"/>
          <w:kern w:val="0"/>
          <w:szCs w:val="24"/>
          <w:highlight w:val="none"/>
        </w:rPr>
      </w:pPr>
      <w:r>
        <w:rPr>
          <w:rFonts w:hint="eastAsia" w:hAnsi="宋体" w:cs="宋体"/>
          <w:b/>
          <w:bCs/>
          <w:snapToGrid w:val="0"/>
          <w:color w:val="auto"/>
          <w:kern w:val="0"/>
          <w:szCs w:val="24"/>
          <w:highlight w:val="none"/>
        </w:rPr>
        <w:t>10.3.4</w:t>
      </w:r>
      <w:r>
        <w:rPr>
          <w:rFonts w:hint="eastAsia" w:hAnsi="宋体" w:cs="宋体"/>
          <w:snapToGrid w:val="0"/>
          <w:color w:val="auto"/>
          <w:kern w:val="0"/>
          <w:szCs w:val="24"/>
          <w:highlight w:val="none"/>
        </w:rPr>
        <w:t xml:space="preserve"> </w:t>
      </w:r>
      <w:r>
        <w:rPr>
          <w:rFonts w:hint="eastAsia" w:hAnsi="宋体" w:cs="宋体"/>
          <w:bCs/>
          <w:snapToGrid w:val="0"/>
          <w:color w:val="auto"/>
          <w:kern w:val="0"/>
          <w:szCs w:val="24"/>
          <w:highlight w:val="none"/>
        </w:rPr>
        <w:t>监理大纲</w:t>
      </w:r>
      <w:r>
        <w:rPr>
          <w:rFonts w:hint="eastAsia" w:hAnsi="宋体" w:cs="宋体"/>
          <w:snapToGrid w:val="0"/>
          <w:color w:val="auto"/>
          <w:kern w:val="0"/>
          <w:szCs w:val="24"/>
          <w:highlight w:val="none"/>
        </w:rPr>
        <w:t>的组成内容按本节第</w:t>
      </w:r>
      <w:r>
        <w:rPr>
          <w:rFonts w:hint="eastAsia" w:hAnsi="宋体" w:cs="宋体"/>
          <w:b/>
          <w:bCs/>
          <w:snapToGrid w:val="0"/>
          <w:color w:val="auto"/>
          <w:kern w:val="0"/>
          <w:szCs w:val="24"/>
          <w:highlight w:val="none"/>
        </w:rPr>
        <w:t>10.3.2</w:t>
      </w:r>
      <w:r>
        <w:rPr>
          <w:rFonts w:hint="eastAsia" w:hAnsi="宋体" w:cs="宋体"/>
          <w:snapToGrid w:val="0"/>
          <w:color w:val="auto"/>
          <w:kern w:val="0"/>
          <w:szCs w:val="24"/>
          <w:highlight w:val="none"/>
        </w:rPr>
        <w:t>目规定的顺序整理、编排后，逐页（页码起始从封面开始）连续标记页码。</w:t>
      </w:r>
    </w:p>
    <w:p w14:paraId="0C725156">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b/>
          <w:bCs/>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w:t>
      </w:r>
      <w:r>
        <w:rPr>
          <w:rFonts w:hint="eastAsia" w:hAnsi="宋体" w:cs="宋体"/>
          <w:b/>
          <w:bCs/>
          <w:snapToGrid w:val="0"/>
          <w:color w:val="auto"/>
          <w:kern w:val="0"/>
          <w:szCs w:val="24"/>
          <w:highlight w:val="none"/>
          <w:lang w:val="en-US" w:eastAsia="zh-CN"/>
        </w:rPr>
        <w:t xml:space="preserve"> 定标文件的编制要求：</w:t>
      </w:r>
    </w:p>
    <w:p w14:paraId="7FEB9C4A">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 xml:space="preserve">10.4.1 </w:t>
      </w:r>
      <w:r>
        <w:rPr>
          <w:rFonts w:hint="eastAsia" w:hAnsi="宋体" w:cs="宋体"/>
          <w:snapToGrid w:val="0"/>
          <w:color w:val="auto"/>
          <w:kern w:val="0"/>
          <w:szCs w:val="24"/>
          <w:highlight w:val="none"/>
          <w:lang w:val="en-US" w:eastAsia="zh-CN"/>
        </w:rPr>
        <w:t>定标文件包括但不限于以下内容：</w:t>
      </w:r>
    </w:p>
    <w:p w14:paraId="72B02A90">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（1）封面（格式一）；</w:t>
      </w:r>
    </w:p>
    <w:p w14:paraId="7256D128">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（2）目录；</w:t>
      </w:r>
    </w:p>
    <w:p w14:paraId="61323FCD">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（3）定标因素评审资料</w:t>
      </w:r>
      <w:r>
        <w:rPr>
          <w:rFonts w:hint="eastAsia" w:ascii="宋体" w:hAnsi="宋体" w:eastAsia="宋体" w:cs="宋体"/>
          <w:b w:val="0"/>
          <w:bCs w:val="0"/>
          <w:color w:val="auto"/>
          <w:sz w:val="24"/>
          <w:highlight w:val="none"/>
          <w:lang w:val="en-US" w:eastAsia="zh-CN"/>
        </w:rPr>
        <w:t>（投标人根据“评标定标办法”载明的定标因素自行确定）</w:t>
      </w:r>
      <w:r>
        <w:rPr>
          <w:rFonts w:hint="eastAsia" w:hAnsi="宋体" w:cs="宋体"/>
          <w:snapToGrid w:val="0"/>
          <w:color w:val="auto"/>
          <w:kern w:val="0"/>
          <w:szCs w:val="24"/>
          <w:highlight w:val="none"/>
          <w:lang w:val="en-US" w:eastAsia="zh-CN"/>
        </w:rPr>
        <w:t>。</w:t>
      </w:r>
    </w:p>
    <w:p w14:paraId="70D0CC21">
      <w:pPr>
        <w:keepNext w:val="0"/>
        <w:keepLines w:val="0"/>
        <w:pageBreakBefore w:val="0"/>
        <w:wordWrap w:val="0"/>
        <w:topLinePunct w:val="0"/>
        <w:bidi w:val="0"/>
        <w:adjustRightInd w:val="0"/>
        <w:snapToGrid w:val="0"/>
        <w:spacing w:line="500" w:lineRule="exact"/>
        <w:ind w:firstLine="482" w:firstLineChars="200"/>
        <w:textAlignment w:val="auto"/>
        <w:rPr>
          <w:rFonts w:hint="default" w:hAnsi="宋体" w:eastAsia="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10.4.2</w:t>
      </w:r>
      <w:r>
        <w:rPr>
          <w:rFonts w:hint="eastAsia" w:hAnsi="宋体" w:cs="宋体"/>
          <w:snapToGrid w:val="0"/>
          <w:color w:val="auto"/>
          <w:kern w:val="0"/>
          <w:szCs w:val="24"/>
          <w:highlight w:val="none"/>
          <w:lang w:val="en-US" w:eastAsia="zh-CN"/>
        </w:rPr>
        <w:t xml:space="preserve"> 本节第</w:t>
      </w:r>
      <w:r>
        <w:rPr>
          <w:rFonts w:hint="eastAsia" w:ascii="宋体" w:hAnsi="宋体" w:eastAsia="宋体" w:cs="宋体"/>
          <w:b/>
          <w:bCs/>
          <w:snapToGrid w:val="0"/>
          <w:color w:val="auto"/>
          <w:kern w:val="0"/>
          <w:szCs w:val="24"/>
          <w:highlight w:val="none"/>
          <w:lang w:val="en-US" w:eastAsia="zh-CN"/>
        </w:rPr>
        <w:t>10.4.1</w:t>
      </w:r>
      <w:r>
        <w:rPr>
          <w:rFonts w:hint="eastAsia" w:hAnsi="宋体" w:cs="宋体"/>
          <w:snapToGrid w:val="0"/>
          <w:color w:val="auto"/>
          <w:kern w:val="0"/>
          <w:szCs w:val="24"/>
          <w:highlight w:val="none"/>
          <w:lang w:val="en-US" w:eastAsia="zh-CN"/>
        </w:rPr>
        <w:t>目中所列出的组成内容中，第（1）项所有投标人均应提供。</w:t>
      </w:r>
    </w:p>
    <w:p w14:paraId="3582CBA7">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szCs w:val="24"/>
          <w:highlight w:val="none"/>
        </w:rPr>
      </w:pPr>
      <w:bookmarkStart w:id="48" w:name="_Toc2864"/>
      <w:bookmarkStart w:id="49" w:name="_Toc24639"/>
      <w:r>
        <w:rPr>
          <w:rFonts w:hint="eastAsia" w:hAnsi="宋体" w:cs="宋体"/>
          <w:b/>
          <w:snapToGrid w:val="0"/>
          <w:color w:val="auto"/>
          <w:szCs w:val="24"/>
          <w:highlight w:val="none"/>
        </w:rPr>
        <w:t>11．</w:t>
      </w:r>
      <w:bookmarkEnd w:id="48"/>
      <w:r>
        <w:rPr>
          <w:rFonts w:hint="eastAsia" w:hAnsi="宋体" w:cs="宋体"/>
          <w:b/>
          <w:snapToGrid w:val="0"/>
          <w:color w:val="auto"/>
          <w:szCs w:val="24"/>
          <w:highlight w:val="none"/>
        </w:rPr>
        <w:t>电子投标</w:t>
      </w:r>
      <w:bookmarkEnd w:id="49"/>
    </w:p>
    <w:p w14:paraId="6AE0FCF6">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cs="宋体"/>
          <w:b/>
          <w:bCs/>
          <w:snapToGrid w:val="0"/>
          <w:color w:val="auto"/>
          <w:kern w:val="0"/>
          <w:sz w:val="24"/>
          <w:highlight w:val="none"/>
        </w:rPr>
        <w:t>11.1</w:t>
      </w:r>
      <w:r>
        <w:rPr>
          <w:rFonts w:hint="eastAsia" w:ascii="宋体" w:hAnsi="宋体" w:cs="宋体"/>
          <w:snapToGrid w:val="0"/>
          <w:color w:val="auto"/>
          <w:kern w:val="0"/>
          <w:sz w:val="24"/>
          <w:highlight w:val="none"/>
        </w:rPr>
        <w:t>在建设工程交易系统上传加盖了电子印章的投标文件、录入相关信息及标书页码信息，（页码起始从封面开始）并提交投标标书，提交标书为已加密投标文件。具体操作参</w:t>
      </w:r>
      <w:r>
        <w:rPr>
          <w:rFonts w:hint="eastAsia" w:ascii="宋体" w:hAnsi="宋体" w:eastAsia="宋体" w:cs="宋体"/>
          <w:snapToGrid w:val="0"/>
          <w:color w:val="auto"/>
          <w:kern w:val="0"/>
          <w:sz w:val="24"/>
          <w:highlight w:val="none"/>
        </w:rPr>
        <w:t>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4C00EDB3">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11.2</w:t>
      </w:r>
      <w:r>
        <w:rPr>
          <w:rFonts w:hint="eastAsia" w:ascii="宋体" w:hAnsi="宋体" w:cs="宋体"/>
          <w:snapToGrid w:val="0"/>
          <w:color w:val="auto"/>
          <w:kern w:val="0"/>
          <w:sz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12B242E6">
      <w:pPr>
        <w:keepNext w:val="0"/>
        <w:keepLines w:val="0"/>
        <w:pageBreakBefore w:val="0"/>
        <w:topLinePunct w:val="0"/>
        <w:bidi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11.3 </w:t>
      </w:r>
      <w:r>
        <w:rPr>
          <w:rFonts w:hint="eastAsia" w:hAnsi="宋体" w:cs="宋体"/>
          <w:snapToGrid w:val="0"/>
          <w:color w:val="auto"/>
          <w:kern w:val="0"/>
          <w:szCs w:val="24"/>
          <w:highlight w:val="none"/>
        </w:rPr>
        <w:t>电子投标解密失败及突发情况的补救</w:t>
      </w:r>
    </w:p>
    <w:p w14:paraId="14247315">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11.3.1</w:t>
      </w:r>
      <w:r>
        <w:rPr>
          <w:rFonts w:hint="eastAsia" w:ascii="宋体" w:hAnsi="宋体" w:cs="宋体"/>
          <w:snapToGrid w:val="0"/>
          <w:color w:val="auto"/>
          <w:kern w:val="0"/>
          <w:sz w:val="24"/>
          <w:highlight w:val="none"/>
        </w:rPr>
        <w:t xml:space="preserve">按照交易平台关于全流程电子化项目的相关指南进行操作。详见：全国公共资源交易平台（广东省·韶关市）（https://ygp.gdzwfw.gov.cn/ggzy-portal/#/440200/index）【服务指南】栏目发布的最新版操作指引。  </w:t>
      </w:r>
    </w:p>
    <w:p w14:paraId="0A1BEFEC">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11.3.2</w:t>
      </w:r>
      <w:r>
        <w:rPr>
          <w:rFonts w:hint="eastAsia" w:ascii="宋体" w:hAnsi="宋体" w:cs="宋体"/>
          <w:snapToGrid w:val="0"/>
          <w:color w:val="auto"/>
          <w:kern w:val="0"/>
          <w:sz w:val="24"/>
          <w:highlight w:val="none"/>
        </w:rPr>
        <w:t>补救方案：</w:t>
      </w:r>
    </w:p>
    <w:p w14:paraId="1E11A100">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44AB87BC">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22875136">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（3）除发生上述情况外，开标评标均以投标人通过交易平台网上提交的电子投标文件为准。</w:t>
      </w:r>
    </w:p>
    <w:p w14:paraId="0C2DA804">
      <w:pPr>
        <w:pStyle w:val="4"/>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szCs w:val="24"/>
          <w:highlight w:val="none"/>
        </w:rPr>
      </w:pPr>
      <w:bookmarkStart w:id="50" w:name="_Toc13209"/>
      <w:r>
        <w:rPr>
          <w:rFonts w:hint="eastAsia" w:hAnsi="宋体" w:cs="宋体"/>
          <w:b/>
          <w:snapToGrid w:val="0"/>
          <w:color w:val="auto"/>
          <w:szCs w:val="24"/>
          <w:highlight w:val="none"/>
        </w:rPr>
        <w:t>12. 投标文件的提交</w:t>
      </w:r>
      <w:bookmarkEnd w:id="50"/>
    </w:p>
    <w:p w14:paraId="020003DB">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12.1</w:t>
      </w:r>
      <w:r>
        <w:rPr>
          <w:rFonts w:hint="eastAsia" w:ascii="宋体" w:hAnsi="宋体" w:cs="宋体"/>
          <w:snapToGrid w:val="0"/>
          <w:color w:val="auto"/>
          <w:kern w:val="0"/>
          <w:sz w:val="24"/>
          <w:highlight w:val="none"/>
        </w:rPr>
        <w:t>在电子投标截止时间前，投标人通过全国公共资源交易平台（广东省·韶关市）提交已加密投标文件。逾期提交的电子投标文件，全国公共资源交易平台（广东省·韶关市）将予以拒收。</w:t>
      </w:r>
    </w:p>
    <w:p w14:paraId="4C426027">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12.2</w:t>
      </w:r>
      <w:r>
        <w:rPr>
          <w:rFonts w:hint="eastAsia" w:ascii="宋体" w:hAnsi="宋体" w:cs="宋体"/>
          <w:snapToGrid w:val="0"/>
          <w:color w:val="auto"/>
          <w:kern w:val="0"/>
          <w:sz w:val="24"/>
          <w:highlight w:val="none"/>
        </w:rPr>
        <w:t>投标文件提交截止时间（同电子投标截止时间）：见本章第二节“重要事项时间地点一览表”。</w:t>
      </w:r>
    </w:p>
    <w:p w14:paraId="4CB4DDAE">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b/>
          <w:bCs/>
          <w:snapToGrid w:val="0"/>
          <w:color w:val="auto"/>
          <w:kern w:val="0"/>
          <w:sz w:val="24"/>
          <w:highlight w:val="none"/>
        </w:rPr>
      </w:pPr>
      <w:r>
        <w:rPr>
          <w:rFonts w:hint="eastAsia" w:ascii="宋体" w:hAnsi="宋体" w:cs="宋体"/>
          <w:b/>
          <w:bCs/>
          <w:snapToGrid w:val="0"/>
          <w:color w:val="auto"/>
          <w:kern w:val="0"/>
          <w:sz w:val="24"/>
          <w:highlight w:val="none"/>
        </w:rPr>
        <w:t>12.3</w:t>
      </w:r>
      <w:r>
        <w:rPr>
          <w:rFonts w:hint="eastAsia" w:ascii="宋体" w:hAnsi="宋体" w:cs="宋体"/>
          <w:snapToGrid w:val="0"/>
          <w:color w:val="auto"/>
          <w:kern w:val="0"/>
          <w:sz w:val="24"/>
          <w:highlight w:val="none"/>
        </w:rPr>
        <w:t>代理机构对因不可抗力事件造成的投标文件的损坏、丢失的，不承担责任。</w:t>
      </w:r>
      <w:r>
        <w:rPr>
          <w:rFonts w:hint="eastAsia" w:ascii="宋体" w:hAnsi="宋体" w:cs="宋体"/>
          <w:b/>
          <w:bCs/>
          <w:snapToGrid w:val="0"/>
          <w:color w:val="auto"/>
          <w:kern w:val="0"/>
          <w:sz w:val="24"/>
          <w:highlight w:val="none"/>
        </w:rPr>
        <w:t xml:space="preserve">  </w:t>
      </w:r>
    </w:p>
    <w:p w14:paraId="41F6FB74">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 xml:space="preserve">12.4 </w:t>
      </w:r>
      <w:r>
        <w:rPr>
          <w:rFonts w:hint="eastAsia" w:ascii="宋体" w:hAnsi="宋体" w:cs="宋体"/>
          <w:snapToGrid w:val="0"/>
          <w:color w:val="auto"/>
          <w:kern w:val="0"/>
          <w:sz w:val="24"/>
          <w:highlight w:val="none"/>
        </w:rPr>
        <w:t>投标人法定代表人或其委托代理人（以下简称“投标人代表”）应在指定的时间和地点递交以下的资料</w:t>
      </w:r>
      <w:r>
        <w:rPr>
          <w:rFonts w:hint="eastAsia" w:ascii="宋体" w:hAnsi="宋体" w:cs="宋体"/>
          <w:b/>
          <w:bCs/>
          <w:snapToGrid w:val="0"/>
          <w:color w:val="auto"/>
          <w:kern w:val="0"/>
          <w:sz w:val="24"/>
          <w:highlight w:val="none"/>
        </w:rPr>
        <w:t>（如有）</w:t>
      </w:r>
      <w:r>
        <w:rPr>
          <w:rFonts w:hint="eastAsia" w:ascii="宋体" w:hAnsi="宋体" w:cs="宋体"/>
          <w:snapToGrid w:val="0"/>
          <w:color w:val="auto"/>
          <w:kern w:val="0"/>
          <w:sz w:val="24"/>
          <w:highlight w:val="none"/>
        </w:rPr>
        <w:t>：招标文件要求提交的用于评审的证书、证件、证明原件（附一式</w:t>
      </w:r>
      <w:r>
        <w:rPr>
          <w:rFonts w:hint="eastAsia" w:ascii="宋体" w:hAnsi="宋体" w:cs="宋体"/>
          <w:snapToGrid w:val="0"/>
          <w:color w:val="auto"/>
          <w:kern w:val="0"/>
          <w:sz w:val="24"/>
          <w:highlight w:val="none"/>
          <w:u w:val="single"/>
        </w:rPr>
        <w:t xml:space="preserve"> 两 </w:t>
      </w:r>
      <w:r>
        <w:rPr>
          <w:rFonts w:hint="eastAsia" w:ascii="宋体" w:hAnsi="宋体" w:cs="宋体"/>
          <w:snapToGrid w:val="0"/>
          <w:color w:val="auto"/>
          <w:kern w:val="0"/>
          <w:sz w:val="24"/>
          <w:highlight w:val="none"/>
        </w:rPr>
        <w:t>份清单）。</w:t>
      </w:r>
    </w:p>
    <w:p w14:paraId="3317FD4E">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12.5</w:t>
      </w:r>
      <w:r>
        <w:rPr>
          <w:rFonts w:hint="eastAsia" w:ascii="宋体" w:hAnsi="宋体" w:cs="宋体"/>
          <w:snapToGrid w:val="0"/>
          <w:color w:val="auto"/>
          <w:kern w:val="0"/>
          <w:sz w:val="24"/>
          <w:highlight w:val="none"/>
        </w:rPr>
        <w:t>出现下述情形之一，属于未成功提交投标文件，按无效投标处理：</w:t>
      </w:r>
    </w:p>
    <w:p w14:paraId="5D4DE730">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rPr>
        <w:t>（1）至电子投标截止时间时，投标文件未完整上传或未提交投标</w:t>
      </w:r>
      <w:r>
        <w:rPr>
          <w:rFonts w:hint="eastAsia" w:ascii="宋体" w:hAnsi="宋体" w:cs="宋体"/>
          <w:snapToGrid w:val="0"/>
          <w:color w:val="auto"/>
          <w:kern w:val="0"/>
          <w:sz w:val="24"/>
          <w:highlight w:val="none"/>
          <w:lang w:eastAsia="zh-CN"/>
        </w:rPr>
        <w:t>；</w:t>
      </w:r>
    </w:p>
    <w:p w14:paraId="15BA415A">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（2）解密失败且在规定时间内未重新提交投标文件的；</w:t>
      </w:r>
    </w:p>
    <w:p w14:paraId="12F3C479">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w:t>
      </w:r>
      <w:r>
        <w:rPr>
          <w:rFonts w:hint="eastAsia" w:ascii="宋体" w:hAnsi="宋体" w:cs="宋体"/>
          <w:snapToGrid w:val="0"/>
          <w:color w:val="auto"/>
          <w:kern w:val="0"/>
          <w:sz w:val="24"/>
          <w:highlight w:val="none"/>
          <w:lang w:val="en-US" w:eastAsia="zh-CN"/>
        </w:rPr>
        <w:t>3</w:t>
      </w:r>
      <w:r>
        <w:rPr>
          <w:rFonts w:hint="eastAsia" w:ascii="宋体" w:hAnsi="宋体" w:cs="宋体"/>
          <w:snapToGrid w:val="0"/>
          <w:color w:val="auto"/>
          <w:kern w:val="0"/>
          <w:sz w:val="24"/>
          <w:highlight w:val="none"/>
        </w:rPr>
        <w:t>）投标文件损坏或格式不正确的。</w:t>
      </w:r>
    </w:p>
    <w:p w14:paraId="7352E4F6">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szCs w:val="24"/>
          <w:highlight w:val="none"/>
        </w:rPr>
      </w:pPr>
      <w:bookmarkStart w:id="51" w:name="_Toc3521"/>
      <w:r>
        <w:rPr>
          <w:rFonts w:hint="eastAsia" w:hAnsi="宋体" w:cs="宋体"/>
          <w:b/>
          <w:snapToGrid w:val="0"/>
          <w:color w:val="auto"/>
          <w:kern w:val="0"/>
          <w:szCs w:val="24"/>
          <w:highlight w:val="none"/>
        </w:rPr>
        <w:t>13．投标有效期</w:t>
      </w:r>
      <w:bookmarkEnd w:id="51"/>
    </w:p>
    <w:p w14:paraId="1CE913F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本次招标投标有效期为</w:t>
      </w:r>
      <w:r>
        <w:rPr>
          <w:rFonts w:hint="eastAsia" w:hAnsi="宋体" w:cs="宋体"/>
          <w:snapToGrid w:val="0"/>
          <w:color w:val="auto"/>
          <w:kern w:val="0"/>
          <w:szCs w:val="24"/>
          <w:highlight w:val="none"/>
          <w:u w:val="single"/>
        </w:rPr>
        <w:t xml:space="preserve">  90  </w:t>
      </w:r>
      <w:r>
        <w:rPr>
          <w:rFonts w:hint="eastAsia" w:hAnsi="宋体" w:cs="宋体"/>
          <w:snapToGrid w:val="0"/>
          <w:color w:val="auto"/>
          <w:kern w:val="0"/>
          <w:szCs w:val="24"/>
          <w:highlight w:val="none"/>
        </w:rPr>
        <w:t>个日历天，自招标人或其授权的招标代理机构接收投标人递交的投标文件之日起计。在此期间，投标人不得撤销或修改其投标文件，否则其投标保证不予退还。</w:t>
      </w:r>
    </w:p>
    <w:p w14:paraId="6381E38C">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szCs w:val="24"/>
          <w:highlight w:val="none"/>
        </w:rPr>
      </w:pPr>
      <w:bookmarkStart w:id="52" w:name="_Toc21206"/>
      <w:r>
        <w:rPr>
          <w:rFonts w:hint="eastAsia" w:hAnsi="宋体" w:cs="宋体"/>
          <w:b/>
          <w:snapToGrid w:val="0"/>
          <w:color w:val="auto"/>
          <w:kern w:val="0"/>
          <w:szCs w:val="24"/>
          <w:highlight w:val="none"/>
        </w:rPr>
        <w:t>14．开标</w:t>
      </w:r>
      <w:bookmarkEnd w:id="52"/>
    </w:p>
    <w:p w14:paraId="4777457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w:t>
      </w:r>
      <w:r>
        <w:rPr>
          <w:rFonts w:hint="eastAsia" w:ascii="宋体" w:hAnsi="宋体" w:cs="宋体"/>
          <w:snapToGrid w:val="0"/>
          <w:color w:val="auto"/>
          <w:kern w:val="0"/>
          <w:sz w:val="24"/>
          <w:highlight w:val="none"/>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3F5DE07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14.1.1</w:t>
      </w:r>
      <w:r>
        <w:rPr>
          <w:rFonts w:hint="eastAsia" w:ascii="宋体" w:hAnsi="宋体" w:cs="宋体"/>
          <w:snapToGrid w:val="0"/>
          <w:color w:val="auto"/>
          <w:kern w:val="0"/>
          <w:sz w:val="24"/>
          <w:highlight w:val="none"/>
        </w:rPr>
        <w:t xml:space="preserve"> 开标时间和地点：见本章第二节“重要事项时间地点一览表”。</w:t>
      </w:r>
    </w:p>
    <w:p w14:paraId="0B566A6E">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14.1.2</w:t>
      </w:r>
      <w:r>
        <w:rPr>
          <w:rFonts w:hint="eastAsia" w:ascii="宋体" w:hAnsi="宋体" w:cs="宋体"/>
          <w:snapToGrid w:val="0"/>
          <w:color w:val="auto"/>
          <w:kern w:val="0"/>
          <w:sz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05977634">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14.1.3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3F0797EB">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14.2</w:t>
      </w:r>
      <w:r>
        <w:rPr>
          <w:rFonts w:hint="eastAsia" w:hAnsi="宋体" w:cs="宋体"/>
          <w:snapToGrid w:val="0"/>
          <w:color w:val="auto"/>
          <w:kern w:val="0"/>
          <w:szCs w:val="24"/>
          <w:highlight w:val="none"/>
        </w:rPr>
        <w:t xml:space="preserve"> 开标程序</w:t>
      </w:r>
    </w:p>
    <w:p w14:paraId="003C0F0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（1）主持人（招标人代表或招标人授权的招标代理机构人员）宣读开标纪律。</w:t>
      </w:r>
    </w:p>
    <w:p w14:paraId="317C08E1">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（2）主持人宣布唱标人、记录人、见证人、监督人等有关人员姓名。</w:t>
      </w:r>
    </w:p>
    <w:p w14:paraId="09CB690E">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（3）招标代理机构在交易场所工作人员见证下对投标人的电子投标信息进行解密，建设工程交易系统自动生成《投标保证缴纳情况表》和《开标一览表》。</w:t>
      </w:r>
    </w:p>
    <w:p w14:paraId="4D78CB1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（4）唱标人检查《投标保证缴纳情况表》中各投标人所缴纳投标保证的金额、有效期是否符合招标文件规定。若不符合规定，该投标人的投标无效。将有关情形在《投标保证缴纳情况表》“备注”栏中注明。</w:t>
      </w:r>
    </w:p>
    <w:p w14:paraId="54DFC9E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（5）唱标人检查《开标一览表》中各投标人的投标总价、质量标准、工期是否符合招标文件规定。若不符合规定，招标代理机构应将有关情形在《开标一览表》“备注”栏中注明。</w:t>
      </w:r>
    </w:p>
    <w:p w14:paraId="3B83F05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（6）投标人代表、招标人代表、唱标人、记录人等有关人员在《投标保证缴纳情况表》以及《开标一览表》上签字确认。</w:t>
      </w:r>
    </w:p>
    <w:p w14:paraId="54E9B061">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（7）主持人宣布有关注意事项后，宣布开标结束。</w:t>
      </w:r>
    </w:p>
    <w:p w14:paraId="4A9B9398">
      <w:pPr>
        <w:keepNext w:val="0"/>
        <w:keepLines w:val="0"/>
        <w:pageBreakBefore w:val="0"/>
        <w:wordWrap w:val="0"/>
        <w:topLinePunct w:val="0"/>
        <w:bidi w:val="0"/>
        <w:adjustRightInd w:val="0"/>
        <w:snapToGrid w:val="0"/>
        <w:spacing w:line="500" w:lineRule="exact"/>
        <w:ind w:firstLine="482" w:firstLineChars="200"/>
        <w:textAlignment w:val="auto"/>
        <w:rPr>
          <w:rFonts w:ascii="Times New Roman"/>
          <w:snapToGrid w:val="0"/>
          <w:color w:val="auto"/>
          <w:kern w:val="0"/>
          <w:highlight w:val="none"/>
        </w:rPr>
      </w:pPr>
      <w:r>
        <w:rPr>
          <w:rFonts w:hint="eastAsia" w:hAnsi="宋体" w:cs="宋体"/>
          <w:b/>
          <w:bCs/>
          <w:snapToGrid w:val="0"/>
          <w:color w:val="auto"/>
          <w:kern w:val="0"/>
          <w:szCs w:val="24"/>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5B19CF08">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14.3</w:t>
      </w:r>
      <w:r>
        <w:rPr>
          <w:rFonts w:hint="eastAsia" w:hAnsi="宋体" w:cs="宋体"/>
          <w:snapToGrid w:val="0"/>
          <w:color w:val="auto"/>
          <w:kern w:val="0"/>
          <w:highlight w:val="none"/>
        </w:rPr>
        <w:t xml:space="preserve"> </w:t>
      </w:r>
      <w:r>
        <w:rPr>
          <w:rFonts w:hint="eastAsia" w:hAnsi="宋体" w:cs="宋体"/>
          <w:snapToGrid w:val="0"/>
          <w:color w:val="auto"/>
          <w:kern w:val="0"/>
          <w:szCs w:val="24"/>
          <w:highlight w:val="none"/>
        </w:rPr>
        <w:t>投标人对开标相关事项（如开标程序、投标文件组成和数量、唱标次序和内容等）有异议的，必须在开标期间和开标现场提出，招标人或其授权的招标代理机构应当场作出答复，并记录在案。对开标事项的异议未在开标期间和开标现场提出的，招标人不予受理。</w:t>
      </w:r>
    </w:p>
    <w:p w14:paraId="1F61C823">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14.4</w:t>
      </w:r>
      <w:r>
        <w:rPr>
          <w:rFonts w:hint="eastAsia" w:hAnsi="宋体" w:cs="宋体"/>
          <w:snapToGrid w:val="0"/>
          <w:color w:val="auto"/>
          <w:kern w:val="0"/>
          <w:highlight w:val="none"/>
        </w:rPr>
        <w:t xml:space="preserve"> 招标代理机构将资料原件（如有）、《开标一览表》以及其他有关资料移交评标委员会。</w:t>
      </w:r>
    </w:p>
    <w:p w14:paraId="39A1EBC4">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b/>
          <w:snapToGrid w:val="0"/>
          <w:color w:val="auto"/>
          <w:kern w:val="0"/>
          <w:highlight w:val="none"/>
        </w:rPr>
      </w:pPr>
      <w:bookmarkStart w:id="53" w:name="_Hlt127093805"/>
      <w:bookmarkEnd w:id="53"/>
      <w:bookmarkStart w:id="54" w:name="_Toc22622"/>
      <w:r>
        <w:rPr>
          <w:rFonts w:hint="eastAsia" w:hAnsi="宋体" w:cs="宋体"/>
          <w:b/>
          <w:snapToGrid w:val="0"/>
          <w:color w:val="auto"/>
          <w:kern w:val="0"/>
          <w:highlight w:val="none"/>
        </w:rPr>
        <w:t>15．评标</w:t>
      </w:r>
      <w:bookmarkEnd w:id="54"/>
    </w:p>
    <w:p w14:paraId="29E4E9A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评标分为初步评审和详细评审两个阶段，由评标委员会在有关部门的监督下，严格按照本招标文件指定的评标方法，对投标人的投标文件进行评审。</w:t>
      </w:r>
    </w:p>
    <w:p w14:paraId="42DEFD6C">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Cs/>
          <w:snapToGrid w:val="0"/>
          <w:color w:val="auto"/>
          <w:kern w:val="0"/>
          <w:highlight w:val="none"/>
        </w:rPr>
      </w:pPr>
      <w:r>
        <w:rPr>
          <w:rFonts w:hint="eastAsia" w:hAnsi="宋体" w:cs="宋体"/>
          <w:b/>
          <w:bCs/>
          <w:snapToGrid w:val="0"/>
          <w:color w:val="auto"/>
          <w:kern w:val="0"/>
          <w:highlight w:val="none"/>
        </w:rPr>
        <w:t>15.1</w:t>
      </w:r>
      <w:r>
        <w:rPr>
          <w:rFonts w:hint="eastAsia" w:hAnsi="宋体" w:cs="宋体"/>
          <w:bCs/>
          <w:snapToGrid w:val="0"/>
          <w:color w:val="auto"/>
          <w:kern w:val="0"/>
          <w:highlight w:val="none"/>
        </w:rPr>
        <w:t xml:space="preserve"> 评标委员会</w:t>
      </w:r>
    </w:p>
    <w:p w14:paraId="45F9F26F">
      <w:pPr>
        <w:keepNext w:val="0"/>
        <w:keepLines w:val="0"/>
        <w:pageBreakBefore w:val="0"/>
        <w:wordWrap w:val="0"/>
        <w:topLinePunct w:val="0"/>
        <w:bidi w:val="0"/>
        <w:adjustRightInd w:val="0"/>
        <w:snapToGrid w:val="0"/>
        <w:spacing w:line="500" w:lineRule="exact"/>
        <w:ind w:firstLine="480"/>
        <w:textAlignment w:val="auto"/>
        <w:rPr>
          <w:rFonts w:hAnsi="宋体" w:cs="宋体"/>
          <w:snapToGrid w:val="0"/>
          <w:color w:val="auto"/>
          <w:kern w:val="0"/>
          <w:highlight w:val="none"/>
        </w:rPr>
      </w:pPr>
      <w:r>
        <w:rPr>
          <w:rFonts w:hint="eastAsia" w:hAnsi="宋体" w:cs="宋体"/>
          <w:b/>
          <w:bCs/>
          <w:snapToGrid w:val="0"/>
          <w:color w:val="auto"/>
          <w:kern w:val="0"/>
          <w:highlight w:val="none"/>
        </w:rPr>
        <w:t>15.1.1</w:t>
      </w:r>
      <w:r>
        <w:rPr>
          <w:rFonts w:hint="eastAsia" w:hAnsi="宋体" w:cs="宋体"/>
          <w:snapToGrid w:val="0"/>
          <w:color w:val="auto"/>
          <w:kern w:val="0"/>
          <w:highlight w:val="none"/>
        </w:rPr>
        <w:t xml:space="preserve"> 评标委员会由</w:t>
      </w:r>
      <w:r>
        <w:rPr>
          <w:rFonts w:hint="eastAsia" w:hAnsi="宋体" w:cs="宋体"/>
          <w:snapToGrid w:val="0"/>
          <w:color w:val="auto"/>
          <w:kern w:val="0"/>
          <w:highlight w:val="none"/>
          <w:u w:val="single"/>
        </w:rPr>
        <w:t xml:space="preserve"> 5 </w:t>
      </w:r>
      <w:r>
        <w:rPr>
          <w:rFonts w:hint="eastAsia" w:hAnsi="宋体" w:cs="宋体"/>
          <w:snapToGrid w:val="0"/>
          <w:color w:val="auto"/>
          <w:kern w:val="0"/>
          <w:highlight w:val="none"/>
        </w:rPr>
        <w:t>人组成，其中招标人代表</w:t>
      </w:r>
      <w:r>
        <w:rPr>
          <w:rFonts w:hint="eastAsia" w:hAnsi="宋体" w:cs="宋体"/>
          <w:snapToGrid w:val="0"/>
          <w:color w:val="auto"/>
          <w:kern w:val="0"/>
          <w:highlight w:val="none"/>
          <w:u w:val="single"/>
          <w:lang w:val="en-US" w:eastAsia="zh-CN"/>
        </w:rPr>
        <w:t>0</w:t>
      </w:r>
      <w:r>
        <w:rPr>
          <w:rFonts w:hint="eastAsia" w:hAnsi="宋体" w:cs="宋体"/>
          <w:snapToGrid w:val="0"/>
          <w:color w:val="auto"/>
          <w:kern w:val="0"/>
          <w:highlight w:val="none"/>
        </w:rPr>
        <w:t>人，专家</w:t>
      </w:r>
      <w:r>
        <w:rPr>
          <w:rFonts w:hint="eastAsia" w:hAnsi="宋体" w:cs="宋体"/>
          <w:snapToGrid w:val="0"/>
          <w:color w:val="auto"/>
          <w:kern w:val="0"/>
          <w:highlight w:val="none"/>
          <w:u w:val="single"/>
        </w:rPr>
        <w:t xml:space="preserve"> 5 </w:t>
      </w:r>
      <w:r>
        <w:rPr>
          <w:rFonts w:hint="eastAsia" w:hAnsi="宋体" w:cs="宋体"/>
          <w:snapToGrid w:val="0"/>
          <w:color w:val="auto"/>
          <w:kern w:val="0"/>
          <w:highlight w:val="none"/>
        </w:rPr>
        <w:t>人。专家从广东省综合评标评审专家库</w:t>
      </w:r>
      <w:r>
        <w:rPr>
          <w:rFonts w:hint="eastAsia" w:hAnsi="宋体" w:cs="宋体"/>
          <w:snapToGrid w:val="0"/>
          <w:color w:val="auto"/>
          <w:kern w:val="0"/>
          <w:szCs w:val="24"/>
          <w:highlight w:val="none"/>
          <w:lang w:val="en-US" w:eastAsia="zh-CN"/>
        </w:rPr>
        <w:t>-韶关区域</w:t>
      </w:r>
      <w:r>
        <w:rPr>
          <w:rFonts w:hint="eastAsia" w:hAnsi="宋体" w:cs="宋体"/>
          <w:snapToGrid w:val="0"/>
          <w:color w:val="auto"/>
          <w:kern w:val="0"/>
          <w:highlight w:val="none"/>
        </w:rPr>
        <w:t>中随机抽取，其中技术类专家</w:t>
      </w:r>
      <w:r>
        <w:rPr>
          <w:rFonts w:hint="eastAsia" w:hAnsi="宋体" w:cs="宋体"/>
          <w:snapToGrid w:val="0"/>
          <w:color w:val="auto"/>
          <w:kern w:val="0"/>
          <w:highlight w:val="none"/>
          <w:u w:val="single"/>
        </w:rPr>
        <w:t xml:space="preserve">3 </w:t>
      </w:r>
      <w:r>
        <w:rPr>
          <w:rFonts w:hint="eastAsia" w:hAnsi="宋体" w:cs="宋体"/>
          <w:snapToGrid w:val="0"/>
          <w:color w:val="auto"/>
          <w:kern w:val="0"/>
          <w:highlight w:val="none"/>
        </w:rPr>
        <w:t>人，经济类专家</w:t>
      </w:r>
      <w:r>
        <w:rPr>
          <w:rFonts w:hint="eastAsia" w:hAnsi="宋体" w:cs="宋体"/>
          <w:snapToGrid w:val="0"/>
          <w:color w:val="auto"/>
          <w:kern w:val="0"/>
          <w:highlight w:val="none"/>
          <w:u w:val="single"/>
        </w:rPr>
        <w:t xml:space="preserve"> 2</w:t>
      </w:r>
      <w:r>
        <w:rPr>
          <w:rFonts w:hint="eastAsia" w:hAnsi="宋体" w:cs="宋体"/>
          <w:snapToGrid w:val="0"/>
          <w:color w:val="auto"/>
          <w:kern w:val="0"/>
          <w:highlight w:val="none"/>
        </w:rPr>
        <w:t>人。评标委员会设负责人，由评标委员会成员推举产生。评标委员会负责人与评标委员会的其他成员有同等的表决权。</w:t>
      </w:r>
    </w:p>
    <w:p w14:paraId="444C5971">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15.1.2</w:t>
      </w:r>
      <w:r>
        <w:rPr>
          <w:rFonts w:hint="eastAsia" w:hAnsi="宋体" w:cs="宋体"/>
          <w:snapToGrid w:val="0"/>
          <w:color w:val="auto"/>
          <w:kern w:val="0"/>
          <w:highlight w:val="none"/>
        </w:rPr>
        <w:t xml:space="preserve"> 评标委员会应认真、公正、诚实、廉洁地履行职责。有下列情形之一的，不得担任评标委员会成员：</w:t>
      </w:r>
    </w:p>
    <w:p w14:paraId="668A0AB3">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（1）投标人或投标人主要负责人的近亲属；</w:t>
      </w:r>
    </w:p>
    <w:p w14:paraId="459D2511">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（2）项目主管部门或者行政监督部门的人员；</w:t>
      </w:r>
    </w:p>
    <w:p w14:paraId="45EDBDC6">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（3）与投标人有经济利益关系，可能影响对投标公正评审的；</w:t>
      </w:r>
    </w:p>
    <w:p w14:paraId="0A90A19A">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（4）曾因在招标、评标以及其他与招标投标有关活动中从事违法行为而受过行政处罚或刑事处罚的。</w:t>
      </w:r>
    </w:p>
    <w:p w14:paraId="25B14891">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评标委员会成员有以上情形之一的，应主动提出回避。</w:t>
      </w:r>
    </w:p>
    <w:p w14:paraId="28BC899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15.1.3</w:t>
      </w:r>
      <w:r>
        <w:rPr>
          <w:rFonts w:hint="eastAsia" w:hAnsi="宋体" w:cs="宋体"/>
          <w:snapToGrid w:val="0"/>
          <w:color w:val="auto"/>
          <w:kern w:val="0"/>
          <w:highlight w:val="none"/>
        </w:rPr>
        <w:t xml:space="preserve"> 评标全过程实行封闭式管理，在中标结果公布前，禁止评标委员会成员以任何方式私下接触投标人。</w:t>
      </w:r>
    </w:p>
    <w:p w14:paraId="2EAD0193">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15.1.4</w:t>
      </w:r>
      <w:r>
        <w:rPr>
          <w:rFonts w:hint="eastAsia" w:hAnsi="宋体" w:cs="宋体"/>
          <w:snapToGrid w:val="0"/>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115F0637">
      <w:pPr>
        <w:keepNext w:val="0"/>
        <w:keepLines w:val="0"/>
        <w:pageBreakBefore w:val="0"/>
        <w:wordWrap w:val="0"/>
        <w:topLinePunct w:val="0"/>
        <w:bidi w:val="0"/>
        <w:adjustRightInd w:val="0"/>
        <w:snapToGrid w:val="0"/>
        <w:spacing w:line="500" w:lineRule="exact"/>
        <w:ind w:firstLine="562"/>
        <w:textAlignment w:val="auto"/>
        <w:rPr>
          <w:rFonts w:hAnsi="宋体" w:cs="宋体"/>
          <w:b/>
          <w:snapToGrid w:val="0"/>
          <w:color w:val="auto"/>
          <w:kern w:val="0"/>
          <w:szCs w:val="22"/>
          <w:highlight w:val="none"/>
        </w:rPr>
      </w:pPr>
      <w:r>
        <w:rPr>
          <w:rFonts w:hint="eastAsia" w:hAnsi="宋体" w:cs="宋体"/>
          <w:b/>
          <w:bCs/>
          <w:snapToGrid w:val="0"/>
          <w:color w:val="auto"/>
          <w:kern w:val="0"/>
          <w:highlight w:val="none"/>
        </w:rPr>
        <w:t>15.1.5</w:t>
      </w:r>
      <w:r>
        <w:rPr>
          <w:rFonts w:hint="eastAsia" w:hAnsi="宋体" w:cs="宋体"/>
          <w:snapToGrid w:val="0"/>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654E4FFC">
      <w:pPr>
        <w:keepNext w:val="0"/>
        <w:keepLines w:val="0"/>
        <w:pageBreakBefore w:val="0"/>
        <w:wordWrap w:val="0"/>
        <w:topLinePunct w:val="0"/>
        <w:bidi w:val="0"/>
        <w:adjustRightInd w:val="0"/>
        <w:snapToGrid w:val="0"/>
        <w:spacing w:line="500" w:lineRule="exact"/>
        <w:ind w:firstLine="561"/>
        <w:textAlignment w:val="auto"/>
        <w:rPr>
          <w:rFonts w:hAnsi="宋体" w:cs="宋体"/>
          <w:bCs/>
          <w:snapToGrid w:val="0"/>
          <w:color w:val="auto"/>
          <w:kern w:val="0"/>
          <w:highlight w:val="none"/>
        </w:rPr>
      </w:pPr>
      <w:r>
        <w:rPr>
          <w:rFonts w:hint="eastAsia" w:hAnsi="宋体" w:cs="宋体"/>
          <w:b/>
          <w:bCs/>
          <w:snapToGrid w:val="0"/>
          <w:color w:val="auto"/>
          <w:kern w:val="0"/>
          <w:highlight w:val="none"/>
        </w:rPr>
        <w:t>15.2</w:t>
      </w:r>
      <w:r>
        <w:rPr>
          <w:rFonts w:hint="eastAsia" w:hAnsi="宋体" w:cs="宋体"/>
          <w:bCs/>
          <w:snapToGrid w:val="0"/>
          <w:color w:val="auto"/>
          <w:kern w:val="0"/>
          <w:szCs w:val="22"/>
          <w:highlight w:val="none"/>
        </w:rPr>
        <w:t xml:space="preserve"> 评标方法</w:t>
      </w:r>
    </w:p>
    <w:p w14:paraId="54C2C3BC">
      <w:pPr>
        <w:keepNext w:val="0"/>
        <w:keepLines w:val="0"/>
        <w:pageBreakBefore w:val="0"/>
        <w:wordWrap w:val="0"/>
        <w:topLinePunct w:val="0"/>
        <w:bidi w:val="0"/>
        <w:adjustRightInd w:val="0"/>
        <w:snapToGrid w:val="0"/>
        <w:spacing w:line="500" w:lineRule="exact"/>
        <w:ind w:firstLine="562"/>
        <w:textAlignment w:val="auto"/>
        <w:rPr>
          <w:rFonts w:hAnsi="宋体" w:cs="宋体"/>
          <w:i/>
          <w:iCs/>
          <w:snapToGrid w:val="0"/>
          <w:color w:val="auto"/>
          <w:kern w:val="0"/>
          <w:highlight w:val="none"/>
        </w:rPr>
      </w:pPr>
      <w:r>
        <w:rPr>
          <w:rFonts w:hint="eastAsia" w:hAnsi="宋体" w:cs="宋体"/>
          <w:snapToGrid w:val="0"/>
          <w:color w:val="auto"/>
          <w:kern w:val="0"/>
          <w:highlight w:val="none"/>
        </w:rPr>
        <w:t>根据有关法律、法规的相关规定，结合本招标项目资金来源和规模特点，本次招标采用“综合评估法”进行评标。</w:t>
      </w:r>
    </w:p>
    <w:p w14:paraId="52EA718B">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15.3</w:t>
      </w:r>
      <w:r>
        <w:rPr>
          <w:rFonts w:hint="eastAsia" w:hAnsi="宋体" w:cs="宋体"/>
          <w:bCs/>
          <w:snapToGrid w:val="0"/>
          <w:color w:val="auto"/>
          <w:kern w:val="0"/>
          <w:szCs w:val="22"/>
          <w:highlight w:val="none"/>
        </w:rPr>
        <w:t xml:space="preserve"> 评审范围：</w:t>
      </w:r>
      <w:r>
        <w:rPr>
          <w:rFonts w:hint="eastAsia" w:hAnsi="宋体" w:cs="宋体"/>
          <w:snapToGrid w:val="0"/>
          <w:color w:val="auto"/>
          <w:kern w:val="0"/>
          <w:highlight w:val="none"/>
        </w:rPr>
        <w:t>评标委员会应对所有进入评标投标人的投标文件进行评审。</w:t>
      </w:r>
    </w:p>
    <w:p w14:paraId="6083AE28">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w:t>
      </w:r>
      <w:r>
        <w:rPr>
          <w:rFonts w:hint="eastAsia" w:hAnsi="宋体" w:cs="宋体"/>
          <w:snapToGrid w:val="0"/>
          <w:color w:val="auto"/>
          <w:kern w:val="0"/>
          <w:highlight w:val="none"/>
        </w:rPr>
        <w:t xml:space="preserve"> 初步评审阶段</w:t>
      </w:r>
    </w:p>
    <w:p w14:paraId="389E414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初步评审阶段分为资格评审、形式评审和响应性评审三个环节。</w:t>
      </w:r>
    </w:p>
    <w:p w14:paraId="32087636">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15.4.1</w:t>
      </w:r>
      <w:r>
        <w:rPr>
          <w:rFonts w:hint="eastAsia" w:hAnsi="宋体" w:cs="宋体"/>
          <w:snapToGrid w:val="0"/>
          <w:color w:val="auto"/>
          <w:kern w:val="0"/>
          <w:highlight w:val="none"/>
        </w:rPr>
        <w:t xml:space="preserve"> 资格评审环节</w:t>
      </w:r>
    </w:p>
    <w:p w14:paraId="6D379EE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资格评审事项包括：</w:t>
      </w:r>
    </w:p>
    <w:p w14:paraId="472ACB2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w:t>
      </w:r>
      <w:r>
        <w:rPr>
          <w:rFonts w:hint="eastAsia" w:ascii="宋体" w:hAnsi="宋体" w:eastAsia="宋体" w:cs="宋体"/>
          <w:snapToGrid w:val="0"/>
          <w:color w:val="auto"/>
          <w:kern w:val="0"/>
          <w:sz w:val="24"/>
          <w:szCs w:val="24"/>
          <w:highlight w:val="none"/>
        </w:rPr>
        <w:t>投标人是否符合本章第三节第</w:t>
      </w:r>
      <w:r>
        <w:rPr>
          <w:rFonts w:hint="eastAsia" w:hAnsi="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.4条“禁止投标条款”规定。如果“禁止投标条款”包括失信惩戒的，投标人信用信息的获取采用现场实时查询的方式实施。由评标委员会成员登录信用中国网站（https://www.creditchina.gov.cn）进行查询。</w:t>
      </w:r>
    </w:p>
    <w:p w14:paraId="6FD8644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（2）投标人名称是否与营业执照、资质证书一致。</w:t>
      </w:r>
    </w:p>
    <w:p w14:paraId="5012A64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（3）投标人的资质是否符合招标文件规定；其营业执照、资质证书是否合法、有效。</w:t>
      </w:r>
    </w:p>
    <w:p w14:paraId="189B1631">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投标文件中拟派总监理工程师是否与《开标一览表》一致；拟派总监理工程师的条件是否符合招标文件规定；是否擅自修改、遗漏《总监理工程师任职声明》的实质性内容；拟派总监理工程师现阶段有担任其他在施建设工程项目总监理工程师职务的，任职项目建设单位是否在《</w:t>
      </w:r>
      <w:r>
        <w:rPr>
          <w:rFonts w:hint="eastAsia" w:hAnsi="宋体" w:cs="宋体"/>
          <w:snapToGrid w:val="0"/>
          <w:color w:val="auto"/>
          <w:kern w:val="0"/>
          <w:szCs w:val="18"/>
          <w:highlight w:val="none"/>
        </w:rPr>
        <w:t>总监理工程师任职项目情况表</w:t>
      </w:r>
      <w:r>
        <w:rPr>
          <w:rFonts w:hint="eastAsia" w:hAnsi="宋体" w:cs="宋体"/>
          <w:snapToGrid w:val="0"/>
          <w:color w:val="auto"/>
          <w:kern w:val="0"/>
          <w:highlight w:val="none"/>
        </w:rPr>
        <w:t xml:space="preserve">》内盖章同意或另行出具了书面同意意见。 </w:t>
      </w:r>
    </w:p>
    <w:p w14:paraId="3DA7801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w:t>
      </w:r>
      <w:r>
        <w:rPr>
          <w:rFonts w:hint="eastAsia" w:hAnsi="宋体" w:cs="宋体"/>
          <w:snapToGrid w:val="0"/>
          <w:color w:val="auto"/>
          <w:kern w:val="0"/>
          <w:highlight w:val="none"/>
          <w:lang w:val="en-US" w:eastAsia="zh-CN"/>
        </w:rPr>
        <w:t>5</w:t>
      </w:r>
      <w:r>
        <w:rPr>
          <w:rFonts w:hint="eastAsia" w:hAnsi="宋体" w:cs="宋体"/>
          <w:snapToGrid w:val="0"/>
          <w:color w:val="auto"/>
          <w:kern w:val="0"/>
          <w:highlight w:val="none"/>
        </w:rPr>
        <w:t>）投标人为外省建筑企业的，是否按规定在“进粤企业和人员诚信信息登记平台”录入企业及其拟派往人员相关信息并通过数据规范检查。</w:t>
      </w:r>
    </w:p>
    <w:p w14:paraId="4A660345">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15.4.2</w:t>
      </w:r>
      <w:r>
        <w:rPr>
          <w:rFonts w:hint="eastAsia" w:hAnsi="宋体" w:cs="宋体"/>
          <w:snapToGrid w:val="0"/>
          <w:color w:val="auto"/>
          <w:kern w:val="0"/>
          <w:highlight w:val="none"/>
        </w:rPr>
        <w:t xml:space="preserve"> 形式评审环节</w:t>
      </w:r>
    </w:p>
    <w:p w14:paraId="76856C53">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形式评审事项包括：</w:t>
      </w:r>
    </w:p>
    <w:p w14:paraId="5CD4B46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（1）各分册是否按招标文件规定加盖电子印章。</w:t>
      </w:r>
    </w:p>
    <w:p w14:paraId="1B671D8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（2）本节第</w:t>
      </w:r>
      <w:r>
        <w:rPr>
          <w:rFonts w:hint="eastAsia" w:hAnsi="宋体" w:cs="宋体"/>
          <w:b/>
          <w:bCs/>
          <w:snapToGrid w:val="0"/>
          <w:color w:val="auto"/>
          <w:kern w:val="0"/>
          <w:szCs w:val="18"/>
          <w:highlight w:val="none"/>
        </w:rPr>
        <w:t>10.2.2</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第</w:t>
      </w:r>
      <w:r>
        <w:rPr>
          <w:rFonts w:hint="eastAsia" w:hAnsi="宋体" w:cs="宋体"/>
          <w:b/>
          <w:bCs/>
          <w:snapToGrid w:val="0"/>
          <w:color w:val="auto"/>
          <w:kern w:val="0"/>
          <w:szCs w:val="18"/>
          <w:highlight w:val="none"/>
        </w:rPr>
        <w:t>10.3.3</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中规定的“</w:t>
      </w:r>
      <w:r>
        <w:rPr>
          <w:rFonts w:hint="eastAsia" w:hAnsi="宋体" w:cs="宋体"/>
          <w:snapToGrid w:val="0"/>
          <w:color w:val="auto"/>
          <w:kern w:val="0"/>
          <w:szCs w:val="18"/>
          <w:highlight w:val="none"/>
        </w:rPr>
        <w:t>所有投标人均应提供</w:t>
      </w:r>
      <w:r>
        <w:rPr>
          <w:rFonts w:hint="eastAsia" w:hAnsi="宋体" w:cs="宋体"/>
          <w:snapToGrid w:val="0"/>
          <w:color w:val="auto"/>
          <w:kern w:val="0"/>
          <w:highlight w:val="none"/>
        </w:rPr>
        <w:t>”的组成内容（包括该组成内容的所附资料）是否完整、齐全。</w:t>
      </w:r>
    </w:p>
    <w:p w14:paraId="4DDCDF2F">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b/>
          <w:bCs/>
          <w:snapToGrid w:val="0"/>
          <w:color w:val="auto"/>
          <w:kern w:val="0"/>
          <w:highlight w:val="none"/>
        </w:rPr>
        <w:t>15.4.3</w:t>
      </w:r>
      <w:r>
        <w:rPr>
          <w:rFonts w:hint="eastAsia" w:hAnsi="宋体" w:cs="宋体"/>
          <w:snapToGrid w:val="0"/>
          <w:color w:val="auto"/>
          <w:kern w:val="0"/>
          <w:highlight w:val="none"/>
        </w:rPr>
        <w:t xml:space="preserve"> 响应性评审环节</w:t>
      </w:r>
    </w:p>
    <w:p w14:paraId="7A1F21B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响应性评审事项包括：</w:t>
      </w:r>
    </w:p>
    <w:p w14:paraId="2E9CBAE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（1）投标有效期、监理及相关服务期限等是否响应招标文件实质性要求；是否擅自修改、遗漏《投标函》《各项承诺一览表》的实质性内容。</w:t>
      </w:r>
    </w:p>
    <w:p w14:paraId="31B495BD">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（2）投标总价是否唯一；投标总价是否超出最高投标限价。</w:t>
      </w:r>
    </w:p>
    <w:p w14:paraId="6124EDF2">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（3）监理大纲中的监理及相关服务的范围、内容、目标是否符合招标文件规定。</w:t>
      </w:r>
    </w:p>
    <w:p w14:paraId="7C674CD8">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b/>
          <w:bCs/>
          <w:snapToGrid w:val="0"/>
          <w:color w:val="auto"/>
          <w:kern w:val="0"/>
          <w:highlight w:val="none"/>
        </w:rPr>
        <w:t>15.4.4</w:t>
      </w:r>
      <w:r>
        <w:rPr>
          <w:rFonts w:hint="eastAsia" w:hAnsi="宋体" w:cs="宋体"/>
          <w:snapToGrid w:val="0"/>
          <w:color w:val="auto"/>
          <w:kern w:val="0"/>
          <w:highlight w:val="none"/>
        </w:rPr>
        <w:t xml:space="preserve"> 否决投标说明</w:t>
      </w:r>
    </w:p>
    <w:p w14:paraId="6E9C1E30">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初步评审阶段各个环节否决投标的全部条件，在本章第四节“否决投标条件”第</w:t>
      </w:r>
      <w:r>
        <w:rPr>
          <w:rFonts w:hint="eastAsia" w:hAnsi="宋体" w:cs="宋体"/>
          <w:b/>
          <w:bCs/>
          <w:snapToGrid w:val="0"/>
          <w:color w:val="auto"/>
          <w:kern w:val="0"/>
          <w:highlight w:val="none"/>
        </w:rPr>
        <w:t>1</w:t>
      </w:r>
      <w:r>
        <w:rPr>
          <w:rFonts w:hint="eastAsia" w:hAnsi="宋体" w:cs="宋体"/>
          <w:snapToGrid w:val="0"/>
          <w:color w:val="auto"/>
          <w:kern w:val="0"/>
          <w:highlight w:val="none"/>
        </w:rPr>
        <w:t>条至第</w:t>
      </w:r>
      <w:r>
        <w:rPr>
          <w:rFonts w:hint="eastAsia" w:hAnsi="宋体" w:cs="宋体"/>
          <w:b/>
          <w:bCs/>
          <w:snapToGrid w:val="0"/>
          <w:color w:val="auto"/>
          <w:kern w:val="0"/>
          <w:highlight w:val="none"/>
        </w:rPr>
        <w:t>4</w:t>
      </w:r>
      <w:r>
        <w:rPr>
          <w:rFonts w:hint="eastAsia" w:hAnsi="宋体" w:cs="宋体"/>
          <w:snapToGrid w:val="0"/>
          <w:color w:val="auto"/>
          <w:kern w:val="0"/>
          <w:highlight w:val="none"/>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5C82CA53">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    15.5</w:t>
      </w:r>
      <w:r>
        <w:rPr>
          <w:rFonts w:hint="eastAsia" w:hAnsi="宋体" w:cs="宋体"/>
          <w:snapToGrid w:val="0"/>
          <w:color w:val="auto"/>
          <w:kern w:val="0"/>
          <w:highlight w:val="none"/>
        </w:rPr>
        <w:t xml:space="preserve"> 详细评审</w:t>
      </w:r>
      <w:bookmarkStart w:id="55" w:name="_Hlt121629839"/>
      <w:r>
        <w:rPr>
          <w:rFonts w:hint="eastAsia" w:hAnsi="宋体" w:cs="宋体"/>
          <w:snapToGrid w:val="0"/>
          <w:color w:val="auto"/>
          <w:kern w:val="0"/>
          <w:highlight w:val="none"/>
        </w:rPr>
        <w:t>阶段</w:t>
      </w:r>
    </w:p>
    <w:p w14:paraId="49A55217">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    15.5.1</w:t>
      </w:r>
      <w:r>
        <w:rPr>
          <w:rFonts w:hint="eastAsia" w:hAnsi="宋体" w:cs="宋体"/>
          <w:bCs/>
          <w:snapToGrid w:val="0"/>
          <w:color w:val="auto"/>
          <w:kern w:val="0"/>
          <w:highlight w:val="none"/>
        </w:rPr>
        <w:t xml:space="preserve"> “综合评估法”评审程序</w:t>
      </w:r>
    </w:p>
    <w:p w14:paraId="7E1EA9D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评审内容分为商务、技术和投标报价三大部分，综合得分满分为100分。其中，商务满分为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50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分，技术满分为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20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分，投标报价部分满分为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3</w:t>
      </w:r>
      <w:r>
        <w:rPr>
          <w:rFonts w:hint="eastAsia" w:hAnsi="宋体" w:cs="宋体"/>
          <w:snapToGrid w:val="0"/>
          <w:color w:val="auto"/>
          <w:kern w:val="0"/>
          <w:highlight w:val="none"/>
          <w:u w:val="single"/>
        </w:rPr>
        <w:t xml:space="preserve">0 </w:t>
      </w:r>
      <w:r>
        <w:rPr>
          <w:rFonts w:hint="eastAsia" w:hAnsi="宋体" w:cs="宋体"/>
          <w:snapToGrid w:val="0"/>
          <w:color w:val="auto"/>
          <w:kern w:val="0"/>
          <w:highlight w:val="none"/>
        </w:rPr>
        <w:t>分。</w:t>
      </w:r>
    </w:p>
    <w:p w14:paraId="6C47AB1A">
      <w:pPr>
        <w:keepNext w:val="0"/>
        <w:keepLines w:val="0"/>
        <w:pageBreakBefore w:val="0"/>
        <w:wordWrap w:val="0"/>
        <w:topLinePunct w:val="0"/>
        <w:bidi w:val="0"/>
        <w:adjustRightInd w:val="0"/>
        <w:snapToGrid w:val="0"/>
        <w:spacing w:line="500" w:lineRule="exact"/>
        <w:ind w:firstLine="480"/>
        <w:textAlignment w:val="auto"/>
        <w:rPr>
          <w:rFonts w:hAnsi="宋体" w:cs="宋体"/>
          <w:snapToGrid w:val="0"/>
          <w:color w:val="auto"/>
          <w:kern w:val="0"/>
          <w:highlight w:val="none"/>
        </w:rPr>
      </w:pPr>
      <w:r>
        <w:rPr>
          <w:rFonts w:hint="eastAsia" w:hAnsi="宋体" w:cs="宋体"/>
          <w:snapToGrid w:val="0"/>
          <w:color w:val="auto"/>
          <w:kern w:val="0"/>
          <w:highlight w:val="none"/>
        </w:rPr>
        <w:t>除特别注明外，综合得分以及商务、技术、投标报价得分的中间过程计算值和最终值，均按“四舍五入”原则精确到两位小数。</w:t>
      </w:r>
    </w:p>
    <w:p w14:paraId="58538D0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（1）商务得分M</w:t>
      </w:r>
      <w:r>
        <w:rPr>
          <w:rFonts w:hint="eastAsia" w:hAnsi="宋体" w:cs="宋体"/>
          <w:snapToGrid w:val="0"/>
          <w:color w:val="auto"/>
          <w:kern w:val="0"/>
          <w:highlight w:val="none"/>
          <w:vertAlign w:val="subscript"/>
        </w:rPr>
        <w:t>1</w:t>
      </w:r>
    </w:p>
    <w:p w14:paraId="26A9339E">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w:t>
      </w:r>
    </w:p>
    <w:p w14:paraId="14583D43">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（2）技术得分M</w:t>
      </w:r>
      <w:r>
        <w:rPr>
          <w:rFonts w:hint="eastAsia" w:hAnsi="宋体" w:cs="宋体"/>
          <w:snapToGrid w:val="0"/>
          <w:color w:val="auto"/>
          <w:kern w:val="0"/>
          <w:highlight w:val="none"/>
          <w:vertAlign w:val="subscript"/>
        </w:rPr>
        <w:t>2</w:t>
      </w:r>
    </w:p>
    <w:p w14:paraId="57B0D64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w:t>
      </w:r>
    </w:p>
    <w:p w14:paraId="3E77BAD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（3）投标报价得分M</w:t>
      </w:r>
      <w:r>
        <w:rPr>
          <w:rFonts w:hint="eastAsia" w:hAnsi="宋体" w:cs="宋体"/>
          <w:snapToGrid w:val="0"/>
          <w:color w:val="auto"/>
          <w:kern w:val="0"/>
          <w:highlight w:val="none"/>
          <w:vertAlign w:val="subscript"/>
        </w:rPr>
        <w:t>3</w:t>
      </w:r>
    </w:p>
    <w:p w14:paraId="77FBAE7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a．评标委员会按照《综合评分表》投标报价部分指定的方法计算评标基准价D。</w:t>
      </w:r>
    </w:p>
    <w:p w14:paraId="00CA02F1">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b．采用内插法计算某投标人的投标报价得分M</w:t>
      </w:r>
      <w:r>
        <w:rPr>
          <w:rFonts w:hint="eastAsia" w:hAnsi="宋体" w:cs="宋体"/>
          <w:snapToGrid w:val="0"/>
          <w:color w:val="auto"/>
          <w:kern w:val="0"/>
          <w:highlight w:val="none"/>
          <w:vertAlign w:val="subscript"/>
        </w:rPr>
        <w:t>3</w:t>
      </w:r>
      <w:r>
        <w:rPr>
          <w:rFonts w:hint="eastAsia" w:hAnsi="宋体" w:cs="宋体"/>
          <w:snapToGrid w:val="0"/>
          <w:color w:val="auto"/>
          <w:kern w:val="0"/>
          <w:highlight w:val="none"/>
        </w:rPr>
        <w:t>，即当投标人的投标总价等于评标基准价时得满分，每高于评标基准价一个百分点扣</w:t>
      </w:r>
      <w:r>
        <w:rPr>
          <w:rFonts w:hint="eastAsia" w:hAnsi="宋体" w:cs="宋体"/>
          <w:snapToGrid w:val="0"/>
          <w:color w:val="auto"/>
          <w:kern w:val="0"/>
          <w:highlight w:val="none"/>
          <w:lang w:val="en-US" w:eastAsia="zh-CN"/>
        </w:rPr>
        <w:t>0.5</w:t>
      </w:r>
      <w:r>
        <w:rPr>
          <w:rFonts w:hint="eastAsia" w:hAnsi="宋体" w:cs="宋体"/>
          <w:snapToGrid w:val="0"/>
          <w:color w:val="auto"/>
          <w:kern w:val="0"/>
          <w:highlight w:val="none"/>
        </w:rPr>
        <w:t>分, 每低于评标基准价一个百分点扣0.</w:t>
      </w:r>
      <w:r>
        <w:rPr>
          <w:rFonts w:hint="eastAsia" w:hAnsi="宋体" w:cs="宋体"/>
          <w:snapToGrid w:val="0"/>
          <w:color w:val="auto"/>
          <w:kern w:val="0"/>
          <w:highlight w:val="none"/>
          <w:lang w:val="en-US" w:eastAsia="zh-CN"/>
        </w:rPr>
        <w:t>3</w:t>
      </w:r>
      <w:r>
        <w:rPr>
          <w:rFonts w:hint="eastAsia" w:hAnsi="宋体" w:cs="宋体"/>
          <w:snapToGrid w:val="0"/>
          <w:color w:val="auto"/>
          <w:kern w:val="0"/>
          <w:highlight w:val="none"/>
        </w:rPr>
        <w:t>分，扣完为止。公式如下：</w:t>
      </w:r>
    </w:p>
    <w:p w14:paraId="54A8FAE9">
      <w:pPr>
        <w:keepNext w:val="0"/>
        <w:keepLines w:val="0"/>
        <w:pageBreakBefore w:val="0"/>
        <w:wordWrap w:val="0"/>
        <w:topLinePunct w:val="0"/>
        <w:bidi w:val="0"/>
        <w:adjustRightInd w:val="0"/>
        <w:snapToGrid w:val="0"/>
        <w:spacing w:line="500" w:lineRule="exact"/>
        <w:ind w:firstLine="480" w:firstLineChars="200"/>
        <w:jc w:val="center"/>
        <w:textAlignment w:val="auto"/>
        <w:rPr>
          <w:rFonts w:hAnsi="宋体" w:cs="宋体"/>
          <w:snapToGrid w:val="0"/>
          <w:color w:val="auto"/>
          <w:kern w:val="0"/>
          <w:highlight w:val="none"/>
        </w:rPr>
      </w:pP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3</w:t>
      </w:r>
      <w:r>
        <w:rPr>
          <w:rFonts w:hint="eastAsia" w:hAnsi="宋体" w:cs="宋体"/>
          <w:snapToGrid w:val="0"/>
          <w:color w:val="auto"/>
          <w:kern w:val="0"/>
          <w:highlight w:val="none"/>
        </w:rPr>
        <w:t>＝投标报价满分－（|Di－D|÷D）×100×E</w:t>
      </w:r>
    </w:p>
    <w:p w14:paraId="63AC740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式中：D为评标基准价，Di为某投标人的投标总价；</w:t>
      </w:r>
    </w:p>
    <w:p w14:paraId="440CF54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E为扣分因子。当Di＞D时，E＝</w:t>
      </w:r>
      <w:r>
        <w:rPr>
          <w:rFonts w:hint="eastAsia" w:hAnsi="宋体" w:cs="宋体"/>
          <w:snapToGrid w:val="0"/>
          <w:color w:val="auto"/>
          <w:kern w:val="0"/>
          <w:highlight w:val="none"/>
          <w:lang w:val="en-US" w:eastAsia="zh-CN"/>
        </w:rPr>
        <w:t>0.5</w:t>
      </w:r>
      <w:r>
        <w:rPr>
          <w:rFonts w:hint="eastAsia" w:hAnsi="宋体" w:cs="宋体"/>
          <w:snapToGrid w:val="0"/>
          <w:color w:val="auto"/>
          <w:kern w:val="0"/>
          <w:highlight w:val="none"/>
        </w:rPr>
        <w:t>；当Di＜D时，E＝</w:t>
      </w:r>
      <w:r>
        <w:rPr>
          <w:rFonts w:hint="eastAsia" w:hAnsi="宋体" w:cs="宋体"/>
          <w:snapToGrid w:val="0"/>
          <w:color w:val="auto"/>
          <w:kern w:val="0"/>
          <w:highlight w:val="none"/>
          <w:lang w:val="en-US" w:eastAsia="zh-CN"/>
        </w:rPr>
        <w:t>0.3</w:t>
      </w:r>
      <w:r>
        <w:rPr>
          <w:rFonts w:hint="eastAsia" w:hAnsi="宋体" w:cs="宋体"/>
          <w:snapToGrid w:val="0"/>
          <w:color w:val="auto"/>
          <w:kern w:val="0"/>
          <w:highlight w:val="none"/>
        </w:rPr>
        <w:t>。</w:t>
      </w:r>
    </w:p>
    <w:p w14:paraId="30D779B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（4）综合得分M</w:t>
      </w:r>
    </w:p>
    <w:p w14:paraId="53E77BAD">
      <w:pPr>
        <w:keepNext w:val="0"/>
        <w:keepLines w:val="0"/>
        <w:pageBreakBefore w:val="0"/>
        <w:wordWrap w:val="0"/>
        <w:topLinePunct w:val="0"/>
        <w:bidi w:val="0"/>
        <w:adjustRightInd w:val="0"/>
        <w:snapToGrid w:val="0"/>
        <w:spacing w:line="500" w:lineRule="exact"/>
        <w:jc w:val="center"/>
        <w:textAlignment w:val="auto"/>
        <w:rPr>
          <w:rFonts w:hAnsi="宋体" w:cs="宋体"/>
          <w:snapToGrid w:val="0"/>
          <w:color w:val="auto"/>
          <w:kern w:val="0"/>
          <w:highlight w:val="none"/>
        </w:rPr>
      </w:pPr>
      <w:r>
        <w:rPr>
          <w:rFonts w:hint="eastAsia" w:hAnsi="宋体" w:cs="宋体"/>
          <w:snapToGrid w:val="0"/>
          <w:color w:val="auto"/>
          <w:kern w:val="0"/>
          <w:highlight w:val="none"/>
        </w:rPr>
        <w:t>M＝M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3</w:t>
      </w:r>
    </w:p>
    <w:p w14:paraId="6D5D2424">
      <w:pPr>
        <w:keepNext w:val="0"/>
        <w:keepLines w:val="0"/>
        <w:pageBreakBefore w:val="0"/>
        <w:wordWrap w:val="0"/>
        <w:topLinePunct w:val="0"/>
        <w:bidi w:val="0"/>
        <w:adjustRightInd w:val="0"/>
        <w:snapToGrid w:val="0"/>
        <w:spacing w:line="500" w:lineRule="exact"/>
        <w:ind w:firstLine="480" w:firstLineChars="200"/>
        <w:textAlignment w:val="auto"/>
        <w:rPr>
          <w:rFonts w:hint="eastAsia" w:ascii="Times New Roman"/>
          <w:snapToGrid w:val="0"/>
          <w:color w:val="auto"/>
          <w:kern w:val="0"/>
          <w:highlight w:val="none"/>
        </w:rPr>
      </w:pPr>
      <w:r>
        <w:rPr>
          <w:rFonts w:hint="eastAsia" w:hAnsi="宋体" w:cs="宋体"/>
          <w:snapToGrid w:val="0"/>
          <w:color w:val="auto"/>
          <w:kern w:val="0"/>
          <w:highlight w:val="none"/>
        </w:rPr>
        <w:t>式中：M为综合得分，M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为商务得分，M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为技术得分，M</w:t>
      </w:r>
      <w:r>
        <w:rPr>
          <w:rFonts w:hint="eastAsia" w:hAnsi="宋体" w:cs="宋体"/>
          <w:snapToGrid w:val="0"/>
          <w:color w:val="auto"/>
          <w:kern w:val="0"/>
          <w:highlight w:val="none"/>
          <w:vertAlign w:val="subscript"/>
        </w:rPr>
        <w:t>3</w:t>
      </w:r>
      <w:r>
        <w:rPr>
          <w:rFonts w:hint="eastAsia" w:ascii="Times New Roman"/>
          <w:snapToGrid w:val="0"/>
          <w:color w:val="auto"/>
          <w:kern w:val="0"/>
          <w:highlight w:val="none"/>
        </w:rPr>
        <w:t>为投标报价得分。</w:t>
      </w:r>
    </w:p>
    <w:p w14:paraId="044380D6">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2876E77A">
      <w:pPr>
        <w:rPr>
          <w:rFonts w:ascii="Times New Roman"/>
          <w:snapToGrid w:val="0"/>
          <w:color w:val="auto"/>
          <w:kern w:val="0"/>
          <w:highlight w:val="none"/>
        </w:rPr>
      </w:pPr>
      <w:r>
        <w:rPr>
          <w:rFonts w:ascii="Times New Roman"/>
          <w:snapToGrid w:val="0"/>
          <w:color w:val="auto"/>
          <w:kern w:val="0"/>
          <w:highlight w:val="none"/>
        </w:rPr>
        <w:br w:type="page"/>
      </w:r>
    </w:p>
    <w:p w14:paraId="4094E178">
      <w:pPr>
        <w:pStyle w:val="4"/>
        <w:rPr>
          <w:rFonts w:hint="eastAsia" w:ascii="宋体" w:hAnsi="宋体" w:eastAsia="宋体" w:cs="宋体"/>
          <w:b/>
          <w:bCs/>
          <w:color w:val="auto"/>
          <w:sz w:val="32"/>
          <w:szCs w:val="22"/>
          <w:highlight w:val="none"/>
        </w:rPr>
      </w:pPr>
      <w:bookmarkStart w:id="56" w:name="_Toc6276"/>
      <w:bookmarkStart w:id="57" w:name="_Toc31548"/>
      <w:bookmarkStart w:id="58" w:name="_Toc6939"/>
      <w:r>
        <w:rPr>
          <w:rFonts w:hint="eastAsia" w:ascii="宋体" w:hAnsi="宋体" w:eastAsia="宋体" w:cs="宋体"/>
          <w:b/>
          <w:bCs/>
          <w:color w:val="auto"/>
          <w:sz w:val="32"/>
          <w:szCs w:val="22"/>
          <w:highlight w:val="none"/>
        </w:rPr>
        <w:t>表1 综合评分表</w:t>
      </w:r>
      <w:bookmarkEnd w:id="56"/>
      <w:bookmarkEnd w:id="57"/>
      <w:bookmarkEnd w:id="58"/>
    </w:p>
    <w:p w14:paraId="5F7C9E1E">
      <w:pPr>
        <w:pStyle w:val="41"/>
        <w:jc w:val="both"/>
        <w:rPr>
          <w:rFonts w:ascii="宋体" w:hAnsi="宋体" w:cs="宋体"/>
          <w:color w:val="auto"/>
          <w:sz w:val="24"/>
          <w:highlight w:val="none"/>
        </w:rPr>
      </w:pPr>
    </w:p>
    <w:tbl>
      <w:tblPr>
        <w:tblStyle w:val="32"/>
        <w:tblW w:w="9564" w:type="dxa"/>
        <w:jc w:val="center"/>
        <w:tblLayout w:type="fixed"/>
        <w:tblCellMar>
          <w:top w:w="0" w:type="dxa"/>
          <w:left w:w="108" w:type="dxa"/>
          <w:bottom w:w="0" w:type="dxa"/>
          <w:right w:w="108" w:type="dxa"/>
        </w:tblCellMar>
      </w:tblPr>
      <w:tblGrid>
        <w:gridCol w:w="1370"/>
        <w:gridCol w:w="4176"/>
        <w:gridCol w:w="4018"/>
      </w:tblGrid>
      <w:tr w14:paraId="3001B4BE">
        <w:tblPrEx>
          <w:tblCellMar>
            <w:top w:w="0" w:type="dxa"/>
            <w:left w:w="108" w:type="dxa"/>
            <w:bottom w:w="0" w:type="dxa"/>
            <w:right w:w="108" w:type="dxa"/>
          </w:tblCellMar>
        </w:tblPrEx>
        <w:trPr>
          <w:trHeight w:val="510" w:hRule="exac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95549F4">
            <w:pPr>
              <w:pStyle w:val="15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商务部分，满分：</w:t>
            </w:r>
            <w:r>
              <w:rPr>
                <w:rFonts w:hint="eastAsia" w:ascii="宋体" w:hAnsi="宋体" w:eastAsia="宋体" w:cs="宋体"/>
                <w:b/>
                <w:bCs/>
                <w:color w:val="auto"/>
                <w:kern w:val="0"/>
                <w:sz w:val="24"/>
                <w:szCs w:val="24"/>
                <w:highlight w:val="none"/>
                <w:u w:val="single"/>
                <w:lang w:eastAsia="zh-CN"/>
              </w:rPr>
              <w:t>5</w:t>
            </w:r>
            <w:r>
              <w:rPr>
                <w:rFonts w:hint="eastAsia" w:hAnsi="宋体" w:cs="宋体"/>
                <w:b/>
                <w:bCs/>
                <w:color w:val="auto"/>
                <w:kern w:val="0"/>
                <w:sz w:val="24"/>
                <w:szCs w:val="24"/>
                <w:highlight w:val="none"/>
                <w:u w:val="single"/>
                <w:lang w:val="en-US" w:eastAsia="zh-CN"/>
              </w:rPr>
              <w:t>0</w:t>
            </w:r>
            <w:r>
              <w:rPr>
                <w:rFonts w:hint="eastAsia" w:ascii="宋体" w:hAnsi="宋体" w:eastAsia="宋体" w:cs="宋体"/>
                <w:b/>
                <w:bCs/>
                <w:color w:val="auto"/>
                <w:kern w:val="0"/>
                <w:sz w:val="24"/>
                <w:szCs w:val="24"/>
                <w:highlight w:val="none"/>
              </w:rPr>
              <w:t>分。</w:t>
            </w:r>
          </w:p>
        </w:tc>
      </w:tr>
      <w:tr w14:paraId="798C9759">
        <w:tblPrEx>
          <w:tblCellMar>
            <w:top w:w="0" w:type="dxa"/>
            <w:left w:w="108" w:type="dxa"/>
            <w:bottom w:w="0" w:type="dxa"/>
            <w:right w:w="108" w:type="dxa"/>
          </w:tblCellMar>
        </w:tblPrEx>
        <w:trPr>
          <w:trHeight w:val="510" w:hRule="exac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74AE2EC">
            <w:pPr>
              <w:pStyle w:val="15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评分因素</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09BC07E4">
            <w:pPr>
              <w:pStyle w:val="15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评分标准</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4FBAC2BF">
            <w:pPr>
              <w:pStyle w:val="15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45A82FDB">
        <w:tblPrEx>
          <w:tblCellMar>
            <w:top w:w="0" w:type="dxa"/>
            <w:left w:w="108" w:type="dxa"/>
            <w:bottom w:w="0" w:type="dxa"/>
            <w:right w:w="108" w:type="dxa"/>
          </w:tblCellMar>
        </w:tblPrEx>
        <w:trPr>
          <w:trHeight w:val="2394" w:hRule="atLeast"/>
          <w:jc w:val="center"/>
        </w:trPr>
        <w:tc>
          <w:tcPr>
            <w:tcW w:w="13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C695E">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39EDC021">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440A8">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企业2021年1月1日至今的同类业绩情况：</w:t>
            </w:r>
          </w:p>
          <w:p w14:paraId="64726770">
            <w:pPr>
              <w:pStyle w:val="156"/>
              <w:keepNext w:val="0"/>
              <w:keepLines w:val="0"/>
              <w:pageBreakBefore w:val="0"/>
              <w:widowControl w:val="0"/>
              <w:numPr>
                <w:ilvl w:val="0"/>
                <w:numId w:val="1"/>
              </w:numPr>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完成过同类项目业绩的，每个得4分。</w:t>
            </w:r>
          </w:p>
          <w:p w14:paraId="1F538B97">
            <w:pPr>
              <w:pStyle w:val="156"/>
              <w:keepNext w:val="0"/>
              <w:keepLines w:val="0"/>
              <w:pageBreakBefore w:val="0"/>
              <w:widowControl w:val="0"/>
              <w:numPr>
                <w:ilvl w:val="0"/>
                <w:numId w:val="0"/>
              </w:numPr>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本项最高得20分。</w:t>
            </w:r>
          </w:p>
        </w:tc>
        <w:tc>
          <w:tcPr>
            <w:tcW w:w="40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2BFFE">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1.同类项目是指完成过的市政公用工程类监理项目。</w:t>
            </w:r>
          </w:p>
          <w:p w14:paraId="7636E414">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2.需提供中标通知书或中选通知书及监理合同彩色扫描件。</w:t>
            </w:r>
          </w:p>
          <w:p w14:paraId="511844B3">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3.业绩认定时间以合同签订时间为准。</w:t>
            </w:r>
          </w:p>
        </w:tc>
      </w:tr>
      <w:tr w14:paraId="34C11CEE">
        <w:tblPrEx>
          <w:tblCellMar>
            <w:top w:w="0" w:type="dxa"/>
            <w:left w:w="108" w:type="dxa"/>
            <w:bottom w:w="0" w:type="dxa"/>
            <w:right w:w="108" w:type="dxa"/>
          </w:tblCellMar>
        </w:tblPrEx>
        <w:trPr>
          <w:trHeight w:val="3943"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3BAD1717">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总监理工程师综合素质</w:t>
            </w:r>
          </w:p>
          <w:p w14:paraId="7BF4D09C">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（12分）</w:t>
            </w:r>
          </w:p>
        </w:tc>
        <w:tc>
          <w:tcPr>
            <w:tcW w:w="4176" w:type="dxa"/>
            <w:tcBorders>
              <w:top w:val="single" w:color="000000" w:sz="4" w:space="0"/>
              <w:left w:val="single" w:color="000000" w:sz="4" w:space="0"/>
              <w:bottom w:val="single" w:color="auto" w:sz="4" w:space="0"/>
              <w:right w:val="single" w:color="000000" w:sz="4" w:space="0"/>
            </w:tcBorders>
            <w:noWrap w:val="0"/>
            <w:vAlign w:val="center"/>
          </w:tcPr>
          <w:p w14:paraId="1B75CAE5">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1.具有高级工程师或以上职称的，得2分；具有工程师职称的，得2分；</w:t>
            </w:r>
          </w:p>
          <w:p w14:paraId="4954369C">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2.具有全过程工程项目管理师（高级）专业技术证书的，得6分；具有全过程工程项目管理师（中级）专业技术证书的，得3分。</w:t>
            </w:r>
          </w:p>
          <w:p w14:paraId="473761CD">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3.自2023年1月1日至今担任过类似的房屋建筑工程项目总监业绩，每项得4分，最高得4分。</w:t>
            </w:r>
          </w:p>
          <w:p w14:paraId="160BC3A5">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本项最高得12分。</w:t>
            </w:r>
          </w:p>
        </w:tc>
        <w:tc>
          <w:tcPr>
            <w:tcW w:w="4018" w:type="dxa"/>
            <w:tcBorders>
              <w:top w:val="single" w:color="000000" w:sz="4" w:space="0"/>
              <w:left w:val="single" w:color="000000" w:sz="4" w:space="0"/>
              <w:bottom w:val="single" w:color="auto" w:sz="4" w:space="0"/>
              <w:right w:val="single" w:color="000000" w:sz="4" w:space="0"/>
            </w:tcBorders>
            <w:noWrap w:val="0"/>
            <w:vAlign w:val="center"/>
          </w:tcPr>
          <w:p w14:paraId="48C4F3E6">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1.需提供相关证书彩色扫描件。</w:t>
            </w:r>
          </w:p>
          <w:p w14:paraId="33A0411E">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2.类似业绩需同时提供中标通知书或中选通知书、监理合同关键页及竣工验收报告或竣工验收备案表彩色扫描件，时间以验收时间为准。</w:t>
            </w:r>
          </w:p>
        </w:tc>
      </w:tr>
      <w:tr w14:paraId="3C709679">
        <w:tblPrEx>
          <w:tblCellMar>
            <w:top w:w="0" w:type="dxa"/>
            <w:left w:w="108" w:type="dxa"/>
            <w:bottom w:w="0" w:type="dxa"/>
            <w:right w:w="108" w:type="dxa"/>
          </w:tblCellMar>
        </w:tblPrEx>
        <w:trPr>
          <w:trHeight w:val="2038"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54F2698C">
            <w:pPr>
              <w:pStyle w:val="10"/>
              <w:adjustRightInd w:val="0"/>
              <w:snapToGrid w:val="0"/>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企业管理体系认证</w:t>
            </w:r>
          </w:p>
          <w:p w14:paraId="1039E63B">
            <w:pPr>
              <w:adjustRightInd w:val="0"/>
              <w:snapToGrid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（12分）</w:t>
            </w:r>
          </w:p>
        </w:tc>
        <w:tc>
          <w:tcPr>
            <w:tcW w:w="4176" w:type="dxa"/>
            <w:tcBorders>
              <w:top w:val="single" w:color="000000" w:sz="4" w:space="0"/>
              <w:left w:val="single" w:color="000000" w:sz="4" w:space="0"/>
              <w:bottom w:val="single" w:color="auto" w:sz="4" w:space="0"/>
              <w:right w:val="single" w:color="000000" w:sz="4" w:space="0"/>
            </w:tcBorders>
            <w:noWrap w:val="0"/>
            <w:vAlign w:val="center"/>
          </w:tcPr>
          <w:p w14:paraId="3D20B6FB">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企业获得质量管理体系认证、职业健康安全管理体系认证、环境管理体系认证、企业诚信管理体系认证、履约能力评价体系认证、信息安全管理体系认证证书并在有效期内。</w:t>
            </w:r>
          </w:p>
          <w:p w14:paraId="19984EC4">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1.企业获得6项证书的，得12分；</w:t>
            </w:r>
          </w:p>
          <w:p w14:paraId="12C19BB6">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2．企业获得其中3-5项证书的，得8分；</w:t>
            </w:r>
          </w:p>
          <w:p w14:paraId="719D8FA3">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3．企业获得其中1-2项证书的，得4分；</w:t>
            </w:r>
          </w:p>
          <w:p w14:paraId="274689FD">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本项最高得12分。</w:t>
            </w:r>
          </w:p>
        </w:tc>
        <w:tc>
          <w:tcPr>
            <w:tcW w:w="4018" w:type="dxa"/>
            <w:tcBorders>
              <w:top w:val="single" w:color="000000" w:sz="4" w:space="0"/>
              <w:left w:val="single" w:color="000000" w:sz="4" w:space="0"/>
              <w:bottom w:val="single" w:color="auto" w:sz="4" w:space="0"/>
              <w:right w:val="single" w:color="000000" w:sz="4" w:space="0"/>
            </w:tcBorders>
            <w:noWrap w:val="0"/>
            <w:vAlign w:val="center"/>
          </w:tcPr>
          <w:p w14:paraId="514AD8DA">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1.需附在有效期内的认证证书彩色扫描件，否则不得分。</w:t>
            </w:r>
          </w:p>
        </w:tc>
      </w:tr>
      <w:tr w14:paraId="7A9EA328">
        <w:tblPrEx>
          <w:tblCellMar>
            <w:top w:w="0" w:type="dxa"/>
            <w:left w:w="108" w:type="dxa"/>
            <w:bottom w:w="0" w:type="dxa"/>
            <w:right w:w="108" w:type="dxa"/>
          </w:tblCellMar>
        </w:tblPrEx>
        <w:trPr>
          <w:trHeight w:val="790" w:hRule="atLeast"/>
          <w:jc w:val="center"/>
        </w:trPr>
        <w:tc>
          <w:tcPr>
            <w:tcW w:w="1370"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4D680B0">
            <w:pPr>
              <w:pStyle w:val="10"/>
              <w:adjustRightInd w:val="0"/>
              <w:snapToGrid w:val="0"/>
              <w:spacing w:after="0"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项目监理机构其他人员</w:t>
            </w:r>
          </w:p>
          <w:p w14:paraId="51EF668A">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（6分）</w:t>
            </w:r>
          </w:p>
        </w:tc>
        <w:tc>
          <w:tcPr>
            <w:tcW w:w="4176"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2BCC5EA">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1.拟派人员的数量和专业完全满足表2《项目监理机构其他人员需求表》（以下简称《需求表》）要求的,得6分；不符合要求的，每人扣2分，直至扣完。</w:t>
            </w:r>
          </w:p>
          <w:p w14:paraId="07F4254D">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说明：本项最高得6分。</w:t>
            </w:r>
          </w:p>
        </w:tc>
        <w:tc>
          <w:tcPr>
            <w:tcW w:w="40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015A1CF">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1.提供相关证书、证明材料彩色扫描件。</w:t>
            </w:r>
          </w:p>
          <w:p w14:paraId="3DDB6925">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2.拟派专业监理工程师按照《需求表》“持证要求”栏目提供的证书</w:t>
            </w:r>
          </w:p>
          <w:p w14:paraId="424DDE33">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中，有任意一类符合专业要求的，即视其专业满足要求。</w:t>
            </w:r>
          </w:p>
          <w:p w14:paraId="7F5DE51E">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其他拟派人员的数量或专业不满足《需求表》要求的；均视为“不符合要求”。</w:t>
            </w:r>
          </w:p>
        </w:tc>
      </w:tr>
      <w:tr w14:paraId="129C4B0C">
        <w:tblPrEx>
          <w:tblCellMar>
            <w:top w:w="0" w:type="dxa"/>
            <w:left w:w="108" w:type="dxa"/>
            <w:bottom w:w="0" w:type="dxa"/>
            <w:right w:w="108" w:type="dxa"/>
          </w:tblCellMar>
        </w:tblPrEx>
        <w:trPr>
          <w:trHeight w:val="546" w:hRule="exac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77CBDD8">
            <w:pPr>
              <w:pStyle w:val="156"/>
              <w:keepNext w:val="0"/>
              <w:keepLines w:val="0"/>
              <w:pageBreakBefore w:val="0"/>
              <w:widowControl w:val="0"/>
              <w:kinsoku/>
              <w:wordWrap w:val="0"/>
              <w:overflowPunct/>
              <w:topLinePunct w:val="0"/>
              <w:autoSpaceDE/>
              <w:autoSpaceDN/>
              <w:bidi w:val="0"/>
              <w:snapToGrid w:val="0"/>
              <w:spacing w:after="0" w:line="50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技术部分（监理大纲），满分：</w:t>
            </w:r>
            <w:r>
              <w:rPr>
                <w:rFonts w:hint="eastAsia" w:hAnsi="宋体" w:cs="宋体"/>
                <w:b/>
                <w:bCs/>
                <w:color w:val="auto"/>
                <w:kern w:val="0"/>
                <w:sz w:val="24"/>
                <w:szCs w:val="24"/>
                <w:highlight w:val="none"/>
                <w:u w:val="single"/>
                <w:lang w:val="en-US" w:eastAsia="zh-CN"/>
              </w:rPr>
              <w:t>20</w:t>
            </w:r>
            <w:r>
              <w:rPr>
                <w:rFonts w:hint="eastAsia" w:ascii="宋体" w:hAnsi="宋体" w:eastAsia="宋体" w:cs="宋体"/>
                <w:b/>
                <w:bCs/>
                <w:color w:val="auto"/>
                <w:kern w:val="0"/>
                <w:sz w:val="24"/>
                <w:szCs w:val="24"/>
                <w:highlight w:val="none"/>
              </w:rPr>
              <w:t>分。</w:t>
            </w:r>
          </w:p>
        </w:tc>
      </w:tr>
      <w:tr w14:paraId="42F6A2B0">
        <w:tblPrEx>
          <w:tblCellMar>
            <w:top w:w="0" w:type="dxa"/>
            <w:left w:w="108" w:type="dxa"/>
            <w:bottom w:w="0" w:type="dxa"/>
            <w:right w:w="108" w:type="dxa"/>
          </w:tblCellMar>
        </w:tblPrEx>
        <w:trPr>
          <w:trHeight w:val="554" w:hRule="exac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304B1824">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评分因素</w:t>
            </w:r>
          </w:p>
        </w:tc>
        <w:tc>
          <w:tcPr>
            <w:tcW w:w="4176" w:type="dxa"/>
            <w:tcBorders>
              <w:top w:val="single" w:color="000000" w:sz="4" w:space="0"/>
              <w:left w:val="single" w:color="000000" w:sz="4" w:space="0"/>
              <w:bottom w:val="single" w:color="auto" w:sz="4" w:space="0"/>
              <w:right w:val="single" w:color="000000" w:sz="4" w:space="0"/>
            </w:tcBorders>
            <w:noWrap w:val="0"/>
            <w:vAlign w:val="center"/>
          </w:tcPr>
          <w:p w14:paraId="25137D3A">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评分标准</w:t>
            </w:r>
          </w:p>
        </w:tc>
        <w:tc>
          <w:tcPr>
            <w:tcW w:w="4018" w:type="dxa"/>
            <w:tcBorders>
              <w:top w:val="single" w:color="000000" w:sz="4" w:space="0"/>
              <w:left w:val="single" w:color="000000" w:sz="4" w:space="0"/>
              <w:bottom w:val="single" w:color="auto" w:sz="4" w:space="0"/>
              <w:right w:val="single" w:color="000000" w:sz="4" w:space="0"/>
            </w:tcBorders>
            <w:noWrap w:val="0"/>
            <w:vAlign w:val="center"/>
          </w:tcPr>
          <w:p w14:paraId="2842A68B">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08632010">
        <w:tblPrEx>
          <w:tblCellMar>
            <w:top w:w="0" w:type="dxa"/>
            <w:left w:w="108" w:type="dxa"/>
            <w:bottom w:w="0" w:type="dxa"/>
            <w:right w:w="108" w:type="dxa"/>
          </w:tblCellMar>
        </w:tblPrEx>
        <w:trPr>
          <w:trHeight w:val="321" w:hRule="atLeast"/>
          <w:jc w:val="center"/>
        </w:trPr>
        <w:tc>
          <w:tcPr>
            <w:tcW w:w="1370" w:type="dxa"/>
            <w:tcBorders>
              <w:top w:val="single" w:color="auto" w:sz="4" w:space="0"/>
              <w:left w:val="single" w:color="auto" w:sz="4" w:space="0"/>
              <w:bottom w:val="single" w:color="auto" w:sz="4" w:space="0"/>
              <w:right w:val="single" w:color="auto" w:sz="4" w:space="0"/>
            </w:tcBorders>
            <w:noWrap w:val="0"/>
            <w:vAlign w:val="center"/>
          </w:tcPr>
          <w:p w14:paraId="0B69DE20">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监理依据</w:t>
            </w:r>
          </w:p>
          <w:p w14:paraId="6D0A76EE">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及工作目标（</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62EBB56E">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3B8BA68F">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3F13212D">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1485B584">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tcBorders>
              <w:top w:val="single" w:color="auto" w:sz="4" w:space="0"/>
              <w:left w:val="single" w:color="auto" w:sz="4" w:space="0"/>
              <w:bottom w:val="single" w:color="auto" w:sz="4" w:space="0"/>
              <w:right w:val="single" w:color="auto" w:sz="4" w:space="0"/>
            </w:tcBorders>
            <w:noWrap w:val="0"/>
            <w:vAlign w:val="center"/>
          </w:tcPr>
          <w:p w14:paraId="34C07CB3">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要求依据全面、适用；目标清晰、正确；针对性强。</w:t>
            </w:r>
          </w:p>
        </w:tc>
      </w:tr>
      <w:tr w14:paraId="52137C2C">
        <w:tblPrEx>
          <w:tblCellMar>
            <w:top w:w="0" w:type="dxa"/>
            <w:left w:w="108" w:type="dxa"/>
            <w:bottom w:w="0" w:type="dxa"/>
            <w:right w:w="108" w:type="dxa"/>
          </w:tblCellMar>
        </w:tblPrEx>
        <w:trPr>
          <w:trHeight w:val="985" w:hRule="atLeast"/>
          <w:jc w:val="center"/>
        </w:trPr>
        <w:tc>
          <w:tcPr>
            <w:tcW w:w="1370" w:type="dxa"/>
            <w:tcBorders>
              <w:top w:val="single" w:color="auto" w:sz="4" w:space="0"/>
              <w:left w:val="single" w:color="auto" w:sz="4" w:space="0"/>
              <w:bottom w:val="single" w:color="auto" w:sz="4" w:space="0"/>
              <w:right w:val="single" w:color="auto" w:sz="4" w:space="0"/>
            </w:tcBorders>
            <w:noWrap w:val="0"/>
            <w:vAlign w:val="center"/>
          </w:tcPr>
          <w:p w14:paraId="6AEBB879">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工程质量</w:t>
            </w:r>
          </w:p>
          <w:p w14:paraId="5780896E">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4963B558">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5A1E350E">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5ED0BC83">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274ADD2C">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037DB714">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vMerge w:val="restart"/>
            <w:tcBorders>
              <w:top w:val="single" w:color="auto" w:sz="4" w:space="0"/>
              <w:left w:val="single" w:color="auto" w:sz="4" w:space="0"/>
              <w:bottom w:val="single" w:color="auto" w:sz="4" w:space="0"/>
              <w:right w:val="single" w:color="auto" w:sz="4" w:space="0"/>
            </w:tcBorders>
            <w:noWrap w:val="0"/>
            <w:vAlign w:val="center"/>
          </w:tcPr>
          <w:p w14:paraId="219D51E4">
            <w:pPr>
              <w:pStyle w:val="111"/>
              <w:keepNext w:val="0"/>
              <w:keepLines w:val="0"/>
              <w:pageBreakBefore w:val="0"/>
              <w:widowControl w:val="0"/>
              <w:kinsoku/>
              <w:wordWrap w:val="0"/>
              <w:overflowPunct/>
              <w:topLinePunct w:val="0"/>
              <w:autoSpaceDE/>
              <w:autoSpaceDN/>
              <w:bidi w:val="0"/>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要求目标正确、方法可行、预控和动态管理措施具体、针对性强。脱离本工程实际、机械照搬照抄规范和技术标准的，不能得满分。</w:t>
            </w:r>
          </w:p>
        </w:tc>
      </w:tr>
      <w:tr w14:paraId="5D21FCD9">
        <w:tblPrEx>
          <w:tblCellMar>
            <w:top w:w="0" w:type="dxa"/>
            <w:left w:w="108" w:type="dxa"/>
            <w:bottom w:w="0" w:type="dxa"/>
            <w:right w:w="108" w:type="dxa"/>
          </w:tblCellMar>
        </w:tblPrEx>
        <w:trPr>
          <w:trHeight w:val="321" w:hRule="atLeast"/>
          <w:jc w:val="center"/>
        </w:trPr>
        <w:tc>
          <w:tcPr>
            <w:tcW w:w="1370" w:type="dxa"/>
            <w:tcBorders>
              <w:top w:val="single" w:color="auto" w:sz="4" w:space="0"/>
              <w:left w:val="single" w:color="000000" w:sz="4" w:space="0"/>
              <w:bottom w:val="single" w:color="000000" w:sz="4" w:space="0"/>
              <w:right w:val="single" w:color="auto" w:sz="4" w:space="0"/>
            </w:tcBorders>
            <w:noWrap w:val="0"/>
            <w:vAlign w:val="center"/>
          </w:tcPr>
          <w:p w14:paraId="7CE8EF61">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工程进度</w:t>
            </w:r>
          </w:p>
          <w:p w14:paraId="12A833C0">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79390558">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5EE9CAC7">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07FCF0A8">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31A49315">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1058DF81">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vMerge w:val="continue"/>
            <w:tcBorders>
              <w:top w:val="single" w:color="auto" w:sz="4" w:space="0"/>
              <w:left w:val="single" w:color="auto" w:sz="4" w:space="0"/>
              <w:bottom w:val="single" w:color="auto" w:sz="4" w:space="0"/>
              <w:right w:val="single" w:color="auto" w:sz="4" w:space="0"/>
            </w:tcBorders>
            <w:noWrap w:val="0"/>
            <w:vAlign w:val="center"/>
          </w:tcPr>
          <w:p w14:paraId="494D1AA0">
            <w:pPr>
              <w:pStyle w:val="111"/>
              <w:keepNext w:val="0"/>
              <w:keepLines w:val="0"/>
              <w:pageBreakBefore w:val="0"/>
              <w:widowControl w:val="0"/>
              <w:kinsoku/>
              <w:wordWrap w:val="0"/>
              <w:overflowPunct/>
              <w:topLinePunct w:val="0"/>
              <w:autoSpaceDE/>
              <w:autoSpaceDN/>
              <w:bidi w:val="0"/>
              <w:snapToGrid w:val="0"/>
              <w:spacing w:line="500" w:lineRule="exact"/>
              <w:textAlignment w:val="auto"/>
              <w:rPr>
                <w:rFonts w:hint="eastAsia" w:ascii="宋体" w:hAnsi="宋体" w:eastAsia="宋体" w:cs="宋体"/>
                <w:color w:val="auto"/>
                <w:kern w:val="0"/>
                <w:sz w:val="24"/>
                <w:szCs w:val="24"/>
                <w:highlight w:val="none"/>
              </w:rPr>
            </w:pPr>
          </w:p>
        </w:tc>
      </w:tr>
      <w:tr w14:paraId="2C256C49">
        <w:tblPrEx>
          <w:tblCellMar>
            <w:top w:w="0" w:type="dxa"/>
            <w:left w:w="108" w:type="dxa"/>
            <w:bottom w:w="0" w:type="dxa"/>
            <w:right w:w="108" w:type="dxa"/>
          </w:tblCellMar>
        </w:tblPrEx>
        <w:trPr>
          <w:trHeight w:val="1480" w:hRule="atLeast"/>
          <w:jc w:val="center"/>
        </w:trPr>
        <w:tc>
          <w:tcPr>
            <w:tcW w:w="1370" w:type="dxa"/>
            <w:tcBorders>
              <w:top w:val="single" w:color="000000" w:sz="4" w:space="0"/>
              <w:left w:val="single" w:color="000000" w:sz="4" w:space="0"/>
              <w:bottom w:val="single" w:color="000000" w:sz="4" w:space="0"/>
              <w:right w:val="single" w:color="auto" w:sz="4" w:space="0"/>
            </w:tcBorders>
            <w:noWrap w:val="0"/>
            <w:vAlign w:val="center"/>
          </w:tcPr>
          <w:p w14:paraId="2FD1599A">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工程造价</w:t>
            </w:r>
          </w:p>
          <w:p w14:paraId="58ACA7FF">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3D749C56">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436D38CD">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290EF00D">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2AE0252A">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196CF44D">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vMerge w:val="continue"/>
            <w:tcBorders>
              <w:top w:val="single" w:color="auto" w:sz="4" w:space="0"/>
              <w:left w:val="single" w:color="auto" w:sz="4" w:space="0"/>
              <w:bottom w:val="single" w:color="auto" w:sz="4" w:space="0"/>
              <w:right w:val="single" w:color="auto" w:sz="4" w:space="0"/>
            </w:tcBorders>
            <w:noWrap w:val="0"/>
            <w:vAlign w:val="center"/>
          </w:tcPr>
          <w:p w14:paraId="1CB9F59F">
            <w:pPr>
              <w:pStyle w:val="111"/>
              <w:keepNext w:val="0"/>
              <w:keepLines w:val="0"/>
              <w:pageBreakBefore w:val="0"/>
              <w:widowControl w:val="0"/>
              <w:kinsoku/>
              <w:wordWrap w:val="0"/>
              <w:overflowPunct/>
              <w:topLinePunct w:val="0"/>
              <w:autoSpaceDE/>
              <w:autoSpaceDN/>
              <w:bidi w:val="0"/>
              <w:snapToGrid w:val="0"/>
              <w:spacing w:line="500" w:lineRule="exact"/>
              <w:textAlignment w:val="auto"/>
              <w:rPr>
                <w:rFonts w:hint="eastAsia" w:ascii="宋体" w:hAnsi="宋体" w:eastAsia="宋体" w:cs="宋体"/>
                <w:color w:val="auto"/>
                <w:kern w:val="0"/>
                <w:sz w:val="24"/>
                <w:szCs w:val="24"/>
                <w:highlight w:val="none"/>
              </w:rPr>
            </w:pPr>
          </w:p>
        </w:tc>
      </w:tr>
      <w:tr w14:paraId="162F6C8C">
        <w:tblPrEx>
          <w:tblCellMar>
            <w:top w:w="0" w:type="dxa"/>
            <w:left w:w="108" w:type="dxa"/>
            <w:bottom w:w="0" w:type="dxa"/>
            <w:right w:w="108" w:type="dxa"/>
          </w:tblCellMar>
        </w:tblPrEx>
        <w:trPr>
          <w:trHeight w:val="1212"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1805728D">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安全防护</w:t>
            </w:r>
          </w:p>
          <w:p w14:paraId="2CA39AC7">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4FB6E355">
            <w:pPr>
              <w:pStyle w:val="127"/>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000000" w:sz="4" w:space="0"/>
              <w:bottom w:val="single" w:color="000000" w:sz="4" w:space="0"/>
              <w:right w:val="single" w:color="000000" w:sz="4" w:space="0"/>
            </w:tcBorders>
            <w:noWrap w:val="0"/>
            <w:vAlign w:val="center"/>
          </w:tcPr>
          <w:p w14:paraId="0EF24368">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4C56ABA7">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0DAC60B9">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14DCB182">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vMerge w:val="continue"/>
            <w:tcBorders>
              <w:top w:val="single" w:color="auto" w:sz="4" w:space="0"/>
              <w:left w:val="single" w:color="000000" w:sz="4" w:space="0"/>
              <w:right w:val="single" w:color="auto" w:sz="4" w:space="0"/>
            </w:tcBorders>
            <w:noWrap w:val="0"/>
            <w:vAlign w:val="center"/>
          </w:tcPr>
          <w:p w14:paraId="2AC6A107">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4"/>
                <w:szCs w:val="24"/>
                <w:highlight w:val="none"/>
              </w:rPr>
            </w:pPr>
          </w:p>
        </w:tc>
      </w:tr>
      <w:tr w14:paraId="7BDA3A4B">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485AB747">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绿色施工</w:t>
            </w:r>
          </w:p>
          <w:p w14:paraId="66FE636C">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、文明施工</w:t>
            </w:r>
          </w:p>
          <w:p w14:paraId="6340C238">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监理措施</w:t>
            </w:r>
          </w:p>
          <w:p w14:paraId="7254A7C6">
            <w:pPr>
              <w:pStyle w:val="127"/>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6858FBB9">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7F924FC1">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5A70C1E0">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37D95293">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vMerge w:val="continue"/>
            <w:tcBorders>
              <w:left w:val="single" w:color="000000" w:sz="4" w:space="0"/>
              <w:bottom w:val="single" w:color="000000" w:sz="4" w:space="0"/>
              <w:right w:val="single" w:color="auto" w:sz="4" w:space="0"/>
            </w:tcBorders>
            <w:noWrap w:val="0"/>
            <w:vAlign w:val="center"/>
          </w:tcPr>
          <w:p w14:paraId="3094F968">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4"/>
                <w:szCs w:val="24"/>
                <w:highlight w:val="none"/>
              </w:rPr>
            </w:pPr>
          </w:p>
        </w:tc>
      </w:tr>
      <w:tr w14:paraId="3C6BA3DC">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3F1F41E">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合同、信息</w:t>
            </w:r>
          </w:p>
          <w:p w14:paraId="1C059F56">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管理方案</w:t>
            </w:r>
          </w:p>
          <w:p w14:paraId="3AAB69DF">
            <w:pPr>
              <w:pStyle w:val="127"/>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6061BB63">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4D2B95A9">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3EF02781">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2218DE34">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4F7C29B9">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要求各项制度规范清晰，方法科学合理，措施及时有效，针对性强。能够切实防范和处理合同纠纷，提升监理工作效能。</w:t>
            </w:r>
          </w:p>
        </w:tc>
      </w:tr>
      <w:tr w14:paraId="686E54F3">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A408743">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组织协调</w:t>
            </w:r>
          </w:p>
          <w:p w14:paraId="73D24DD7">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内容及措施</w:t>
            </w:r>
          </w:p>
          <w:p w14:paraId="6D06FAD7">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4640F764">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76ED6423">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1313611F">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1D9E83AC">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3FFEB7BB">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要求各项制度规范清晰，方法科学合理，措施及时有效，针对性强。能够高效收集、协调、处理、反馈各方各类问题。</w:t>
            </w:r>
          </w:p>
        </w:tc>
      </w:tr>
      <w:tr w14:paraId="0C7C504F">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60A6E043">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监理工作重点、难点分析</w:t>
            </w:r>
          </w:p>
          <w:p w14:paraId="4D018269">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15BF262F">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5814AF6D">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39095D71">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046E7645">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69AD51E8">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要求方法可行、措施具体、针对性强。</w:t>
            </w:r>
          </w:p>
        </w:tc>
      </w:tr>
      <w:tr w14:paraId="73AD0475">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58A1784">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合理化建议</w:t>
            </w:r>
          </w:p>
          <w:p w14:paraId="5B49A138">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5AD06ED5">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3F142612">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5B69E9F5">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74B4F178">
            <w:pPr>
              <w:pStyle w:val="99"/>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【差】得该项因素分的60%～70%（含60%）。</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2C0AF690">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要求方法可行、措施具体、针对性强。</w:t>
            </w:r>
          </w:p>
        </w:tc>
      </w:tr>
      <w:tr w14:paraId="419A4D22">
        <w:tblPrEx>
          <w:tblCellMar>
            <w:top w:w="0" w:type="dxa"/>
            <w:left w:w="108" w:type="dxa"/>
            <w:bottom w:w="0" w:type="dxa"/>
            <w:right w:w="108" w:type="dxa"/>
          </w:tblCellMar>
        </w:tblPrEx>
        <w:trPr>
          <w:trHeight w:val="553" w:hRule="exac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9188EDD">
            <w:pPr>
              <w:pStyle w:val="111"/>
              <w:keepNext w:val="0"/>
              <w:keepLines w:val="0"/>
              <w:pageBreakBefore w:val="0"/>
              <w:widowControl w:val="0"/>
              <w:kinsoku/>
              <w:wordWrap w:val="0"/>
              <w:overflowPunct/>
              <w:topLinePunct w:val="0"/>
              <w:autoSpaceDE/>
              <w:autoSpaceDN/>
              <w:bidi w:val="0"/>
              <w:snapToGrid w:val="0"/>
              <w:spacing w:line="50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投标报价部分，满分：</w:t>
            </w:r>
            <w:r>
              <w:rPr>
                <w:rFonts w:hint="eastAsia" w:ascii="宋体" w:hAnsi="宋体" w:eastAsia="宋体" w:cs="宋体"/>
                <w:b/>
                <w:bCs/>
                <w:color w:val="auto"/>
                <w:kern w:val="0"/>
                <w:sz w:val="24"/>
                <w:szCs w:val="24"/>
                <w:highlight w:val="none"/>
                <w:u w:val="single"/>
              </w:rPr>
              <w:t>30</w:t>
            </w:r>
            <w:r>
              <w:rPr>
                <w:rFonts w:hint="eastAsia" w:ascii="宋体" w:hAnsi="宋体" w:eastAsia="宋体" w:cs="宋体"/>
                <w:b/>
                <w:bCs/>
                <w:color w:val="auto"/>
                <w:kern w:val="0"/>
                <w:sz w:val="24"/>
                <w:szCs w:val="24"/>
                <w:highlight w:val="none"/>
              </w:rPr>
              <w:t>分。</w:t>
            </w:r>
          </w:p>
        </w:tc>
      </w:tr>
      <w:tr w14:paraId="31A3B4E0">
        <w:tblPrEx>
          <w:tblCellMar>
            <w:top w:w="0" w:type="dxa"/>
            <w:left w:w="108" w:type="dxa"/>
            <w:bottom w:w="0" w:type="dxa"/>
            <w:right w:w="108" w:type="dxa"/>
          </w:tblCellMar>
        </w:tblPrEx>
        <w:trPr>
          <w:trHeight w:val="491" w:hRule="exac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651C837D">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评分事项</w:t>
            </w:r>
          </w:p>
        </w:tc>
        <w:tc>
          <w:tcPr>
            <w:tcW w:w="8194" w:type="dxa"/>
            <w:gridSpan w:val="2"/>
            <w:tcBorders>
              <w:top w:val="single" w:color="000000" w:sz="4" w:space="0"/>
              <w:left w:val="single" w:color="000000" w:sz="4" w:space="0"/>
              <w:bottom w:val="single" w:color="000000" w:sz="4" w:space="0"/>
              <w:right w:val="single" w:color="000000" w:sz="4" w:space="0"/>
            </w:tcBorders>
            <w:noWrap w:val="0"/>
            <w:vAlign w:val="center"/>
          </w:tcPr>
          <w:p w14:paraId="6463530B">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评分方法</w:t>
            </w:r>
          </w:p>
        </w:tc>
      </w:tr>
      <w:tr w14:paraId="18CE742F">
        <w:tblPrEx>
          <w:tblCellMar>
            <w:top w:w="0" w:type="dxa"/>
            <w:left w:w="108" w:type="dxa"/>
            <w:bottom w:w="0" w:type="dxa"/>
            <w:right w:w="108" w:type="dxa"/>
          </w:tblCellMar>
        </w:tblPrEx>
        <w:trPr>
          <w:trHeight w:val="5778"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78485271">
            <w:pPr>
              <w:pStyle w:val="127"/>
              <w:keepNext w:val="0"/>
              <w:keepLines w:val="0"/>
              <w:pageBreakBefore w:val="0"/>
              <w:widowControl w:val="0"/>
              <w:kinsoku/>
              <w:overflowPunct/>
              <w:topLinePunct w:val="0"/>
              <w:autoSpaceDE/>
              <w:autoSpaceDN/>
              <w:bidi w:val="0"/>
              <w:adjustRightInd w:val="0"/>
              <w:snapToGrid w:val="0"/>
              <w:spacing w:line="288"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投标报价</w:t>
            </w:r>
          </w:p>
          <w:p w14:paraId="1FC6D1CF">
            <w:pPr>
              <w:pStyle w:val="127"/>
              <w:keepNext w:val="0"/>
              <w:keepLines w:val="0"/>
              <w:pageBreakBefore w:val="0"/>
              <w:widowControl w:val="0"/>
              <w:kinsoku/>
              <w:overflowPunct/>
              <w:topLinePunct w:val="0"/>
              <w:autoSpaceDE/>
              <w:autoSpaceDN/>
              <w:bidi w:val="0"/>
              <w:adjustRightInd w:val="0"/>
              <w:snapToGrid w:val="0"/>
              <w:spacing w:line="288" w:lineRule="auto"/>
              <w:jc w:val="center"/>
              <w:textAlignment w:val="auto"/>
              <w:rPr>
                <w:rFonts w:hint="eastAsia" w:ascii="宋体" w:hAnsi="宋体" w:eastAsia="宋体" w:cs="宋体"/>
                <w:color w:val="auto"/>
                <w:kern w:val="0"/>
                <w:sz w:val="24"/>
                <w:szCs w:val="24"/>
                <w:highlight w:val="none"/>
              </w:rPr>
            </w:pPr>
          </w:p>
        </w:tc>
        <w:tc>
          <w:tcPr>
            <w:tcW w:w="8194" w:type="dxa"/>
            <w:gridSpan w:val="2"/>
            <w:tcBorders>
              <w:top w:val="single" w:color="000000" w:sz="4" w:space="0"/>
              <w:left w:val="single" w:color="000000" w:sz="4" w:space="0"/>
              <w:bottom w:val="single" w:color="000000" w:sz="4" w:space="0"/>
              <w:right w:val="single" w:color="000000" w:sz="4" w:space="0"/>
            </w:tcBorders>
            <w:noWrap w:val="0"/>
            <w:vAlign w:val="center"/>
          </w:tcPr>
          <w:p w14:paraId="6468932A">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（1）确定最高投标限价下浮系数n：用1～21号球分别代表一个下浮系数，由评委代表从这21个号码中随机抽取</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次，每次抽取1个号码，抽出的号球不参与下次抽取。所抽取的3个号码对应下浮系数的算术平均值作为最高投标限价下浮系数n。具体号码对应的下浮系数可参考下表。</w:t>
            </w:r>
          </w:p>
          <w:tbl>
            <w:tblPr>
              <w:tblStyle w:val="32"/>
              <w:tblW w:w="7753" w:type="dxa"/>
              <w:tblInd w:w="113" w:type="dxa"/>
              <w:tblLayout w:type="fixed"/>
              <w:tblCellMar>
                <w:top w:w="0" w:type="dxa"/>
                <w:left w:w="108" w:type="dxa"/>
                <w:bottom w:w="0" w:type="dxa"/>
                <w:right w:w="108" w:type="dxa"/>
              </w:tblCellMar>
            </w:tblPr>
            <w:tblGrid>
              <w:gridCol w:w="1719"/>
              <w:gridCol w:w="862"/>
              <w:gridCol w:w="862"/>
              <w:gridCol w:w="862"/>
              <w:gridCol w:w="862"/>
              <w:gridCol w:w="862"/>
              <w:gridCol w:w="862"/>
              <w:gridCol w:w="862"/>
            </w:tblGrid>
            <w:tr w14:paraId="61DC91A1">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18CCCD48">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A31EC99">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16590ED">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DF7784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E7D70B7">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37BECD2">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48432B9E">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ADEE54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7</w:t>
                  </w:r>
                </w:p>
              </w:tc>
            </w:tr>
            <w:tr w14:paraId="6CFA3A46">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07339646">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41CAF4C">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F46596E">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C4CCF5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DAA41C2">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46E6EC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E3523E4">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0FEEADE">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r>
            <w:tr w14:paraId="6658AE63">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349558F2">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D9115F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90B890D">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2F1046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D8C0DB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5225057">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10EAC0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77FC62C">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14</w:t>
                  </w:r>
                </w:p>
              </w:tc>
            </w:tr>
            <w:tr w14:paraId="55D0DD6E">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08C78F8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AAD06ED">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6BCF536">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0D4E812">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7404EB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6F7FC2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2CF0177">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01ACEE4">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r>
            <w:tr w14:paraId="4FB4DE50">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17DBD73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F5A2BA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31605D2">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3002129">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3B7CDAD">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C5DBFF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3573E46">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EDACD4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21</w:t>
                  </w:r>
                </w:p>
              </w:tc>
            </w:tr>
            <w:tr w14:paraId="76F3F110">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6C7F6CA5">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902E64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3C20C69">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46A642B6">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D8CAAE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0C92D47">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50F701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4303E22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3.0</w:t>
                  </w:r>
                </w:p>
              </w:tc>
            </w:tr>
          </w:tbl>
          <w:p w14:paraId="3769BE57">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（2）评标基准价D＝最高投标限价×（1－n）</w:t>
            </w:r>
          </w:p>
          <w:p w14:paraId="5A5F707B">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snapToGrid w:val="0"/>
                <w:color w:val="auto"/>
                <w:kern w:val="0"/>
                <w:sz w:val="24"/>
                <w:szCs w:val="24"/>
                <w:highlight w:val="none"/>
              </w:rPr>
              <w:t>，即当投标人的投标总价等于评标基准价时得30分，每高于评标基准价一个百分点扣</w:t>
            </w:r>
            <w:r>
              <w:rPr>
                <w:rFonts w:hint="eastAsia" w:hAnsi="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分, 每低于评标基准价一个百分点扣</w:t>
            </w:r>
            <w:r>
              <w:rPr>
                <w:rFonts w:hint="eastAsia" w:hAnsi="宋体" w:cs="宋体"/>
                <w:snapToGrid w:val="0"/>
                <w:color w:val="auto"/>
                <w:kern w:val="0"/>
                <w:sz w:val="24"/>
                <w:szCs w:val="24"/>
                <w:highlight w:val="none"/>
                <w:lang w:val="en-US" w:eastAsia="zh-CN"/>
              </w:rPr>
              <w:t>0.3</w:t>
            </w:r>
            <w:r>
              <w:rPr>
                <w:rFonts w:hint="eastAsia" w:ascii="宋体" w:hAnsi="宋体" w:eastAsia="宋体" w:cs="宋体"/>
                <w:snapToGrid w:val="0"/>
                <w:color w:val="auto"/>
                <w:kern w:val="0"/>
                <w:sz w:val="24"/>
                <w:szCs w:val="24"/>
                <w:highlight w:val="none"/>
              </w:rPr>
              <w:t>分，扣完为止。公式如下：</w:t>
            </w:r>
          </w:p>
          <w:p w14:paraId="77308281">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snapToGrid w:val="0"/>
                <w:color w:val="auto"/>
                <w:kern w:val="0"/>
                <w:sz w:val="24"/>
                <w:szCs w:val="24"/>
                <w:highlight w:val="none"/>
              </w:rPr>
              <w:t>＝30－（| Di－D | ÷D）×100×E</w:t>
            </w:r>
          </w:p>
          <w:p w14:paraId="42167B02">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w:t>
            </w:r>
            <w:r>
              <w:rPr>
                <w:rFonts w:hint="eastAsia" w:hAnsi="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；当Di＜D时，E＝</w:t>
            </w:r>
            <w:r>
              <w:rPr>
                <w:rFonts w:hint="eastAsia" w:hAnsi="宋体" w:cs="宋体"/>
                <w:snapToGrid w:val="0"/>
                <w:color w:val="auto"/>
                <w:kern w:val="0"/>
                <w:sz w:val="24"/>
                <w:szCs w:val="24"/>
                <w:highlight w:val="none"/>
                <w:lang w:val="en-US" w:eastAsia="zh-CN"/>
              </w:rPr>
              <w:t>0.3</w:t>
            </w:r>
            <w:r>
              <w:rPr>
                <w:rFonts w:hint="eastAsia" w:ascii="宋体" w:hAnsi="宋体" w:eastAsia="宋体" w:cs="宋体"/>
                <w:snapToGrid w:val="0"/>
                <w:color w:val="auto"/>
                <w:kern w:val="0"/>
                <w:sz w:val="24"/>
                <w:szCs w:val="24"/>
                <w:highlight w:val="none"/>
              </w:rPr>
              <w:t>。</w:t>
            </w:r>
          </w:p>
          <w:p w14:paraId="3F23175E">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式中：</w:t>
            </w: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color w:val="auto"/>
                <w:sz w:val="24"/>
                <w:szCs w:val="24"/>
                <w:highlight w:val="none"/>
              </w:rPr>
              <w:t xml:space="preserve">=经济部分得分，保留小数点后两位。 </w:t>
            </w:r>
          </w:p>
        </w:tc>
      </w:tr>
    </w:tbl>
    <w:p w14:paraId="107C5EC0">
      <w:pPr>
        <w:wordWrap w:val="0"/>
        <w:adjustRightInd w:val="0"/>
        <w:snapToGrid w:val="0"/>
        <w:spacing w:line="440" w:lineRule="exact"/>
        <w:ind w:firstLine="480" w:firstLineChars="200"/>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注：评分如出现小数点，则保留小数点后两位，第三位四舍五入。</w:t>
      </w:r>
    </w:p>
    <w:p w14:paraId="364423E8">
      <w:pPr>
        <w:rPr>
          <w:rFonts w:hint="eastAsia" w:hAnsi="宋体" w:cs="宋体"/>
          <w:b/>
          <w:bCs/>
          <w:snapToGrid w:val="0"/>
          <w:color w:val="auto"/>
          <w:kern w:val="0"/>
          <w:sz w:val="28"/>
          <w:szCs w:val="28"/>
          <w:highlight w:val="none"/>
        </w:rPr>
      </w:pPr>
      <w:r>
        <w:rPr>
          <w:rFonts w:hint="eastAsia" w:hAnsi="宋体" w:cs="宋体"/>
          <w:b/>
          <w:bCs/>
          <w:snapToGrid w:val="0"/>
          <w:color w:val="auto"/>
          <w:kern w:val="0"/>
          <w:sz w:val="28"/>
          <w:szCs w:val="28"/>
          <w:highlight w:val="none"/>
        </w:rPr>
        <w:br w:type="page"/>
      </w:r>
    </w:p>
    <w:p w14:paraId="03A80A33">
      <w:pPr>
        <w:wordWrap w:val="0"/>
        <w:adjustRightInd w:val="0"/>
        <w:snapToGrid w:val="0"/>
        <w:spacing w:after="240" w:afterLines="100" w:line="440" w:lineRule="exact"/>
        <w:jc w:val="center"/>
        <w:rPr>
          <w:rFonts w:hAnsi="宋体" w:cs="宋体"/>
          <w:b/>
          <w:bCs/>
          <w:snapToGrid w:val="0"/>
          <w:color w:val="auto"/>
          <w:kern w:val="0"/>
          <w:sz w:val="28"/>
          <w:szCs w:val="28"/>
          <w:highlight w:val="none"/>
        </w:rPr>
      </w:pPr>
      <w:r>
        <w:rPr>
          <w:rFonts w:hint="eastAsia" w:hAnsi="宋体" w:cs="宋体"/>
          <w:b/>
          <w:bCs/>
          <w:snapToGrid w:val="0"/>
          <w:color w:val="auto"/>
          <w:kern w:val="0"/>
          <w:sz w:val="28"/>
          <w:szCs w:val="28"/>
          <w:highlight w:val="none"/>
        </w:rPr>
        <w:t>表2 项目监理机构其他人员需求表</w:t>
      </w:r>
    </w:p>
    <w:tbl>
      <w:tblPr>
        <w:tblStyle w:val="32"/>
        <w:tblW w:w="9315" w:type="dxa"/>
        <w:tblInd w:w="32" w:type="dxa"/>
        <w:tblLayout w:type="autofit"/>
        <w:tblCellMar>
          <w:top w:w="0" w:type="dxa"/>
          <w:left w:w="108" w:type="dxa"/>
          <w:bottom w:w="0" w:type="dxa"/>
          <w:right w:w="108" w:type="dxa"/>
        </w:tblCellMar>
      </w:tblPr>
      <w:tblGrid>
        <w:gridCol w:w="1132"/>
        <w:gridCol w:w="1937"/>
        <w:gridCol w:w="1012"/>
        <w:gridCol w:w="5234"/>
      </w:tblGrid>
      <w:tr w14:paraId="6DE134EF">
        <w:tblPrEx>
          <w:tblCellMar>
            <w:top w:w="0" w:type="dxa"/>
            <w:left w:w="108" w:type="dxa"/>
            <w:bottom w:w="0" w:type="dxa"/>
            <w:right w:w="108" w:type="dxa"/>
          </w:tblCellMar>
        </w:tblPrEx>
        <w:trPr>
          <w:trHeight w:val="645" w:hRule="atLeast"/>
        </w:trPr>
        <w:tc>
          <w:tcPr>
            <w:tcW w:w="9315" w:type="dxa"/>
            <w:gridSpan w:val="4"/>
            <w:tcBorders>
              <w:top w:val="single" w:color="auto" w:sz="8" w:space="0"/>
              <w:left w:val="single" w:color="auto" w:sz="8" w:space="0"/>
              <w:bottom w:val="nil"/>
              <w:right w:val="single" w:color="000000" w:sz="8" w:space="0"/>
            </w:tcBorders>
            <w:vAlign w:val="center"/>
          </w:tcPr>
          <w:p w14:paraId="6824ADB8">
            <w:pPr>
              <w:widowControl/>
              <w:spacing w:line="240" w:lineRule="auto"/>
              <w:jc w:val="left"/>
              <w:rPr>
                <w:rFonts w:hAnsi="宋体" w:cs="宋体"/>
                <w:b/>
                <w:bCs/>
                <w:color w:val="auto"/>
                <w:kern w:val="0"/>
                <w:szCs w:val="24"/>
                <w:highlight w:val="none"/>
              </w:rPr>
            </w:pPr>
            <w:r>
              <w:rPr>
                <w:rFonts w:hint="eastAsia" w:hAnsi="宋体" w:cs="宋体"/>
                <w:b/>
                <w:bCs/>
                <w:color w:val="auto"/>
                <w:kern w:val="0"/>
                <w:szCs w:val="24"/>
                <w:highlight w:val="none"/>
              </w:rPr>
              <w:t>监理人员（除总监理工程师外）：共</w:t>
            </w:r>
            <w:r>
              <w:rPr>
                <w:rFonts w:hint="eastAsia" w:hAnsi="宋体" w:cs="宋体"/>
                <w:b/>
                <w:bCs/>
                <w:color w:val="auto"/>
                <w:kern w:val="0"/>
                <w:szCs w:val="24"/>
                <w:highlight w:val="none"/>
                <w:u w:val="single"/>
                <w:lang w:val="en-US" w:eastAsia="zh-CN"/>
              </w:rPr>
              <w:t>3</w:t>
            </w:r>
            <w:r>
              <w:rPr>
                <w:rFonts w:hint="eastAsia" w:hAnsi="宋体" w:cs="宋体"/>
                <w:b/>
                <w:bCs/>
                <w:color w:val="auto"/>
                <w:kern w:val="0"/>
                <w:szCs w:val="24"/>
                <w:highlight w:val="none"/>
              </w:rPr>
              <w:t>人</w:t>
            </w:r>
          </w:p>
        </w:tc>
      </w:tr>
      <w:tr w14:paraId="175F30CB">
        <w:tblPrEx>
          <w:tblCellMar>
            <w:top w:w="0" w:type="dxa"/>
            <w:left w:w="108" w:type="dxa"/>
            <w:bottom w:w="0" w:type="dxa"/>
            <w:right w:w="108" w:type="dxa"/>
          </w:tblCellMar>
        </w:tblPrEx>
        <w:trPr>
          <w:trHeight w:val="681" w:hRule="atLeast"/>
        </w:trPr>
        <w:tc>
          <w:tcPr>
            <w:tcW w:w="1132" w:type="dxa"/>
            <w:tcBorders>
              <w:top w:val="single" w:color="auto" w:sz="4" w:space="0"/>
              <w:left w:val="single" w:color="auto" w:sz="4" w:space="0"/>
              <w:bottom w:val="single" w:color="auto" w:sz="4" w:space="0"/>
              <w:right w:val="single" w:color="auto" w:sz="4" w:space="0"/>
            </w:tcBorders>
            <w:vAlign w:val="center"/>
          </w:tcPr>
          <w:p w14:paraId="6DAF5DC0">
            <w:pPr>
              <w:jc w:val="center"/>
              <w:rPr>
                <w:color w:val="auto"/>
                <w:highlight w:val="none"/>
              </w:rPr>
            </w:pPr>
            <w:r>
              <w:rPr>
                <w:rFonts w:hint="eastAsia"/>
                <w:color w:val="auto"/>
                <w:highlight w:val="none"/>
              </w:rPr>
              <w:t>职务</w:t>
            </w:r>
          </w:p>
        </w:tc>
        <w:tc>
          <w:tcPr>
            <w:tcW w:w="1937" w:type="dxa"/>
            <w:tcBorders>
              <w:top w:val="single" w:color="auto" w:sz="4" w:space="0"/>
              <w:left w:val="single" w:color="auto" w:sz="4" w:space="0"/>
              <w:bottom w:val="single" w:color="auto" w:sz="4" w:space="0"/>
              <w:right w:val="single" w:color="auto" w:sz="4" w:space="0"/>
            </w:tcBorders>
            <w:vAlign w:val="center"/>
          </w:tcPr>
          <w:p w14:paraId="71FBE17C">
            <w:pPr>
              <w:jc w:val="center"/>
              <w:rPr>
                <w:color w:val="auto"/>
                <w:highlight w:val="none"/>
              </w:rPr>
            </w:pPr>
            <w:r>
              <w:rPr>
                <w:rFonts w:hint="eastAsia"/>
                <w:color w:val="auto"/>
                <w:highlight w:val="none"/>
              </w:rPr>
              <w:t>专业要求</w:t>
            </w:r>
          </w:p>
        </w:tc>
        <w:tc>
          <w:tcPr>
            <w:tcW w:w="1012" w:type="dxa"/>
            <w:tcBorders>
              <w:top w:val="single" w:color="auto" w:sz="4" w:space="0"/>
              <w:left w:val="nil"/>
              <w:bottom w:val="single" w:color="auto" w:sz="4" w:space="0"/>
              <w:right w:val="single" w:color="auto" w:sz="4" w:space="0"/>
            </w:tcBorders>
            <w:vAlign w:val="center"/>
          </w:tcPr>
          <w:p w14:paraId="039C01F7">
            <w:pPr>
              <w:jc w:val="center"/>
              <w:rPr>
                <w:color w:val="auto"/>
                <w:highlight w:val="none"/>
              </w:rPr>
            </w:pPr>
            <w:r>
              <w:rPr>
                <w:rFonts w:hint="eastAsia"/>
                <w:color w:val="auto"/>
                <w:highlight w:val="none"/>
              </w:rPr>
              <w:t>数量</w:t>
            </w:r>
          </w:p>
          <w:p w14:paraId="426BEC9B">
            <w:pPr>
              <w:jc w:val="center"/>
              <w:rPr>
                <w:color w:val="auto"/>
                <w:highlight w:val="none"/>
              </w:rPr>
            </w:pPr>
            <w:r>
              <w:rPr>
                <w:rFonts w:hint="eastAsia"/>
                <w:color w:val="auto"/>
                <w:highlight w:val="none"/>
              </w:rPr>
              <w:t>要求</w:t>
            </w:r>
          </w:p>
        </w:tc>
        <w:tc>
          <w:tcPr>
            <w:tcW w:w="5234" w:type="dxa"/>
            <w:tcBorders>
              <w:top w:val="single" w:color="auto" w:sz="4" w:space="0"/>
              <w:left w:val="single" w:color="auto" w:sz="4" w:space="0"/>
              <w:bottom w:val="single" w:color="auto" w:sz="4" w:space="0"/>
              <w:right w:val="single" w:color="auto" w:sz="4" w:space="0"/>
            </w:tcBorders>
            <w:vAlign w:val="center"/>
          </w:tcPr>
          <w:p w14:paraId="0EC6AD70">
            <w:pPr>
              <w:jc w:val="center"/>
              <w:rPr>
                <w:color w:val="auto"/>
                <w:highlight w:val="none"/>
              </w:rPr>
            </w:pPr>
            <w:r>
              <w:rPr>
                <w:rFonts w:hint="eastAsia"/>
                <w:color w:val="auto"/>
                <w:highlight w:val="none"/>
              </w:rPr>
              <w:t>持证要求</w:t>
            </w:r>
          </w:p>
        </w:tc>
      </w:tr>
      <w:tr w14:paraId="6D82E2CA">
        <w:tblPrEx>
          <w:tblCellMar>
            <w:top w:w="0" w:type="dxa"/>
            <w:left w:w="108" w:type="dxa"/>
            <w:bottom w:w="0" w:type="dxa"/>
            <w:right w:w="108" w:type="dxa"/>
          </w:tblCellMar>
        </w:tblPrEx>
        <w:trPr>
          <w:trHeight w:val="2104" w:hRule="atLeast"/>
        </w:trPr>
        <w:tc>
          <w:tcPr>
            <w:tcW w:w="1132" w:type="dxa"/>
            <w:vMerge w:val="restart"/>
            <w:tcBorders>
              <w:top w:val="single" w:color="auto" w:sz="4" w:space="0"/>
              <w:left w:val="single" w:color="auto" w:sz="4" w:space="0"/>
              <w:right w:val="single" w:color="auto" w:sz="4" w:space="0"/>
            </w:tcBorders>
            <w:vAlign w:val="center"/>
          </w:tcPr>
          <w:p w14:paraId="7F29210D">
            <w:pPr>
              <w:widowControl/>
              <w:spacing w:line="440" w:lineRule="exact"/>
              <w:jc w:val="center"/>
              <w:rPr>
                <w:color w:val="auto"/>
                <w:highlight w:val="none"/>
              </w:rPr>
            </w:pPr>
            <w:r>
              <w:rPr>
                <w:rFonts w:hint="eastAsia"/>
                <w:color w:val="auto"/>
                <w:highlight w:val="none"/>
              </w:rPr>
              <w:t>专业监理工程师</w:t>
            </w:r>
          </w:p>
        </w:tc>
        <w:tc>
          <w:tcPr>
            <w:tcW w:w="1937" w:type="dxa"/>
            <w:tcBorders>
              <w:top w:val="single" w:color="auto" w:sz="4" w:space="0"/>
              <w:left w:val="single" w:color="auto" w:sz="4" w:space="0"/>
              <w:right w:val="single" w:color="auto" w:sz="4" w:space="0"/>
            </w:tcBorders>
            <w:vAlign w:val="center"/>
          </w:tcPr>
          <w:p w14:paraId="51B7301F">
            <w:pPr>
              <w:wordWrap w:val="0"/>
              <w:adjustRightInd w:val="0"/>
              <w:snapToGrid w:val="0"/>
              <w:spacing w:line="400" w:lineRule="exact"/>
              <w:jc w:val="center"/>
              <w:rPr>
                <w:rFonts w:hint="eastAsia"/>
                <w:color w:val="auto"/>
                <w:highlight w:val="none"/>
              </w:rPr>
            </w:pPr>
            <w:r>
              <w:rPr>
                <w:rFonts w:hint="eastAsia" w:hAnsi="宋体" w:cs="宋体"/>
                <w:snapToGrid w:val="0"/>
                <w:kern w:val="0"/>
                <w:szCs w:val="24"/>
              </w:rPr>
              <w:t>建筑工程</w:t>
            </w:r>
          </w:p>
        </w:tc>
        <w:tc>
          <w:tcPr>
            <w:tcW w:w="1012" w:type="dxa"/>
            <w:tcBorders>
              <w:top w:val="single" w:color="auto" w:sz="4" w:space="0"/>
              <w:left w:val="nil"/>
              <w:bottom w:val="single" w:color="auto" w:sz="4" w:space="0"/>
              <w:right w:val="single" w:color="auto" w:sz="4" w:space="0"/>
            </w:tcBorders>
            <w:vAlign w:val="center"/>
          </w:tcPr>
          <w:p w14:paraId="33007978">
            <w:pPr>
              <w:wordWrap w:val="0"/>
              <w:adjustRightInd w:val="0"/>
              <w:snapToGrid w:val="0"/>
              <w:spacing w:line="400" w:lineRule="exact"/>
              <w:jc w:val="center"/>
              <w:rPr>
                <w:rFonts w:hint="eastAsia"/>
                <w:color w:val="auto"/>
                <w:highlight w:val="none"/>
                <w:lang w:val="en-US" w:eastAsia="zh-CN"/>
              </w:rPr>
            </w:pPr>
            <w:r>
              <w:rPr>
                <w:rFonts w:hint="eastAsia" w:hAnsi="宋体" w:cs="宋体"/>
                <w:snapToGrid w:val="0"/>
                <w:kern w:val="0"/>
                <w:szCs w:val="24"/>
              </w:rPr>
              <w:t>1</w:t>
            </w:r>
          </w:p>
        </w:tc>
        <w:tc>
          <w:tcPr>
            <w:tcW w:w="5234" w:type="dxa"/>
            <w:vMerge w:val="restart"/>
            <w:tcBorders>
              <w:top w:val="single" w:color="auto" w:sz="4" w:space="0"/>
              <w:left w:val="single" w:color="auto" w:sz="4" w:space="0"/>
              <w:right w:val="single" w:color="auto" w:sz="4" w:space="0"/>
            </w:tcBorders>
            <w:vAlign w:val="center"/>
          </w:tcPr>
          <w:p w14:paraId="35702EC8">
            <w:pPr>
              <w:wordWrap w:val="0"/>
              <w:adjustRightInd w:val="0"/>
              <w:snapToGrid w:val="0"/>
              <w:spacing w:line="400" w:lineRule="exact"/>
              <w:rPr>
                <w:rFonts w:hint="eastAsia" w:hAnsi="宋体" w:cs="宋体"/>
                <w:snapToGrid w:val="0"/>
                <w:kern w:val="0"/>
                <w:szCs w:val="24"/>
              </w:rPr>
            </w:pPr>
            <w:r>
              <w:rPr>
                <w:rFonts w:hint="eastAsia" w:hAnsi="宋体" w:cs="宋体"/>
                <w:snapToGrid w:val="0"/>
                <w:kern w:val="0"/>
                <w:szCs w:val="24"/>
              </w:rPr>
              <w:t>符合以下3种情形之一均可：</w:t>
            </w:r>
          </w:p>
          <w:p w14:paraId="4CEE69D7">
            <w:pPr>
              <w:wordWrap w:val="0"/>
              <w:adjustRightInd w:val="0"/>
              <w:snapToGrid w:val="0"/>
              <w:spacing w:line="400" w:lineRule="exact"/>
              <w:rPr>
                <w:rFonts w:hint="eastAsia" w:hAnsi="宋体" w:cs="宋体"/>
                <w:snapToGrid w:val="0"/>
                <w:kern w:val="0"/>
                <w:szCs w:val="24"/>
              </w:rPr>
            </w:pPr>
            <w:r>
              <w:rPr>
                <w:rFonts w:hint="eastAsia" w:hAnsi="宋体" w:cs="宋体"/>
                <w:snapToGrid w:val="0"/>
                <w:kern w:val="0"/>
                <w:szCs w:val="24"/>
              </w:rPr>
              <w:t>1.具备所需专业注册监理工程师执业资格，持有效的注册证书；</w:t>
            </w:r>
          </w:p>
          <w:p w14:paraId="61B71DB9">
            <w:pPr>
              <w:wordWrap w:val="0"/>
              <w:adjustRightInd w:val="0"/>
              <w:snapToGrid w:val="0"/>
              <w:spacing w:line="400" w:lineRule="exact"/>
              <w:rPr>
                <w:rFonts w:hint="eastAsia" w:hAnsi="宋体" w:cs="宋体"/>
                <w:snapToGrid w:val="0"/>
                <w:kern w:val="0"/>
                <w:szCs w:val="24"/>
              </w:rPr>
            </w:pPr>
            <w:r>
              <w:rPr>
                <w:rFonts w:hint="eastAsia" w:hAnsi="宋体" w:cs="宋体"/>
                <w:snapToGrid w:val="0"/>
                <w:kern w:val="0"/>
                <w:szCs w:val="24"/>
              </w:rPr>
              <w:t>2.具备工程类注册执业资格，并经监理业务培训。持有效的注册证书、省级建设行政主管部门或其授权的组织（机构）颁发的岗位证书；</w:t>
            </w:r>
          </w:p>
          <w:p w14:paraId="6A14E826">
            <w:pPr>
              <w:wordWrap w:val="0"/>
              <w:adjustRightInd w:val="0"/>
              <w:snapToGrid w:val="0"/>
              <w:spacing w:line="400" w:lineRule="exact"/>
              <w:rPr>
                <w:rFonts w:hint="eastAsia" w:hAnsi="宋体" w:cs="宋体"/>
                <w:snapToGrid w:val="0"/>
                <w:kern w:val="0"/>
                <w:szCs w:val="24"/>
              </w:rPr>
            </w:pPr>
            <w:r>
              <w:rPr>
                <w:rFonts w:hint="eastAsia" w:hAnsi="宋体" w:cs="宋体"/>
                <w:snapToGrid w:val="0"/>
                <w:kern w:val="0"/>
                <w:szCs w:val="24"/>
              </w:rPr>
              <w:t>3.具备中级及以上专业技术职称，并经监理业务培训。持有效的职称证书、省级建设行政主管部门或其授权的组织（机构）颁发的岗位证书。</w:t>
            </w:r>
          </w:p>
          <w:p w14:paraId="26818EA4">
            <w:pPr>
              <w:wordWrap w:val="0"/>
              <w:adjustRightInd w:val="0"/>
              <w:snapToGrid w:val="0"/>
              <w:spacing w:line="400" w:lineRule="exact"/>
              <w:rPr>
                <w:rFonts w:hint="eastAsia" w:ascii="宋体" w:hAnsi="宋体" w:eastAsia="宋体" w:cs="宋体"/>
                <w:color w:val="auto"/>
                <w:kern w:val="0"/>
                <w:sz w:val="24"/>
                <w:szCs w:val="24"/>
                <w:highlight w:val="none"/>
              </w:rPr>
            </w:pPr>
            <w:r>
              <w:rPr>
                <w:rFonts w:hint="eastAsia" w:hAnsi="宋体" w:cs="宋体"/>
                <w:snapToGrid w:val="0"/>
                <w:kern w:val="0"/>
                <w:szCs w:val="24"/>
              </w:rPr>
              <w:t>注：专业类别以注册证书或专业监理工程师证书或职称证书或毕业证所列明的专业为准。</w:t>
            </w:r>
          </w:p>
        </w:tc>
      </w:tr>
      <w:tr w14:paraId="329C0F7E">
        <w:tblPrEx>
          <w:tblCellMar>
            <w:top w:w="0" w:type="dxa"/>
            <w:left w:w="108" w:type="dxa"/>
            <w:bottom w:w="0" w:type="dxa"/>
            <w:right w:w="108" w:type="dxa"/>
          </w:tblCellMar>
        </w:tblPrEx>
        <w:trPr>
          <w:trHeight w:val="2588" w:hRule="atLeast"/>
        </w:trPr>
        <w:tc>
          <w:tcPr>
            <w:tcW w:w="1132" w:type="dxa"/>
            <w:vMerge w:val="continue"/>
            <w:tcBorders>
              <w:left w:val="single" w:color="auto" w:sz="4" w:space="0"/>
              <w:right w:val="single" w:color="auto" w:sz="4" w:space="0"/>
            </w:tcBorders>
            <w:vAlign w:val="center"/>
          </w:tcPr>
          <w:p w14:paraId="265E64D2">
            <w:pPr>
              <w:widowControl/>
              <w:spacing w:line="440" w:lineRule="exact"/>
              <w:jc w:val="center"/>
              <w:rPr>
                <w:color w:val="auto"/>
                <w:highlight w:val="none"/>
              </w:rPr>
            </w:pPr>
          </w:p>
        </w:tc>
        <w:tc>
          <w:tcPr>
            <w:tcW w:w="1937" w:type="dxa"/>
            <w:tcBorders>
              <w:top w:val="single" w:color="auto" w:sz="4" w:space="0"/>
              <w:left w:val="single" w:color="auto" w:sz="4" w:space="0"/>
              <w:right w:val="single" w:color="auto" w:sz="4" w:space="0"/>
            </w:tcBorders>
            <w:vAlign w:val="center"/>
          </w:tcPr>
          <w:p w14:paraId="65768585">
            <w:pPr>
              <w:widowControl/>
              <w:spacing w:line="360" w:lineRule="auto"/>
              <w:jc w:val="center"/>
              <w:rPr>
                <w:rFonts w:hint="eastAsia" w:eastAsia="宋体"/>
                <w:color w:val="auto"/>
                <w:highlight w:val="none"/>
                <w:lang w:val="en-US" w:eastAsia="zh-CN"/>
              </w:rPr>
            </w:pPr>
            <w:r>
              <w:rPr>
                <w:rFonts w:hint="eastAsia"/>
                <w:color w:val="auto"/>
                <w:highlight w:val="none"/>
              </w:rPr>
              <w:t>市政公用工程专业</w:t>
            </w:r>
          </w:p>
        </w:tc>
        <w:tc>
          <w:tcPr>
            <w:tcW w:w="1012" w:type="dxa"/>
            <w:tcBorders>
              <w:top w:val="single" w:color="auto" w:sz="4" w:space="0"/>
              <w:left w:val="nil"/>
              <w:bottom w:val="single" w:color="auto" w:sz="4" w:space="0"/>
              <w:right w:val="single" w:color="auto" w:sz="4" w:space="0"/>
            </w:tcBorders>
            <w:vAlign w:val="center"/>
          </w:tcPr>
          <w:p w14:paraId="2B8D468B">
            <w:pPr>
              <w:widowControl/>
              <w:spacing w:line="240" w:lineRule="auto"/>
              <w:jc w:val="center"/>
              <w:rPr>
                <w:color w:val="auto"/>
                <w:highlight w:val="none"/>
              </w:rPr>
            </w:pPr>
            <w:r>
              <w:rPr>
                <w:rFonts w:hint="eastAsia"/>
                <w:color w:val="auto"/>
                <w:highlight w:val="none"/>
                <w:lang w:val="en-US" w:eastAsia="zh-CN"/>
              </w:rPr>
              <w:t>1</w:t>
            </w:r>
          </w:p>
        </w:tc>
        <w:tc>
          <w:tcPr>
            <w:tcW w:w="5234" w:type="dxa"/>
            <w:vMerge w:val="continue"/>
            <w:tcBorders>
              <w:left w:val="single" w:color="auto" w:sz="4" w:space="0"/>
              <w:right w:val="single" w:color="auto" w:sz="4" w:space="0"/>
            </w:tcBorders>
            <w:vAlign w:val="center"/>
          </w:tcPr>
          <w:p w14:paraId="367057A8">
            <w:pPr>
              <w:widowControl/>
              <w:spacing w:line="440" w:lineRule="exact"/>
              <w:ind w:firstLine="480" w:firstLineChars="200"/>
              <w:rPr>
                <w:rFonts w:hAnsi="宋体" w:cs="宋体"/>
                <w:color w:val="auto"/>
                <w:kern w:val="0"/>
                <w:szCs w:val="24"/>
                <w:highlight w:val="none"/>
              </w:rPr>
            </w:pPr>
          </w:p>
        </w:tc>
      </w:tr>
      <w:tr w14:paraId="40775701">
        <w:tblPrEx>
          <w:tblCellMar>
            <w:top w:w="0" w:type="dxa"/>
            <w:left w:w="108" w:type="dxa"/>
            <w:bottom w:w="0" w:type="dxa"/>
            <w:right w:w="108" w:type="dxa"/>
          </w:tblCellMar>
        </w:tblPrEx>
        <w:trPr>
          <w:trHeight w:val="1110" w:hRule="atLeast"/>
        </w:trPr>
        <w:tc>
          <w:tcPr>
            <w:tcW w:w="1132" w:type="dxa"/>
            <w:tcBorders>
              <w:top w:val="single" w:color="auto" w:sz="4" w:space="0"/>
              <w:left w:val="single" w:color="auto" w:sz="4" w:space="0"/>
              <w:bottom w:val="single" w:color="auto" w:sz="4" w:space="0"/>
              <w:right w:val="single" w:color="auto" w:sz="4" w:space="0"/>
            </w:tcBorders>
            <w:vAlign w:val="center"/>
          </w:tcPr>
          <w:p w14:paraId="7BA0D98B">
            <w:pPr>
              <w:pStyle w:val="89"/>
              <w:wordWrap w:val="0"/>
              <w:adjustRightInd w:val="0"/>
              <w:snapToGrid w:val="0"/>
              <w:spacing w:line="360" w:lineRule="exact"/>
              <w:jc w:val="center"/>
              <w:rPr>
                <w:rFonts w:hint="eastAsia"/>
                <w:color w:val="auto"/>
                <w:highlight w:val="none"/>
              </w:rPr>
            </w:pPr>
            <w:r>
              <w:rPr>
                <w:rFonts w:hint="eastAsia" w:ascii="宋体" w:hAnsi="宋体" w:cs="宋体"/>
                <w:snapToGrid w:val="0"/>
                <w:kern w:val="0"/>
                <w:sz w:val="24"/>
              </w:rPr>
              <w:t>监理员</w:t>
            </w:r>
          </w:p>
        </w:tc>
        <w:tc>
          <w:tcPr>
            <w:tcW w:w="1937" w:type="dxa"/>
            <w:tcBorders>
              <w:top w:val="single" w:color="auto" w:sz="4" w:space="0"/>
              <w:left w:val="single" w:color="auto" w:sz="4" w:space="0"/>
              <w:bottom w:val="single" w:color="auto" w:sz="4" w:space="0"/>
              <w:right w:val="single" w:color="auto" w:sz="4" w:space="0"/>
            </w:tcBorders>
            <w:vAlign w:val="center"/>
          </w:tcPr>
          <w:p w14:paraId="19D3FD3D">
            <w:pPr>
              <w:pStyle w:val="89"/>
              <w:wordWrap w:val="0"/>
              <w:adjustRightInd w:val="0"/>
              <w:snapToGrid w:val="0"/>
              <w:spacing w:line="360" w:lineRule="exact"/>
              <w:jc w:val="center"/>
              <w:rPr>
                <w:rFonts w:hint="eastAsia"/>
                <w:color w:val="auto"/>
                <w:highlight w:val="none"/>
              </w:rPr>
            </w:pPr>
            <w:r>
              <w:rPr>
                <w:rFonts w:hint="eastAsia" w:ascii="宋体" w:hAnsi="宋体" w:cs="宋体"/>
                <w:snapToGrid w:val="0"/>
                <w:kern w:val="0"/>
                <w:sz w:val="24"/>
              </w:rPr>
              <w:t>具备有效期内监理员岗位证书</w:t>
            </w:r>
          </w:p>
        </w:tc>
        <w:tc>
          <w:tcPr>
            <w:tcW w:w="1012" w:type="dxa"/>
            <w:tcBorders>
              <w:top w:val="single" w:color="auto" w:sz="4" w:space="0"/>
              <w:left w:val="single" w:color="auto" w:sz="4" w:space="0"/>
              <w:bottom w:val="single" w:color="auto" w:sz="4" w:space="0"/>
              <w:right w:val="single" w:color="auto" w:sz="4" w:space="0"/>
            </w:tcBorders>
            <w:vAlign w:val="center"/>
          </w:tcPr>
          <w:p w14:paraId="7A70153E">
            <w:pPr>
              <w:pStyle w:val="89"/>
              <w:wordWrap w:val="0"/>
              <w:adjustRightInd w:val="0"/>
              <w:snapToGrid w:val="0"/>
              <w:spacing w:line="360" w:lineRule="exact"/>
              <w:jc w:val="center"/>
              <w:rPr>
                <w:rFonts w:hint="eastAsia"/>
                <w:color w:val="auto"/>
                <w:highlight w:val="none"/>
                <w:lang w:val="en-US" w:eastAsia="zh-CN"/>
              </w:rPr>
            </w:pPr>
            <w:r>
              <w:rPr>
                <w:rFonts w:hint="eastAsia" w:ascii="宋体" w:hAnsi="宋体" w:cs="宋体"/>
                <w:snapToGrid w:val="0"/>
                <w:kern w:val="0"/>
                <w:sz w:val="24"/>
                <w:lang w:val="en-US" w:eastAsia="zh-CN"/>
              </w:rPr>
              <w:t>1</w:t>
            </w:r>
          </w:p>
        </w:tc>
        <w:tc>
          <w:tcPr>
            <w:tcW w:w="5234" w:type="dxa"/>
            <w:tcBorders>
              <w:top w:val="single" w:color="auto" w:sz="4" w:space="0"/>
              <w:left w:val="single" w:color="auto" w:sz="4" w:space="0"/>
              <w:bottom w:val="single" w:color="auto" w:sz="4" w:space="0"/>
              <w:right w:val="single" w:color="auto" w:sz="4" w:space="0"/>
            </w:tcBorders>
            <w:vAlign w:val="center"/>
          </w:tcPr>
          <w:p w14:paraId="5781BF9D">
            <w:pPr>
              <w:pStyle w:val="89"/>
              <w:wordWrap w:val="0"/>
              <w:adjustRightInd w:val="0"/>
              <w:snapToGrid w:val="0"/>
              <w:spacing w:line="360" w:lineRule="exact"/>
              <w:rPr>
                <w:rFonts w:hint="eastAsia" w:hAnsi="宋体" w:cs="宋体"/>
                <w:color w:val="auto"/>
                <w:kern w:val="0"/>
                <w:szCs w:val="24"/>
                <w:highlight w:val="none"/>
              </w:rPr>
            </w:pPr>
            <w:r>
              <w:rPr>
                <w:rFonts w:hint="eastAsia" w:ascii="宋体" w:hAnsi="宋体" w:cs="宋体"/>
                <w:snapToGrid w:val="0"/>
                <w:kern w:val="0"/>
                <w:sz w:val="24"/>
              </w:rPr>
              <w:t>经监理业务培训，持有效的省级建设行政主管部门或其授权的组织（机构）颁发的岗位证书。</w:t>
            </w:r>
          </w:p>
        </w:tc>
      </w:tr>
    </w:tbl>
    <w:p w14:paraId="0D858DD0">
      <w:pPr>
        <w:wordWrap w:val="0"/>
        <w:adjustRightInd w:val="0"/>
        <w:snapToGrid w:val="0"/>
        <w:spacing w:line="440" w:lineRule="exact"/>
        <w:ind w:firstLine="480" w:firstLineChars="200"/>
        <w:rPr>
          <w:rFonts w:ascii="Times New Roman"/>
          <w:snapToGrid w:val="0"/>
          <w:color w:val="auto"/>
          <w:kern w:val="0"/>
          <w:highlight w:val="none"/>
        </w:rPr>
      </w:pPr>
      <w:r>
        <w:rPr>
          <w:rFonts w:hint="eastAsia" w:hAnsi="宋体" w:cs="宋体"/>
          <w:color w:val="auto"/>
          <w:kern w:val="0"/>
          <w:szCs w:val="24"/>
          <w:highlight w:val="none"/>
        </w:rPr>
        <w:t>注：</w:t>
      </w:r>
      <w:r>
        <w:rPr>
          <w:rFonts w:hint="eastAsia" w:ascii="宋体" w:hAnsi="宋体" w:eastAsia="宋体" w:cs="宋体"/>
          <w:color w:val="auto"/>
          <w:kern w:val="0"/>
          <w:sz w:val="24"/>
          <w:szCs w:val="24"/>
          <w:highlight w:val="none"/>
          <w:lang w:val="en-US" w:eastAsia="zh-CN" w:bidi="ar"/>
        </w:rPr>
        <w:t>以上人员一人一岗，不得重复。除总监理工程师外，本需求表拟委派的项目监理机构其他人员只作为综合评分的评审依据，不属于资格评审、形式评审、响应性评审的审查内容，不得作为否决投标条件。</w:t>
      </w:r>
    </w:p>
    <w:p w14:paraId="6ECBC50F">
      <w:pPr>
        <w:rPr>
          <w:color w:val="auto"/>
          <w:highlight w:val="none"/>
        </w:rPr>
      </w:pPr>
      <w:r>
        <w:rPr>
          <w:color w:val="auto"/>
          <w:highlight w:val="none"/>
        </w:rPr>
        <w:br w:type="page"/>
      </w:r>
    </w:p>
    <w:p w14:paraId="608AD022">
      <w:pPr>
        <w:wordWrap w:val="0"/>
        <w:adjustRightInd w:val="0"/>
        <w:snapToGrid w:val="0"/>
        <w:spacing w:line="360" w:lineRule="auto"/>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15.5.2 </w:t>
      </w:r>
      <w:r>
        <w:rPr>
          <w:rFonts w:hint="eastAsia" w:hAnsi="宋体" w:cs="宋体"/>
          <w:snapToGrid w:val="0"/>
          <w:color w:val="auto"/>
          <w:kern w:val="0"/>
          <w:szCs w:val="24"/>
          <w:highlight w:val="none"/>
        </w:rPr>
        <w:t>否决投标说明</w:t>
      </w:r>
    </w:p>
    <w:p w14:paraId="50B462FA">
      <w:pPr>
        <w:wordWrap w:val="0"/>
        <w:adjustRightInd w:val="0"/>
        <w:snapToGrid w:val="0"/>
        <w:spacing w:line="360" w:lineRule="auto"/>
        <w:ind w:firstLine="562"/>
        <w:rPr>
          <w:rFonts w:hAnsi="宋体" w:cs="宋体"/>
          <w:snapToGrid w:val="0"/>
          <w:color w:val="auto"/>
          <w:kern w:val="0"/>
          <w:szCs w:val="24"/>
          <w:highlight w:val="none"/>
        </w:rPr>
      </w:pPr>
      <w:r>
        <w:rPr>
          <w:rFonts w:hint="eastAsia" w:hAnsi="宋体" w:cs="宋体"/>
          <w:snapToGrid w:val="0"/>
          <w:color w:val="auto"/>
          <w:kern w:val="0"/>
          <w:szCs w:val="24"/>
          <w:highlight w:val="none"/>
        </w:rPr>
        <w:t>详细评审阶段否决投标的全部条件，在本章第四节“否决投标条件”第</w:t>
      </w:r>
      <w:r>
        <w:rPr>
          <w:rFonts w:hint="eastAsia" w:hAnsi="宋体" w:cs="宋体"/>
          <w:b/>
          <w:bCs/>
          <w:snapToGrid w:val="0"/>
          <w:color w:val="auto"/>
          <w:kern w:val="0"/>
          <w:szCs w:val="24"/>
          <w:highlight w:val="none"/>
        </w:rPr>
        <w:t>4</w:t>
      </w:r>
      <w:r>
        <w:rPr>
          <w:rFonts w:hint="eastAsia" w:hAnsi="宋体" w:cs="宋体"/>
          <w:snapToGrid w:val="0"/>
          <w:color w:val="auto"/>
          <w:kern w:val="0"/>
          <w:szCs w:val="24"/>
          <w:highlight w:val="none"/>
        </w:rPr>
        <w:t>条中集中列示。投标人有其中所列任何一种情形的，由评标委员会否决其投标。经详细评审后，若所有投标均被否决，招标人应当依法重新招标。</w:t>
      </w:r>
    </w:p>
    <w:p w14:paraId="5F9A3E44">
      <w:pPr>
        <w:wordWrap w:val="0"/>
        <w:adjustRightInd w:val="0"/>
        <w:snapToGrid w:val="0"/>
        <w:spacing w:line="360" w:lineRule="auto"/>
        <w:ind w:firstLine="482" w:firstLineChars="200"/>
        <w:rPr>
          <w:rFonts w:hAnsi="宋体" w:cs="宋体"/>
          <w:b/>
          <w:snapToGrid w:val="0"/>
          <w:color w:val="auto"/>
          <w:kern w:val="0"/>
          <w:szCs w:val="24"/>
          <w:highlight w:val="none"/>
        </w:rPr>
      </w:pPr>
      <w:r>
        <w:rPr>
          <w:rFonts w:hint="eastAsia" w:hAnsi="宋体" w:cs="宋体"/>
          <w:b/>
          <w:bCs/>
          <w:snapToGrid w:val="0"/>
          <w:color w:val="auto"/>
          <w:kern w:val="0"/>
          <w:szCs w:val="24"/>
          <w:highlight w:val="none"/>
        </w:rPr>
        <w:t>注：投标人在详细评审阶段根据评分方法提供的佐证材料，其合法性、有效性和准确性不符合要求的，有关评分因素的评分按相应评分标准处理，但不否决投标。</w:t>
      </w:r>
    </w:p>
    <w:p w14:paraId="0A8800E7">
      <w:pPr>
        <w:wordWrap w:val="0"/>
        <w:adjustRightInd w:val="0"/>
        <w:snapToGrid w:val="0"/>
        <w:spacing w:line="360" w:lineRule="auto"/>
        <w:ind w:firstLine="482" w:firstLineChars="200"/>
        <w:outlineLvl w:val="2"/>
        <w:rPr>
          <w:rFonts w:hAnsi="宋体" w:cs="宋体"/>
          <w:b/>
          <w:snapToGrid w:val="0"/>
          <w:color w:val="auto"/>
          <w:kern w:val="0"/>
          <w:szCs w:val="24"/>
          <w:highlight w:val="none"/>
        </w:rPr>
      </w:pPr>
      <w:bookmarkStart w:id="59" w:name="_Toc9172"/>
      <w:r>
        <w:rPr>
          <w:rFonts w:hint="eastAsia" w:hAnsi="宋体" w:cs="宋体"/>
          <w:b/>
          <w:snapToGrid w:val="0"/>
          <w:color w:val="auto"/>
          <w:kern w:val="0"/>
          <w:szCs w:val="24"/>
          <w:highlight w:val="none"/>
        </w:rPr>
        <w:t>16．推荐</w:t>
      </w:r>
      <w:r>
        <w:rPr>
          <w:rFonts w:hint="eastAsia" w:hAnsi="宋体" w:cs="宋体"/>
          <w:b/>
          <w:snapToGrid w:val="0"/>
          <w:color w:val="auto"/>
          <w:kern w:val="0"/>
          <w:szCs w:val="24"/>
          <w:highlight w:val="none"/>
          <w:lang w:val="en-US" w:eastAsia="zh-CN"/>
        </w:rPr>
        <w:t>定标</w:t>
      </w:r>
      <w:r>
        <w:rPr>
          <w:rFonts w:hint="eastAsia" w:hAnsi="宋体" w:cs="宋体"/>
          <w:b/>
          <w:snapToGrid w:val="0"/>
          <w:color w:val="auto"/>
          <w:kern w:val="0"/>
          <w:szCs w:val="24"/>
          <w:highlight w:val="none"/>
        </w:rPr>
        <w:t>候选人</w:t>
      </w:r>
      <w:bookmarkEnd w:id="59"/>
    </w:p>
    <w:p w14:paraId="4451EAF6">
      <w:pPr>
        <w:wordWrap w:val="0"/>
        <w:adjustRightInd w:val="0"/>
        <w:snapToGrid w:val="0"/>
        <w:spacing w:line="360" w:lineRule="auto"/>
        <w:ind w:firstLine="482" w:firstLineChars="200"/>
        <w:rPr>
          <w:rFonts w:hint="eastAsia"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16.1</w:t>
      </w:r>
      <w:r>
        <w:rPr>
          <w:rFonts w:hint="eastAsia" w:hAnsi="宋体" w:cs="宋体"/>
          <w:snapToGrid w:val="0"/>
          <w:color w:val="auto"/>
          <w:kern w:val="0"/>
          <w:szCs w:val="24"/>
          <w:highlight w:val="none"/>
        </w:rPr>
        <w:t>评标委员会根据招标文件规定的评分细则，对招标文件中的各评审因素进行评审、比较、打分，将得分前5名不排序</w:t>
      </w:r>
      <w:r>
        <w:rPr>
          <w:rFonts w:hint="eastAsia" w:ascii="宋体" w:hAnsi="宋体" w:eastAsia="宋体" w:cs="宋体"/>
          <w:color w:val="auto"/>
          <w:sz w:val="24"/>
          <w:szCs w:val="24"/>
          <w:highlight w:val="none"/>
        </w:rPr>
        <w:t>（按企业统一社会信用代码后4位大小排位</w:t>
      </w:r>
      <w:r>
        <w:rPr>
          <w:rFonts w:hint="eastAsia" w:ascii="宋体" w:hAnsi="宋体" w:cs="宋体"/>
          <w:snapToGrid w:val="0"/>
          <w:color w:val="auto"/>
          <w:kern w:val="0"/>
          <w:sz w:val="24"/>
          <w:szCs w:val="24"/>
          <w:highlight w:val="none"/>
          <w:lang w:eastAsia="zh-CN"/>
        </w:rPr>
        <w:t>，</w:t>
      </w:r>
      <w:r>
        <w:rPr>
          <w:rFonts w:hint="eastAsia" w:ascii="宋体" w:hAnsi="宋体" w:cs="宋体"/>
          <w:snapToGrid w:val="0"/>
          <w:color w:val="auto"/>
          <w:kern w:val="0"/>
          <w:sz w:val="24"/>
          <w:szCs w:val="24"/>
          <w:highlight w:val="none"/>
          <w:lang w:val="en-US" w:eastAsia="zh-CN"/>
        </w:rPr>
        <w:t>其中：</w:t>
      </w:r>
      <w:r>
        <w:rPr>
          <w:rFonts w:hint="eastAsia" w:hAnsi="宋体"/>
          <w:color w:val="auto"/>
          <w:sz w:val="24"/>
          <w:szCs w:val="24"/>
          <w:highlight w:val="none"/>
          <w:lang w:eastAsia="zh-CN"/>
        </w:rPr>
        <w:t>数字＜字母、字母按A→Z顺序</w:t>
      </w:r>
      <w:r>
        <w:rPr>
          <w:rFonts w:hint="eastAsia" w:ascii="宋体" w:hAnsi="宋体" w:eastAsia="宋体" w:cs="宋体"/>
          <w:color w:val="auto"/>
          <w:sz w:val="24"/>
          <w:szCs w:val="24"/>
          <w:highlight w:val="none"/>
        </w:rPr>
        <w:t>）</w:t>
      </w:r>
      <w:r>
        <w:rPr>
          <w:rFonts w:hint="eastAsia" w:hAnsi="宋体" w:cs="宋体"/>
          <w:snapToGrid w:val="0"/>
          <w:color w:val="auto"/>
          <w:kern w:val="0"/>
          <w:szCs w:val="24"/>
          <w:highlight w:val="none"/>
        </w:rPr>
        <w:t>的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4F2FD8CF">
      <w:pPr>
        <w:wordWrap w:val="0"/>
        <w:adjustRightInd w:val="0"/>
        <w:snapToGrid w:val="0"/>
        <w:spacing w:line="360" w:lineRule="auto"/>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16.2</w:t>
      </w:r>
      <w:r>
        <w:rPr>
          <w:rFonts w:hint="eastAsia" w:hAnsi="宋体" w:cs="宋体"/>
          <w:snapToGrid w:val="0"/>
          <w:color w:val="auto"/>
          <w:kern w:val="0"/>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32492F68">
      <w:pPr>
        <w:wordWrap w:val="0"/>
        <w:adjustRightInd w:val="0"/>
        <w:snapToGrid w:val="0"/>
        <w:spacing w:line="360" w:lineRule="auto"/>
        <w:ind w:firstLine="482" w:firstLineChars="200"/>
        <w:outlineLvl w:val="2"/>
        <w:rPr>
          <w:rFonts w:hAnsi="宋体" w:cs="宋体"/>
          <w:b/>
          <w:snapToGrid w:val="0"/>
          <w:color w:val="auto"/>
          <w:kern w:val="0"/>
          <w:szCs w:val="24"/>
          <w:highlight w:val="none"/>
        </w:rPr>
      </w:pPr>
      <w:bookmarkStart w:id="60" w:name="_Toc30223"/>
      <w:r>
        <w:rPr>
          <w:rFonts w:hint="eastAsia" w:hAnsi="宋体" w:cs="宋体"/>
          <w:b/>
          <w:snapToGrid w:val="0"/>
          <w:color w:val="auto"/>
          <w:kern w:val="0"/>
          <w:szCs w:val="24"/>
          <w:highlight w:val="none"/>
        </w:rPr>
        <w:t>17．评标结果公示</w:t>
      </w:r>
      <w:bookmarkEnd w:id="60"/>
    </w:p>
    <w:p w14:paraId="5CCE9DE5">
      <w:pPr>
        <w:wordWrap w:val="0"/>
        <w:adjustRightInd w:val="0"/>
        <w:snapToGrid w:val="0"/>
        <w:spacing w:line="360" w:lineRule="auto"/>
        <w:ind w:firstLine="482" w:firstLineChars="200"/>
        <w:rPr>
          <w:rFonts w:hint="eastAsia" w:hAnsi="宋体" w:cs="宋体"/>
          <w:b w:val="0"/>
          <w:bCs w:val="0"/>
          <w:snapToGrid w:val="0"/>
          <w:color w:val="auto"/>
          <w:kern w:val="0"/>
          <w:szCs w:val="24"/>
          <w:highlight w:val="none"/>
        </w:rPr>
      </w:pPr>
      <w:r>
        <w:rPr>
          <w:rFonts w:hint="eastAsia" w:hAnsi="宋体" w:cs="宋体"/>
          <w:b/>
          <w:bCs/>
          <w:snapToGrid w:val="0"/>
          <w:color w:val="auto"/>
          <w:kern w:val="0"/>
          <w:szCs w:val="24"/>
          <w:highlight w:val="none"/>
          <w:lang w:val="en-US" w:eastAsia="zh-CN"/>
        </w:rPr>
        <w:t>17.1</w:t>
      </w:r>
      <w:r>
        <w:rPr>
          <w:rFonts w:hint="eastAsia" w:hAnsi="宋体" w:cs="宋体"/>
          <w:b w:val="0"/>
          <w:bCs w:val="0"/>
          <w:snapToGrid w:val="0"/>
          <w:color w:val="auto"/>
          <w:kern w:val="0"/>
          <w:szCs w:val="24"/>
          <w:highlight w:val="none"/>
        </w:rPr>
        <w:t>评标委员会按照投标人评审综合总得分由高到低的原则,向招标人推荐已明确的定标候选人数量（不标明排序）。评标委员会推荐定标候选人后，招标人应</w:t>
      </w:r>
      <w:r>
        <w:rPr>
          <w:rFonts w:hint="eastAsia" w:hAnsi="宋体" w:cs="宋体"/>
          <w:b w:val="0"/>
          <w:bCs w:val="0"/>
          <w:snapToGrid w:val="0"/>
          <w:color w:val="auto"/>
          <w:kern w:val="0"/>
          <w:szCs w:val="24"/>
          <w:highlight w:val="none"/>
          <w:lang w:val="en-US" w:eastAsia="zh-CN"/>
        </w:rPr>
        <w:t>在收到评标报告之日起3</w:t>
      </w:r>
      <w:r>
        <w:rPr>
          <w:rFonts w:hint="eastAsia" w:hAnsi="宋体" w:cs="宋体"/>
          <w:b w:val="0"/>
          <w:bCs w:val="0"/>
          <w:snapToGrid w:val="0"/>
          <w:color w:val="auto"/>
          <w:kern w:val="0"/>
          <w:szCs w:val="24"/>
          <w:highlight w:val="none"/>
        </w:rPr>
        <w:t>日内将定标候选人和评标情况在广东省招标投标监管网和全国公共资源交易平台（广东省·韶关市）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0E97DAAC">
      <w:pPr>
        <w:wordWrap w:val="0"/>
        <w:adjustRightInd w:val="0"/>
        <w:snapToGrid w:val="0"/>
        <w:spacing w:line="360" w:lineRule="auto"/>
        <w:ind w:firstLine="482" w:firstLineChars="200"/>
        <w:rPr>
          <w:rFonts w:hint="eastAsia" w:hAnsi="宋体" w:cs="宋体"/>
          <w:b w:val="0"/>
          <w:bCs w:val="0"/>
          <w:snapToGrid w:val="0"/>
          <w:color w:val="auto"/>
          <w:kern w:val="0"/>
          <w:szCs w:val="24"/>
          <w:highlight w:val="none"/>
        </w:rPr>
      </w:pPr>
      <w:r>
        <w:rPr>
          <w:rFonts w:hint="eastAsia" w:hAnsi="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.2</w:t>
      </w:r>
      <w:r>
        <w:rPr>
          <w:rFonts w:hint="eastAsia" w:hAnsi="宋体" w:cs="宋体"/>
          <w:b w:val="0"/>
          <w:bCs w:val="0"/>
          <w:snapToGrid w:val="0"/>
          <w:color w:val="auto"/>
          <w:kern w:val="0"/>
          <w:szCs w:val="24"/>
          <w:highlight w:val="none"/>
          <w:lang w:val="en-US" w:eastAsia="zh-CN"/>
        </w:rPr>
        <w:t>投标人对评标结果、定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w:t>
      </w:r>
      <w:r>
        <w:rPr>
          <w:rFonts w:hint="eastAsia" w:hAnsi="宋体" w:cs="宋体"/>
          <w:b w:val="0"/>
          <w:bCs w:val="0"/>
          <w:snapToGrid w:val="0"/>
          <w:color w:val="auto"/>
          <w:kern w:val="0"/>
          <w:szCs w:val="24"/>
          <w:highlight w:val="none"/>
        </w:rPr>
        <w:t>按照《韶关市工程建设项目招标投标活动异议和投诉处理办法》（韶发改〔2021〕44号）执行</w:t>
      </w:r>
      <w:r>
        <w:rPr>
          <w:rFonts w:hint="eastAsia" w:hAnsi="宋体" w:cs="宋体"/>
          <w:b w:val="0"/>
          <w:bCs w:val="0"/>
          <w:snapToGrid w:val="0"/>
          <w:color w:val="auto"/>
          <w:kern w:val="0"/>
          <w:szCs w:val="24"/>
          <w:highlight w:val="none"/>
          <w:lang w:val="en-US" w:eastAsia="zh-CN"/>
        </w:rPr>
        <w:t>。如通过交易服务平台提出异议，投标人必须上传提交异议书扫描件（作为附件），异议书格式内容按照《韶关市工程建设项目招标投标活动异议和投诉处理办法》（韶法审〔2020〕19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66C7A01C">
      <w:pPr>
        <w:rPr>
          <w:rFonts w:hint="eastAsia" w:hAnsi="宋体" w:cs="宋体"/>
          <w:b w:val="0"/>
          <w:bCs w:val="0"/>
          <w:snapToGrid w:val="0"/>
          <w:color w:val="auto"/>
          <w:kern w:val="0"/>
          <w:szCs w:val="24"/>
          <w:highlight w:val="none"/>
        </w:rPr>
      </w:pPr>
      <w:r>
        <w:rPr>
          <w:rFonts w:hint="eastAsia" w:hAnsi="宋体" w:cs="宋体"/>
          <w:b w:val="0"/>
          <w:bCs w:val="0"/>
          <w:snapToGrid w:val="0"/>
          <w:color w:val="auto"/>
          <w:kern w:val="0"/>
          <w:szCs w:val="24"/>
          <w:highlight w:val="none"/>
        </w:rPr>
        <w:br w:type="page"/>
      </w:r>
    </w:p>
    <w:p w14:paraId="34A21B3C">
      <w:pPr>
        <w:wordWrap w:val="0"/>
        <w:adjustRightInd w:val="0"/>
        <w:snapToGrid w:val="0"/>
        <w:spacing w:line="360" w:lineRule="auto"/>
        <w:outlineLvl w:val="1"/>
        <w:rPr>
          <w:rFonts w:hAnsi="宋体" w:cs="宋体"/>
          <w:snapToGrid w:val="0"/>
          <w:color w:val="auto"/>
          <w:kern w:val="0"/>
          <w:highlight w:val="none"/>
        </w:rPr>
      </w:pPr>
      <w:bookmarkStart w:id="61" w:name="_Toc23707"/>
      <w:r>
        <w:rPr>
          <w:rFonts w:hint="eastAsia" w:hAnsi="宋体" w:cs="宋体"/>
          <w:b/>
          <w:bCs/>
          <w:snapToGrid w:val="0"/>
          <w:color w:val="auto"/>
          <w:kern w:val="0"/>
          <w:highlight w:val="none"/>
        </w:rPr>
        <w:t>第四节 否决投标条件</w:t>
      </w:r>
      <w:bookmarkEnd w:id="61"/>
    </w:p>
    <w:p w14:paraId="4F430B91">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本节所集中列示的否决投标条件，是本章第三节“投标人须知正文”的组成部分，是对本章第三节所规定的否决投标条件的总结和补充。</w:t>
      </w:r>
      <w:r>
        <w:rPr>
          <w:rFonts w:hint="eastAsia" w:hAnsi="宋体" w:cs="宋体"/>
          <w:b/>
          <w:bCs/>
          <w:snapToGrid w:val="0"/>
          <w:color w:val="auto"/>
          <w:kern w:val="0"/>
          <w:highlight w:val="none"/>
        </w:rPr>
        <w:t>投标人未有列入本节情形的，评标时一律不得否决其投标。</w:t>
      </w:r>
      <w:r>
        <w:rPr>
          <w:rFonts w:hint="eastAsia" w:hAnsi="宋体" w:cs="宋体"/>
          <w:snapToGrid w:val="0"/>
          <w:color w:val="auto"/>
          <w:kern w:val="0"/>
          <w:highlight w:val="none"/>
        </w:rPr>
        <w:t>本节所称“规定”均指招标文件的规定。</w:t>
      </w:r>
    </w:p>
    <w:p w14:paraId="57966723">
      <w:pPr>
        <w:wordWrap w:val="0"/>
        <w:adjustRightInd w:val="0"/>
        <w:snapToGrid w:val="0"/>
        <w:spacing w:line="360" w:lineRule="auto"/>
        <w:ind w:firstLine="480"/>
        <w:outlineLvl w:val="2"/>
        <w:rPr>
          <w:rFonts w:hAnsi="宋体" w:cs="宋体"/>
          <w:snapToGrid w:val="0"/>
          <w:color w:val="auto"/>
          <w:kern w:val="0"/>
          <w:highlight w:val="none"/>
        </w:rPr>
      </w:pPr>
      <w:bookmarkStart w:id="62" w:name="_Toc27116"/>
      <w:r>
        <w:rPr>
          <w:rFonts w:hint="eastAsia" w:hAnsi="宋体" w:cs="宋体"/>
          <w:b/>
          <w:bCs/>
          <w:snapToGrid w:val="0"/>
          <w:color w:val="auto"/>
          <w:kern w:val="0"/>
          <w:highlight w:val="none"/>
        </w:rPr>
        <w:t>1．资格评审环节</w:t>
      </w:r>
      <w:bookmarkEnd w:id="62"/>
    </w:p>
    <w:p w14:paraId="56BEEF11">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投标人有下列情形之一的，评标委员会应否决其投标。被否决的投标，不进入形式评审环节。</w:t>
      </w:r>
    </w:p>
    <w:p w14:paraId="6966506D">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（1）有本章第三节第</w:t>
      </w:r>
      <w:r>
        <w:rPr>
          <w:rFonts w:hint="eastAsia" w:hAnsi="宋体" w:cs="宋体"/>
          <w:b/>
          <w:bCs/>
          <w:snapToGrid w:val="0"/>
          <w:color w:val="auto"/>
          <w:kern w:val="0"/>
          <w:highlight w:val="none"/>
        </w:rPr>
        <w:t>2.4</w:t>
      </w:r>
      <w:r>
        <w:rPr>
          <w:rFonts w:hint="eastAsia" w:hAnsi="宋体" w:cs="宋体"/>
          <w:snapToGrid w:val="0"/>
          <w:color w:val="auto"/>
          <w:kern w:val="0"/>
          <w:highlight w:val="none"/>
        </w:rPr>
        <w:t>条“禁止投标条款”规定的任何一种情形；</w:t>
      </w:r>
    </w:p>
    <w:p w14:paraId="6E1D6D57">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（2）投标人资质不符合</w:t>
      </w:r>
      <w:r>
        <w:rPr>
          <w:rFonts w:hint="eastAsia" w:hAnsi="宋体" w:cs="宋体"/>
          <w:snapToGrid w:val="0"/>
          <w:color w:val="auto"/>
          <w:kern w:val="0"/>
          <w:szCs w:val="18"/>
          <w:highlight w:val="none"/>
        </w:rPr>
        <w:t>规定的；</w:t>
      </w:r>
    </w:p>
    <w:p w14:paraId="4F9E9EC2">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（3）投标人名称与营业执照、资质证书上的企业名称相互不一致的；其资质证书不是由住房城乡建设主管部门颁发的；营业执照、资质证书被吊销、暂扣或不在有效期内的；</w:t>
      </w:r>
    </w:p>
    <w:p w14:paraId="6AE1E867">
      <w:pPr>
        <w:wordWrap w:val="0"/>
        <w:adjustRightInd w:val="0"/>
        <w:snapToGrid w:val="0"/>
        <w:spacing w:line="360" w:lineRule="auto"/>
        <w:ind w:firstLine="480"/>
        <w:rPr>
          <w:rFonts w:hAnsi="宋体" w:cs="宋体"/>
          <w:b/>
          <w:bCs/>
          <w:snapToGrid w:val="0"/>
          <w:color w:val="auto"/>
          <w:kern w:val="0"/>
          <w:highlight w:val="none"/>
        </w:rPr>
      </w:pPr>
      <w:r>
        <w:rPr>
          <w:rFonts w:hint="eastAsia" w:hAnsi="宋体" w:cs="宋体"/>
          <w:b/>
          <w:bCs/>
          <w:snapToGrid w:val="0"/>
          <w:color w:val="auto"/>
          <w:kern w:val="0"/>
          <w:highlight w:val="none"/>
        </w:rPr>
        <w:t>注：投标人已经工商变更，但其企业资质证书的企业名称未完成变更的，不得否决其投标；投标人营业执照、资质证书之间登记的信息不一致，应当允许投标人澄清，不得直接否决其投标。</w:t>
      </w:r>
    </w:p>
    <w:p w14:paraId="0DE255B8">
      <w:pPr>
        <w:wordWrap w:val="0"/>
        <w:adjustRightInd w:val="0"/>
        <w:snapToGrid w:val="0"/>
        <w:spacing w:line="360" w:lineRule="auto"/>
        <w:ind w:firstLine="480"/>
        <w:rPr>
          <w:rFonts w:hAnsi="宋体" w:cs="宋体"/>
          <w:b/>
          <w:bCs/>
          <w:snapToGrid w:val="0"/>
          <w:color w:val="auto"/>
          <w:kern w:val="0"/>
          <w:szCs w:val="22"/>
          <w:highlight w:val="none"/>
        </w:rPr>
      </w:pPr>
      <w:r>
        <w:rPr>
          <w:rFonts w:hint="eastAsia" w:hAnsi="宋体" w:cs="宋体"/>
          <w:b/>
          <w:bCs/>
          <w:snapToGrid w:val="0"/>
          <w:color w:val="auto"/>
          <w:kern w:val="0"/>
          <w:highlight w:val="none"/>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r>
        <w:rPr>
          <w:rFonts w:hint="eastAsia" w:hAnsi="宋体" w:cs="宋体"/>
          <w:b/>
          <w:bCs/>
          <w:snapToGrid w:val="0"/>
          <w:color w:val="auto"/>
          <w:kern w:val="0"/>
          <w:szCs w:val="22"/>
          <w:highlight w:val="none"/>
        </w:rPr>
        <w:t xml:space="preserve">  </w:t>
      </w:r>
    </w:p>
    <w:p w14:paraId="7CEA31B1">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w:t>
      </w:r>
      <w:r>
        <w:rPr>
          <w:rFonts w:hint="eastAsia" w:hAnsi="宋体" w:cs="宋体"/>
          <w:snapToGrid w:val="0"/>
          <w:color w:val="auto"/>
          <w:kern w:val="0"/>
          <w:szCs w:val="18"/>
          <w:highlight w:val="none"/>
        </w:rPr>
        <w:t>总监理工程师任职项目情况表</w:t>
      </w:r>
      <w:r>
        <w:rPr>
          <w:rFonts w:hint="eastAsia" w:hAnsi="宋体" w:cs="宋体"/>
          <w:snapToGrid w:val="0"/>
          <w:color w:val="auto"/>
          <w:kern w:val="0"/>
          <w:highlight w:val="none"/>
        </w:rPr>
        <w:t>》未经任职项目建设单位盖章同意、又未提交任职项目建设单位另行出具的书面同意意见的；</w:t>
      </w:r>
    </w:p>
    <w:p w14:paraId="56833A03">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（5）拟派总监理工程师的注册证书不是住房和城乡建设主管部门颁发的，或注册单位与投标人不一致的，或不在有效期内的；</w:t>
      </w:r>
    </w:p>
    <w:p w14:paraId="1965185D">
      <w:pPr>
        <w:wordWrap w:val="0"/>
        <w:adjustRightInd w:val="0"/>
        <w:snapToGrid w:val="0"/>
        <w:spacing w:line="360" w:lineRule="auto"/>
        <w:ind w:firstLine="480"/>
        <w:rPr>
          <w:rFonts w:hAnsi="宋体" w:cs="宋体"/>
          <w:b/>
          <w:bCs/>
          <w:snapToGrid w:val="0"/>
          <w:color w:val="auto"/>
          <w:kern w:val="0"/>
          <w:highlight w:val="none"/>
        </w:rPr>
      </w:pPr>
      <w:r>
        <w:rPr>
          <w:rFonts w:hint="eastAsia" w:hAnsi="宋体" w:cs="宋体"/>
          <w:b/>
          <w:bCs/>
          <w:snapToGrid w:val="0"/>
          <w:color w:val="auto"/>
          <w:kern w:val="0"/>
          <w:highlight w:val="none"/>
        </w:rPr>
        <w:t>注：投标人已经工商变更，但其员工执业资格注册证书的注册单位名称未完成变更的，不得否决其投标。</w:t>
      </w:r>
    </w:p>
    <w:p w14:paraId="62BE3D50">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（6）招标文件规定不接受联合体投标，但以联合体投标的；</w:t>
      </w:r>
    </w:p>
    <w:p w14:paraId="1F2422DB">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（7）投标人为外省企业，但未提供“进粤企业和人员诚信信息登记平台”企业和拟派人员信息情况打印页或网页截图的。</w:t>
      </w:r>
    </w:p>
    <w:p w14:paraId="62F99A62">
      <w:pPr>
        <w:wordWrap w:val="0"/>
        <w:adjustRightInd w:val="0"/>
        <w:snapToGrid w:val="0"/>
        <w:spacing w:line="360" w:lineRule="auto"/>
        <w:ind w:firstLine="480"/>
        <w:outlineLvl w:val="2"/>
        <w:rPr>
          <w:rFonts w:hAnsi="宋体" w:cs="宋体"/>
          <w:snapToGrid w:val="0"/>
          <w:color w:val="auto"/>
          <w:kern w:val="0"/>
          <w:highlight w:val="none"/>
        </w:rPr>
      </w:pPr>
      <w:bookmarkStart w:id="63" w:name="_Toc13579"/>
      <w:r>
        <w:rPr>
          <w:rFonts w:hint="eastAsia" w:hAnsi="宋体" w:cs="宋体"/>
          <w:b/>
          <w:bCs/>
          <w:snapToGrid w:val="0"/>
          <w:color w:val="auto"/>
          <w:kern w:val="0"/>
          <w:highlight w:val="none"/>
        </w:rPr>
        <w:t>2．形式评审环节</w:t>
      </w:r>
      <w:bookmarkEnd w:id="63"/>
    </w:p>
    <w:p w14:paraId="71B02802">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投标人有下列情形之一的，评标委员会应否决其投标。被否决的投标，不进入响应性评审环节。</w:t>
      </w:r>
    </w:p>
    <w:p w14:paraId="5E1948CB">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（8）投标文件各分册未按招标文件规定加盖电子印章的；</w:t>
      </w:r>
    </w:p>
    <w:p w14:paraId="5C1F4629">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（9）本章第三节第</w:t>
      </w:r>
      <w:r>
        <w:rPr>
          <w:rFonts w:hint="eastAsia" w:hAnsi="宋体" w:cs="宋体"/>
          <w:b/>
          <w:bCs/>
          <w:snapToGrid w:val="0"/>
          <w:color w:val="auto"/>
          <w:kern w:val="0"/>
          <w:szCs w:val="18"/>
          <w:highlight w:val="none"/>
        </w:rPr>
        <w:t>10.2.2</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第</w:t>
      </w:r>
      <w:r>
        <w:rPr>
          <w:rFonts w:hint="eastAsia" w:hAnsi="宋体" w:cs="宋体"/>
          <w:b/>
          <w:bCs/>
          <w:snapToGrid w:val="0"/>
          <w:color w:val="auto"/>
          <w:kern w:val="0"/>
          <w:szCs w:val="18"/>
          <w:highlight w:val="none"/>
        </w:rPr>
        <w:t>10.3.3</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中规定的“</w:t>
      </w:r>
      <w:r>
        <w:rPr>
          <w:rFonts w:hint="eastAsia" w:hAnsi="宋体" w:cs="宋体"/>
          <w:snapToGrid w:val="0"/>
          <w:color w:val="auto"/>
          <w:kern w:val="0"/>
          <w:szCs w:val="18"/>
          <w:highlight w:val="none"/>
        </w:rPr>
        <w:t>所有投标人均应提供</w:t>
      </w:r>
      <w:r>
        <w:rPr>
          <w:rFonts w:hint="eastAsia" w:hAnsi="宋体" w:cs="宋体"/>
          <w:snapToGrid w:val="0"/>
          <w:color w:val="auto"/>
          <w:kern w:val="0"/>
          <w:highlight w:val="none"/>
        </w:rPr>
        <w:t>”的组成内容（包括该组成内容的所附资料）中，任何一项有缺漏的；</w:t>
      </w:r>
    </w:p>
    <w:p w14:paraId="1C311DD2">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（10）关键字迹模糊、无法辨认，</w:t>
      </w:r>
      <w:r>
        <w:rPr>
          <w:rFonts w:hint="eastAsia" w:hAnsi="宋体" w:cs="宋体"/>
          <w:b/>
          <w:bCs/>
          <w:snapToGrid w:val="0"/>
          <w:color w:val="auto"/>
          <w:kern w:val="0"/>
          <w:highlight w:val="none"/>
        </w:rPr>
        <w:t>且该种过错将导致评标委员会无法作出投标文件是否响应招标文件实质性要求的</w:t>
      </w:r>
      <w:r>
        <w:rPr>
          <w:rFonts w:hint="eastAsia" w:hAnsi="宋体" w:cs="宋体"/>
          <w:snapToGrid w:val="0"/>
          <w:color w:val="auto"/>
          <w:kern w:val="0"/>
          <w:highlight w:val="none"/>
        </w:rPr>
        <w:t>；出现手工涂改、行间插字或删除，但未加盖单位章或由投标人的法定代表人或其委托代理人签字确认的；</w:t>
      </w:r>
    </w:p>
    <w:p w14:paraId="5B232058">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（11）投标文件未按规定签字、盖章的；</w:t>
      </w:r>
    </w:p>
    <w:p w14:paraId="40508C3A">
      <w:pPr>
        <w:wordWrap w:val="0"/>
        <w:adjustRightInd w:val="0"/>
        <w:snapToGrid w:val="0"/>
        <w:spacing w:line="360" w:lineRule="auto"/>
        <w:ind w:firstLine="480"/>
        <w:outlineLvl w:val="2"/>
        <w:rPr>
          <w:rFonts w:hAnsi="宋体" w:cs="宋体"/>
          <w:b/>
          <w:bCs/>
          <w:snapToGrid w:val="0"/>
          <w:color w:val="auto"/>
          <w:kern w:val="0"/>
          <w:highlight w:val="none"/>
        </w:rPr>
      </w:pPr>
      <w:bookmarkStart w:id="64" w:name="_Toc6314"/>
      <w:r>
        <w:rPr>
          <w:rFonts w:hint="eastAsia" w:hAnsi="宋体" w:cs="宋体"/>
          <w:b/>
          <w:bCs/>
          <w:snapToGrid w:val="0"/>
          <w:color w:val="auto"/>
          <w:kern w:val="0"/>
          <w:highlight w:val="none"/>
        </w:rPr>
        <w:t>3．响应性评审环节</w:t>
      </w:r>
      <w:bookmarkEnd w:id="64"/>
    </w:p>
    <w:p w14:paraId="468BFD46">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投标人有下列情形之一的，评标委员会应否决其投标。被否决的投标，不进入详细评审阶段。</w:t>
      </w:r>
    </w:p>
    <w:p w14:paraId="66759074">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（12）投标有效期、服务期限不符合规定的；擅自修改、遗漏《投标函》《各项承诺一览表》实质性内容的；</w:t>
      </w:r>
    </w:p>
    <w:p w14:paraId="2DA75DC1">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（13）出现两个或两个以上投标总价的（同一个投标总价大、小写不一致的除外）；投标总价超出最高投标限价的；</w:t>
      </w:r>
    </w:p>
    <w:p w14:paraId="6B9A0042">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（14）在监理大纲评审中，评标委员会认定监理及相关服务的范围、内容、目标不符合规定的；质量、进度、造价监理措施明显不符合国家和省市现行有关规范、规定、标准，</w:t>
      </w:r>
      <w:r>
        <w:rPr>
          <w:rFonts w:hint="eastAsia" w:hAnsi="宋体" w:cs="宋体"/>
          <w:b/>
          <w:bCs/>
          <w:snapToGrid w:val="0"/>
          <w:color w:val="auto"/>
          <w:kern w:val="0"/>
          <w:highlight w:val="none"/>
        </w:rPr>
        <w:t>且该种过错将导致“三控制”目标无法实现的</w:t>
      </w:r>
      <w:r>
        <w:rPr>
          <w:rFonts w:hint="eastAsia" w:hAnsi="宋体" w:cs="宋体"/>
          <w:snapToGrid w:val="0"/>
          <w:color w:val="auto"/>
          <w:kern w:val="0"/>
          <w:highlight w:val="none"/>
        </w:rPr>
        <w:t>。</w:t>
      </w:r>
    </w:p>
    <w:p w14:paraId="02C777B2">
      <w:pPr>
        <w:wordWrap w:val="0"/>
        <w:adjustRightInd w:val="0"/>
        <w:snapToGrid w:val="0"/>
        <w:spacing w:line="360" w:lineRule="auto"/>
        <w:ind w:firstLine="480"/>
        <w:outlineLvl w:val="2"/>
        <w:rPr>
          <w:rFonts w:hAnsi="宋体" w:cs="宋体"/>
          <w:b/>
          <w:bCs/>
          <w:snapToGrid w:val="0"/>
          <w:color w:val="auto"/>
          <w:kern w:val="0"/>
          <w:highlight w:val="none"/>
        </w:rPr>
      </w:pPr>
      <w:bookmarkStart w:id="65" w:name="_Toc1100"/>
      <w:r>
        <w:rPr>
          <w:rFonts w:hint="eastAsia" w:hAnsi="宋体" w:cs="宋体"/>
          <w:b/>
          <w:bCs/>
          <w:snapToGrid w:val="0"/>
          <w:color w:val="auto"/>
          <w:kern w:val="0"/>
          <w:highlight w:val="none"/>
        </w:rPr>
        <w:t>4．其他</w:t>
      </w:r>
      <w:bookmarkEnd w:id="65"/>
    </w:p>
    <w:p w14:paraId="2567849E">
      <w:pPr>
        <w:wordWrap w:val="0"/>
        <w:adjustRightInd w:val="0"/>
        <w:snapToGrid w:val="0"/>
        <w:spacing w:line="360" w:lineRule="auto"/>
        <w:ind w:firstLine="480"/>
        <w:rPr>
          <w:rFonts w:hAnsi="宋体" w:cs="宋体"/>
          <w:snapToGrid w:val="0"/>
          <w:color w:val="auto"/>
          <w:kern w:val="0"/>
          <w:szCs w:val="22"/>
          <w:highlight w:val="none"/>
        </w:rPr>
      </w:pPr>
      <w:r>
        <w:rPr>
          <w:rFonts w:hint="eastAsia" w:hAnsi="宋体" w:cs="宋体"/>
          <w:snapToGrid w:val="0"/>
          <w:color w:val="auto"/>
          <w:kern w:val="0"/>
          <w:highlight w:val="none"/>
        </w:rPr>
        <w:t>在任何评标环节（或阶段），投标人有下列情形之一的，评标委员会应否决其投标。</w:t>
      </w:r>
      <w:r>
        <w:rPr>
          <w:rFonts w:hint="eastAsia" w:hAnsi="宋体" w:cs="宋体"/>
          <w:snapToGrid w:val="0"/>
          <w:color w:val="auto"/>
          <w:kern w:val="0"/>
          <w:szCs w:val="22"/>
          <w:highlight w:val="none"/>
        </w:rPr>
        <w:t>被否决的投标，不进入下一环节（或阶段）。</w:t>
      </w:r>
    </w:p>
    <w:p w14:paraId="73E030B6">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（15）不按评标委员会要求澄清、说明或补正的；</w:t>
      </w:r>
    </w:p>
    <w:p w14:paraId="22C1D1D5">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（16）有下列情形之一，被评标委员会认定属于串通投标的：</w:t>
      </w:r>
    </w:p>
    <w:p w14:paraId="2E0D27E9">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①不同投标人的投标文件两处以上（含两处）错、漏一致；</w:t>
      </w:r>
    </w:p>
    <w:p w14:paraId="39423E72">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②不同投标人的投标各项报价存在异常一致或者呈规律性变化；</w:t>
      </w:r>
    </w:p>
    <w:p w14:paraId="26AEB045">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③不同投标人的投标文件由同一单位或者同一个人编制；</w:t>
      </w:r>
    </w:p>
    <w:p w14:paraId="03B550CD">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④不同投标人的投标文件中投标资料（包括电子资料）相互混装或项目班子成员出现同一人；</w:t>
      </w:r>
    </w:p>
    <w:p w14:paraId="62E76B43">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⑤不同投标人的投标文件由同一电脑编制或同一台附属设备打印；</w:t>
      </w:r>
    </w:p>
    <w:p w14:paraId="736D612B">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⑥不同投标人的投标保证由同一企业或同一账户资金缴纳；</w:t>
      </w:r>
    </w:p>
    <w:p w14:paraId="2A72A99D">
      <w:pPr>
        <w:wordWrap w:val="0"/>
        <w:adjustRightInd w:val="0"/>
        <w:snapToGrid w:val="0"/>
        <w:spacing w:line="360" w:lineRule="auto"/>
        <w:ind w:firstLine="480"/>
        <w:rPr>
          <w:rFonts w:hint="eastAsia" w:hAnsi="宋体" w:cs="宋体"/>
          <w:snapToGrid w:val="0"/>
          <w:color w:val="auto"/>
          <w:kern w:val="0"/>
          <w:highlight w:val="none"/>
        </w:rPr>
      </w:pPr>
      <w:r>
        <w:rPr>
          <w:rFonts w:hint="eastAsia" w:hAnsi="宋体" w:cs="宋体"/>
          <w:snapToGrid w:val="0"/>
          <w:color w:val="auto"/>
          <w:kern w:val="0"/>
          <w:highlight w:val="none"/>
        </w:rPr>
        <w:t>⑦不同投标人委托同一个人或注册在同一家企业的注册人员或同一家企业为其投标提供投标咨询、商务报价、技术咨询（招标项目本身要求采用专有技术的除外）等服务。</w:t>
      </w:r>
    </w:p>
    <w:p w14:paraId="68922D6E">
      <w:pPr>
        <w:rPr>
          <w:rFonts w:hint="eastAsia" w:hAnsi="宋体" w:cs="宋体"/>
          <w:snapToGrid w:val="0"/>
          <w:color w:val="auto"/>
          <w:kern w:val="0"/>
          <w:highlight w:val="none"/>
        </w:rPr>
      </w:pPr>
      <w:r>
        <w:rPr>
          <w:rFonts w:hint="eastAsia" w:hAnsi="宋体" w:cs="宋体"/>
          <w:snapToGrid w:val="0"/>
          <w:color w:val="auto"/>
          <w:kern w:val="0"/>
          <w:highlight w:val="none"/>
        </w:rPr>
        <w:br w:type="page"/>
      </w:r>
    </w:p>
    <w:p w14:paraId="14B2ED2A">
      <w:pPr>
        <w:pStyle w:val="3"/>
        <w:pageBreakBefore w:val="0"/>
        <w:kinsoku/>
        <w:overflowPunct/>
        <w:topLinePunct w:val="0"/>
        <w:bidi w:val="0"/>
        <w:spacing w:line="500" w:lineRule="exact"/>
        <w:textAlignment w:val="auto"/>
        <w:outlineLvl w:val="1"/>
        <w:rPr>
          <w:rFonts w:hint="default" w:ascii="宋体" w:hAnsi="宋体" w:eastAsia="宋体" w:cs="宋体"/>
          <w:b/>
          <w:bCs/>
          <w:color w:val="auto"/>
          <w:highlight w:val="none"/>
          <w:lang w:val="en-US" w:eastAsia="zh-CN"/>
        </w:rPr>
      </w:pPr>
      <w:bookmarkStart w:id="66" w:name="_Toc4309"/>
      <w:bookmarkStart w:id="67" w:name="_Toc3478"/>
      <w:r>
        <w:rPr>
          <w:rFonts w:hint="eastAsia" w:ascii="宋体" w:hAnsi="宋体" w:eastAsia="宋体" w:cs="宋体"/>
          <w:b/>
          <w:bCs/>
          <w:color w:val="auto"/>
          <w:highlight w:val="none"/>
          <w:lang w:val="en-US" w:eastAsia="zh-CN"/>
        </w:rPr>
        <w:t>第五节 定标规定及细则</w:t>
      </w:r>
      <w:bookmarkEnd w:id="66"/>
      <w:bookmarkEnd w:id="67"/>
    </w:p>
    <w:p w14:paraId="7EE71BDC">
      <w:pPr>
        <w:pStyle w:val="4"/>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68" w:name="_Toc17667"/>
      <w:bookmarkStart w:id="69" w:name="_Toc7706"/>
      <w:r>
        <w:rPr>
          <w:rFonts w:hint="eastAsia" w:ascii="宋体" w:hAnsi="宋体" w:eastAsia="宋体" w:cs="宋体"/>
          <w:b/>
          <w:snapToGrid w:val="0"/>
          <w:color w:val="auto"/>
          <w:highlight w:val="none"/>
          <w:lang w:val="en-US" w:eastAsia="zh-CN"/>
        </w:rPr>
        <w:t>1</w:t>
      </w:r>
      <w:r>
        <w:rPr>
          <w:rFonts w:hint="eastAsia" w:ascii="宋体" w:hAnsi="宋体" w:eastAsia="宋体" w:cs="宋体"/>
          <w:b/>
          <w:snapToGrid w:val="0"/>
          <w:color w:val="auto"/>
          <w:highlight w:val="none"/>
        </w:rPr>
        <w:t>.</w:t>
      </w:r>
      <w:r>
        <w:rPr>
          <w:rFonts w:hint="eastAsia" w:ascii="宋体" w:hAnsi="宋体" w:eastAsia="宋体" w:cs="宋体"/>
          <w:b/>
          <w:snapToGrid w:val="0"/>
          <w:color w:val="auto"/>
          <w:highlight w:val="none"/>
          <w:lang w:val="en-US" w:eastAsia="zh-CN"/>
        </w:rPr>
        <w:t>定标规定</w:t>
      </w:r>
      <w:bookmarkEnd w:id="68"/>
      <w:bookmarkEnd w:id="69"/>
    </w:p>
    <w:p w14:paraId="4F904765">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1.1确定定标时间</w:t>
      </w:r>
    </w:p>
    <w:p w14:paraId="5B812F0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自定标候选人公示期满后5个工作日内进入公共资源交易平台（与评标阶段公共资源交易平台相同）进行定标。定标会议全过程录音录像。招标人需要延期定标的，应通过公共资源交易平台公布延期原因和定标时间。</w:t>
      </w:r>
    </w:p>
    <w:p w14:paraId="4EC19B49">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snapToGrid w:val="0"/>
          <w:color w:val="auto"/>
          <w:highlight w:val="none"/>
          <w:lang w:val="en-US" w:eastAsia="zh-CN"/>
        </w:rPr>
      </w:pPr>
      <w:r>
        <w:rPr>
          <w:rFonts w:hint="eastAsia" w:ascii="宋体" w:hAnsi="宋体" w:eastAsia="宋体" w:cs="宋体"/>
          <w:b/>
          <w:snapToGrid w:val="0"/>
          <w:color w:val="auto"/>
          <w:highlight w:val="none"/>
          <w:lang w:val="en-US" w:eastAsia="zh-CN"/>
        </w:rPr>
        <w:t>1.2定标委员会</w:t>
      </w:r>
    </w:p>
    <w:p w14:paraId="2EC3AFC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1.2.1</w:t>
      </w:r>
      <w:r>
        <w:rPr>
          <w:rFonts w:hint="eastAsia" w:ascii="宋体" w:hAnsi="宋体" w:eastAsia="宋体" w:cs="宋体"/>
          <w:snapToGrid w:val="0"/>
          <w:color w:val="auto"/>
          <w:kern w:val="0"/>
          <w:highlight w:val="none"/>
        </w:rPr>
        <w:t>由招标人组建和管理，招标人的法人或主要负责人任组长。</w:t>
      </w:r>
      <w:r>
        <w:rPr>
          <w:rFonts w:hint="eastAsia" w:ascii="宋体" w:hAnsi="宋体" w:eastAsia="宋体" w:cs="宋体"/>
          <w:snapToGrid w:val="0"/>
          <w:color w:val="auto"/>
          <w:kern w:val="0"/>
          <w:highlight w:val="none"/>
          <w:lang w:val="en-US" w:eastAsia="zh-CN"/>
        </w:rPr>
        <w:t>定标委员会的组成方式和人员由招标人按相关规定自行确定。</w:t>
      </w:r>
      <w:r>
        <w:rPr>
          <w:rFonts w:hint="eastAsia" w:ascii="宋体" w:hAnsi="宋体" w:eastAsia="宋体" w:cs="宋体"/>
          <w:snapToGrid w:val="0"/>
          <w:color w:val="auto"/>
          <w:kern w:val="0"/>
          <w:highlight w:val="none"/>
        </w:rPr>
        <w:t>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38BC5CD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7281760E">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1.2.3</w:t>
      </w:r>
      <w:r>
        <w:rPr>
          <w:rFonts w:hint="eastAsia" w:ascii="宋体" w:hAnsi="宋体" w:eastAsia="宋体" w:cs="宋体"/>
          <w:snapToGrid w:val="0"/>
          <w:color w:val="auto"/>
          <w:kern w:val="0"/>
          <w:highlight w:val="none"/>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22DED8D4">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1.3定标办法（本项目采用票决数量法定标）</w:t>
      </w:r>
    </w:p>
    <w:p w14:paraId="78E1E90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本项目定标办法由招标人按本投标人须知前附表的规定确定（只能选定其中一种定标办法）。</w:t>
      </w:r>
    </w:p>
    <w:p w14:paraId="2E9B753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1.4组建招标监督小组</w:t>
      </w:r>
    </w:p>
    <w:p w14:paraId="355F416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242AF98B">
      <w:pPr>
        <w:pStyle w:val="4"/>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0" w:name="_Toc29848"/>
      <w:bookmarkStart w:id="71" w:name="_Toc18947"/>
      <w:r>
        <w:rPr>
          <w:rFonts w:hint="eastAsia" w:ascii="宋体" w:hAnsi="宋体" w:eastAsia="宋体" w:cs="宋体"/>
          <w:b/>
          <w:snapToGrid w:val="0"/>
          <w:color w:val="auto"/>
          <w:highlight w:val="none"/>
          <w:lang w:val="en-US" w:eastAsia="zh-CN"/>
        </w:rPr>
        <w:t>2.定标细则</w:t>
      </w:r>
      <w:bookmarkEnd w:id="70"/>
      <w:bookmarkEnd w:id="71"/>
    </w:p>
    <w:p w14:paraId="21DF61F4">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票决数量法</w:t>
      </w:r>
      <w:r>
        <w:rPr>
          <w:rFonts w:hint="eastAsia"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本项目采用票决数量法定标。</w:t>
      </w:r>
    </w:p>
    <w:p w14:paraId="5352D39F">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w:t>
      </w:r>
      <w:r>
        <w:rPr>
          <w:rFonts w:hint="eastAsia" w:ascii="宋体" w:hAnsi="宋体" w:eastAsia="宋体" w:cs="宋体"/>
          <w:b/>
          <w:bCs/>
          <w:snapToGrid w:val="0"/>
          <w:color w:val="auto"/>
          <w:kern w:val="0"/>
          <w:highlight w:val="none"/>
        </w:rPr>
        <w:t>票决数量法程序</w:t>
      </w:r>
    </w:p>
    <w:p w14:paraId="32A12A84">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根据定标因素对定标候选人进行评审比较后，每名定标委员会成员有且仅有投出1票的权利，1票只能投1名定标候选人，进行票决排名确定排序的中标候选人。即各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若定标候选人中没有符合评审要求的三名中标候选人，则宣告本次招标失败。票决采用记名方式并注明投票理由。</w:t>
      </w:r>
    </w:p>
    <w:p w14:paraId="614CEDCF">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2.1.1</w:t>
      </w:r>
      <w:r>
        <w:rPr>
          <w:rFonts w:hint="eastAsia" w:ascii="宋体" w:hAnsi="宋体" w:eastAsia="宋体" w:cs="宋体"/>
          <w:b/>
          <w:bCs/>
          <w:snapToGrid w:val="0"/>
          <w:color w:val="auto"/>
          <w:kern w:val="0"/>
          <w:highlight w:val="none"/>
        </w:rPr>
        <w:t>项目情况介绍</w:t>
      </w:r>
    </w:p>
    <w:p w14:paraId="6F3328C9">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招标人代表介绍项目的概况及招标要求，以及定标方法与定标工作规则，不得发表具有倾向性的言论。</w:t>
      </w:r>
    </w:p>
    <w:p w14:paraId="367129B9">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2.1.2</w:t>
      </w:r>
      <w:r>
        <w:rPr>
          <w:rFonts w:hint="eastAsia" w:ascii="宋体" w:hAnsi="宋体" w:eastAsia="宋体" w:cs="宋体"/>
          <w:b/>
          <w:bCs/>
          <w:snapToGrid w:val="0"/>
          <w:color w:val="auto"/>
          <w:kern w:val="0"/>
          <w:highlight w:val="none"/>
        </w:rPr>
        <w:t>审阅定标资料</w:t>
      </w:r>
    </w:p>
    <w:p w14:paraId="6D1F7072">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定标委员会成员对各定标候选人的投标文件进行审阅，审阅内容主要是定标工作规则所规定的定标因素，聚焦于项目需求与候选人能力的匹配度。</w:t>
      </w:r>
    </w:p>
    <w:p w14:paraId="6EF7C10F">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2.1.3</w:t>
      </w:r>
      <w:r>
        <w:rPr>
          <w:rFonts w:hint="eastAsia" w:ascii="宋体" w:hAnsi="宋体" w:eastAsia="宋体" w:cs="宋体"/>
          <w:b/>
          <w:bCs/>
          <w:snapToGrid w:val="0"/>
          <w:color w:val="auto"/>
          <w:kern w:val="0"/>
          <w:highlight w:val="none"/>
        </w:rPr>
        <w:t>疑问澄清</w:t>
      </w:r>
    </w:p>
    <w:p w14:paraId="65FECBF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10EA66F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2.1.4</w:t>
      </w:r>
      <w:r>
        <w:rPr>
          <w:rFonts w:hint="eastAsia" w:ascii="宋体" w:hAnsi="宋体" w:eastAsia="宋体" w:cs="宋体"/>
          <w:b/>
          <w:bCs/>
          <w:snapToGrid w:val="0"/>
          <w:color w:val="auto"/>
          <w:kern w:val="0"/>
          <w:highlight w:val="none"/>
        </w:rPr>
        <w:t>投票、收票、点票和汇总</w:t>
      </w:r>
    </w:p>
    <w:p w14:paraId="06F38749">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145894EE">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2.1.5</w:t>
      </w:r>
      <w:r>
        <w:rPr>
          <w:rFonts w:hint="eastAsia" w:ascii="宋体" w:hAnsi="宋体" w:eastAsia="宋体" w:cs="宋体"/>
          <w:b/>
          <w:bCs/>
          <w:snapToGrid w:val="0"/>
          <w:color w:val="auto"/>
          <w:kern w:val="0"/>
          <w:highlight w:val="none"/>
        </w:rPr>
        <w:t>公布结果和出具定标报告</w:t>
      </w:r>
    </w:p>
    <w:p w14:paraId="4C1E7F9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点票工作完成后，定标委员会组长汇总定标结果，编制定标报告，确定中标候选人，全体成员签名。</w:t>
      </w:r>
    </w:p>
    <w:p w14:paraId="2E32B2B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2.1.6</w:t>
      </w:r>
      <w:r>
        <w:rPr>
          <w:rFonts w:hint="eastAsia" w:ascii="宋体" w:hAnsi="宋体" w:eastAsia="宋体" w:cs="宋体"/>
          <w:b/>
          <w:bCs/>
          <w:snapToGrid w:val="0"/>
          <w:color w:val="auto"/>
          <w:kern w:val="0"/>
          <w:highlight w:val="none"/>
        </w:rPr>
        <w:t>全程监督</w:t>
      </w:r>
    </w:p>
    <w:p w14:paraId="27899C2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招标监督小组对集体议定的全过程进行监督，确保程序合规、讨论充分、记录完整，结论形成过程公正、透明。</w:t>
      </w:r>
    </w:p>
    <w:p w14:paraId="36893E6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2.2</w:t>
      </w:r>
      <w:r>
        <w:rPr>
          <w:rFonts w:hint="eastAsia" w:ascii="宋体" w:hAnsi="宋体" w:eastAsia="宋体" w:cs="宋体"/>
          <w:b/>
          <w:bCs/>
          <w:snapToGrid w:val="0"/>
          <w:color w:val="auto"/>
          <w:kern w:val="0"/>
          <w:highlight w:val="none"/>
        </w:rPr>
        <w:t>定标因素</w:t>
      </w:r>
    </w:p>
    <w:p w14:paraId="4F94EC2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在同等条件下，择优的定标因素和相对标准有以下几个方面：</w:t>
      </w:r>
    </w:p>
    <w:p w14:paraId="512B58B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拟派团队管理能力与水平（履约能力）</w:t>
      </w:r>
    </w:p>
    <w:p w14:paraId="5D75B24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相对标准：拟派团队管理能力与水平（履约能力）强的定标候选人优于拟派团队管理能力与水平（履约能力）一般的定标候选人。</w:t>
      </w:r>
    </w:p>
    <w:p w14:paraId="664DB7C8">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lang w:val="en-US" w:eastAsia="zh-CN"/>
        </w:rPr>
        <w:t>监理大纲</w:t>
      </w:r>
    </w:p>
    <w:p w14:paraId="1CE5363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w:t>
      </w:r>
      <w:r>
        <w:rPr>
          <w:rFonts w:hint="eastAsia" w:ascii="宋体" w:hAnsi="宋体" w:eastAsia="宋体" w:cs="宋体"/>
          <w:snapToGrid w:val="0"/>
          <w:color w:val="auto"/>
          <w:kern w:val="0"/>
          <w:highlight w:val="none"/>
          <w:lang w:val="en-US" w:eastAsia="zh-CN"/>
        </w:rPr>
        <w:t>监理大纲</w:t>
      </w:r>
      <w:r>
        <w:rPr>
          <w:rFonts w:hint="eastAsia" w:ascii="宋体" w:hAnsi="宋体" w:eastAsia="宋体" w:cs="宋体"/>
          <w:snapToGrid w:val="0"/>
          <w:color w:val="auto"/>
          <w:kern w:val="0"/>
          <w:highlight w:val="none"/>
        </w:rPr>
        <w:t>优良的定标候选人优于</w:t>
      </w:r>
      <w:r>
        <w:rPr>
          <w:rFonts w:hint="eastAsia" w:ascii="宋体" w:hAnsi="宋体" w:eastAsia="宋体" w:cs="宋体"/>
          <w:snapToGrid w:val="0"/>
          <w:color w:val="auto"/>
          <w:kern w:val="0"/>
          <w:highlight w:val="none"/>
          <w:lang w:val="en-US" w:eastAsia="zh-CN"/>
        </w:rPr>
        <w:t>监理大纲</w:t>
      </w:r>
      <w:r>
        <w:rPr>
          <w:rFonts w:hint="eastAsia" w:ascii="宋体" w:hAnsi="宋体" w:eastAsia="宋体" w:cs="宋体"/>
          <w:snapToGrid w:val="0"/>
          <w:color w:val="auto"/>
          <w:kern w:val="0"/>
          <w:highlight w:val="none"/>
        </w:rPr>
        <w:t>一般的定标候选人。</w:t>
      </w:r>
    </w:p>
    <w:p w14:paraId="16386B90">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w:t>
      </w:r>
      <w:r>
        <w:rPr>
          <w:rFonts w:hint="eastAsia" w:hAnsi="宋体" w:cs="宋体"/>
          <w:snapToGrid w:val="0"/>
          <w:color w:val="auto"/>
          <w:kern w:val="0"/>
          <w:highlight w:val="none"/>
          <w:lang w:val="en-US" w:eastAsia="zh-CN"/>
        </w:rPr>
        <w:t>3</w:t>
      </w:r>
      <w:r>
        <w:rPr>
          <w:rFonts w:hint="eastAsia" w:hAnsi="宋体" w:eastAsia="宋体" w:cs="宋体"/>
          <w:snapToGrid w:val="0"/>
          <w:color w:val="auto"/>
          <w:kern w:val="0"/>
          <w:highlight w:val="none"/>
          <w:lang w:val="en-US" w:eastAsia="zh-CN"/>
        </w:rPr>
        <w:t>）</w:t>
      </w:r>
      <w:r>
        <w:rPr>
          <w:rFonts w:hint="eastAsia" w:ascii="宋体" w:hAnsi="宋体" w:eastAsia="宋体" w:cs="宋体"/>
          <w:snapToGrid w:val="0"/>
          <w:color w:val="auto"/>
          <w:kern w:val="0"/>
          <w:highlight w:val="none"/>
        </w:rPr>
        <w:t>评标报告</w:t>
      </w:r>
    </w:p>
    <w:p w14:paraId="47C7D0C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699D7EC6">
      <w:pPr>
        <w:pStyle w:val="4"/>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2" w:name="_Toc29036"/>
      <w:bookmarkStart w:id="73" w:name="_Toc32345"/>
      <w:r>
        <w:rPr>
          <w:rFonts w:hint="eastAsia" w:ascii="宋体" w:hAnsi="宋体" w:eastAsia="宋体" w:cs="宋体"/>
          <w:b/>
          <w:snapToGrid w:val="0"/>
          <w:color w:val="auto"/>
          <w:highlight w:val="none"/>
          <w:lang w:val="en-US" w:eastAsia="zh-CN"/>
        </w:rPr>
        <w:t>3.定标结果公示</w:t>
      </w:r>
      <w:bookmarkEnd w:id="72"/>
      <w:bookmarkEnd w:id="73"/>
      <w:r>
        <w:rPr>
          <w:rFonts w:hint="eastAsia" w:ascii="宋体" w:hAnsi="宋体" w:eastAsia="宋体" w:cs="宋体"/>
          <w:b/>
          <w:snapToGrid w:val="0"/>
          <w:color w:val="auto"/>
          <w:highlight w:val="none"/>
          <w:lang w:val="en-US" w:eastAsia="zh-CN"/>
        </w:rPr>
        <w:t xml:space="preserve">  </w:t>
      </w:r>
    </w:p>
    <w:p w14:paraId="732FDF6F">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b/>
          <w:bCs/>
          <w:snapToGrid w:val="0"/>
          <w:color w:val="auto"/>
          <w:kern w:val="0"/>
          <w:highlight w:val="none"/>
          <w:lang w:val="en-US" w:eastAsia="zh-CN"/>
        </w:rPr>
        <w:t>3.1</w:t>
      </w:r>
      <w:r>
        <w:rPr>
          <w:rFonts w:hint="eastAsia" w:ascii="宋体" w:hAnsi="宋体" w:eastAsia="宋体" w:cs="宋体"/>
          <w:strike w:val="0"/>
          <w:dstrike w:val="0"/>
          <w:color w:val="auto"/>
          <w:kern w:val="2"/>
          <w:sz w:val="24"/>
          <w:szCs w:val="24"/>
          <w:highlight w:val="none"/>
          <w:u w:val="none"/>
          <w:lang w:val="en-US" w:eastAsia="zh-CN" w:bidi="ar-SA"/>
        </w:rPr>
        <w:t>定标委员会完成定标后，招标人应在收到定标报告之日起3日内将中标候选人和定标情况在广东省招标投标监管网和韶关市公共资源交易中心工程交易系统上公示，公示时间不少于3日。</w:t>
      </w:r>
      <w:r>
        <w:rPr>
          <w:rFonts w:hint="eastAsia" w:ascii="宋体" w:hAnsi="宋体" w:eastAsia="宋体" w:cs="宋体"/>
          <w:snapToGrid w:val="0"/>
          <w:color w:val="auto"/>
          <w:kern w:val="0"/>
          <w:highlight w:val="none"/>
        </w:rPr>
        <w:t>公示主要内容包括：公示主要内容包括：定标报告（定标成员信息除外）、中标人名单、中标价和拟投入本项目的项目负责人、技术负责人及各专业负责人（如有）等内容。</w:t>
      </w:r>
    </w:p>
    <w:p w14:paraId="7D63CB4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3.2</w:t>
      </w:r>
      <w:r>
        <w:rPr>
          <w:rFonts w:hint="eastAsia" w:ascii="宋体" w:hAnsi="宋体" w:eastAsia="宋体" w:cs="宋体"/>
          <w:snapToGrid w:val="0"/>
          <w:color w:val="auto"/>
          <w:kern w:val="0"/>
          <w:highlight w:val="none"/>
        </w:rPr>
        <w:t>投标人或者其他利害关系人对招标项目的中标结果有异议的，应当在中标候选人公示期间按规定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发改〔2021〕44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5A8041F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b/>
          <w:bCs/>
          <w:snapToGrid w:val="0"/>
          <w:color w:val="auto"/>
          <w:kern w:val="0"/>
          <w:highlight w:val="none"/>
          <w:lang w:val="en-US" w:eastAsia="zh-CN"/>
        </w:rPr>
        <w:t>3.3</w:t>
      </w:r>
      <w:r>
        <w:rPr>
          <w:rFonts w:hint="eastAsia" w:ascii="宋体" w:hAnsi="宋体" w:eastAsia="宋体" w:cs="宋体"/>
          <w:snapToGrid w:val="0"/>
          <w:color w:val="auto"/>
          <w:kern w:val="0"/>
          <w:highlight w:val="none"/>
        </w:rPr>
        <w:t>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36491922">
      <w:pPr>
        <w:pStyle w:val="4"/>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4" w:name="_Toc24457"/>
      <w:bookmarkStart w:id="75" w:name="_Toc28855"/>
      <w:r>
        <w:rPr>
          <w:rFonts w:hint="eastAsia" w:ascii="宋体" w:hAnsi="宋体" w:eastAsia="宋体" w:cs="宋体"/>
          <w:b/>
          <w:snapToGrid w:val="0"/>
          <w:color w:val="auto"/>
          <w:highlight w:val="none"/>
          <w:lang w:val="en-US" w:eastAsia="zh-CN"/>
        </w:rPr>
        <w:t>4.中标确认</w:t>
      </w:r>
      <w:bookmarkEnd w:id="74"/>
      <w:bookmarkEnd w:id="75"/>
    </w:p>
    <w:p w14:paraId="006C532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中标人确定</w:t>
      </w:r>
      <w:r>
        <w:rPr>
          <w:rFonts w:hint="eastAsia"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中标结果公示期满无（投诉）后，招标人确认排名第一的中标候选人为中标人，中标人的投标报价即为中标价。</w:t>
      </w:r>
    </w:p>
    <w:p w14:paraId="1887B536">
      <w:pP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br w:type="page"/>
      </w:r>
    </w:p>
    <w:bookmarkEnd w:id="55"/>
    <w:p w14:paraId="690EF174">
      <w:pPr>
        <w:pStyle w:val="2"/>
        <w:wordWrap w:val="0"/>
        <w:autoSpaceDE/>
        <w:autoSpaceDN/>
        <w:snapToGrid w:val="0"/>
        <w:spacing w:line="440" w:lineRule="exact"/>
        <w:jc w:val="center"/>
        <w:rPr>
          <w:rFonts w:hAnsi="宋体" w:cs="宋体"/>
          <w:b/>
          <w:snapToGrid w:val="0"/>
          <w:color w:val="auto"/>
          <w:sz w:val="32"/>
          <w:szCs w:val="22"/>
          <w:highlight w:val="none"/>
        </w:rPr>
      </w:pPr>
      <w:bookmarkStart w:id="76" w:name="_Hlt87952408"/>
      <w:bookmarkEnd w:id="76"/>
      <w:bookmarkStart w:id="77" w:name="_Hlt69669771"/>
      <w:bookmarkEnd w:id="77"/>
      <w:bookmarkStart w:id="78" w:name="_Hlt70150994"/>
      <w:bookmarkEnd w:id="78"/>
      <w:bookmarkStart w:id="79" w:name="_Hlt112206772"/>
      <w:bookmarkEnd w:id="79"/>
      <w:bookmarkStart w:id="80" w:name="_Toc28020"/>
      <w:bookmarkStart w:id="81" w:name="_Hlt69698722"/>
      <w:bookmarkStart w:id="82" w:name="_Hlt69698769"/>
      <w:bookmarkStart w:id="83" w:name="_Hlt69698741"/>
      <w:r>
        <w:rPr>
          <w:rFonts w:hint="eastAsia" w:hAnsi="宋体" w:cs="宋体"/>
          <w:b/>
          <w:snapToGrid w:val="0"/>
          <w:color w:val="auto"/>
          <w:sz w:val="32"/>
          <w:szCs w:val="22"/>
          <w:highlight w:val="none"/>
        </w:rPr>
        <w:t>第</w:t>
      </w:r>
      <w:bookmarkStart w:id="84" w:name="_Hlt69669171"/>
      <w:bookmarkEnd w:id="84"/>
      <w:r>
        <w:rPr>
          <w:rFonts w:hint="eastAsia" w:hAnsi="宋体" w:cs="宋体"/>
          <w:b/>
          <w:snapToGrid w:val="0"/>
          <w:color w:val="auto"/>
          <w:sz w:val="32"/>
          <w:szCs w:val="22"/>
          <w:highlight w:val="none"/>
        </w:rPr>
        <w:t>二章</w:t>
      </w:r>
      <w:bookmarkStart w:id="85" w:name="_Hlt87793839"/>
      <w:bookmarkEnd w:id="85"/>
      <w:r>
        <w:rPr>
          <w:rFonts w:hint="eastAsia" w:hAnsi="宋体" w:cs="宋体"/>
          <w:b/>
          <w:snapToGrid w:val="0"/>
          <w:color w:val="auto"/>
          <w:sz w:val="32"/>
          <w:szCs w:val="22"/>
          <w:highlight w:val="none"/>
        </w:rPr>
        <w:t xml:space="preserve"> 中标人须知</w:t>
      </w:r>
      <w:bookmarkEnd w:id="80"/>
    </w:p>
    <w:bookmarkEnd w:id="81"/>
    <w:bookmarkEnd w:id="82"/>
    <w:bookmarkEnd w:id="83"/>
    <w:p w14:paraId="7FFEE304">
      <w:pPr>
        <w:bidi w:val="0"/>
        <w:rPr>
          <w:color w:val="auto"/>
          <w:highlight w:val="none"/>
        </w:rPr>
      </w:pPr>
    </w:p>
    <w:p w14:paraId="464DB581">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Ansi="宋体" w:cs="宋体"/>
          <w:snapToGrid w:val="0"/>
          <w:color w:val="auto"/>
          <w:kern w:val="0"/>
          <w:szCs w:val="24"/>
          <w:highlight w:val="none"/>
        </w:rPr>
      </w:pPr>
      <w:bookmarkStart w:id="86" w:name="_Toc13203"/>
      <w:bookmarkStart w:id="87" w:name="_Toc30174"/>
      <w:bookmarkStart w:id="88" w:name="_Toc21594"/>
      <w:bookmarkStart w:id="89" w:name="_Toc15170"/>
      <w:bookmarkStart w:id="90" w:name="_Toc18336"/>
      <w:bookmarkStart w:id="91" w:name="_Toc31521"/>
      <w:bookmarkStart w:id="92" w:name="_Toc8149"/>
      <w:r>
        <w:rPr>
          <w:rFonts w:hint="eastAsia" w:hAnsi="宋体" w:cs="宋体"/>
          <w:b/>
          <w:snapToGrid w:val="0"/>
          <w:color w:val="auto"/>
          <w:kern w:val="0"/>
          <w:szCs w:val="24"/>
          <w:highlight w:val="none"/>
        </w:rPr>
        <w:t>1．中标通知书</w:t>
      </w:r>
      <w:bookmarkEnd w:id="86"/>
      <w:bookmarkEnd w:id="87"/>
      <w:bookmarkEnd w:id="88"/>
      <w:bookmarkEnd w:id="89"/>
      <w:bookmarkEnd w:id="90"/>
      <w:bookmarkEnd w:id="91"/>
      <w:bookmarkEnd w:id="92"/>
    </w:p>
    <w:p w14:paraId="609F2D3A">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648F2814">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Ansi="宋体" w:cs="宋体"/>
          <w:snapToGrid w:val="0"/>
          <w:color w:val="auto"/>
          <w:kern w:val="0"/>
          <w:szCs w:val="24"/>
          <w:highlight w:val="none"/>
        </w:rPr>
      </w:pPr>
      <w:bookmarkStart w:id="93" w:name="_Toc1519"/>
      <w:bookmarkStart w:id="94" w:name="_Toc28601"/>
      <w:bookmarkStart w:id="95" w:name="_Toc10931"/>
      <w:bookmarkStart w:id="96" w:name="_Toc23133"/>
      <w:bookmarkStart w:id="97" w:name="_Toc17251"/>
      <w:bookmarkStart w:id="98" w:name="_Toc30560"/>
      <w:bookmarkStart w:id="99" w:name="_Toc26525"/>
      <w:r>
        <w:rPr>
          <w:rFonts w:hint="eastAsia" w:hAnsi="宋体" w:cs="宋体"/>
          <w:b/>
          <w:bCs/>
          <w:snapToGrid w:val="0"/>
          <w:color w:val="auto"/>
          <w:kern w:val="0"/>
          <w:szCs w:val="24"/>
          <w:highlight w:val="none"/>
        </w:rPr>
        <w:t>2．中标结果公示</w:t>
      </w:r>
      <w:bookmarkEnd w:id="93"/>
      <w:bookmarkEnd w:id="94"/>
      <w:bookmarkEnd w:id="95"/>
      <w:bookmarkEnd w:id="96"/>
      <w:bookmarkEnd w:id="97"/>
      <w:bookmarkEnd w:id="98"/>
      <w:bookmarkEnd w:id="99"/>
    </w:p>
    <w:p w14:paraId="72DF5A8F">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中标通知书发出后15日内，招标人应将中标结果在广东省招标投标监管网</w:t>
      </w:r>
      <w:r>
        <w:rPr>
          <w:rFonts w:hint="eastAsia" w:ascii="宋体" w:hAnsi="宋体" w:eastAsia="宋体" w:cs="宋体"/>
          <w:snapToGrid w:val="0"/>
          <w:color w:val="auto"/>
          <w:kern w:val="0"/>
          <w:sz w:val="24"/>
          <w:szCs w:val="24"/>
          <w:highlight w:val="none"/>
          <w:lang w:eastAsia="zh-CN"/>
        </w:rPr>
        <w:t>（https://zbtb.gd.gov.cn/#/index）</w:t>
      </w:r>
      <w:r>
        <w:rPr>
          <w:rFonts w:hint="eastAsia" w:ascii="宋体" w:hAnsi="宋体" w:eastAsia="宋体" w:cs="宋体"/>
          <w:snapToGrid w:val="0"/>
          <w:color w:val="auto"/>
          <w:kern w:val="0"/>
          <w:sz w:val="24"/>
          <w:szCs w:val="24"/>
          <w:highlight w:val="none"/>
        </w:rPr>
        <w:t>及</w:t>
      </w:r>
      <w:r>
        <w:rPr>
          <w:rFonts w:hint="eastAsia" w:ascii="宋体" w:hAnsi="宋体" w:eastAsia="宋体" w:cs="宋体"/>
          <w:snapToGrid w:val="0"/>
          <w:color w:val="auto"/>
          <w:kern w:val="0"/>
          <w:sz w:val="24"/>
          <w:szCs w:val="24"/>
          <w:highlight w:val="none"/>
          <w:lang w:val="en-US"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进行公示。</w:t>
      </w:r>
      <w:bookmarkStart w:id="100" w:name="_Toc25367"/>
      <w:bookmarkStart w:id="101" w:name="_Toc22628"/>
      <w:bookmarkStart w:id="102" w:name="_Toc23475"/>
      <w:bookmarkStart w:id="103" w:name="_Toc20923"/>
      <w:bookmarkStart w:id="104" w:name="_Toc16211"/>
    </w:p>
    <w:p w14:paraId="1060439A">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int="eastAsia" w:hAnsi="宋体" w:cs="宋体"/>
          <w:b/>
          <w:bCs/>
          <w:snapToGrid w:val="0"/>
          <w:color w:val="auto"/>
          <w:kern w:val="0"/>
          <w:szCs w:val="24"/>
          <w:highlight w:val="none"/>
        </w:rPr>
      </w:pPr>
      <w:bookmarkStart w:id="105" w:name="_Toc32445"/>
      <w:bookmarkStart w:id="106" w:name="_Toc17913"/>
      <w:r>
        <w:rPr>
          <w:rFonts w:hint="eastAsia" w:hAnsi="宋体" w:cs="宋体"/>
          <w:b/>
          <w:bCs/>
          <w:snapToGrid w:val="0"/>
          <w:color w:val="auto"/>
          <w:kern w:val="0"/>
          <w:szCs w:val="24"/>
          <w:highlight w:val="none"/>
          <w:lang w:val="en-US" w:eastAsia="zh-CN"/>
        </w:rPr>
        <w:t>3</w:t>
      </w:r>
      <w:r>
        <w:rPr>
          <w:rFonts w:hint="eastAsia" w:hAnsi="宋体" w:cs="宋体"/>
          <w:b/>
          <w:bCs/>
          <w:snapToGrid w:val="0"/>
          <w:color w:val="auto"/>
          <w:kern w:val="0"/>
          <w:szCs w:val="24"/>
          <w:highlight w:val="none"/>
        </w:rPr>
        <w:t>．履约保证</w:t>
      </w:r>
      <w:bookmarkEnd w:id="105"/>
      <w:bookmarkEnd w:id="106"/>
    </w:p>
    <w:p w14:paraId="42F192D6">
      <w:pPr>
        <w:keepNext w:val="0"/>
        <w:keepLines w:val="0"/>
        <w:pageBreakBefore w:val="0"/>
        <w:widowControl w:val="0"/>
        <w:tabs>
          <w:tab w:val="left" w:pos="1890"/>
        </w:tabs>
        <w:kinsoku/>
        <w:wordWrap w:val="0"/>
        <w:overflowPunct/>
        <w:topLinePunct w:val="0"/>
        <w:autoSpaceDE/>
        <w:autoSpaceDN/>
        <w:bidi w:val="0"/>
        <w:adjustRightInd w:val="0"/>
        <w:snapToGrid w:val="0"/>
        <w:spacing w:line="460" w:lineRule="exact"/>
        <w:ind w:firstLine="482"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b/>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中标人须在领取中标通知书之日起</w:t>
      </w:r>
      <w:r>
        <w:rPr>
          <w:rFonts w:hint="eastAsia" w:ascii="宋体" w:hAnsi="宋体" w:eastAsia="宋体" w:cs="宋体"/>
          <w:snapToGrid w:val="0"/>
          <w:color w:val="auto"/>
          <w:kern w:val="0"/>
          <w:sz w:val="24"/>
          <w:szCs w:val="24"/>
          <w:highlight w:val="none"/>
          <w:u w:val="single"/>
        </w:rPr>
        <w:t xml:space="preserve"> 10 </w:t>
      </w:r>
      <w:r>
        <w:rPr>
          <w:rFonts w:hint="eastAsia" w:ascii="宋体" w:hAnsi="宋体" w:eastAsia="宋体" w:cs="宋体"/>
          <w:snapToGrid w:val="0"/>
          <w:color w:val="auto"/>
          <w:kern w:val="0"/>
          <w:sz w:val="24"/>
          <w:szCs w:val="24"/>
          <w:highlight w:val="none"/>
        </w:rPr>
        <w:t>个工作日内、签订合同前向招标人提交金额为中标价</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%的履约保证。</w:t>
      </w:r>
    </w:p>
    <w:p w14:paraId="023F0430">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履约保证的形式包括履约保证金、履约保证担保、履约保证保险三种，中标通知书发出时，招标人发起收缴履约保证金并填写保证金金额、缴交时限和项目工期；由中标人在建设工程交易系统中自主选择一种进行缴交。项目竣工后，由招标人发起退保。</w:t>
      </w:r>
    </w:p>
    <w:p w14:paraId="2DEA5130">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银行保函或保险合同方式缴纳履约保证金，在保函或保险合同到期前一个月，中标人须主动办理续期手续或提交新的银行保函或保险合同。</w:t>
      </w:r>
    </w:p>
    <w:p w14:paraId="549E96B6">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在项目实施过程中，如果承包人（即招标阶段的中标人，下同）由于自身的资金、技术、质量、非不可抗力等原因给发包人（即招标阶段的招标人，下同）造成经济损失，发包人有权扣划相应金额的履约保证。</w:t>
      </w:r>
    </w:p>
    <w:p w14:paraId="217B1C50">
      <w:pPr>
        <w:bidi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项目通过竣工验收之日后28天内，发包人将履约保证退还给承包人。</w:t>
      </w:r>
    </w:p>
    <w:p w14:paraId="3065A2F1">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int="eastAsia" w:hAnsi="宋体" w:cs="宋体"/>
          <w:b/>
          <w:bCs/>
          <w:snapToGrid w:val="0"/>
          <w:color w:val="auto"/>
          <w:kern w:val="0"/>
          <w:szCs w:val="24"/>
          <w:highlight w:val="none"/>
          <w:lang w:val="en-US" w:eastAsia="zh-CN"/>
        </w:rPr>
      </w:pPr>
      <w:bookmarkStart w:id="107" w:name="_Toc21100"/>
      <w:bookmarkStart w:id="108" w:name="_Toc5474"/>
      <w:r>
        <w:rPr>
          <w:rFonts w:hint="eastAsia" w:hAnsi="宋体" w:cs="宋体"/>
          <w:b/>
          <w:bCs/>
          <w:snapToGrid w:val="0"/>
          <w:color w:val="auto"/>
          <w:kern w:val="0"/>
          <w:szCs w:val="24"/>
          <w:highlight w:val="none"/>
          <w:lang w:val="en-US" w:eastAsia="zh-CN"/>
        </w:rPr>
        <w:t>4.合同订立</w:t>
      </w:r>
      <w:bookmarkEnd w:id="100"/>
      <w:bookmarkEnd w:id="101"/>
      <w:bookmarkEnd w:id="102"/>
      <w:bookmarkEnd w:id="103"/>
      <w:bookmarkEnd w:id="104"/>
      <w:bookmarkEnd w:id="107"/>
      <w:bookmarkEnd w:id="108"/>
    </w:p>
    <w:p w14:paraId="25758E05">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招标人应当自中标通知书发出之日起</w:t>
      </w:r>
      <w:r>
        <w:rPr>
          <w:rFonts w:hint="eastAsia" w:hAnsi="宋体" w:cs="宋体"/>
          <w:snapToGrid w:val="0"/>
          <w:color w:val="auto"/>
          <w:kern w:val="0"/>
          <w:szCs w:val="24"/>
          <w:highlight w:val="none"/>
          <w:u w:val="single"/>
        </w:rPr>
        <w:t xml:space="preserve"> 30 </w:t>
      </w:r>
      <w:r>
        <w:rPr>
          <w:rFonts w:hint="eastAsia" w:hAnsi="宋体" w:cs="宋体"/>
          <w:snapToGrid w:val="0"/>
          <w:color w:val="auto"/>
          <w:kern w:val="0"/>
          <w:szCs w:val="24"/>
          <w:highlight w:val="none"/>
        </w:rPr>
        <w:t>日内，按照招标文件、中标人的投标文件与中标人订立书面合同。</w:t>
      </w:r>
    </w:p>
    <w:p w14:paraId="495A78E7">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合同的标的、质量、履行期限条款和合同的价款、风险分担等主要条款，应当与招标文件、中标人的投标文件的内容一致。中标人在签订合同时不得向招标人提出附加条件。</w:t>
      </w:r>
    </w:p>
    <w:p w14:paraId="1FFC57B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.3</w:t>
      </w:r>
      <w:r>
        <w:rPr>
          <w:rFonts w:hint="eastAsia" w:hAnsi="宋体" w:cs="宋体"/>
          <w:snapToGrid w:val="0"/>
          <w:color w:val="auto"/>
          <w:kern w:val="0"/>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260C6E0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.4</w:t>
      </w:r>
      <w:r>
        <w:rPr>
          <w:rFonts w:hint="eastAsia" w:hAnsi="宋体" w:cs="宋体"/>
          <w:snapToGrid w:val="0"/>
          <w:color w:val="auto"/>
          <w:kern w:val="0"/>
          <w:szCs w:val="24"/>
          <w:highlight w:val="none"/>
        </w:rPr>
        <w:t xml:space="preserve"> 在书面合同订立之日起2个工作日内，由中标人或招标代理机构将合同上传至建设工程交易系统，并发起退还投标保证的申请。韶关市公共资源交易中心在收到申请之日起3个工作日内，将投标保证金退还给中标人和其他中标候选人。</w:t>
      </w:r>
    </w:p>
    <w:p w14:paraId="021D55F5">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09" w:name="_Toc25887"/>
      <w:bookmarkStart w:id="110" w:name="_Toc3858"/>
      <w:bookmarkStart w:id="111" w:name="_Toc12722"/>
      <w:bookmarkStart w:id="112" w:name="_Toc11598"/>
      <w:bookmarkStart w:id="113" w:name="_Toc13450"/>
      <w:bookmarkStart w:id="114" w:name="_Toc6741"/>
      <w:bookmarkStart w:id="115" w:name="_Toc1819"/>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．放弃中标的处理</w:t>
      </w:r>
      <w:bookmarkEnd w:id="109"/>
      <w:bookmarkEnd w:id="110"/>
      <w:bookmarkEnd w:id="111"/>
      <w:bookmarkEnd w:id="112"/>
      <w:bookmarkEnd w:id="113"/>
      <w:bookmarkEnd w:id="114"/>
      <w:bookmarkEnd w:id="115"/>
    </w:p>
    <w:p w14:paraId="372A2514">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649C63E2">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7591A21A">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16" w:name="_Toc500"/>
      <w:bookmarkStart w:id="117" w:name="_Toc8282"/>
      <w:bookmarkStart w:id="118" w:name="_Toc21613"/>
      <w:bookmarkStart w:id="119" w:name="_Toc1831"/>
      <w:bookmarkStart w:id="120" w:name="_Toc15893"/>
      <w:bookmarkStart w:id="121" w:name="_Toc17549"/>
      <w:bookmarkStart w:id="122" w:name="_Toc26352"/>
      <w:r>
        <w:rPr>
          <w:rFonts w:hint="eastAsia" w:hAnsi="宋体" w:cs="宋体"/>
          <w:b/>
          <w:bCs/>
          <w:snapToGrid w:val="0"/>
          <w:color w:val="auto"/>
          <w:kern w:val="0"/>
          <w:szCs w:val="24"/>
          <w:highlight w:val="none"/>
          <w:lang w:val="en-US" w:eastAsia="zh-CN"/>
        </w:rPr>
        <w:t>6</w:t>
      </w:r>
      <w:r>
        <w:rPr>
          <w:rFonts w:hint="eastAsia" w:hAnsi="宋体" w:cs="宋体"/>
          <w:b/>
          <w:bCs/>
          <w:snapToGrid w:val="0"/>
          <w:color w:val="auto"/>
          <w:kern w:val="0"/>
          <w:szCs w:val="24"/>
          <w:highlight w:val="none"/>
        </w:rPr>
        <w:t>．分包</w:t>
      </w:r>
      <w:bookmarkEnd w:id="116"/>
      <w:bookmarkEnd w:id="117"/>
      <w:bookmarkEnd w:id="118"/>
      <w:bookmarkEnd w:id="119"/>
      <w:bookmarkEnd w:id="120"/>
      <w:bookmarkEnd w:id="121"/>
      <w:bookmarkEnd w:id="122"/>
    </w:p>
    <w:p w14:paraId="1620C364">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合同范围内的监理服务严禁分包，一经发现，委托人有权解除合同，由此引起的一切经济损失和法律责任由监理人自行承担。</w:t>
      </w:r>
    </w:p>
    <w:p w14:paraId="4968290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b/>
          <w:bCs/>
          <w:snapToGrid w:val="0"/>
          <w:color w:val="auto"/>
          <w:kern w:val="0"/>
          <w:szCs w:val="24"/>
          <w:highlight w:val="none"/>
        </w:rPr>
      </w:pPr>
      <w:bookmarkStart w:id="123" w:name="_Toc2527"/>
      <w:bookmarkStart w:id="124" w:name="_Toc25800"/>
      <w:bookmarkStart w:id="125" w:name="_Toc32579"/>
      <w:bookmarkStart w:id="126" w:name="_Toc19761"/>
      <w:bookmarkStart w:id="127" w:name="_Toc18249"/>
      <w:bookmarkStart w:id="128" w:name="_Toc25358"/>
      <w:bookmarkStart w:id="129" w:name="_Toc17560"/>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．监理服务期限</w:t>
      </w:r>
      <w:bookmarkEnd w:id="123"/>
      <w:bookmarkEnd w:id="124"/>
      <w:bookmarkEnd w:id="125"/>
      <w:bookmarkEnd w:id="126"/>
      <w:bookmarkEnd w:id="127"/>
      <w:bookmarkEnd w:id="128"/>
      <w:bookmarkEnd w:id="129"/>
    </w:p>
    <w:p w14:paraId="38CA0CA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当满足专用合同条款约定的开始监理条件时，委托人应提前7天向监理人发出开始监理通知。监理服务期限自开始监理通知中载明的开始监理日期起计算。</w:t>
      </w:r>
    </w:p>
    <w:p w14:paraId="0C55049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在合同履行过程中，由于下列原因造成监理服务期限延误的，委托人应当延长监理服务期限并增加监理酬金，具体方法在专用合同条款中约定。</w:t>
      </w:r>
    </w:p>
    <w:p w14:paraId="0723EC1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（1）合同变更；</w:t>
      </w:r>
    </w:p>
    <w:p w14:paraId="2933AA3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（2）因委托人原因导致的监理工作暂停；</w:t>
      </w:r>
    </w:p>
    <w:p w14:paraId="1A1B0EA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（3）未按合同约定及时支付监理服务酬金；</w:t>
      </w:r>
    </w:p>
    <w:p w14:paraId="3F3B38AD">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（4）未及时履行合同约定的相关义务；</w:t>
      </w:r>
    </w:p>
    <w:p w14:paraId="2A4409E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（5）由于承包人（指在本招标项目监理范围内，与委托人签订勘察、设计、施工承包合同的当事人，下同）延误、行政管理造成的监理服务期限延误；</w:t>
      </w:r>
    </w:p>
    <w:p w14:paraId="30489A1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（6）造成监理服务期限延误的其他原因。</w:t>
      </w:r>
    </w:p>
    <w:p w14:paraId="3EE357B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30" w:name="_Toc6532"/>
      <w:bookmarkStart w:id="131" w:name="_Toc13950"/>
      <w:bookmarkStart w:id="132" w:name="_Toc17664"/>
      <w:bookmarkStart w:id="133" w:name="_Toc13195"/>
      <w:bookmarkStart w:id="134" w:name="_Toc25479"/>
      <w:bookmarkStart w:id="135" w:name="_Toc1946"/>
      <w:bookmarkStart w:id="136" w:name="_Toc23108"/>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．项目监理机构</w:t>
      </w:r>
      <w:bookmarkEnd w:id="130"/>
      <w:bookmarkEnd w:id="131"/>
      <w:bookmarkEnd w:id="132"/>
      <w:bookmarkEnd w:id="133"/>
      <w:bookmarkEnd w:id="134"/>
      <w:bookmarkEnd w:id="135"/>
      <w:bookmarkEnd w:id="136"/>
    </w:p>
    <w:p w14:paraId="05433972">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监理人派驻项目监理机构的人员必须为其投标文件确定的人员，否则委托人有权解除合同。</w:t>
      </w:r>
    </w:p>
    <w:p w14:paraId="41B21D2D">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3242E03A">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trike/>
          <w:snapToGrid w:val="0"/>
          <w:color w:val="auto"/>
          <w:kern w:val="0"/>
          <w:szCs w:val="24"/>
          <w:highlight w:val="none"/>
        </w:rPr>
      </w:pPr>
      <w:bookmarkStart w:id="137" w:name="_Toc27412"/>
      <w:bookmarkStart w:id="138" w:name="_Toc23097"/>
      <w:bookmarkStart w:id="139" w:name="_Toc20027"/>
      <w:bookmarkStart w:id="140" w:name="_Toc20449"/>
      <w:bookmarkStart w:id="141" w:name="_Toc20861"/>
      <w:bookmarkStart w:id="142" w:name="_Toc19789"/>
      <w:bookmarkStart w:id="143" w:name="_Toc6056"/>
      <w:r>
        <w:rPr>
          <w:rFonts w:hint="eastAsia" w:hAnsi="宋体" w:cs="宋体"/>
          <w:b/>
          <w:snapToGrid w:val="0"/>
          <w:color w:val="auto"/>
          <w:kern w:val="0"/>
          <w:szCs w:val="24"/>
          <w:highlight w:val="none"/>
          <w:lang w:val="en-US" w:eastAsia="zh-CN"/>
        </w:rPr>
        <w:t>9</w:t>
      </w:r>
      <w:r>
        <w:rPr>
          <w:rFonts w:hint="eastAsia" w:hAnsi="宋体" w:cs="宋体"/>
          <w:b/>
          <w:snapToGrid w:val="0"/>
          <w:color w:val="auto"/>
          <w:kern w:val="0"/>
          <w:szCs w:val="24"/>
          <w:highlight w:val="none"/>
        </w:rPr>
        <w:t>．安全防护</w:t>
      </w:r>
      <w:bookmarkEnd w:id="137"/>
      <w:bookmarkEnd w:id="138"/>
      <w:bookmarkEnd w:id="139"/>
      <w:bookmarkEnd w:id="140"/>
      <w:bookmarkEnd w:id="141"/>
      <w:bookmarkEnd w:id="142"/>
      <w:bookmarkEnd w:id="143"/>
    </w:p>
    <w:p w14:paraId="55F684F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监理人应按照安全监理有关规定，采取严格、科学的安全防护措施，确保监理人员人身安全，承担由于自身安全防护措施不力所造成的安全事故责任和发生的费用。</w:t>
      </w:r>
    </w:p>
    <w:p w14:paraId="5D2C0C5C">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trike/>
          <w:snapToGrid w:val="0"/>
          <w:color w:val="auto"/>
          <w:kern w:val="0"/>
          <w:szCs w:val="24"/>
          <w:highlight w:val="none"/>
        </w:rPr>
      </w:pPr>
      <w:bookmarkStart w:id="144" w:name="_Toc16174"/>
      <w:bookmarkStart w:id="145" w:name="_Toc1181"/>
      <w:bookmarkStart w:id="146" w:name="_Toc17881"/>
      <w:bookmarkStart w:id="147" w:name="_Toc9618"/>
      <w:bookmarkStart w:id="148" w:name="_Toc13413"/>
      <w:bookmarkStart w:id="149" w:name="_Toc27428"/>
      <w:bookmarkStart w:id="150" w:name="_Toc11481"/>
      <w:r>
        <w:rPr>
          <w:rFonts w:hint="eastAsia" w:hAnsi="宋体" w:cs="宋体"/>
          <w:b/>
          <w:snapToGrid w:val="0"/>
          <w:color w:val="auto"/>
          <w:kern w:val="0"/>
          <w:szCs w:val="24"/>
          <w:highlight w:val="none"/>
          <w:lang w:val="en-US" w:eastAsia="zh-CN"/>
        </w:rPr>
        <w:t>10</w:t>
      </w:r>
      <w:r>
        <w:rPr>
          <w:rFonts w:hint="eastAsia" w:hAnsi="宋体" w:cs="宋体"/>
          <w:b/>
          <w:snapToGrid w:val="0"/>
          <w:color w:val="auto"/>
          <w:kern w:val="0"/>
          <w:szCs w:val="24"/>
          <w:highlight w:val="none"/>
        </w:rPr>
        <w:t>．接受监督</w:t>
      </w:r>
      <w:bookmarkEnd w:id="144"/>
      <w:bookmarkEnd w:id="145"/>
      <w:bookmarkEnd w:id="146"/>
      <w:bookmarkEnd w:id="147"/>
      <w:bookmarkEnd w:id="148"/>
      <w:bookmarkEnd w:id="149"/>
      <w:bookmarkEnd w:id="150"/>
    </w:p>
    <w:p w14:paraId="2D1BE83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bCs/>
          <w:snapToGrid w:val="0"/>
          <w:color w:val="auto"/>
          <w:kern w:val="0"/>
          <w:szCs w:val="24"/>
          <w:highlight w:val="none"/>
        </w:rPr>
      </w:pPr>
      <w:r>
        <w:rPr>
          <w:rFonts w:hint="eastAsia" w:hAnsi="宋体" w:cs="宋体"/>
          <w:snapToGrid w:val="0"/>
          <w:color w:val="auto"/>
          <w:kern w:val="0"/>
          <w:szCs w:val="24"/>
          <w:highlight w:val="none"/>
        </w:rPr>
        <w:t>监理人应严格按照法律、法规以及</w:t>
      </w:r>
      <w:r>
        <w:rPr>
          <w:rFonts w:hint="eastAsia" w:hAnsi="宋体" w:cs="宋体"/>
          <w:bCs/>
          <w:snapToGrid w:val="0"/>
          <w:color w:val="auto"/>
          <w:kern w:val="0"/>
          <w:szCs w:val="24"/>
          <w:highlight w:val="none"/>
        </w:rPr>
        <w:t>《建设工程监理规范》（GB/T 50319—2013）有关规定实施监理，同时须</w:t>
      </w:r>
      <w:r>
        <w:rPr>
          <w:rFonts w:hint="eastAsia" w:hAnsi="宋体" w:cs="宋体"/>
          <w:snapToGrid w:val="0"/>
          <w:color w:val="auto"/>
          <w:kern w:val="0"/>
          <w:szCs w:val="24"/>
          <w:highlight w:val="none"/>
        </w:rPr>
        <w:t>服从委托人以及建设行政主管部门对监理工作全方位的监督，及时将监理大纲、监理规划、监理实施细则等监理文件报委托人审查备案。</w:t>
      </w:r>
    </w:p>
    <w:p w14:paraId="59EBEC76">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bCs/>
          <w:snapToGrid w:val="0"/>
          <w:color w:val="auto"/>
          <w:kern w:val="0"/>
          <w:szCs w:val="24"/>
          <w:highlight w:val="none"/>
        </w:rPr>
      </w:pPr>
      <w:bookmarkStart w:id="151" w:name="_Toc25424"/>
      <w:bookmarkStart w:id="152" w:name="_Toc4730"/>
      <w:bookmarkStart w:id="153" w:name="_Toc24102"/>
      <w:bookmarkStart w:id="154" w:name="_Toc18397"/>
      <w:bookmarkStart w:id="155" w:name="_Toc17713"/>
      <w:bookmarkStart w:id="156" w:name="_Toc26662"/>
      <w:bookmarkStart w:id="157" w:name="_Toc14327"/>
      <w:r>
        <w:rPr>
          <w:rFonts w:hint="eastAsia" w:hAnsi="宋体" w:cs="宋体"/>
          <w:b/>
          <w:snapToGrid w:val="0"/>
          <w:color w:val="auto"/>
          <w:kern w:val="0"/>
          <w:szCs w:val="24"/>
          <w:highlight w:val="none"/>
        </w:rPr>
        <w:t>1</w:t>
      </w:r>
      <w:r>
        <w:rPr>
          <w:rFonts w:hint="eastAsia" w:hAnsi="宋体" w:cs="宋体"/>
          <w:b/>
          <w:snapToGrid w:val="0"/>
          <w:color w:val="auto"/>
          <w:kern w:val="0"/>
          <w:szCs w:val="24"/>
          <w:highlight w:val="none"/>
          <w:lang w:val="en-US" w:eastAsia="zh-CN"/>
        </w:rPr>
        <w:t>1</w:t>
      </w:r>
      <w:r>
        <w:rPr>
          <w:rFonts w:hint="eastAsia" w:hAnsi="宋体" w:cs="宋体"/>
          <w:b/>
          <w:snapToGrid w:val="0"/>
          <w:color w:val="auto"/>
          <w:kern w:val="0"/>
          <w:szCs w:val="24"/>
          <w:highlight w:val="none"/>
        </w:rPr>
        <w:t>．监理档案移交</w:t>
      </w:r>
      <w:bookmarkEnd w:id="151"/>
      <w:bookmarkEnd w:id="152"/>
      <w:bookmarkEnd w:id="153"/>
      <w:bookmarkEnd w:id="154"/>
      <w:bookmarkEnd w:id="155"/>
      <w:bookmarkEnd w:id="156"/>
      <w:bookmarkEnd w:id="157"/>
    </w:p>
    <w:p w14:paraId="6F290BEB">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项目竣工验收后，监理人应向委托人提交一式</w:t>
      </w:r>
      <w:r>
        <w:rPr>
          <w:rFonts w:hint="eastAsia" w:hAnsi="宋体" w:cs="宋体"/>
          <w:bCs/>
          <w:snapToGrid w:val="0"/>
          <w:color w:val="auto"/>
          <w:kern w:val="0"/>
          <w:szCs w:val="24"/>
          <w:highlight w:val="none"/>
          <w:u w:val="single"/>
        </w:rPr>
        <w:t xml:space="preserve"> 五 </w:t>
      </w:r>
      <w:r>
        <w:rPr>
          <w:rFonts w:hint="eastAsia" w:hAnsi="宋体" w:cs="宋体"/>
          <w:bCs/>
          <w:snapToGrid w:val="0"/>
          <w:color w:val="auto"/>
          <w:kern w:val="0"/>
          <w:szCs w:val="24"/>
          <w:highlight w:val="none"/>
        </w:rPr>
        <w:t>份符合《建设工程监理规范》（GB/T 50319—2013）以及《韶关市城市建设档案管理办法》要求的监理档案。</w:t>
      </w:r>
    </w:p>
    <w:p w14:paraId="4F32374E">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strike/>
          <w:snapToGrid w:val="0"/>
          <w:color w:val="auto"/>
          <w:kern w:val="0"/>
          <w:szCs w:val="24"/>
          <w:highlight w:val="none"/>
        </w:rPr>
      </w:pPr>
      <w:bookmarkStart w:id="158" w:name="_Toc19314"/>
      <w:bookmarkStart w:id="159" w:name="_Toc13197"/>
      <w:bookmarkStart w:id="160" w:name="_Toc2540"/>
      <w:bookmarkStart w:id="161" w:name="_Toc16612"/>
      <w:bookmarkStart w:id="162" w:name="_Toc6629"/>
      <w:bookmarkStart w:id="163" w:name="_Toc15489"/>
      <w:bookmarkStart w:id="164" w:name="_Toc24329"/>
      <w:r>
        <w:rPr>
          <w:rFonts w:hint="eastAsia" w:hAnsi="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2</w:t>
      </w:r>
      <w:r>
        <w:rPr>
          <w:rFonts w:hint="eastAsia" w:hAnsi="宋体" w:cs="宋体"/>
          <w:b/>
          <w:snapToGrid w:val="0"/>
          <w:color w:val="auto"/>
          <w:kern w:val="0"/>
          <w:szCs w:val="24"/>
          <w:highlight w:val="none"/>
        </w:rPr>
        <w:t>．不良行为处理</w:t>
      </w:r>
      <w:bookmarkEnd w:id="158"/>
      <w:bookmarkEnd w:id="159"/>
      <w:bookmarkEnd w:id="160"/>
      <w:bookmarkEnd w:id="161"/>
      <w:bookmarkEnd w:id="162"/>
      <w:bookmarkEnd w:id="163"/>
      <w:bookmarkEnd w:id="164"/>
    </w:p>
    <w:p w14:paraId="2E3189AF">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监理人及其有关人员有下列行为之一的，委托人应及时报请建设行政主管部门查处。</w:t>
      </w:r>
    </w:p>
    <w:p w14:paraId="07D061DE">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（1）转让监理业务的；</w:t>
      </w:r>
    </w:p>
    <w:p w14:paraId="00FFC846">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（2）非原参加投标中标的总监理工程师负责组织监理或在实施过程中擅自更换总监理工程师的、项目监理机构的其他监理人员与中标文件确定的人员不相符的；</w:t>
      </w:r>
    </w:p>
    <w:p w14:paraId="46518420">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（3）与建设单位、施工单位串通，签认虚假工程量或工程造价的；</w:t>
      </w:r>
    </w:p>
    <w:p w14:paraId="017A1138">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（4）现场监理不到位的；</w:t>
      </w:r>
    </w:p>
    <w:p w14:paraId="1505694D">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（5）非本人资格证书注册单位从事监理工作的；</w:t>
      </w:r>
    </w:p>
    <w:p w14:paraId="435AE348">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（6）总监理工程师承担超过三项工程监理任务的；</w:t>
      </w:r>
    </w:p>
    <w:p w14:paraId="55C62E6A">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（7）违反有关法律、法规、规章规定的其它行为。</w:t>
      </w:r>
    </w:p>
    <w:p w14:paraId="5E55DED7">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outlineLvl w:val="1"/>
        <w:rPr>
          <w:rFonts w:ascii="宋体" w:hAnsi="宋体" w:cs="宋体"/>
          <w:b/>
          <w:bCs/>
          <w:snapToGrid w:val="0"/>
          <w:color w:val="auto"/>
          <w:kern w:val="0"/>
          <w:szCs w:val="24"/>
          <w:highlight w:val="none"/>
        </w:rPr>
      </w:pPr>
      <w:bookmarkStart w:id="165" w:name="_Toc17537"/>
      <w:bookmarkStart w:id="166" w:name="_Toc16056"/>
      <w:bookmarkStart w:id="167" w:name="_Toc15923"/>
      <w:bookmarkStart w:id="168" w:name="_Toc2784"/>
      <w:bookmarkStart w:id="169" w:name="_Toc29467"/>
      <w:bookmarkStart w:id="170" w:name="_Toc28837"/>
      <w:bookmarkStart w:id="171" w:name="_Toc15431"/>
      <w:r>
        <w:rPr>
          <w:rFonts w:hint="eastAsia" w:ascii="宋体" w:hAnsi="宋体" w:cs="宋体"/>
          <w:b/>
          <w:bCs/>
          <w:snapToGrid w:val="0"/>
          <w:color w:val="auto"/>
          <w:kern w:val="0"/>
          <w:szCs w:val="24"/>
          <w:highlight w:val="none"/>
        </w:rPr>
        <w:t>1</w:t>
      </w:r>
      <w:r>
        <w:rPr>
          <w:rFonts w:hint="eastAsia" w:ascii="宋体" w:hAnsi="宋体" w:cs="宋体"/>
          <w:b/>
          <w:bCs/>
          <w:snapToGrid w:val="0"/>
          <w:color w:val="auto"/>
          <w:kern w:val="0"/>
          <w:szCs w:val="24"/>
          <w:highlight w:val="none"/>
          <w:lang w:val="en-US" w:eastAsia="zh-CN"/>
        </w:rPr>
        <w:t>3</w:t>
      </w:r>
      <w:r>
        <w:rPr>
          <w:rFonts w:hint="eastAsia" w:ascii="宋体" w:hAnsi="宋体" w:cs="宋体"/>
          <w:b/>
          <w:snapToGrid w:val="0"/>
          <w:color w:val="auto"/>
          <w:kern w:val="0"/>
          <w:szCs w:val="24"/>
          <w:highlight w:val="none"/>
        </w:rPr>
        <w:t>．</w:t>
      </w:r>
      <w:r>
        <w:rPr>
          <w:rFonts w:hint="eastAsia" w:ascii="宋体" w:hAnsi="宋体" w:cs="宋体"/>
          <w:b/>
          <w:bCs/>
          <w:snapToGrid w:val="0"/>
          <w:color w:val="auto"/>
          <w:kern w:val="0"/>
          <w:szCs w:val="24"/>
          <w:highlight w:val="none"/>
        </w:rPr>
        <w:t>信用评价条款内容</w:t>
      </w:r>
      <w:bookmarkEnd w:id="165"/>
      <w:bookmarkEnd w:id="166"/>
      <w:bookmarkEnd w:id="167"/>
      <w:bookmarkEnd w:id="168"/>
      <w:bookmarkEnd w:id="169"/>
      <w:bookmarkEnd w:id="170"/>
      <w:bookmarkEnd w:id="171"/>
    </w:p>
    <w:p w14:paraId="6BBF47BF">
      <w:pPr>
        <w:pStyle w:val="83"/>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由委托人决定是否对监理人的履约情况进行信用评价。若进行信用评价，评价条款由委托人自拟，条款内容可参考人员到位情况、服务配合程度、服务成果质量、项目后期服务以及信用评价结果的运用等。</w:t>
      </w:r>
    </w:p>
    <w:p w14:paraId="468331AE">
      <w:pPr>
        <w:rPr>
          <w:rFonts w:hAnsi="宋体" w:cs="宋体"/>
          <w:b/>
          <w:bCs/>
          <w:snapToGrid w:val="0"/>
          <w:color w:val="auto"/>
          <w:kern w:val="0"/>
          <w:highlight w:val="none"/>
        </w:rPr>
      </w:pPr>
      <w:r>
        <w:rPr>
          <w:rFonts w:hAnsi="宋体" w:cs="宋体"/>
          <w:b/>
          <w:bCs/>
          <w:snapToGrid w:val="0"/>
          <w:color w:val="auto"/>
          <w:kern w:val="0"/>
          <w:highlight w:val="none"/>
        </w:rPr>
        <w:br w:type="page"/>
      </w:r>
    </w:p>
    <w:p w14:paraId="64B9D05F">
      <w:pPr>
        <w:pStyle w:val="2"/>
        <w:wordWrap w:val="0"/>
        <w:autoSpaceDE/>
        <w:autoSpaceDN/>
        <w:snapToGrid w:val="0"/>
        <w:spacing w:line="500" w:lineRule="exact"/>
        <w:jc w:val="center"/>
        <w:outlineLvl w:val="0"/>
        <w:rPr>
          <w:rFonts w:hAnsi="宋体" w:cs="宋体"/>
          <w:b/>
          <w:snapToGrid w:val="0"/>
          <w:color w:val="auto"/>
          <w:sz w:val="32"/>
          <w:szCs w:val="32"/>
          <w:highlight w:val="none"/>
        </w:rPr>
      </w:pPr>
      <w:bookmarkStart w:id="172" w:name="_Toc17424"/>
      <w:bookmarkStart w:id="173" w:name="_Toc29099"/>
      <w:bookmarkStart w:id="174" w:name="_Hlt69698713"/>
      <w:bookmarkStart w:id="175" w:name="_Hlt69698765"/>
      <w:bookmarkStart w:id="176" w:name="_Hlt69698776"/>
      <w:r>
        <w:rPr>
          <w:rFonts w:hint="eastAsia" w:hAnsi="宋体" w:cs="宋体"/>
          <w:b/>
          <w:snapToGrid w:val="0"/>
          <w:color w:val="auto"/>
          <w:sz w:val="32"/>
          <w:szCs w:val="32"/>
          <w:highlight w:val="none"/>
        </w:rPr>
        <w:t>第三章</w:t>
      </w:r>
      <w:bookmarkStart w:id="177" w:name="_Hlt87793831"/>
      <w:bookmarkEnd w:id="177"/>
      <w:r>
        <w:rPr>
          <w:rFonts w:hint="eastAsia" w:hAnsi="宋体" w:cs="宋体"/>
          <w:b/>
          <w:snapToGrid w:val="0"/>
          <w:color w:val="auto"/>
          <w:sz w:val="32"/>
          <w:szCs w:val="32"/>
          <w:highlight w:val="none"/>
        </w:rPr>
        <w:t xml:space="preserve"> 拟签订合同的主要条款</w:t>
      </w:r>
      <w:bookmarkEnd w:id="172"/>
      <w:bookmarkEnd w:id="173"/>
    </w:p>
    <w:bookmarkEnd w:id="174"/>
    <w:bookmarkEnd w:id="175"/>
    <w:p w14:paraId="3DFF813C">
      <w:pPr>
        <w:bidi w:val="0"/>
        <w:rPr>
          <w:color w:val="auto"/>
          <w:highlight w:val="none"/>
        </w:rPr>
      </w:pPr>
      <w:bookmarkStart w:id="178" w:name="_Toc326916629"/>
      <w:bookmarkStart w:id="179" w:name="_Toc322793288"/>
    </w:p>
    <w:bookmarkEnd w:id="178"/>
    <w:bookmarkEnd w:id="179"/>
    <w:p w14:paraId="4D69B35D">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80" w:name="_Toc12203"/>
      <w:bookmarkStart w:id="181" w:name="_Toc11616"/>
      <w:bookmarkStart w:id="182" w:name="_Toc6392"/>
      <w:bookmarkStart w:id="183" w:name="_Toc1947"/>
      <w:bookmarkStart w:id="184" w:name="_Toc4588"/>
      <w:bookmarkStart w:id="185" w:name="_Toc3741"/>
      <w:bookmarkStart w:id="186" w:name="_Toc706"/>
      <w:r>
        <w:rPr>
          <w:rFonts w:hint="eastAsia" w:hAnsi="宋体" w:cs="宋体"/>
          <w:b/>
          <w:bCs/>
          <w:snapToGrid w:val="0"/>
          <w:color w:val="auto"/>
          <w:kern w:val="0"/>
          <w:szCs w:val="24"/>
          <w:highlight w:val="none"/>
        </w:rPr>
        <w:t>1．现场办公条件</w:t>
      </w:r>
      <w:bookmarkEnd w:id="180"/>
      <w:bookmarkEnd w:id="181"/>
      <w:bookmarkEnd w:id="182"/>
      <w:bookmarkEnd w:id="183"/>
      <w:bookmarkEnd w:id="184"/>
      <w:bookmarkEnd w:id="185"/>
      <w:bookmarkEnd w:id="186"/>
    </w:p>
    <w:p w14:paraId="34709E1A">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1.1</w:t>
      </w:r>
      <w:r>
        <w:rPr>
          <w:rFonts w:hint="eastAsia" w:hAnsi="宋体" w:cs="宋体"/>
          <w:snapToGrid w:val="0"/>
          <w:color w:val="auto"/>
          <w:kern w:val="0"/>
          <w:szCs w:val="24"/>
          <w:highlight w:val="none"/>
        </w:rPr>
        <w:t xml:space="preserve"> 监理人的办公、休息场所不得与承包人混用。所需场所、水电网络接入由委托人征求监理人意见后，与承包人协调明确，但费用（若有）由监理人支付。监理人所需场所的数量及其面积应与项目规模、特点相匹配，并应满足监理工作正常运作的需要。</w:t>
      </w:r>
    </w:p>
    <w:p w14:paraId="61852735">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1.2</w:t>
      </w:r>
      <w:r>
        <w:rPr>
          <w:rFonts w:hint="eastAsia" w:hAnsi="宋体" w:cs="宋体"/>
          <w:snapToGrid w:val="0"/>
          <w:color w:val="auto"/>
          <w:kern w:val="0"/>
          <w:szCs w:val="24"/>
          <w:highlight w:val="none"/>
        </w:rPr>
        <w:t xml:space="preserve"> 监理人应按照工程需要，自行配备以下的设施、设备：</w:t>
      </w:r>
    </w:p>
    <w:p w14:paraId="3D8A51E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（1）办公桌椅、文件柜、床铺被褥、供冷采暖设施等办公和生活设施；</w:t>
      </w:r>
    </w:p>
    <w:p w14:paraId="37BFFB0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（2）电脑、投影、打印机、复印机、传真机等办公设备及其耗材；</w:t>
      </w:r>
    </w:p>
    <w:p w14:paraId="1A7D1CB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（3）拍摄、录音、录像等取证器材；</w:t>
      </w:r>
    </w:p>
    <w:p w14:paraId="7F7E7AB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（4）信息化管理软件或系统；</w:t>
      </w:r>
    </w:p>
    <w:p w14:paraId="26BA118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（5）通信和交通工具；</w:t>
      </w:r>
    </w:p>
    <w:p w14:paraId="068B133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（6）本招标项目必备的规范标准、图集等书籍手册；</w:t>
      </w:r>
    </w:p>
    <w:p w14:paraId="0F46D2E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（7）安全帽、安全鞋、安全手套、安全服装、手电筒等安全防护用具；</w:t>
      </w:r>
    </w:p>
    <w:p w14:paraId="3EB6E9B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w:t>
      </w:r>
      <w:r>
        <w:rPr>
          <w:rFonts w:hint="eastAsia" w:hAnsi="宋体" w:cs="宋体"/>
          <w:snapToGrid w:val="0"/>
          <w:color w:val="auto"/>
          <w:kern w:val="0"/>
          <w:szCs w:val="24"/>
          <w:highlight w:val="none"/>
          <w:u w:val="single"/>
        </w:rPr>
        <w:t xml:space="preserve"> 打卡 / 指纹识别 / 人脸识别 / 虹膜识别 </w:t>
      </w:r>
      <w:r>
        <w:rPr>
          <w:rFonts w:hint="eastAsia" w:hAnsi="宋体" w:cs="宋体"/>
          <w:snapToGrid w:val="0"/>
          <w:color w:val="auto"/>
          <w:kern w:val="0"/>
          <w:szCs w:val="24"/>
          <w:highlight w:val="none"/>
        </w:rPr>
        <w:t>考勤设备；</w:t>
      </w:r>
    </w:p>
    <w:p w14:paraId="569F0AD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（9）其他与监理工作有关的设备与用品。</w:t>
      </w:r>
    </w:p>
    <w:p w14:paraId="3195E8A6">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b/>
          <w:bCs/>
          <w:snapToGrid w:val="0"/>
          <w:color w:val="auto"/>
          <w:kern w:val="0"/>
          <w:szCs w:val="24"/>
          <w:highlight w:val="none"/>
        </w:rPr>
      </w:pPr>
      <w:bookmarkStart w:id="187" w:name="_Toc8261"/>
      <w:bookmarkStart w:id="188" w:name="_Toc29914"/>
      <w:bookmarkStart w:id="189" w:name="_Toc6311"/>
      <w:bookmarkStart w:id="190" w:name="_Toc15844"/>
      <w:bookmarkStart w:id="191" w:name="_Toc14419"/>
      <w:bookmarkStart w:id="192" w:name="_Toc6193"/>
      <w:bookmarkStart w:id="193" w:name="_Toc17006"/>
      <w:r>
        <w:rPr>
          <w:rFonts w:hint="eastAsia" w:hAnsi="宋体" w:cs="宋体"/>
          <w:b/>
          <w:bCs/>
          <w:snapToGrid w:val="0"/>
          <w:color w:val="auto"/>
          <w:kern w:val="0"/>
          <w:szCs w:val="24"/>
          <w:highlight w:val="none"/>
        </w:rPr>
        <w:t>2．</w:t>
      </w:r>
      <w:bookmarkEnd w:id="187"/>
      <w:bookmarkEnd w:id="188"/>
      <w:bookmarkEnd w:id="189"/>
      <w:bookmarkEnd w:id="190"/>
      <w:bookmarkEnd w:id="191"/>
      <w:r>
        <w:rPr>
          <w:rFonts w:hint="eastAsia" w:hAnsi="宋体" w:cs="宋体"/>
          <w:b/>
          <w:bCs/>
          <w:snapToGrid w:val="0"/>
          <w:color w:val="auto"/>
          <w:kern w:val="0"/>
          <w:szCs w:val="24"/>
          <w:highlight w:val="none"/>
        </w:rPr>
        <w:t>监理服务费</w:t>
      </w:r>
      <w:bookmarkEnd w:id="192"/>
      <w:bookmarkEnd w:id="193"/>
    </w:p>
    <w:p w14:paraId="73DFA3D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2.1</w:t>
      </w:r>
      <w:r>
        <w:rPr>
          <w:rFonts w:hint="eastAsia" w:hAnsi="宋体" w:cs="宋体"/>
          <w:snapToGrid w:val="0"/>
          <w:color w:val="auto"/>
          <w:kern w:val="0"/>
          <w:szCs w:val="24"/>
          <w:highlight w:val="none"/>
        </w:rPr>
        <w:t xml:space="preserve"> “监理服务费”指监理人履行本合同义务，委托人按照本合同约定（包括按照合同约定进行的变更和调整）给付监理人的金额，“监理服务费”指监理人完成正常工作，委托人应给付监理人并在协议书中载明的签约酬金额。</w:t>
      </w:r>
    </w:p>
    <w:p w14:paraId="787D946D">
      <w:pPr>
        <w:keepNext w:val="0"/>
        <w:keepLines w:val="0"/>
        <w:pageBreakBefore w:val="0"/>
        <w:widowControl w:val="0"/>
        <w:kinsoku/>
        <w:wordWrap w:val="0"/>
        <w:overflowPunct/>
        <w:topLinePunct w:val="0"/>
        <w:autoSpaceDE/>
        <w:autoSpaceDN/>
        <w:bidi w:val="0"/>
        <w:adjustRightInd w:val="0"/>
        <w:spacing w:line="360" w:lineRule="auto"/>
        <w:ind w:firstLine="482" w:firstLineChars="20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2.2 监理服务费结算原则：</w:t>
      </w:r>
    </w:p>
    <w:p w14:paraId="3ABBED7D">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bookmarkStart w:id="194" w:name="_Toc31657"/>
      <w:bookmarkStart w:id="195" w:name="_Toc18979"/>
      <w:bookmarkStart w:id="196" w:name="_Toc31653"/>
      <w:bookmarkStart w:id="197" w:name="_Toc17740"/>
      <w:bookmarkStart w:id="198" w:name="_Toc6502"/>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1</w:t>
      </w:r>
      <w:r>
        <w:rPr>
          <w:rFonts w:hint="eastAsia" w:hAnsi="宋体" w:cs="宋体"/>
          <w:snapToGrid w:val="0"/>
          <w:color w:val="auto"/>
          <w:kern w:val="0"/>
          <w:szCs w:val="24"/>
          <w:highlight w:val="none"/>
          <w:lang w:eastAsia="zh-CN"/>
        </w:rPr>
        <w:t>）</w:t>
      </w:r>
      <w:r>
        <w:rPr>
          <w:rFonts w:hint="eastAsia" w:ascii="宋体" w:hAnsi="宋体" w:eastAsia="宋体" w:cs="宋体"/>
          <w:snapToGrid w:val="0"/>
          <w:color w:val="auto"/>
          <w:kern w:val="0"/>
          <w:szCs w:val="24"/>
          <w:highlight w:val="none"/>
        </w:rPr>
        <w:t>监理服务费结算价在项目的合同价范围内按实结算，即：以施工财审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0F841A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（2）项目建设期间，即使出现缓建或停建事件导致监理工期延长，不另增加监理服务费。</w:t>
      </w:r>
    </w:p>
    <w:p w14:paraId="5D847724">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（3）因工程规模、监理范围的变化导致监理人的正常工作量减少时，按减少工作量的比例从协议书约定的正常工作酬金中扣减相同比例的酬金。</w:t>
      </w:r>
    </w:p>
    <w:p w14:paraId="13DEEBD9">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2.3 监理服务费的支付：</w:t>
      </w:r>
    </w:p>
    <w:p w14:paraId="2A754AF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（1）本项目支付监理服务费预付款，预付款支付比例为：合同价的30%；</w:t>
      </w:r>
    </w:p>
    <w:p w14:paraId="7E32D0A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（2）本项目根据施工阶段按施工进度分期支付监理服务费，具体分期支付方式如下：</w:t>
      </w:r>
    </w:p>
    <w:tbl>
      <w:tblPr>
        <w:tblStyle w:val="32"/>
        <w:tblW w:w="9204" w:type="dxa"/>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7779"/>
      </w:tblGrid>
      <w:tr w14:paraId="61D7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1B45F28D">
            <w:pPr>
              <w:wordWrap w:val="0"/>
              <w:adjustRightInd w:val="0"/>
              <w:snapToGrid w:val="0"/>
              <w:spacing w:line="400" w:lineRule="exact"/>
              <w:jc w:val="center"/>
              <w:rPr>
                <w:rFonts w:hint="eastAsia" w:ascii="黑体" w:hAnsi="黑体" w:eastAsia="黑体"/>
                <w:snapToGrid w:val="0"/>
                <w:color w:val="auto"/>
                <w:kern w:val="0"/>
                <w:highlight w:val="none"/>
              </w:rPr>
            </w:pPr>
            <w:r>
              <w:rPr>
                <w:rFonts w:hint="eastAsia" w:ascii="黑体" w:hAnsi="黑体" w:eastAsia="黑体"/>
                <w:snapToGrid w:val="0"/>
                <w:color w:val="auto"/>
                <w:kern w:val="0"/>
                <w:highlight w:val="none"/>
              </w:rPr>
              <w:t>支付次数</w:t>
            </w:r>
          </w:p>
        </w:tc>
        <w:tc>
          <w:tcPr>
            <w:tcW w:w="7779" w:type="dxa"/>
            <w:noWrap w:val="0"/>
            <w:vAlign w:val="center"/>
          </w:tcPr>
          <w:p w14:paraId="177D7CE8">
            <w:pPr>
              <w:wordWrap w:val="0"/>
              <w:adjustRightInd w:val="0"/>
              <w:snapToGrid w:val="0"/>
              <w:spacing w:line="400" w:lineRule="exact"/>
              <w:jc w:val="center"/>
              <w:rPr>
                <w:rFonts w:hint="eastAsia" w:ascii="黑体" w:hAnsi="黑体" w:eastAsia="黑体"/>
                <w:snapToGrid w:val="0"/>
                <w:color w:val="auto"/>
                <w:kern w:val="0"/>
                <w:highlight w:val="none"/>
                <w:lang w:val="en-US" w:eastAsia="zh-CN"/>
              </w:rPr>
            </w:pPr>
            <w:r>
              <w:rPr>
                <w:rFonts w:hint="eastAsia" w:ascii="黑体" w:hAnsi="黑体" w:eastAsia="黑体"/>
                <w:snapToGrid w:val="0"/>
                <w:color w:val="auto"/>
                <w:kern w:val="0"/>
                <w:highlight w:val="none"/>
              </w:rPr>
              <w:t>支付时间</w:t>
            </w:r>
            <w:r>
              <w:rPr>
                <w:rFonts w:hint="eastAsia" w:ascii="黑体" w:hAnsi="黑体" w:eastAsia="黑体"/>
                <w:snapToGrid w:val="0"/>
                <w:color w:val="auto"/>
                <w:kern w:val="0"/>
                <w:highlight w:val="none"/>
                <w:lang w:val="en-US" w:eastAsia="zh-CN"/>
              </w:rPr>
              <w:t>及</w:t>
            </w:r>
            <w:r>
              <w:rPr>
                <w:rFonts w:hint="eastAsia" w:ascii="黑体" w:hAnsi="黑体" w:eastAsia="黑体"/>
                <w:snapToGrid w:val="0"/>
                <w:color w:val="auto"/>
                <w:kern w:val="0"/>
                <w:highlight w:val="none"/>
              </w:rPr>
              <w:t>支付比例</w:t>
            </w:r>
          </w:p>
        </w:tc>
      </w:tr>
      <w:tr w14:paraId="0ECC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1425" w:type="dxa"/>
            <w:noWrap w:val="0"/>
            <w:vAlign w:val="center"/>
          </w:tcPr>
          <w:p w14:paraId="48ADBAC4">
            <w:pPr>
              <w:wordWrap w:val="0"/>
              <w:adjustRightInd w:val="0"/>
              <w:snapToGrid w:val="0"/>
              <w:spacing w:line="400" w:lineRule="exact"/>
              <w:jc w:val="center"/>
              <w:rPr>
                <w:rFonts w:hint="eastAsia" w:ascii="Times New Roman"/>
                <w:snapToGrid w:val="0"/>
                <w:color w:val="auto"/>
                <w:kern w:val="0"/>
                <w:highlight w:val="none"/>
              </w:rPr>
            </w:pPr>
            <w:r>
              <w:rPr>
                <w:rFonts w:hint="eastAsia" w:ascii="Times New Roman"/>
                <w:snapToGrid w:val="0"/>
                <w:color w:val="auto"/>
                <w:kern w:val="0"/>
                <w:highlight w:val="none"/>
              </w:rPr>
              <w:t>第二次付款</w:t>
            </w:r>
          </w:p>
        </w:tc>
        <w:tc>
          <w:tcPr>
            <w:tcW w:w="7779" w:type="dxa"/>
            <w:noWrap w:val="0"/>
            <w:vAlign w:val="center"/>
          </w:tcPr>
          <w:p w14:paraId="2DA3D479">
            <w:pPr>
              <w:wordWrap w:val="0"/>
              <w:adjustRightInd w:val="0"/>
              <w:snapToGrid w:val="0"/>
              <w:spacing w:line="400" w:lineRule="exact"/>
              <w:jc w:val="left"/>
              <w:rPr>
                <w:rFonts w:hint="default" w:ascii="Times New Roman" w:eastAsia="宋体"/>
                <w:snapToGrid w:val="0"/>
                <w:color w:val="auto"/>
                <w:kern w:val="0"/>
                <w:highlight w:val="none"/>
                <w:lang w:val="en-US" w:eastAsia="zh-CN"/>
              </w:rPr>
            </w:pPr>
            <w:r>
              <w:rPr>
                <w:rFonts w:hint="eastAsia" w:ascii="Times New Roman"/>
                <w:snapToGrid w:val="0"/>
                <w:color w:val="auto"/>
                <w:kern w:val="0"/>
                <w:highlight w:val="none"/>
                <w:lang w:val="en-US" w:eastAsia="zh-CN"/>
              </w:rPr>
              <w:t>工程施工进度达到80%后30日内支付至合同价款的50%(含预付款30%)。</w:t>
            </w:r>
          </w:p>
        </w:tc>
      </w:tr>
      <w:tr w14:paraId="1496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exact"/>
        </w:trPr>
        <w:tc>
          <w:tcPr>
            <w:tcW w:w="1425" w:type="dxa"/>
            <w:noWrap w:val="0"/>
            <w:vAlign w:val="center"/>
          </w:tcPr>
          <w:p w14:paraId="738294BC">
            <w:pPr>
              <w:wordWrap w:val="0"/>
              <w:adjustRightInd w:val="0"/>
              <w:snapToGrid w:val="0"/>
              <w:spacing w:line="400" w:lineRule="exact"/>
              <w:jc w:val="center"/>
              <w:rPr>
                <w:rFonts w:hint="eastAsia" w:ascii="Times New Roman"/>
                <w:snapToGrid w:val="0"/>
                <w:color w:val="auto"/>
                <w:kern w:val="0"/>
                <w:highlight w:val="none"/>
              </w:rPr>
            </w:pPr>
            <w:r>
              <w:rPr>
                <w:rFonts w:hint="eastAsia" w:ascii="Times New Roman"/>
                <w:snapToGrid w:val="0"/>
                <w:color w:val="auto"/>
                <w:kern w:val="0"/>
                <w:highlight w:val="none"/>
              </w:rPr>
              <w:t>第</w:t>
            </w:r>
            <w:r>
              <w:rPr>
                <w:rFonts w:hint="eastAsia" w:ascii="Times New Roman"/>
                <w:snapToGrid w:val="0"/>
                <w:color w:val="auto"/>
                <w:kern w:val="0"/>
                <w:highlight w:val="none"/>
                <w:lang w:val="en-US" w:eastAsia="zh-CN"/>
              </w:rPr>
              <w:t>三</w:t>
            </w:r>
            <w:r>
              <w:rPr>
                <w:rFonts w:hint="eastAsia" w:ascii="Times New Roman"/>
                <w:snapToGrid w:val="0"/>
                <w:color w:val="auto"/>
                <w:kern w:val="0"/>
                <w:highlight w:val="none"/>
              </w:rPr>
              <w:t>次付款</w:t>
            </w:r>
          </w:p>
        </w:tc>
        <w:tc>
          <w:tcPr>
            <w:tcW w:w="7779" w:type="dxa"/>
            <w:noWrap w:val="0"/>
            <w:vAlign w:val="center"/>
          </w:tcPr>
          <w:p w14:paraId="542632C3">
            <w:pPr>
              <w:wordWrap w:val="0"/>
              <w:adjustRightInd w:val="0"/>
              <w:snapToGrid w:val="0"/>
              <w:spacing w:line="400" w:lineRule="exact"/>
              <w:jc w:val="left"/>
              <w:rPr>
                <w:rFonts w:hint="eastAsia" w:ascii="Times New Roman" w:eastAsia="宋体"/>
                <w:snapToGrid w:val="0"/>
                <w:color w:val="auto"/>
                <w:kern w:val="0"/>
                <w:sz w:val="24"/>
                <w:highlight w:val="none"/>
                <w:lang w:val="en-US" w:eastAsia="zh-CN" w:bidi="ar-SA"/>
              </w:rPr>
            </w:pPr>
            <w:r>
              <w:rPr>
                <w:rFonts w:hint="eastAsia" w:ascii="Times New Roman"/>
                <w:snapToGrid w:val="0"/>
                <w:color w:val="auto"/>
                <w:kern w:val="0"/>
                <w:highlight w:val="none"/>
              </w:rPr>
              <w:t>工程施工进度达到100%，项目完成完工验收后30日内支付至合同价款的80%</w:t>
            </w:r>
            <w:r>
              <w:rPr>
                <w:rFonts w:hint="eastAsia" w:ascii="Times New Roman"/>
                <w:snapToGrid w:val="0"/>
                <w:color w:val="auto"/>
                <w:kern w:val="0"/>
                <w:highlight w:val="none"/>
                <w:lang w:eastAsia="zh-CN"/>
              </w:rPr>
              <w:t>。</w:t>
            </w:r>
          </w:p>
        </w:tc>
      </w:tr>
      <w:tr w14:paraId="0253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exact"/>
        </w:trPr>
        <w:tc>
          <w:tcPr>
            <w:tcW w:w="1425" w:type="dxa"/>
            <w:noWrap w:val="0"/>
            <w:vAlign w:val="center"/>
          </w:tcPr>
          <w:p w14:paraId="0AB2A9D8">
            <w:pPr>
              <w:wordWrap w:val="0"/>
              <w:adjustRightInd w:val="0"/>
              <w:snapToGrid w:val="0"/>
              <w:spacing w:line="400" w:lineRule="exact"/>
              <w:jc w:val="center"/>
              <w:rPr>
                <w:rFonts w:hint="eastAsia" w:ascii="Times New Roman"/>
                <w:snapToGrid w:val="0"/>
                <w:color w:val="auto"/>
                <w:kern w:val="0"/>
                <w:highlight w:val="none"/>
              </w:rPr>
            </w:pPr>
            <w:r>
              <w:rPr>
                <w:rFonts w:hint="eastAsia" w:ascii="Times New Roman"/>
                <w:snapToGrid w:val="0"/>
                <w:color w:val="auto"/>
                <w:kern w:val="0"/>
                <w:highlight w:val="none"/>
              </w:rPr>
              <w:t>第</w:t>
            </w:r>
            <w:r>
              <w:rPr>
                <w:rFonts w:hint="eastAsia" w:ascii="Times New Roman"/>
                <w:snapToGrid w:val="0"/>
                <w:color w:val="auto"/>
                <w:kern w:val="0"/>
                <w:highlight w:val="none"/>
                <w:lang w:val="en-US" w:eastAsia="zh-CN"/>
              </w:rPr>
              <w:t>四</w:t>
            </w:r>
            <w:r>
              <w:rPr>
                <w:rFonts w:hint="eastAsia" w:ascii="Times New Roman"/>
                <w:snapToGrid w:val="0"/>
                <w:color w:val="auto"/>
                <w:kern w:val="0"/>
                <w:highlight w:val="none"/>
              </w:rPr>
              <w:t>次付款</w:t>
            </w:r>
          </w:p>
        </w:tc>
        <w:tc>
          <w:tcPr>
            <w:tcW w:w="7779" w:type="dxa"/>
            <w:noWrap w:val="0"/>
            <w:vAlign w:val="center"/>
          </w:tcPr>
          <w:p w14:paraId="45688F9F">
            <w:pPr>
              <w:wordWrap w:val="0"/>
              <w:adjustRightInd w:val="0"/>
              <w:snapToGrid w:val="0"/>
              <w:spacing w:line="400" w:lineRule="exact"/>
              <w:jc w:val="left"/>
              <w:rPr>
                <w:rFonts w:hint="eastAsia" w:ascii="Times New Roman" w:eastAsia="宋体"/>
                <w:snapToGrid w:val="0"/>
                <w:color w:val="auto"/>
                <w:kern w:val="0"/>
                <w:sz w:val="24"/>
                <w:highlight w:val="none"/>
                <w:lang w:val="en-US" w:eastAsia="zh-CN" w:bidi="ar-SA"/>
              </w:rPr>
            </w:pPr>
            <w:r>
              <w:rPr>
                <w:rFonts w:hint="eastAsia" w:ascii="Times New Roman"/>
                <w:snapToGrid w:val="0"/>
                <w:color w:val="auto"/>
                <w:kern w:val="0"/>
                <w:highlight w:val="none"/>
              </w:rPr>
              <w:t>竣工验收合格后，经委托人或委托人委托的第三方审核机构结算定案后支付至监理结算价的100%</w:t>
            </w:r>
            <w:r>
              <w:rPr>
                <w:rFonts w:hint="eastAsia" w:ascii="Times New Roman"/>
                <w:snapToGrid w:val="0"/>
                <w:color w:val="auto"/>
                <w:kern w:val="0"/>
                <w:highlight w:val="none"/>
                <w:lang w:eastAsia="zh-CN"/>
              </w:rPr>
              <w:t>。</w:t>
            </w:r>
          </w:p>
        </w:tc>
      </w:tr>
    </w:tbl>
    <w:p w14:paraId="37CFD6CD">
      <w:pPr>
        <w:keepNext w:val="0"/>
        <w:keepLines w:val="0"/>
        <w:pageBreakBefore w:val="0"/>
        <w:widowControl w:val="0"/>
        <w:kinsoku/>
        <w:wordWrap w:val="0"/>
        <w:overflowPunct/>
        <w:topLinePunct w:val="0"/>
        <w:autoSpaceDE/>
        <w:autoSpaceDN/>
        <w:bidi w:val="0"/>
        <w:adjustRightInd w:val="0"/>
        <w:snapToGrid w:val="0"/>
        <w:spacing w:before="165" w:beforeLines="50" w:line="360" w:lineRule="auto"/>
        <w:ind w:firstLine="482" w:firstLineChars="200"/>
        <w:textAlignment w:val="auto"/>
        <w:outlineLvl w:val="1"/>
        <w:rPr>
          <w:rFonts w:hint="eastAsia" w:ascii="宋体" w:hAnsi="宋体" w:eastAsia="宋体" w:cs="宋体"/>
          <w:b/>
          <w:bCs/>
          <w:snapToGrid w:val="0"/>
          <w:color w:val="auto"/>
          <w:kern w:val="0"/>
          <w:szCs w:val="24"/>
          <w:highlight w:val="none"/>
        </w:rPr>
      </w:pPr>
      <w:bookmarkStart w:id="199" w:name="_Toc12074"/>
      <w:bookmarkStart w:id="200" w:name="_Toc6221"/>
      <w:r>
        <w:rPr>
          <w:rFonts w:hint="eastAsia" w:ascii="宋体" w:hAnsi="宋体" w:eastAsia="宋体" w:cs="宋体"/>
          <w:b/>
          <w:bCs/>
          <w:snapToGrid w:val="0"/>
          <w:color w:val="auto"/>
          <w:kern w:val="0"/>
          <w:szCs w:val="24"/>
          <w:highlight w:val="none"/>
        </w:rPr>
        <w:t>本项目为政府全额投资，所有支付手续经发包人审批后，还须报政府财政部门审批完毕方可支付，如经发包人审批后已及时履行了向财政部门申报审批手续，则发包人不支付延期付款的利息，承包人也不得因政府财政部门履行审批程序所造成的延期付款而暂停施工和相关服务。</w:t>
      </w:r>
    </w:p>
    <w:p w14:paraId="40EDD9CD">
      <w:pPr>
        <w:keepNext w:val="0"/>
        <w:keepLines w:val="0"/>
        <w:pageBreakBefore w:val="0"/>
        <w:widowControl w:val="0"/>
        <w:kinsoku/>
        <w:wordWrap w:val="0"/>
        <w:overflowPunct/>
        <w:topLinePunct w:val="0"/>
        <w:autoSpaceDE/>
        <w:autoSpaceDN/>
        <w:bidi w:val="0"/>
        <w:adjustRightInd w:val="0"/>
        <w:snapToGrid w:val="0"/>
        <w:spacing w:before="165" w:beforeLines="50" w:line="360" w:lineRule="auto"/>
        <w:ind w:firstLine="482" w:firstLineChars="200"/>
        <w:textAlignment w:val="auto"/>
        <w:outlineLvl w:val="1"/>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3．监理服务费发票</w:t>
      </w:r>
      <w:bookmarkEnd w:id="194"/>
      <w:bookmarkEnd w:id="195"/>
      <w:bookmarkEnd w:id="196"/>
      <w:bookmarkEnd w:id="197"/>
      <w:bookmarkEnd w:id="198"/>
      <w:bookmarkEnd w:id="199"/>
      <w:bookmarkEnd w:id="200"/>
    </w:p>
    <w:p w14:paraId="51C072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委托人每次支付监理服务费前，监理人均应提供有效的增值税</w:t>
      </w:r>
      <w:r>
        <w:rPr>
          <w:rFonts w:hint="eastAsia" w:hAnsi="宋体" w:cs="宋体"/>
          <w:snapToGrid w:val="0"/>
          <w:color w:val="auto"/>
          <w:kern w:val="0"/>
          <w:szCs w:val="24"/>
          <w:highlight w:val="none"/>
          <w:u w:val="single"/>
        </w:rPr>
        <w:t xml:space="preserve"> 普通 </w:t>
      </w:r>
      <w:r>
        <w:rPr>
          <w:rFonts w:hint="eastAsia" w:hAnsi="宋体" w:cs="宋体"/>
          <w:snapToGrid w:val="0"/>
          <w:color w:val="auto"/>
          <w:kern w:val="0"/>
          <w:szCs w:val="24"/>
          <w:highlight w:val="none"/>
        </w:rPr>
        <w:t xml:space="preserve">发票。如果监理人无法提供符合要求的监理服务费发票，由此造成的相应损失由监理人承担。 </w:t>
      </w:r>
    </w:p>
    <w:p w14:paraId="11D1F827">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snapToGrid w:val="0"/>
          <w:color w:val="auto"/>
          <w:kern w:val="0"/>
          <w:szCs w:val="24"/>
          <w:highlight w:val="none"/>
        </w:rPr>
      </w:pPr>
      <w:bookmarkStart w:id="201" w:name="_Toc32105"/>
      <w:bookmarkStart w:id="202" w:name="_Toc30294"/>
      <w:bookmarkStart w:id="203" w:name="_Toc22603"/>
      <w:bookmarkStart w:id="204" w:name="_Toc32633"/>
      <w:bookmarkStart w:id="205" w:name="_Toc7557"/>
      <w:bookmarkStart w:id="206" w:name="_Toc25406"/>
      <w:bookmarkStart w:id="207" w:name="_Toc2147"/>
      <w:r>
        <w:rPr>
          <w:rFonts w:hint="eastAsia" w:hAnsi="宋体" w:cs="宋体"/>
          <w:b/>
          <w:bCs/>
          <w:snapToGrid w:val="0"/>
          <w:color w:val="auto"/>
          <w:kern w:val="0"/>
          <w:szCs w:val="24"/>
          <w:highlight w:val="none"/>
        </w:rPr>
        <w:t>4．违约责任</w:t>
      </w:r>
      <w:bookmarkEnd w:id="201"/>
      <w:bookmarkEnd w:id="202"/>
      <w:bookmarkEnd w:id="203"/>
      <w:bookmarkEnd w:id="204"/>
      <w:bookmarkEnd w:id="205"/>
      <w:bookmarkEnd w:id="206"/>
      <w:bookmarkEnd w:id="207"/>
    </w:p>
    <w:p w14:paraId="61B4EF1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 若由于监理单位的过错或失职，对委托人造成损失的，监理人必须依法承担赔偿责任。</w:t>
      </w:r>
    </w:p>
    <w:p w14:paraId="1D8BB86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4.2 本工程质量必须达到合格标准。若因监理人原因，工程在竣工验收或分部工程验收时没有达到此标准，监理人按监理合同价款（指监理结算价款）的</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u w:val="single"/>
          <w:lang w:val="en-US" w:eastAsia="zh-CN"/>
        </w:rPr>
        <w:t>10</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％向委托人返纳质量违约金，并对委托人的损失依法承担赔偿责任。</w:t>
      </w:r>
    </w:p>
    <w:p w14:paraId="796556F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4.3 监理人必须按投标文件中的服务承诺条款履行合同。</w:t>
      </w:r>
    </w:p>
    <w:p w14:paraId="597697E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4.4 监理人若是韶关市以外的企业，则其提供的监理费发票必须是在本工程所在地的税务部门开具的，委托人收到符合要求的发票后方可支付监理费。</w:t>
      </w:r>
    </w:p>
    <w:p w14:paraId="5F438E2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4.5 监理人在监理期间应严格遵守国家、省、市有关防火、爆破和监理安全以及文明监理、深夜监理、环卫城管等规定，建立规章制度和防护措施。否则，由此造成的经济和法律责任，均由监理人负责。</w:t>
      </w:r>
    </w:p>
    <w:p w14:paraId="4544E96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4.6 监理人应按安全监理的要求，采取严格科学的安全措施，确保监理安全和第三者的安全，承担由于自身安全措施不力所造成的事故责任和发生的费用。</w:t>
      </w:r>
    </w:p>
    <w:p w14:paraId="159D570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4.7 工程竣工验收后，监理人应向委托人提供符合现行《建设工程监理规范》（GB/t50319-2013）、《韶关市城市建设档案管理办法》及韶关市城市建设档案馆的要求（质量、数量），编制成册的监理档案资料（制作标准和相关要求按韶关市城市建设档案馆的有关规定执行），并承担档案涉及的所有费用。</w:t>
      </w:r>
    </w:p>
    <w:p w14:paraId="4441A90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4.8 监理人须服从委托人及政府工程质量监督部门对监理工程全方位的监督，监理资料应及时报送委托人审查备案。</w:t>
      </w:r>
    </w:p>
    <w:p w14:paraId="25A2909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4.9 监理人在施工过程中若发生</w:t>
      </w:r>
      <w:r>
        <w:rPr>
          <w:rFonts w:hint="eastAsia" w:ascii="Times New Roman"/>
          <w:snapToGrid w:val="0"/>
          <w:color w:val="auto"/>
          <w:kern w:val="0"/>
          <w:highlight w:val="none"/>
          <w:lang w:val="en-US" w:eastAsia="zh-CN"/>
        </w:rPr>
        <w:t>工程量变更时</w:t>
      </w:r>
      <w:r>
        <w:rPr>
          <w:rFonts w:hint="eastAsia" w:ascii="Times New Roman"/>
          <w:snapToGrid w:val="0"/>
          <w:color w:val="auto"/>
          <w:kern w:val="0"/>
          <w:highlight w:val="none"/>
        </w:rPr>
        <w:t>，按委托人</w:t>
      </w:r>
      <w:r>
        <w:rPr>
          <w:rFonts w:hint="eastAsia" w:ascii="Times New Roman"/>
          <w:snapToGrid w:val="0"/>
          <w:color w:val="auto"/>
          <w:kern w:val="0"/>
          <w:highlight w:val="none"/>
          <w:lang w:val="en-US" w:eastAsia="zh-CN"/>
        </w:rPr>
        <w:t>变更</w:t>
      </w:r>
      <w:r>
        <w:rPr>
          <w:rFonts w:hint="eastAsia" w:ascii="Times New Roman"/>
          <w:snapToGrid w:val="0"/>
          <w:color w:val="auto"/>
          <w:kern w:val="0"/>
          <w:highlight w:val="none"/>
        </w:rPr>
        <w:t>管理办法执行。</w:t>
      </w:r>
    </w:p>
    <w:p w14:paraId="2DCFB1F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4.10 招标文件、招标答疑书、投标文件和中标通知书是委托人与监理人双方签订的施工监理合同的主要组成部分，并与合同一样，具有相同的法律效力。如中标通知书发出后，发现监理人的投标文件中有与招标文件所述内容及要求不符的，按招标文件执行。</w:t>
      </w:r>
    </w:p>
    <w:p w14:paraId="6833812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4.11 投标报价应充分考虑在施工中由于委托人造成停工或工期延误等因素所产生的相关费用，委托人不予另计费；停工发生后，若可复工时，监理人应在收到委托人发出的复工通知书的当日通知施工单位复工，并安排现场监理人员及时到场进行现场监理。</w:t>
      </w:r>
    </w:p>
    <w:p w14:paraId="69A69EF7">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4.12 监理人若在韶关市无固定服务场所和固定专业负责人的，则在合同签订后尽快完成驻韶固定办公场所办理和安排固定项目负责人及其他相关监理人员驻韶办公。</w:t>
      </w:r>
    </w:p>
    <w:p w14:paraId="558605C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4.13 监理人拟派驻监理机构组成人员数量须符合《广东省建设厅转发建设部关于印发&lt;房屋建筑工程施工旁站监理管理办法（试行）&gt;的通知》（粤建管（2002）97号文》关于工程项目监理人数配置要求。同时，监理人派驻到工程所在地进行监理服务的监理人员，应能够胜任监理合同约定的监理服务工作。发包人有权以书面形式要求监理人更换不能按照监理合同的约定进行监理服务的派驻人员，若监理人拒不执行或无法在15个工作日内完成更换，则每发生一次扣除签约合同价的10%作为违约金。</w:t>
      </w:r>
    </w:p>
    <w:p w14:paraId="10C06C3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4.14监理人必须保证严格遵守有关法律法规及廉政规定。如监理人及其工作人员违反本承诺规定，给发包人造成经济损失的，依法给予赔偿。</w:t>
      </w:r>
    </w:p>
    <w:p w14:paraId="344902C9">
      <w:pPr>
        <w:wordWrap w:val="0"/>
        <w:adjustRightInd w:val="0"/>
        <w:snapToGrid w:val="0"/>
        <w:spacing w:line="440" w:lineRule="exact"/>
        <w:ind w:firstLine="560"/>
        <w:rPr>
          <w:rFonts w:hint="eastAsia" w:ascii="Times New Roman"/>
          <w:snapToGrid w:val="0"/>
          <w:color w:val="auto"/>
          <w:kern w:val="0"/>
          <w:highlight w:val="none"/>
          <w:lang w:val="en-US" w:eastAsia="zh-CN"/>
        </w:rPr>
      </w:pPr>
      <w:r>
        <w:rPr>
          <w:rFonts w:hint="eastAsia" w:ascii="Times New Roman"/>
          <w:snapToGrid w:val="0"/>
          <w:color w:val="auto"/>
          <w:kern w:val="0"/>
          <w:highlight w:val="none"/>
          <w:lang w:val="en-US" w:eastAsia="zh-CN"/>
        </w:rPr>
        <w:t>4.15因监理单位履职不到位引起的累计工程变更调整费用总额超过项目施工合同价(暂列金、预留金除外)的10%以上(含)，由项目建设单位按照合同扣减其30%的委托费用；超过项目施工合同价(暂列金、预留金除外)的20%以上(含),全额扣减相关费用，并由相关部门在市场诚信管理、市场准入资质管理等方面依法给予处理并进行通报。</w:t>
      </w:r>
    </w:p>
    <w:p w14:paraId="61915ED3">
      <w:pPr>
        <w:wordWrap w:val="0"/>
        <w:adjustRightInd w:val="0"/>
        <w:snapToGrid w:val="0"/>
        <w:spacing w:line="440" w:lineRule="exact"/>
        <w:ind w:firstLine="560"/>
        <w:rPr>
          <w:rFonts w:hAnsi="宋体" w:cs="宋体"/>
          <w:snapToGrid w:val="0"/>
          <w:color w:val="auto"/>
          <w:kern w:val="0"/>
          <w:szCs w:val="24"/>
          <w:highlight w:val="none"/>
        </w:rPr>
      </w:pPr>
      <w:r>
        <w:rPr>
          <w:rFonts w:hint="eastAsia" w:ascii="Times New Roman"/>
          <w:snapToGrid w:val="0"/>
          <w:color w:val="auto"/>
          <w:kern w:val="0"/>
          <w:highlight w:val="none"/>
          <w:lang w:val="en-US" w:eastAsia="zh-CN"/>
        </w:rPr>
        <w:t>4.16项目总监理工程师或项目总监理工程师代表每月驻现场不少于28 天，未经招标人书面同意，每少1天，视为监理人发生监理不良行为一次，承担般违约责</w:t>
      </w:r>
      <w:r>
        <w:rPr>
          <w:rFonts w:hint="eastAsia"/>
          <w:color w:val="auto"/>
          <w:highlight w:val="none"/>
          <w:lang w:val="en-US" w:eastAsia="zh-CN"/>
        </w:rPr>
        <w:t>任一次，监理人向委托人交纳违约金 2000 元。</w:t>
      </w:r>
    </w:p>
    <w:p w14:paraId="0F0BAF88">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snapToGrid w:val="0"/>
          <w:color w:val="auto"/>
          <w:kern w:val="0"/>
          <w:szCs w:val="24"/>
          <w:highlight w:val="none"/>
        </w:rPr>
      </w:pPr>
      <w:bookmarkStart w:id="208" w:name="_Toc27702"/>
      <w:bookmarkStart w:id="209" w:name="_Toc29596"/>
      <w:bookmarkStart w:id="210" w:name="_Toc17944"/>
      <w:bookmarkStart w:id="211" w:name="_Toc8823"/>
      <w:bookmarkStart w:id="212" w:name="_Toc22865"/>
      <w:bookmarkStart w:id="213" w:name="_Toc8777"/>
      <w:bookmarkStart w:id="214" w:name="_Toc26193"/>
      <w:r>
        <w:rPr>
          <w:rFonts w:hint="eastAsia" w:hAnsi="宋体" w:cs="宋体"/>
          <w:b/>
          <w:bCs/>
          <w:snapToGrid w:val="0"/>
          <w:color w:val="auto"/>
          <w:kern w:val="0"/>
          <w:szCs w:val="24"/>
          <w:highlight w:val="none"/>
        </w:rPr>
        <w:t>5．</w:t>
      </w:r>
      <w:r>
        <w:rPr>
          <w:rFonts w:hint="eastAsia" w:hAnsi="宋体" w:cs="宋体"/>
          <w:b/>
          <w:bCs/>
          <w:snapToGrid w:val="0"/>
          <w:color w:val="auto"/>
          <w:kern w:val="0"/>
          <w:szCs w:val="24"/>
          <w:highlight w:val="none"/>
          <w:lang w:val="en-US" w:eastAsia="zh-CN"/>
        </w:rPr>
        <w:t>监理服务费的</w:t>
      </w:r>
      <w:r>
        <w:rPr>
          <w:rFonts w:hint="eastAsia" w:hAnsi="宋体" w:cs="宋体"/>
          <w:b/>
          <w:bCs/>
          <w:snapToGrid w:val="0"/>
          <w:color w:val="auto"/>
          <w:kern w:val="0"/>
          <w:szCs w:val="24"/>
          <w:highlight w:val="none"/>
        </w:rPr>
        <w:t>支付</w:t>
      </w:r>
      <w:bookmarkEnd w:id="208"/>
      <w:bookmarkEnd w:id="209"/>
      <w:bookmarkEnd w:id="210"/>
      <w:bookmarkEnd w:id="211"/>
      <w:bookmarkEnd w:id="212"/>
      <w:bookmarkEnd w:id="213"/>
      <w:bookmarkEnd w:id="214"/>
    </w:p>
    <w:p w14:paraId="04A4871A">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9"/>
        <w:rPr>
          <w:rFonts w:hAnsi="宋体" w:cs="宋体"/>
          <w:snapToGrid w:val="0"/>
          <w:color w:val="auto"/>
          <w:kern w:val="0"/>
          <w:szCs w:val="24"/>
          <w:highlight w:val="none"/>
        </w:rPr>
      </w:pPr>
      <w:bookmarkStart w:id="215" w:name="_Toc624"/>
      <w:bookmarkStart w:id="216" w:name="_Toc26599"/>
      <w:bookmarkStart w:id="217" w:name="_Toc9024"/>
      <w:bookmarkStart w:id="218" w:name="_Toc13619"/>
      <w:r>
        <w:rPr>
          <w:rFonts w:hint="eastAsia" w:hAnsi="宋体" w:cs="宋体"/>
          <w:b/>
          <w:bCs/>
          <w:snapToGrid w:val="0"/>
          <w:color w:val="auto"/>
          <w:kern w:val="0"/>
          <w:szCs w:val="24"/>
          <w:highlight w:val="none"/>
        </w:rPr>
        <w:t>5.1</w:t>
      </w:r>
      <w:r>
        <w:rPr>
          <w:rFonts w:hint="eastAsia" w:hAnsi="宋体" w:cs="宋体"/>
          <w:snapToGrid w:val="0"/>
          <w:color w:val="auto"/>
          <w:kern w:val="0"/>
          <w:szCs w:val="24"/>
          <w:highlight w:val="none"/>
        </w:rPr>
        <w:t xml:space="preserve"> 支付货币</w:t>
      </w:r>
      <w:bookmarkEnd w:id="215"/>
      <w:bookmarkEnd w:id="216"/>
      <w:bookmarkEnd w:id="217"/>
      <w:bookmarkEnd w:id="218"/>
    </w:p>
    <w:p w14:paraId="612E634E">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酬金均以人民币支付。</w:t>
      </w:r>
    </w:p>
    <w:p w14:paraId="5BC33D62">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9"/>
        <w:rPr>
          <w:rFonts w:hAnsi="宋体" w:cs="宋体"/>
          <w:snapToGrid w:val="0"/>
          <w:color w:val="auto"/>
          <w:kern w:val="0"/>
          <w:szCs w:val="24"/>
          <w:highlight w:val="none"/>
        </w:rPr>
      </w:pPr>
      <w:bookmarkStart w:id="219" w:name="_Toc3949"/>
      <w:bookmarkStart w:id="220" w:name="_Toc10949"/>
      <w:bookmarkStart w:id="221" w:name="_Toc7275"/>
      <w:bookmarkStart w:id="222" w:name="_Toc22466"/>
      <w:r>
        <w:rPr>
          <w:rFonts w:hint="eastAsia" w:hAnsi="宋体" w:cs="宋体"/>
          <w:b/>
          <w:bCs/>
          <w:snapToGrid w:val="0"/>
          <w:color w:val="auto"/>
          <w:kern w:val="0"/>
          <w:szCs w:val="24"/>
          <w:highlight w:val="none"/>
        </w:rPr>
        <w:t>5.2</w:t>
      </w:r>
      <w:r>
        <w:rPr>
          <w:rFonts w:hint="eastAsia" w:hAnsi="宋体" w:cs="宋体"/>
          <w:snapToGrid w:val="0"/>
          <w:color w:val="auto"/>
          <w:kern w:val="0"/>
          <w:szCs w:val="24"/>
          <w:highlight w:val="none"/>
        </w:rPr>
        <w:t xml:space="preserve"> 支付申请</w:t>
      </w:r>
      <w:bookmarkEnd w:id="219"/>
      <w:bookmarkEnd w:id="220"/>
      <w:bookmarkEnd w:id="221"/>
      <w:bookmarkEnd w:id="222"/>
    </w:p>
    <w:p w14:paraId="6F647FF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监理人应在本合同约定的每次应付款时间的7天前，向委托人提交支付申请书。支付申请书应当说明当期应付款总额，并列出当期应支付的款项及其金额。</w:t>
      </w:r>
    </w:p>
    <w:p w14:paraId="5468025F">
      <w:pPr>
        <w:wordWrap w:val="0"/>
        <w:autoSpaceDE/>
        <w:autoSpaceDN/>
        <w:snapToGrid w:val="0"/>
        <w:spacing w:line="440" w:lineRule="exact"/>
        <w:ind w:firstLine="480"/>
        <w:jc w:val="both"/>
        <w:outlineLvl w:val="9"/>
        <w:rPr>
          <w:rFonts w:hint="eastAsia" w:ascii="Times New Roman"/>
          <w:b/>
          <w:snapToGrid w:val="0"/>
          <w:color w:val="auto"/>
          <w:szCs w:val="22"/>
          <w:highlight w:val="none"/>
        </w:rPr>
      </w:pPr>
      <w:bookmarkStart w:id="223" w:name="_Toc10664"/>
      <w:bookmarkStart w:id="224" w:name="_Toc6801"/>
      <w:bookmarkStart w:id="225" w:name="_Toc17883"/>
      <w:bookmarkStart w:id="226" w:name="_Toc25652"/>
      <w:r>
        <w:rPr>
          <w:rFonts w:hint="eastAsia" w:hAnsi="宋体" w:cs="宋体"/>
          <w:b/>
          <w:bCs/>
          <w:snapToGrid w:val="0"/>
          <w:color w:val="auto"/>
          <w:kern w:val="0"/>
          <w:szCs w:val="24"/>
          <w:highlight w:val="none"/>
        </w:rPr>
        <w:t xml:space="preserve">5.3 </w:t>
      </w:r>
      <w:bookmarkEnd w:id="223"/>
      <w:bookmarkEnd w:id="224"/>
      <w:bookmarkEnd w:id="225"/>
      <w:bookmarkEnd w:id="226"/>
      <w:r>
        <w:rPr>
          <w:rFonts w:hint="eastAsia" w:ascii="Times New Roman"/>
          <w:b/>
          <w:snapToGrid w:val="0"/>
          <w:color w:val="auto"/>
          <w:szCs w:val="22"/>
          <w:highlight w:val="none"/>
        </w:rPr>
        <w:t>监理人的服务内容</w:t>
      </w:r>
    </w:p>
    <w:p w14:paraId="5B5752F8">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5.1工程施工阶段服务内容</w:t>
      </w:r>
    </w:p>
    <w:p w14:paraId="17293D43">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本工程施工阶段工作，具体包括施工前期准备阶段，施工阶段，竣工验收阶段和工程保修阶段的监理工作。</w:t>
      </w:r>
    </w:p>
    <w:p w14:paraId="16CFC018">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5.1.1参与审阅施工图纸。</w:t>
      </w:r>
    </w:p>
    <w:p w14:paraId="30496B0F">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5.1.2协助招标人审核各项工程和设备质量，提出审核意见，并协助起草合同、完善合同条款。</w:t>
      </w:r>
    </w:p>
    <w:p w14:paraId="75494A97">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5.1.3协助招标人办理开工手续。</w:t>
      </w:r>
    </w:p>
    <w:p w14:paraId="03A59BEB">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5.1.4组织相关单位进行设计交底和施工图会审，负责做好会议记录和图纸会审记录。</w:t>
      </w:r>
    </w:p>
    <w:p w14:paraId="766E1A44">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5.1.5现场的移交：对现场的原始场地进行测量，作出书面记录，并在开工之前及时向施工单位移交，其次是测量放线定位的移交。</w:t>
      </w:r>
    </w:p>
    <w:p w14:paraId="0637F302">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5.1.6审查施工单位提出的施工组织设计、施工技术方案、施工进度计划、施工质量保证体系和施工安全保证体系。</w:t>
      </w:r>
    </w:p>
    <w:p w14:paraId="54E05EDC">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5.1.7督促、检查施工单位严格执行工程承包合同和国家工程技术规范、标准，协调招标人和施工单位之间的关系。</w:t>
      </w:r>
    </w:p>
    <w:p w14:paraId="661F8A47">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5.1.8审核施工单位提供的材料、设备、构配件和实际的数量及质量，按照规范和质监站的要求，对相关的材料进行见证取样复验。</w:t>
      </w:r>
    </w:p>
    <w:p w14:paraId="282C562B">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5.1.9根据施工单位提交的施工进度计划协助招标人督促现场施工进度；审核经质量验收合格的工程量，协助招标人进行工程竣工验收工作。</w:t>
      </w:r>
    </w:p>
    <w:p w14:paraId="5BA782C2">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5.1.10结合工程特点，审批施工单位报送的施工总进度计划；审批施工单位编制季月度施工计划；分阶段协调施工进度计划，及时提出调整意见，督促施工单位实施进度计划，在实际控制中，对实际工期不断检查，发现偏离进度计划及时督促承包方采取措施，做到有效的动态控制。</w:t>
      </w:r>
    </w:p>
    <w:p w14:paraId="2F7609D8">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5.1.11督促施工单位严格按现行规范、规程、强制性质量控制标准和设计要求施工、控制工程质量。</w:t>
      </w:r>
    </w:p>
    <w:p w14:paraId="60F02F96">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5.1.12在实施过程中，监理采取程序报验检查、平行检查、旁站检查、巡视检查、定期与不定期检查等各种手段，按照规范和施工组织设计的要求，克服施工过程中的质量通病。</w:t>
      </w:r>
    </w:p>
    <w:p w14:paraId="6C5FBC53">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5.1.13督促、检查施工单位落实施工安全保证措施。</w:t>
      </w:r>
    </w:p>
    <w:p w14:paraId="1D45AF71">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5.1.14协调参建各方之间的争议和冲突，协调各专业施工单位之间的关系，协调各专业施工作业的交接。</w:t>
      </w:r>
    </w:p>
    <w:p w14:paraId="3FF6F388">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5.1.15组织分项工程和隐蔽工程的检查、验收，签发工程验收凭证。</w:t>
      </w:r>
    </w:p>
    <w:p w14:paraId="2AEF3B9D">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5.1.16督促承建商整理合同文件和技术档案资料。</w:t>
      </w:r>
    </w:p>
    <w:p w14:paraId="03567021">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5.1.17组织招标人、施工单位、设计单位进行竣工预验收。</w:t>
      </w:r>
    </w:p>
    <w:p w14:paraId="019F0DF0">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5.1.18提出工程质量评估报告。</w:t>
      </w:r>
    </w:p>
    <w:p w14:paraId="3D84CF65">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5.1.19检查工程状况，如发生质量事故，则参与事故的分析和处理，并鉴定质量责任。</w:t>
      </w:r>
    </w:p>
    <w:p w14:paraId="417724D6">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5.1.20督促施工单位在工程竣工验收后，整理工程交工资料和竣工图纸。</w:t>
      </w:r>
    </w:p>
    <w:p w14:paraId="2AADB202">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5.1.21督促完善签署工程保修协议，督促施工单位回访。</w:t>
      </w:r>
    </w:p>
    <w:p w14:paraId="447DED86">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5.1.22督促施工单位及时完成未完工程尾项，协助招标人督促施工单位按照国家有关规定和保修协议开展维修工作，维修工程出现的缺陷，保证维修工作顺利进行。</w:t>
      </w:r>
    </w:p>
    <w:p w14:paraId="41AB4DC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olor w:val="auto"/>
          <w:highlight w:val="none"/>
        </w:rPr>
        <w:t>5.1.23保修期间如出现工程质量问题，接招标人通知后参与调查、分析，确定发生工程质量问题的原因责任，共同研究修补措施，并负责监督责任单位修补工作。</w:t>
      </w:r>
    </w:p>
    <w:p w14:paraId="69173EAD">
      <w:pPr>
        <w:pStyle w:val="3"/>
        <w:wordWrap w:val="0"/>
        <w:autoSpaceDE/>
        <w:autoSpaceDN/>
        <w:snapToGrid w:val="0"/>
        <w:spacing w:line="440" w:lineRule="exact"/>
        <w:ind w:firstLine="480"/>
        <w:jc w:val="both"/>
        <w:outlineLvl w:val="1"/>
        <w:rPr>
          <w:rFonts w:hint="eastAsia" w:ascii="Times New Roman"/>
          <w:b/>
          <w:snapToGrid w:val="0"/>
          <w:color w:val="auto"/>
          <w:szCs w:val="22"/>
          <w:highlight w:val="none"/>
        </w:rPr>
      </w:pPr>
      <w:bookmarkStart w:id="227" w:name="_Toc5107"/>
      <w:bookmarkStart w:id="228" w:name="_Toc8398"/>
      <w:bookmarkStart w:id="229" w:name="_Toc11091"/>
      <w:bookmarkStart w:id="230" w:name="_Toc12317"/>
      <w:bookmarkStart w:id="231" w:name="_Toc878"/>
      <w:bookmarkStart w:id="232" w:name="_Toc163"/>
      <w:bookmarkStart w:id="233" w:name="_Toc16162"/>
      <w:r>
        <w:rPr>
          <w:rFonts w:hint="eastAsia" w:hAnsi="宋体" w:cs="宋体"/>
          <w:b/>
          <w:bCs/>
          <w:snapToGrid w:val="0"/>
          <w:color w:val="auto"/>
          <w:kern w:val="0"/>
          <w:szCs w:val="24"/>
          <w:highlight w:val="none"/>
        </w:rPr>
        <w:t>6．</w:t>
      </w:r>
      <w:bookmarkEnd w:id="227"/>
      <w:bookmarkEnd w:id="228"/>
      <w:bookmarkEnd w:id="229"/>
      <w:bookmarkEnd w:id="230"/>
      <w:bookmarkEnd w:id="231"/>
      <w:r>
        <w:rPr>
          <w:rFonts w:hint="eastAsia" w:ascii="Times New Roman"/>
          <w:b/>
          <w:snapToGrid w:val="0"/>
          <w:color w:val="auto"/>
          <w:szCs w:val="22"/>
          <w:highlight w:val="none"/>
        </w:rPr>
        <w:t>监理人违约及违约责任</w:t>
      </w:r>
      <w:bookmarkEnd w:id="232"/>
      <w:bookmarkEnd w:id="233"/>
    </w:p>
    <w:p w14:paraId="35A19019">
      <w:pPr>
        <w:pStyle w:val="133"/>
        <w:spacing w:line="460" w:lineRule="exact"/>
        <w:ind w:firstLine="480" w:firstLineChars="200"/>
        <w:rPr>
          <w:rFonts w:hint="eastAsia" w:hAnsi="宋体"/>
          <w:color w:val="auto"/>
          <w:sz w:val="24"/>
          <w:highlight w:val="none"/>
        </w:rPr>
      </w:pPr>
      <w:r>
        <w:rPr>
          <w:rFonts w:hint="eastAsia" w:hAnsi="宋体"/>
          <w:color w:val="auto"/>
          <w:sz w:val="24"/>
          <w:highlight w:val="none"/>
        </w:rPr>
        <w:t xml:space="preserve">通常情况下，监理人不能按合同履行其义务和职责，因工作过失或渎职而造成了工程的经济和工期损失，为监理人违约，监理人应当向委托人赔偿经济损失，并承担相关的行政、法律责任。在本监理合同中，双方约定将监理人违约范围适当扩大，增加两种视为监理人违约的情况，一是监理人未按约定履行其义务工作时，即使未造成损失，视为监理人违约；二是监理目标未能达标，无论主要原因是什么，视为监理人违约。所有的违约金在当期的监理服务费扣除。本附件将监理人违约分为监理不良行为、监理过失、监理渎职及监理不达标四大情形造成的违约，这四种违约情形及违约责任的承担作如下规定： </w:t>
      </w:r>
    </w:p>
    <w:p w14:paraId="62118269">
      <w:pPr>
        <w:pStyle w:val="66"/>
        <w:spacing w:line="460" w:lineRule="exact"/>
        <w:ind w:firstLine="482" w:firstLineChars="200"/>
        <w:rPr>
          <w:rFonts w:hint="eastAsia" w:hAnsi="宋体"/>
          <w:b/>
          <w:bCs/>
          <w:color w:val="auto"/>
          <w:sz w:val="24"/>
          <w:highlight w:val="none"/>
        </w:rPr>
      </w:pPr>
      <w:r>
        <w:rPr>
          <w:rFonts w:hint="eastAsia" w:hAnsi="宋体"/>
          <w:b/>
          <w:bCs/>
          <w:color w:val="auto"/>
          <w:sz w:val="24"/>
          <w:highlight w:val="none"/>
        </w:rPr>
        <w:t>6.1监理不良行为违约</w:t>
      </w:r>
    </w:p>
    <w:p w14:paraId="0F11673D">
      <w:pPr>
        <w:pStyle w:val="66"/>
        <w:spacing w:line="460" w:lineRule="exact"/>
        <w:rPr>
          <w:rFonts w:hint="eastAsia" w:hAnsi="宋体"/>
          <w:color w:val="auto"/>
          <w:sz w:val="24"/>
          <w:highlight w:val="none"/>
        </w:rPr>
      </w:pPr>
      <w:r>
        <w:rPr>
          <w:rFonts w:hint="eastAsia" w:hAnsi="宋体"/>
          <w:color w:val="auto"/>
          <w:sz w:val="24"/>
          <w:highlight w:val="none"/>
        </w:rPr>
        <w:t xml:space="preserve">    6.1.1监理不良行为违约的认定</w:t>
      </w:r>
    </w:p>
    <w:p w14:paraId="0A1DBA29">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监理人员一切不按相关法规规定和要求履行义务工作的行为均可视为监理不良行为。监理不良行为特征主要体现是：1、项目监理架构未按相关法规及投标文件承诺规定组建，监理人员未完全到位和未按规定在岗的情形；2、相关法律、法规、地方规范性文件、监理规范、本项目相关合同文件规定及委托人指明的监理人的义务工作，监理人却未能执行或执行不及时；3、委托人指出或发现监理人在实施监理行为过程中明显的签证错误、审批错误及指令错误。</w:t>
      </w:r>
    </w:p>
    <w:p w14:paraId="45F1E769">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监理人的不良行为一旦被发现，由委托人管理人员在“监理行为记录档案”作记录，无论是否造成损失，即构成监理人违约。若该行为已造成实际损失，按本附件界定的监理过失违约规定处理。</w:t>
      </w:r>
    </w:p>
    <w:p w14:paraId="38429E85">
      <w:pPr>
        <w:pStyle w:val="66"/>
        <w:spacing w:line="460" w:lineRule="exact"/>
        <w:ind w:firstLine="482" w:firstLineChars="200"/>
        <w:rPr>
          <w:rFonts w:hint="eastAsia" w:hAnsi="宋体"/>
          <w:b/>
          <w:color w:val="auto"/>
          <w:sz w:val="24"/>
          <w:highlight w:val="none"/>
        </w:rPr>
      </w:pPr>
      <w:r>
        <w:rPr>
          <w:rFonts w:hint="eastAsia" w:hAnsi="宋体"/>
          <w:b/>
          <w:color w:val="auto"/>
          <w:sz w:val="24"/>
          <w:highlight w:val="none"/>
        </w:rPr>
        <w:t>所有监理不良行为违约发生的违约金均从监理人进度款中扣除，监理服务费结算以扣除违约金总数后的金额为准。</w:t>
      </w:r>
    </w:p>
    <w:p w14:paraId="51A797DB">
      <w:pPr>
        <w:pStyle w:val="66"/>
        <w:spacing w:line="460" w:lineRule="exact"/>
        <w:rPr>
          <w:rFonts w:hint="eastAsia" w:hAnsi="宋体"/>
          <w:color w:val="auto"/>
          <w:sz w:val="24"/>
          <w:highlight w:val="none"/>
        </w:rPr>
      </w:pPr>
      <w:r>
        <w:rPr>
          <w:rFonts w:hint="eastAsia" w:hAnsi="宋体"/>
          <w:color w:val="auto"/>
          <w:sz w:val="24"/>
          <w:highlight w:val="none"/>
        </w:rPr>
        <w:t xml:space="preserve">    6.1.2 监理不良行为违约的责任承担</w:t>
      </w:r>
    </w:p>
    <w:p w14:paraId="0AB6EB2B">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监理人发生监理不良行为一次，承担一般违约责任一次，监理人向委托人交纳违约金1000元。</w:t>
      </w:r>
    </w:p>
    <w:p w14:paraId="70903005">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6.1.2.1 总监每月驻现场不少于10天，未经招标人书面同意，每少1天，视为监理人发生监理不良行为一次，承担一般违约责任一次，监理人向委托人交纳违约金1000元。</w:t>
      </w:r>
    </w:p>
    <w:p w14:paraId="6A8397F2">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6.1.2.2  总监或总监代表如果无故缺席例会或招标人组织的会议，每次交纳违约金2000元。</w:t>
      </w:r>
    </w:p>
    <w:p w14:paraId="03EF1950">
      <w:pPr>
        <w:pStyle w:val="66"/>
        <w:spacing w:line="460" w:lineRule="exact"/>
        <w:ind w:firstLine="480" w:firstLineChars="200"/>
        <w:rPr>
          <w:rFonts w:hint="eastAsia" w:hAnsi="宋体"/>
          <w:b/>
          <w:bCs/>
          <w:color w:val="auto"/>
          <w:sz w:val="24"/>
          <w:highlight w:val="none"/>
          <w:u w:val="single"/>
        </w:rPr>
      </w:pPr>
      <w:r>
        <w:rPr>
          <w:rFonts w:hint="eastAsia" w:hAnsi="宋体"/>
          <w:color w:val="auto"/>
          <w:sz w:val="24"/>
          <w:highlight w:val="none"/>
        </w:rPr>
        <w:t xml:space="preserve">6.1.2.3 </w:t>
      </w:r>
      <w:r>
        <w:rPr>
          <w:rFonts w:hint="eastAsia" w:hAnsi="宋体"/>
          <w:b/>
          <w:bCs/>
          <w:color w:val="auto"/>
          <w:sz w:val="24"/>
          <w:highlight w:val="none"/>
          <w:u w:val="single"/>
        </w:rPr>
        <w:t>其他监理人员必须按配备要求在现场驻场监理，离开项目现场必须经委托人书面同意，如委托人发现监理人员非正常离岗，监理人向委托人每人次交纳违约金1000元。</w:t>
      </w:r>
    </w:p>
    <w:p w14:paraId="2A4709AE">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6.1.2.4 不按规定委派专业人员，不按时、准时参加各项验收和抽查的，不及时签署检查、验收记录的，一次向建设（委托）单位交纳违约金¥1000元/次、项。</w:t>
      </w:r>
    </w:p>
    <w:p w14:paraId="732C9847">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6.1.2.5 不按规定委派相关人员参加项目竣工验收的，一次向建设（委托）单位交纳违约金¥</w:t>
      </w:r>
      <w:r>
        <w:rPr>
          <w:rFonts w:hint="eastAsia" w:hAnsi="宋体"/>
          <w:color w:val="auto"/>
          <w:sz w:val="24"/>
          <w:highlight w:val="none"/>
          <w:lang w:val="en-US" w:eastAsia="zh-CN"/>
        </w:rPr>
        <w:t>5000</w:t>
      </w:r>
      <w:r>
        <w:rPr>
          <w:rFonts w:hint="eastAsia" w:hAnsi="宋体"/>
          <w:color w:val="auto"/>
          <w:sz w:val="24"/>
          <w:highlight w:val="none"/>
        </w:rPr>
        <w:t>元/项，不签署意见的交纳违约金¥</w:t>
      </w:r>
      <w:r>
        <w:rPr>
          <w:rFonts w:hint="eastAsia" w:hAnsi="宋体"/>
          <w:color w:val="auto"/>
          <w:sz w:val="24"/>
          <w:highlight w:val="none"/>
          <w:lang w:val="en-US" w:eastAsia="zh-CN"/>
        </w:rPr>
        <w:t>5000</w:t>
      </w:r>
      <w:r>
        <w:rPr>
          <w:rFonts w:hint="eastAsia" w:hAnsi="宋体"/>
          <w:color w:val="auto"/>
          <w:sz w:val="24"/>
          <w:highlight w:val="none"/>
        </w:rPr>
        <w:t>元；</w:t>
      </w:r>
    </w:p>
    <w:p w14:paraId="6B354DBE">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6.1.2.6 不按时交纳资料的，交纳违约金¥</w:t>
      </w:r>
      <w:r>
        <w:rPr>
          <w:rFonts w:hint="eastAsia" w:hAnsi="宋体"/>
          <w:color w:val="auto"/>
          <w:sz w:val="24"/>
          <w:highlight w:val="none"/>
          <w:lang w:val="en-US" w:eastAsia="zh-CN"/>
        </w:rPr>
        <w:t>5</w:t>
      </w:r>
      <w:r>
        <w:rPr>
          <w:rFonts w:hint="eastAsia" w:hAnsi="宋体"/>
          <w:color w:val="auto"/>
          <w:sz w:val="24"/>
          <w:highlight w:val="none"/>
        </w:rPr>
        <w:t>万元，造成损失的，承担相应责任；</w:t>
      </w:r>
    </w:p>
    <w:p w14:paraId="3A162618">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6.1.2.7 同一问题未能按时整改，每重复一次监理人向委托人缴纳违约金1000元。</w:t>
      </w:r>
    </w:p>
    <w:p w14:paraId="19203000">
      <w:pPr>
        <w:pStyle w:val="66"/>
        <w:spacing w:line="460" w:lineRule="exact"/>
        <w:ind w:firstLine="482" w:firstLineChars="200"/>
        <w:rPr>
          <w:rFonts w:hint="eastAsia" w:hAnsi="宋体"/>
          <w:color w:val="auto"/>
          <w:sz w:val="24"/>
          <w:highlight w:val="none"/>
        </w:rPr>
      </w:pPr>
      <w:r>
        <w:rPr>
          <w:rFonts w:hint="eastAsia" w:hAnsi="宋体"/>
          <w:b/>
          <w:bCs/>
          <w:color w:val="auto"/>
          <w:sz w:val="24"/>
          <w:highlight w:val="none"/>
        </w:rPr>
        <w:t>6.2 监理过失事件违约</w:t>
      </w:r>
    </w:p>
    <w:p w14:paraId="0114E179">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6.2.1 监理过失事件违约的认定</w:t>
      </w:r>
    </w:p>
    <w:p w14:paraId="0CFC3258">
      <w:pPr>
        <w:pStyle w:val="66"/>
        <w:spacing w:line="460" w:lineRule="exact"/>
        <w:rPr>
          <w:rFonts w:hint="eastAsia" w:hAnsi="宋体"/>
          <w:color w:val="auto"/>
          <w:sz w:val="24"/>
          <w:highlight w:val="none"/>
        </w:rPr>
      </w:pPr>
      <w:r>
        <w:rPr>
          <w:rFonts w:hint="eastAsia" w:hAnsi="宋体"/>
          <w:color w:val="auto"/>
          <w:sz w:val="24"/>
          <w:highlight w:val="none"/>
        </w:rPr>
        <w:t xml:space="preserve">    工程建设过程中，如发生以下情况：①委托人发现勘察（或设计或施工）中存在问题，而监理单位未发现的；②监理单位发现勘察（或设计或施工）中存在的问题，但未督促勘察（或设计或施工）单位整改或整改不到位的（以监理单位发出的整改通知和勘察（或设计或施工）单位回复及监理复查意见为准）；③监理单位三次及以上发出整改通知勘察（或设计或施工）单位未能给予响应的，但监理单位未能采取果断措施的；以上三种情况一旦委托人向监理单位发出整改通知，即认定为监理人监理过失事件违约，每发出一份整改通知即认定为监理过失事件违约一次。并由委托人管理人员在“监理行为记录档案”作记录。</w:t>
      </w:r>
    </w:p>
    <w:p w14:paraId="214DCAF5">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6.2.2 监理过失事件违约的责任承担</w:t>
      </w:r>
    </w:p>
    <w:p w14:paraId="5F5906AE">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6.2.2.1 监理人发生监理过失事件违约一次，承担严重违约责任一次，监理人向委托人交纳违约金</w:t>
      </w:r>
      <w:r>
        <w:rPr>
          <w:rFonts w:hint="eastAsia" w:hAnsi="宋体"/>
          <w:color w:val="auto"/>
          <w:sz w:val="24"/>
          <w:highlight w:val="none"/>
          <w:lang w:val="en-US" w:eastAsia="zh-CN"/>
        </w:rPr>
        <w:t>5</w:t>
      </w:r>
      <w:r>
        <w:rPr>
          <w:rFonts w:hint="eastAsia" w:hAnsi="宋体"/>
          <w:color w:val="auto"/>
          <w:sz w:val="24"/>
          <w:highlight w:val="none"/>
        </w:rPr>
        <w:t>000元。</w:t>
      </w:r>
    </w:p>
    <w:p w14:paraId="15BA9230">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 xml:space="preserve">6.2.2.2 如因监理人的原因而造成的经济损失，按如下规定向委托人赔偿： </w:t>
      </w:r>
    </w:p>
    <w:p w14:paraId="5C3A71B7">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1）根据损失额（或工程变更引起增加额）与本工程签订的施工合同金额的比例，按相应比例双倍扣减监理酬金；若增加工程投资比例超过施工合同金额的20%时，委托人有权单方解除合同，并要求监理人赔偿委托人由此遭受的实际损失中的50%，累计不超过监理服务费的70%。且不低于《关于加强县本级政府投资项目管理的通知》（始府办〔2021〕10号）规定的标准：：①因承包人责任引起变更造成投资规模增加10%以上的，由发包人扣减其20%委托费用；②因承包人责任引起变更造成投资规模增加15%以上的，由发包人扣减其30%委托费用；③因承包人责任引起变更造成投资规模增加20%以上的，由发包人扣减其40%委托费用。</w:t>
      </w:r>
    </w:p>
    <w:p w14:paraId="1A01A844">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2）因监理人责任导致工期延误，其中分项工期延误日数占该项总工期的30%时，则委托人有权扣除该分项工程监理酬金的60%；分项工期延误日数达到该项总工期的50%时，则委托人有权单方解除合同。因监理人责任导致工程竣工拖延的，依据拖延的日数，监理人应每日按监理酬金总额的1%向委托人支付违约金。由于监理人责任导致工期延误，致使委托人要承担赔偿第三方责任的，监理人必须承担赔偿委托人由此遭受的实际损失中的50%。</w:t>
      </w:r>
    </w:p>
    <w:p w14:paraId="1FBF1CFA">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6.2.2.3 监理人发生监理过失违约后，当委托人认为监理人无正当理由而又未履行监理义务时，有权部分解除合同或完全解除合同。</w:t>
      </w:r>
    </w:p>
    <w:p w14:paraId="73732DE9">
      <w:pPr>
        <w:pStyle w:val="66"/>
        <w:spacing w:line="460" w:lineRule="exact"/>
        <w:rPr>
          <w:rFonts w:hint="eastAsia" w:hAnsi="宋体"/>
          <w:b/>
          <w:bCs/>
          <w:color w:val="auto"/>
          <w:sz w:val="24"/>
          <w:highlight w:val="none"/>
        </w:rPr>
      </w:pPr>
      <w:r>
        <w:rPr>
          <w:rFonts w:hint="eastAsia" w:hAnsi="宋体"/>
          <w:color w:val="auto"/>
          <w:sz w:val="24"/>
          <w:highlight w:val="none"/>
        </w:rPr>
        <w:t xml:space="preserve">    </w:t>
      </w:r>
      <w:r>
        <w:rPr>
          <w:rFonts w:hint="eastAsia" w:hAnsi="宋体"/>
          <w:b/>
          <w:bCs/>
          <w:color w:val="auto"/>
          <w:sz w:val="24"/>
          <w:highlight w:val="none"/>
        </w:rPr>
        <w:t>6.3 监理渎职事件违约</w:t>
      </w:r>
    </w:p>
    <w:p w14:paraId="2B5EC5AA">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6.3.1 监理渎职事件违约的认定</w:t>
      </w:r>
    </w:p>
    <w:p w14:paraId="2B5A4551">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监理人员不按监理合同履行职责，滥用监理职权，或与其他人故意串通，行为恶劣造成严重社会影响的，无论是否造成损失，一经发现并认定为监理渎职违约，并由委托人管理人员在“监理行为记录档案”作记录。</w:t>
      </w:r>
    </w:p>
    <w:p w14:paraId="7D02046B">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 xml:space="preserve"> 6.3.2监理渎职事件违约的责任承担</w:t>
      </w:r>
    </w:p>
    <w:p w14:paraId="69DAD9A1">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6.3.2.1 监理人发生监理渎职违约一次，承担非常严重违约责任一次，扣除监理人违约金5000元。</w:t>
      </w:r>
    </w:p>
    <w:p w14:paraId="5A6358A3">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6.3.2.2 委托人勒令监理人更换监理人员，直至解除合同（合同解除办法同上）。</w:t>
      </w:r>
    </w:p>
    <w:p w14:paraId="2154ADAD">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6.3.2.3 如监理人的原因造成委托人或工程损失的，监理人承担全部赔偿责任。</w:t>
      </w:r>
    </w:p>
    <w:p w14:paraId="10C2F1E8">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6.3.2.4 监理人必须加强对监理人员职业操守、廉政建设的培训和教育，本项目监理人员利用职业身份“吃、拿、卡、要”或有其他违反职业操守及廉政建设相关规定的，一经查实，监理人应立即清退该监理人员，并承担1次非常严重违约责任，扣除监理人违约金¥10000元。如监理人违背了以下7款的任何情况，视为非常严重的违约，直接解除合同，不做费用补偿，且对已完成的监理服务，不再支付监理费用，并通报建设行政主管部门：</w:t>
      </w:r>
    </w:p>
    <w:p w14:paraId="478C0FA5">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1）禁止向委托人及承包人推销材料、设备，或以倾向性、排他性变相推销；</w:t>
      </w:r>
    </w:p>
    <w:p w14:paraId="56E9B89F">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2）禁止与承包人串通，对不合格材料、产品、工程进行包庇及验收；</w:t>
      </w:r>
    </w:p>
    <w:p w14:paraId="3922A97C">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3）禁止与承包人串通，对材料用量、工程量进行虚假签认；</w:t>
      </w:r>
    </w:p>
    <w:p w14:paraId="45F55E85">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4）禁止与承包人串通，不合理提高施工难度及增加材料用量，以增大施工费用，获取不正当收益。</w:t>
      </w:r>
    </w:p>
    <w:p w14:paraId="55085701">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5）禁止接受承包人的请吃送礼或变相受礼；</w:t>
      </w:r>
    </w:p>
    <w:p w14:paraId="4FCC7BDF">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6）禁止向承包人介绍分包或推销材料、设备等；</w:t>
      </w:r>
    </w:p>
    <w:p w14:paraId="2981F7A1">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7）禁止故意刁难承包人以谋取私利，损害委托人的合法利益。</w:t>
      </w:r>
    </w:p>
    <w:p w14:paraId="3CD1C496">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6.3.2.5 如监理人在投标时根据招标文件《综合评分表》“人员配置”作出了增加人员的承诺，而开工后，实际上没有增加，经发包人要求后，在10天内仍未能配齐增加的造价工程师和专业工程师，则视为非常严重的违约，直接解除合同。</w:t>
      </w:r>
    </w:p>
    <w:p w14:paraId="231240C0">
      <w:pPr>
        <w:pStyle w:val="66"/>
        <w:spacing w:line="460" w:lineRule="exact"/>
        <w:ind w:firstLine="482" w:firstLineChars="200"/>
        <w:rPr>
          <w:rFonts w:hint="eastAsia" w:hAnsi="宋体"/>
          <w:b/>
          <w:bCs/>
          <w:color w:val="auto"/>
          <w:sz w:val="24"/>
          <w:highlight w:val="none"/>
        </w:rPr>
      </w:pPr>
      <w:r>
        <w:rPr>
          <w:rFonts w:hint="eastAsia" w:hAnsi="宋体"/>
          <w:b/>
          <w:bCs/>
          <w:color w:val="auto"/>
          <w:sz w:val="24"/>
          <w:highlight w:val="none"/>
        </w:rPr>
        <w:t>6.4 监理不达标造成的违约</w:t>
      </w:r>
    </w:p>
    <w:p w14:paraId="5B76D7BC">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6.4.1 监理不达标违约的认定</w:t>
      </w:r>
    </w:p>
    <w:p w14:paraId="64823F21">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工程竣工结算后，监理协议书第三项监理目标的任何一项目标的不达标，均视为监理人的监理目标违约。</w:t>
      </w:r>
    </w:p>
    <w:p w14:paraId="3832A48C">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6.4.2 监理目标违约的责任承担</w:t>
      </w:r>
    </w:p>
    <w:p w14:paraId="26D030E0">
      <w:pPr>
        <w:pStyle w:val="66"/>
        <w:spacing w:line="460" w:lineRule="exact"/>
        <w:rPr>
          <w:rFonts w:hint="eastAsia" w:hAnsi="宋体"/>
          <w:color w:val="auto"/>
          <w:sz w:val="24"/>
          <w:highlight w:val="none"/>
        </w:rPr>
      </w:pPr>
      <w:r>
        <w:rPr>
          <w:rFonts w:hint="eastAsia" w:hAnsi="宋体"/>
          <w:color w:val="auto"/>
          <w:sz w:val="24"/>
          <w:highlight w:val="none"/>
        </w:rPr>
        <w:t xml:space="preserve">    6.4.2.1 质量控制不达标：工程竣工验收质量未达到施工合同等级要求的，不管任何原因，结算扣减监理合同价款的3％。</w:t>
      </w:r>
    </w:p>
    <w:p w14:paraId="36AD9B0A">
      <w:pPr>
        <w:pStyle w:val="66"/>
        <w:spacing w:line="460" w:lineRule="exact"/>
        <w:ind w:firstLine="480"/>
        <w:rPr>
          <w:rFonts w:hint="eastAsia" w:hAnsi="宋体"/>
          <w:color w:val="auto"/>
          <w:sz w:val="24"/>
          <w:highlight w:val="none"/>
        </w:rPr>
      </w:pPr>
      <w:r>
        <w:rPr>
          <w:rFonts w:hint="eastAsia" w:hAnsi="宋体"/>
          <w:color w:val="auto"/>
          <w:sz w:val="24"/>
          <w:highlight w:val="none"/>
        </w:rPr>
        <w:t>6.4.2.2 投资控制不达标：由监理单位编制投资控制计划和投资控制措施，报建设单位审核，若监理单位未能落实控制措施，出现投资增加，工程建安费结算价突破投资控制值的，每突破1％，结算扣减监理合同价款的1％。</w:t>
      </w:r>
    </w:p>
    <w:p w14:paraId="1ADFA8AF">
      <w:pPr>
        <w:pStyle w:val="66"/>
        <w:spacing w:line="460" w:lineRule="exact"/>
        <w:ind w:firstLine="480"/>
        <w:rPr>
          <w:rFonts w:hint="eastAsia" w:hAnsi="宋体"/>
          <w:color w:val="auto"/>
          <w:sz w:val="24"/>
          <w:highlight w:val="none"/>
        </w:rPr>
      </w:pPr>
      <w:r>
        <w:rPr>
          <w:rFonts w:hint="eastAsia" w:hAnsi="宋体"/>
          <w:color w:val="auto"/>
          <w:sz w:val="24"/>
          <w:highlight w:val="none"/>
        </w:rPr>
        <w:t>6.4.2.3 进度控制不达标：工程竣工验收通过日延误的，委托人视监理人的责任情况结算扣减监理合同价款的1％－3％。</w:t>
      </w:r>
    </w:p>
    <w:p w14:paraId="6E206106">
      <w:pPr>
        <w:pStyle w:val="66"/>
        <w:spacing w:line="460" w:lineRule="exact"/>
        <w:rPr>
          <w:rFonts w:hint="eastAsia" w:hAnsi="宋体"/>
          <w:color w:val="auto"/>
          <w:sz w:val="24"/>
          <w:highlight w:val="none"/>
        </w:rPr>
      </w:pPr>
      <w:r>
        <w:rPr>
          <w:rFonts w:hint="eastAsia" w:hAnsi="宋体"/>
          <w:color w:val="auto"/>
          <w:sz w:val="24"/>
          <w:highlight w:val="none"/>
        </w:rPr>
        <w:t xml:space="preserve">    6.4.2.4 安全管理不达标：工程发生一般安全生产事故，或被上级主管部门通报批评、被新闻媒体曝光的，结算扣减监理合同价款的1％；发生较大以上安全质量事故（按国家及合同有关规定界定）的，结算扣减监理合同价款的3％。情节严重的，委托人有权部分或全部解除合同。</w:t>
      </w:r>
    </w:p>
    <w:p w14:paraId="237D2385">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6.4.2.5 监理人应保证每季度进度计量（价）数据的准确性，如发生计量（价）误差＞5%，则视为监理人违约一次，扣除监理人违约金2000/次。</w:t>
      </w:r>
    </w:p>
    <w:p w14:paraId="6022FF5D">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6.4.2.6 对监理人上述违约处罚，不免除追究当事人和监理人的法律责任和相关赔偿责任。</w:t>
      </w:r>
    </w:p>
    <w:p w14:paraId="312B12DC">
      <w:pPr>
        <w:pStyle w:val="66"/>
        <w:spacing w:line="460" w:lineRule="exact"/>
        <w:rPr>
          <w:rFonts w:hint="eastAsia" w:hAnsi="宋体"/>
          <w:color w:val="auto"/>
          <w:sz w:val="24"/>
          <w:highlight w:val="none"/>
        </w:rPr>
      </w:pPr>
      <w:r>
        <w:rPr>
          <w:rFonts w:hint="eastAsia" w:hAnsi="宋体"/>
          <w:color w:val="auto"/>
          <w:sz w:val="24"/>
          <w:highlight w:val="none"/>
        </w:rPr>
        <w:t xml:space="preserve">    </w:t>
      </w:r>
      <w:r>
        <w:rPr>
          <w:rFonts w:hint="eastAsia" w:hAnsi="宋体"/>
          <w:b/>
          <w:bCs/>
          <w:color w:val="auto"/>
          <w:sz w:val="24"/>
          <w:highlight w:val="none"/>
        </w:rPr>
        <w:t>6.5 监理违约的处理程序</w:t>
      </w:r>
    </w:p>
    <w:p w14:paraId="4CBED980">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6.5.1 由委托人管理人员在“监理行为记录档案”中将监理人的具体违约情况记录，并将记录内容书面告知监理人。</w:t>
      </w:r>
    </w:p>
    <w:p w14:paraId="60D441BA">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6.5.2 委托人不定期将有关监理人的违约情况以记录、通知、会议纪要等书面形式通知监理人，指明其未能履约的内容和委托人要求其承担违约责任的等级。</w:t>
      </w:r>
    </w:p>
    <w:p w14:paraId="2176838A">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6.5.3 监理人收到书面处理通知后，如有足够证据证明不应由其承担违约责任的，应在收到违约处理决定后3天内以书面形式向委托人提出异议并附上有关证据，委托人在收到监理人的异议后15天内审核完毕且作出书面决定并通知监理人。否则书面通知则作为处理决定。</w:t>
      </w:r>
    </w:p>
    <w:p w14:paraId="7FE94D74">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6.5.4 委托人将进一步将监理人执行国家强制性规范、标准和履行合同、招投标文件义务的情况（包括但不限于由委托人组织的考核、考评通报、违约责任处理决定等）再报当地建设行政主管部门并在媒体上公开披露。</w:t>
      </w:r>
    </w:p>
    <w:p w14:paraId="15E871A4">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6.5.5 部分解除合同：委托人向监理人发出部分解除合同的通知后，合同部分解除即生效，监理人必须在3日内停止被解除部分的工作，5日内配合委托人完成现场工作和有关资料的移交，所交接资料必须完整。监理人无特殊原因未在规定期限内完成移交和撤出，或交接资料不完整的，委托人有权处理其留在现场的材料、设备和其他物件，处理费用由监理人承担，委托人有权视情况全部解除合同。因监理人拒交或延误交接现场工作和有关资料而引致委托人工期延误及其他方面的损失，委托人有权要求监理人赔偿有关损失。委托人在发出部分解除合同的通知后，委托人即可委托新的监理人承接该部分工程，监理人不得影响或阻碍新的监理人办理进场手续和相关工作。</w:t>
      </w:r>
    </w:p>
    <w:p w14:paraId="0CD04996">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6.5.6 完全解除合同：委托人向监理人发出解除合同的通知后，合同即解除，监理人必须在3日内停止全部工作，5日内配合委托人完成现场工作和有关资料的移交，并于完成交接工作当日内离场。监理人应保证所移交的资料齐全完整，监理人无特殊原因未在规定期限内完成移交和离场或所移交的资料不完整的，委托人有权处理其留在现场的材料、设备和其他物件，处理费用由监理人承担，如果引致委托人工期延误和其他方面的损失，委托人将要求监理人赔偿有关损失。委托人在发出解除合同的通知后，委托人即可委托新的监理人承接该工程，监理人不得影响或阻碍新的监理人办理进场手续和相关工作。</w:t>
      </w:r>
    </w:p>
    <w:p w14:paraId="0128CEF0">
      <w:pPr>
        <w:pStyle w:val="3"/>
        <w:wordWrap w:val="0"/>
        <w:autoSpaceDE/>
        <w:autoSpaceDN/>
        <w:snapToGrid w:val="0"/>
        <w:spacing w:line="440" w:lineRule="exact"/>
        <w:ind w:firstLine="480"/>
        <w:jc w:val="both"/>
        <w:outlineLvl w:val="1"/>
        <w:rPr>
          <w:rFonts w:hint="eastAsia" w:ascii="Times New Roman"/>
          <w:b/>
          <w:snapToGrid w:val="0"/>
          <w:color w:val="auto"/>
          <w:szCs w:val="22"/>
          <w:highlight w:val="none"/>
        </w:rPr>
      </w:pPr>
      <w:bookmarkStart w:id="234" w:name="_Toc21519"/>
      <w:bookmarkStart w:id="235" w:name="_Toc840"/>
      <w:bookmarkStart w:id="236" w:name="_Toc18555"/>
      <w:bookmarkStart w:id="237" w:name="_Toc22285"/>
      <w:r>
        <w:rPr>
          <w:rFonts w:hint="eastAsia" w:ascii="Times New Roman"/>
          <w:b/>
          <w:snapToGrid w:val="0"/>
          <w:color w:val="auto"/>
          <w:szCs w:val="22"/>
          <w:highlight w:val="none"/>
        </w:rPr>
        <w:t>7. 工程质量、造价、进度控制及安全生产管理</w:t>
      </w:r>
      <w:bookmarkEnd w:id="234"/>
      <w:bookmarkEnd w:id="235"/>
      <w:bookmarkEnd w:id="236"/>
      <w:bookmarkEnd w:id="237"/>
    </w:p>
    <w:p w14:paraId="5C3CB35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 工程质量控制：</w:t>
      </w:r>
    </w:p>
    <w:p w14:paraId="47CAB5A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 工程开工前，项目监理机构应审查施工单位现场的质量管理组织机构、管理制度及专职管理人员和特种作业人员的资格。</w:t>
      </w:r>
    </w:p>
    <w:p w14:paraId="560890A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7.1.2 总监理工程师应组织专业监理工程师审查施工单位报审的施工方案，符合要求后应予以签认。施工方案审查应包括下列基本内容：</w:t>
      </w:r>
    </w:p>
    <w:p w14:paraId="6800493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（1）编审程序应符合相关规定。</w:t>
      </w:r>
    </w:p>
    <w:p w14:paraId="518575A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（2）工程质量保证措施应符合有关标准。</w:t>
      </w:r>
    </w:p>
    <w:p w14:paraId="02C697E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7.1.3 施工方案报审表应按相应规范的要求填写。</w:t>
      </w:r>
    </w:p>
    <w:p w14:paraId="68F261A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7.1.4 专业监理工程师应审查施工单位报送的新材料、新工艺、新技术、新设备的质量认证材料和相关验收标准的适用性，必要时，应要求施工单位组织专题论证，审查合格后报总监理工程师签认。</w:t>
      </w:r>
    </w:p>
    <w:p w14:paraId="6487B3C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7.1.5 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5A73906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（1）施工单位测量人员的资格证书及测量设备检定证书。</w:t>
      </w:r>
    </w:p>
    <w:p w14:paraId="195244D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（2）施工平面控制网、高程控制网和临时水准点的测量成果及控制桩的保护措施。</w:t>
      </w:r>
    </w:p>
    <w:p w14:paraId="64AFDF9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7.1.6 施工控制测量成果报验表应按相应规范的要求填写。</w:t>
      </w:r>
    </w:p>
    <w:p w14:paraId="57A3D5F7">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7.1.7 专业监理工程师应检查施工单位为工程提供服务的试验室。</w:t>
      </w:r>
    </w:p>
    <w:p w14:paraId="2672A54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试验室的检查应包括下列内容：</w:t>
      </w:r>
    </w:p>
    <w:p w14:paraId="240E9AF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（1）试验室的资质等级及试验范围。</w:t>
      </w:r>
    </w:p>
    <w:p w14:paraId="2AF8647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（2）法定计量部门对试验设备出具的计量检定证明。</w:t>
      </w:r>
    </w:p>
    <w:p w14:paraId="35A47AD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（3）试验室管理制度。</w:t>
      </w:r>
    </w:p>
    <w:p w14:paraId="4BE6C00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（4）试验人员资格证书。</w:t>
      </w:r>
    </w:p>
    <w:p w14:paraId="4676D4F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7.1.8 施工单位的试验室报审表应按相应规范的要求填写。</w:t>
      </w:r>
    </w:p>
    <w:p w14:paraId="58497B8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7.1.9 项目监理机构应审查施工单位报送的用于工程的材料、构配件、设备的质量证明文件，并应按有关规定、建设工程监理合同约定，对用于工程的材料进行见证取样、平行检验。项目监理机构对已进场经检验不合格的工程材料、构配件、设备，应要求施工单位限期将其撤出施工现场。工程材料、构配件、设备报审表应按相应规范的要求填写。</w:t>
      </w:r>
    </w:p>
    <w:p w14:paraId="55A8351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7.1.10 专业监理工程师应审查施工单位定期提交影响工程质量的计量设备的检查和检定报告。</w:t>
      </w:r>
    </w:p>
    <w:p w14:paraId="133A85F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7.1.11 项目监理机构应根据工程特点和施工单位报送的施工组织设计，确定旁站的关键部位、关键工序，安排监理人员进行旁站，并应及时记录旁站情况。旁站记录应按相应规范的要求填写。</w:t>
      </w:r>
    </w:p>
    <w:p w14:paraId="4939A1D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7.1.12 项目监理机构应安排监理人员对工程施工质量进行巡视。巡视应包括下列主要内容：</w:t>
      </w:r>
    </w:p>
    <w:p w14:paraId="59D5C6C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（1）施工单位是否按工程设计文件、工程建设标准和批准的施工组织设计、(专项)施工方案施工。</w:t>
      </w:r>
    </w:p>
    <w:p w14:paraId="00D7840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（2）使用的工程材料、构配件和设备是否合格。</w:t>
      </w:r>
    </w:p>
    <w:p w14:paraId="60583EA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（3）施工现场管理人员，特别是施工质量管理人员是否到位。</w:t>
      </w:r>
    </w:p>
    <w:p w14:paraId="52A1C86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（4）特种作业人员是否持证上岗。</w:t>
      </w:r>
    </w:p>
    <w:p w14:paraId="1A771AF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7.1.13 项目监理机构应根据工程特点、专业要求，以及建设工程监理合同约定，对施工质量进行平行检验。</w:t>
      </w:r>
    </w:p>
    <w:p w14:paraId="7BF7BAF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7.1.14 项目监理机构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项目监理机构应要求施工单位对该隐蔽部位进行钻孔探测、剥离或其他方法进行重新检验。隐蔽工程、检验批、分项工程报验表及分部工程报验表应按相应规范的要求填写。</w:t>
      </w:r>
    </w:p>
    <w:p w14:paraId="103BC04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7.1.15 项目监理机构发现施工存在质量问题的，或施工单位采用不适当的施工工艺，或施工不当，造成工程质量不合格的，应及时签发监理通知单，要求施工单位整改。整改完毕后，项目监理机构应根据施工单位报送的监理通知回复单对整改情况进行复查，提出复查意见。监理通知单及监理通知回复单应按相应规范的要求填写。</w:t>
      </w:r>
    </w:p>
    <w:p w14:paraId="2489A9F7">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7.1.16 对需要返工处理或加固补强的质量缺陷，项目监理机构应要求施工单位报送经设计等相关单位认可的处理方案，并应对质量缺陷的处理过程进行跟踪检查，同时应对处理结果进行验收。</w:t>
      </w:r>
    </w:p>
    <w:p w14:paraId="5A64BF2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7.1.17 对需要返工处理或加固补强的质量事故，项目监理机构应要求施工单位报送质量事故调查报告和经设计等相关单位认可的处理方案，并应对质量事故的处理过程进行跟踪检查，同时应对处理结果进行验收。项目监理机构应及时向建设单位提交质量事故书面报告，并应将完整的质量事故处理记录整理归档。</w:t>
      </w:r>
    </w:p>
    <w:p w14:paraId="6F06B20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7.1.18 项目监理机构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7C49350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7.1.19 工程竣工预验收合格后，项目监理机构应编写工程质量评估报告，并应经总监理工程师和工程监理单位技术负责人审核签字后报建设单位。</w:t>
      </w:r>
    </w:p>
    <w:p w14:paraId="72E75CC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7.1.20 项目监理机构应参加由建设单位组织的竣工验收，对验收中提出的整改问题，应督促施工单位及时整改。工程质量符合要求的，总监理工程师应在工程竣工验收报告中签署意见。</w:t>
      </w:r>
    </w:p>
    <w:p w14:paraId="03F5282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7.1.21 保修期满后，项目监理机构应参与保修期满质量复检，对复检中发现的问题提出整改意见并督促施工单位整改；整改合格后，总监理工程师在复检报告中签署意见。</w:t>
      </w:r>
    </w:p>
    <w:p w14:paraId="480DA4F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7.1.22 项目监理机构受招标人的委托对工程项目实施进行监督与管理，必须按照国家和广东省的有关施工技术规范及现行标准，保证工程达到合格标准，若因中标人原因，工程在竣工验收或分部工程验收时没有达到此标准，项目监理机构按监理按合同价款的</w:t>
      </w:r>
      <w:r>
        <w:rPr>
          <w:rFonts w:hint="eastAsia" w:ascii="Times New Roman"/>
          <w:snapToGrid w:val="0"/>
          <w:color w:val="auto"/>
          <w:kern w:val="0"/>
          <w:highlight w:val="none"/>
          <w:u w:val="single"/>
        </w:rPr>
        <w:t>3%</w:t>
      </w:r>
      <w:r>
        <w:rPr>
          <w:rFonts w:hint="eastAsia" w:ascii="Times New Roman"/>
          <w:snapToGrid w:val="0"/>
          <w:color w:val="auto"/>
          <w:kern w:val="0"/>
          <w:highlight w:val="none"/>
        </w:rPr>
        <w:t>向招标人返纳质量违约金，并无条件免费监理服务至工程质量达到合格止。</w:t>
      </w:r>
    </w:p>
    <w:p w14:paraId="1CB45526">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rPr>
        <w:t>7.2 工程造价控制：</w:t>
      </w:r>
    </w:p>
    <w:p w14:paraId="02E3CBE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7.2.1 项目监理机构应按下列程序进行工程计量和付款签证：</w:t>
      </w:r>
    </w:p>
    <w:p w14:paraId="789A611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（1）专业监理工程师对施工单位在工程款支付报审表中提交的工程量和支付金额进行复核，确定实际完成的工程量，提出到期应支付给施工单位的金额，并提出相应的支持性材料。</w:t>
      </w:r>
    </w:p>
    <w:p w14:paraId="00CF713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（2）总监理工程师对专业监理工程师的审查意见进行审核，签认后报建设单位审批。</w:t>
      </w:r>
    </w:p>
    <w:p w14:paraId="490DFBE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（3）总监理工程师根据建设单位的审批意见，向施工单位签发工程款支付证书。</w:t>
      </w:r>
    </w:p>
    <w:p w14:paraId="7546FF4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工程款支付报审表及工程款支付证书应按相应规范的要求填写。</w:t>
      </w:r>
    </w:p>
    <w:p w14:paraId="62DCEEC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7.2.2项目监理机构应编制月完成工程量统计表，对实际完成量与计划完成量进行比较分析，发现偏差的，应提出调整建议，并应在监理月报中向建设单位报告。</w:t>
      </w:r>
    </w:p>
    <w:p w14:paraId="17735787">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7.2.3 项目监理机构应按下列程序进行竣工结算款审核：</w:t>
      </w:r>
    </w:p>
    <w:p w14:paraId="1CA5843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（1）专业监理工程师审查施工单位提交的竣工结算款支付申请，提出审查意见。</w:t>
      </w:r>
    </w:p>
    <w:p w14:paraId="4D6C287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总监理工程师对专业监理工程师的审查意见进行审核，签认后报建设单位审批，同时抄送施工单位，并就工程竣工结算事宜与建设单位、施工单位协商；达成一致意见的，根据建设单位审批意见向施工单位签发竣工结算款支付证书；不能达成一致意见的，应按施工合同约定处理。工程竣工结算款支付报审表及竣工结算款支付证书应按相应规范的要求填写。</w:t>
      </w:r>
    </w:p>
    <w:p w14:paraId="3229864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7.2.4项目监理单位应按上述要求和有关规定控制本项目的工程造价，若由于项目监理单位的过失造成工程造价提高，招标人按所提高造价额的50%从监理服务费中扣除，扣除累计不超过监理服务费的70%。且不低于《关于加强县本级政府投资项目管理的通知》（始府办〔2021〕10号）规定的标准：：①因承包人责任引起变更造成投资规模增加10%以上的，由发包人扣减其20%委托费用；②因承包人责任引起变更造成投资规模增加15%以上的，由发包人扣减其30%委托费用；③因承包人责任引起变更造成投资规模增加20%以上的，由发包人扣减其40%委托费用。</w:t>
      </w:r>
    </w:p>
    <w:p w14:paraId="355CAD93">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rPr>
        <w:t>7.3 工程进度控制：</w:t>
      </w:r>
    </w:p>
    <w:p w14:paraId="206BD89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7.3.1 项目监理机构应审查施工单位报审的施工总进度计划和阶段性施工进度计划，提出审查意见，并应由总监理工程师审核后报建设单位。</w:t>
      </w:r>
    </w:p>
    <w:p w14:paraId="436A3A9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施工进度计划审查应包括下列基本内容：</w:t>
      </w:r>
    </w:p>
    <w:p w14:paraId="235D385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（1）施工进度计划应符合施工合同中工期的约定。</w:t>
      </w:r>
    </w:p>
    <w:p w14:paraId="0220F1F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（2）施工进度计划中主要工程项目无遗漏，应满足分批投入试运、分批动用的需要，阶段性施工进度计划应满足总进度控制目标的要求。</w:t>
      </w:r>
    </w:p>
    <w:p w14:paraId="7A58786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（3）施工顺序的安排应符合施工工艺要求。</w:t>
      </w:r>
    </w:p>
    <w:p w14:paraId="13F0E67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（4）施工人员、工程材料、施工机械等资源供应计划应满足施工进度计划的需要。</w:t>
      </w:r>
    </w:p>
    <w:p w14:paraId="7A53DE1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（5）施工进度计划应符合建设单位提供的资金、施工图纸、施工场地、物资等施工条件。</w:t>
      </w:r>
    </w:p>
    <w:p w14:paraId="3680DCE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施工进度计划报审表应按相应规范的要求填写。</w:t>
      </w:r>
    </w:p>
    <w:p w14:paraId="109011B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7.3.2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6D52747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7.3.3 项目监理机构应比较分析工程施工实际进度与计划进度，预测实际进度对工程总工期的影响，并应在监理月报中向建设单位报告工程实际进展情况。</w:t>
      </w:r>
    </w:p>
    <w:p w14:paraId="0A3D0382">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rPr>
        <w:t>7.4 工程安全生产管理：</w:t>
      </w:r>
    </w:p>
    <w:p w14:paraId="40FDA7E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7.4.1 项目监理机构应根据法律法规、工程建设强制性标准，履行建设工程安全生产管理的监理职责，并应将安全生产管理的监理工作内容、方法和措施纳入监理规划及监理实施细则。</w:t>
      </w:r>
    </w:p>
    <w:p w14:paraId="0B78467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7.4.2 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6619695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7.4.3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14:paraId="480E227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专项施工方案审查应包括下列基本内容：</w:t>
      </w:r>
    </w:p>
    <w:p w14:paraId="151A39F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（1）编审程序应符合相关规定。</w:t>
      </w:r>
    </w:p>
    <w:p w14:paraId="51C12AF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（2）安全技术措施应符合工程建设强制性标准。</w:t>
      </w:r>
    </w:p>
    <w:p w14:paraId="48C112D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专项施工方案报审表应按相应规范的要求填写。</w:t>
      </w:r>
    </w:p>
    <w:p w14:paraId="1E4A8BE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7.4.4项目监理机构应巡视检查危险性较大的分部分项工程专项施工方案实施情况。发现未按专项施工方案实施时，应签发监理通知单，要求施工单位按专项施工方案实施。</w:t>
      </w:r>
    </w:p>
    <w:p w14:paraId="7399416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7.4.5 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w:t>
      </w:r>
    </w:p>
    <w:p w14:paraId="6A4F372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ascii="Times New Roman"/>
          <w:snapToGrid w:val="0"/>
          <w:color w:val="auto"/>
          <w:kern w:val="0"/>
          <w:highlight w:val="none"/>
        </w:rPr>
        <w:t>监理报告应按相应规范的要求填写。</w:t>
      </w:r>
    </w:p>
    <w:p w14:paraId="00072D29">
      <w:pPr>
        <w:rPr>
          <w:rFonts w:ascii="宋体" w:hAnsi="宋体" w:cs="宋体"/>
          <w:snapToGrid w:val="0"/>
          <w:color w:val="auto"/>
          <w:highlight w:val="none"/>
        </w:rPr>
      </w:pPr>
      <w:r>
        <w:rPr>
          <w:rFonts w:ascii="宋体" w:hAnsi="宋体" w:cs="宋体"/>
          <w:snapToGrid w:val="0"/>
          <w:color w:val="auto"/>
          <w:highlight w:val="none"/>
        </w:rPr>
        <w:br w:type="page"/>
      </w:r>
    </w:p>
    <w:bookmarkEnd w:id="176"/>
    <w:p w14:paraId="3D77261F">
      <w:pPr>
        <w:pStyle w:val="2"/>
        <w:tabs>
          <w:tab w:val="left" w:pos="885"/>
        </w:tabs>
        <w:wordWrap w:val="0"/>
        <w:autoSpaceDE/>
        <w:autoSpaceDN/>
        <w:snapToGrid w:val="0"/>
        <w:spacing w:line="440" w:lineRule="exact"/>
        <w:ind w:left="885" w:hanging="885"/>
        <w:jc w:val="center"/>
        <w:rPr>
          <w:rFonts w:ascii="Times New Roman"/>
          <w:b/>
          <w:snapToGrid w:val="0"/>
          <w:color w:val="auto"/>
          <w:sz w:val="32"/>
          <w:szCs w:val="22"/>
          <w:highlight w:val="none"/>
        </w:rPr>
      </w:pPr>
      <w:bookmarkStart w:id="238" w:name="_Toc21669"/>
      <w:bookmarkStart w:id="239" w:name="_Toc3062"/>
      <w:bookmarkStart w:id="240" w:name="_Toc12650"/>
      <w:bookmarkStart w:id="241" w:name="_Hlt69698796"/>
      <w:r>
        <w:rPr>
          <w:rFonts w:hint="eastAsia" w:ascii="Times New Roman"/>
          <w:b/>
          <w:snapToGrid w:val="0"/>
          <w:color w:val="auto"/>
          <w:sz w:val="32"/>
          <w:szCs w:val="22"/>
          <w:highlight w:val="none"/>
        </w:rPr>
        <w:t>第四章</w:t>
      </w:r>
      <w:bookmarkStart w:id="242" w:name="_Hlt87793853"/>
      <w:bookmarkEnd w:id="242"/>
      <w:r>
        <w:rPr>
          <w:rFonts w:hint="eastAsia" w:ascii="Times New Roman"/>
          <w:b/>
          <w:snapToGrid w:val="0"/>
          <w:color w:val="auto"/>
          <w:sz w:val="32"/>
          <w:szCs w:val="22"/>
          <w:highlight w:val="none"/>
        </w:rPr>
        <w:t xml:space="preserve"> 技术要求</w:t>
      </w:r>
      <w:bookmarkEnd w:id="238"/>
      <w:bookmarkEnd w:id="239"/>
      <w:bookmarkEnd w:id="240"/>
    </w:p>
    <w:bookmarkEnd w:id="241"/>
    <w:p w14:paraId="6901A016">
      <w:pPr>
        <w:wordWrap w:val="0"/>
        <w:adjustRightInd w:val="0"/>
        <w:snapToGrid w:val="0"/>
        <w:spacing w:line="440" w:lineRule="exact"/>
        <w:rPr>
          <w:rFonts w:hint="eastAsia" w:hAnsi="宋体" w:cs="宋体"/>
          <w:bCs/>
          <w:snapToGrid w:val="0"/>
          <w:color w:val="auto"/>
          <w:kern w:val="0"/>
          <w:highlight w:val="none"/>
        </w:rPr>
      </w:pPr>
      <w:bookmarkStart w:id="243" w:name="_Hlt80411122"/>
      <w:bookmarkEnd w:id="243"/>
      <w:bookmarkStart w:id="244" w:name="_Hlt69116854"/>
      <w:bookmarkEnd w:id="244"/>
      <w:bookmarkStart w:id="245" w:name="_Hlt69265216"/>
      <w:bookmarkEnd w:id="245"/>
      <w:bookmarkStart w:id="246" w:name="_Hlt69359335"/>
      <w:bookmarkEnd w:id="246"/>
      <w:bookmarkStart w:id="247" w:name="_Hlt66104926"/>
      <w:bookmarkEnd w:id="247"/>
      <w:bookmarkStart w:id="248" w:name="_Hlt69357851"/>
      <w:bookmarkEnd w:id="248"/>
      <w:bookmarkStart w:id="249" w:name="_Hlt87793346"/>
      <w:bookmarkEnd w:id="249"/>
      <w:bookmarkStart w:id="250" w:name="_Hlt87793370"/>
      <w:bookmarkEnd w:id="250"/>
      <w:bookmarkStart w:id="251" w:name="_Hlt75685840"/>
      <w:bookmarkEnd w:id="251"/>
      <w:bookmarkStart w:id="252" w:name="_Hlt69358207"/>
      <w:bookmarkEnd w:id="252"/>
      <w:bookmarkStart w:id="253" w:name="_Hlt68774758"/>
      <w:bookmarkEnd w:id="253"/>
      <w:bookmarkStart w:id="254" w:name="_Toc7515"/>
      <w:bookmarkStart w:id="255" w:name="_Toc2392"/>
    </w:p>
    <w:bookmarkEnd w:id="254"/>
    <w:bookmarkEnd w:id="255"/>
    <w:p w14:paraId="7A8302A9">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
          <w:snapToGrid w:val="0"/>
          <w:color w:val="auto"/>
          <w:kern w:val="0"/>
          <w:highlight w:val="none"/>
        </w:rPr>
      </w:pPr>
      <w:bookmarkStart w:id="256" w:name="_Hlt69635247"/>
      <w:bookmarkEnd w:id="256"/>
      <w:bookmarkStart w:id="257" w:name="_Hlt69116863"/>
      <w:bookmarkEnd w:id="257"/>
      <w:bookmarkStart w:id="258" w:name="_Hlt69338190"/>
      <w:bookmarkEnd w:id="258"/>
      <w:bookmarkStart w:id="259" w:name="_Hlt66848640"/>
      <w:bookmarkEnd w:id="259"/>
      <w:bookmarkStart w:id="260" w:name="_Hlt69358336"/>
      <w:bookmarkEnd w:id="260"/>
      <w:bookmarkStart w:id="261" w:name="_Hlt69265207"/>
      <w:bookmarkEnd w:id="261"/>
      <w:bookmarkStart w:id="262" w:name="_Toc29213"/>
      <w:bookmarkStart w:id="263" w:name="_Toc29899"/>
      <w:bookmarkStart w:id="264" w:name="_Toc25992"/>
      <w:bookmarkStart w:id="265" w:name="_Toc22126"/>
      <w:bookmarkStart w:id="266" w:name="_Toc16011"/>
      <w:bookmarkStart w:id="267" w:name="_Hlt69698785"/>
      <w:r>
        <w:rPr>
          <w:rFonts w:hint="eastAsia" w:ascii="宋体" w:hAnsi="宋体" w:eastAsia="宋体" w:cs="宋体"/>
          <w:b/>
          <w:snapToGrid w:val="0"/>
          <w:color w:val="auto"/>
          <w:kern w:val="0"/>
          <w:highlight w:val="none"/>
        </w:rPr>
        <w:t>1．房屋建筑工程建设项目</w:t>
      </w:r>
      <w:bookmarkEnd w:id="262"/>
      <w:bookmarkEnd w:id="263"/>
      <w:bookmarkEnd w:id="264"/>
      <w:bookmarkEnd w:id="265"/>
    </w:p>
    <w:p w14:paraId="5413D7B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eastAsia="zh-CN"/>
        </w:rPr>
      </w:pPr>
      <w:bookmarkStart w:id="268" w:name="_Hlt78709799"/>
      <w:bookmarkEnd w:id="268"/>
      <w:bookmarkStart w:id="269" w:name="_Hlt69116858"/>
      <w:bookmarkEnd w:id="269"/>
      <w:bookmarkStart w:id="270" w:name="_Hlt69359243"/>
      <w:bookmarkEnd w:id="270"/>
      <w:bookmarkStart w:id="271" w:name="_Hlt69359245"/>
      <w:bookmarkEnd w:id="271"/>
      <w:bookmarkStart w:id="272" w:name="_Hlt69359086"/>
      <w:bookmarkEnd w:id="272"/>
      <w:bookmarkStart w:id="273" w:name="_Hlt69635252"/>
      <w:bookmarkEnd w:id="273"/>
      <w:bookmarkStart w:id="274" w:name="_Hlt69358458"/>
      <w:bookmarkEnd w:id="274"/>
      <w:r>
        <w:rPr>
          <w:rFonts w:hint="eastAsia" w:ascii="宋体" w:hAnsi="宋体" w:eastAsia="宋体" w:cs="宋体"/>
          <w:b w:val="0"/>
          <w:bCs/>
          <w:caps w:val="0"/>
          <w:smallCaps w:val="0"/>
          <w:snapToGrid w:val="0"/>
          <w:color w:val="auto"/>
          <w:spacing w:val="0"/>
          <w:kern w:val="0"/>
          <w:highlight w:val="none"/>
          <w:lang w:eastAsia="zh-CN"/>
        </w:rPr>
        <w:t>房屋建筑工程建设项目必须执行的现行技术规范，包括且不限于：</w:t>
      </w:r>
    </w:p>
    <w:p w14:paraId="071C5C6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《建筑工程施工质量验收统一标准》；</w:t>
      </w:r>
    </w:p>
    <w:p w14:paraId="38F9B803">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2</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《建筑地基基础工程施工质量验收规范》；</w:t>
      </w:r>
    </w:p>
    <w:p w14:paraId="1FE215BB">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3</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《砌体工程施工质量验收规范》；</w:t>
      </w:r>
    </w:p>
    <w:p w14:paraId="620EA4B2">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4</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《混凝土结构工程施工质量验收规范》；</w:t>
      </w:r>
    </w:p>
    <w:p w14:paraId="5DECAAC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5</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《屋面工程质量验收规范》；</w:t>
      </w:r>
    </w:p>
    <w:p w14:paraId="149AC4A2">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6</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《地下防水工程质量验收规范》；</w:t>
      </w:r>
    </w:p>
    <w:p w14:paraId="63F5D4D1">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7</w:t>
      </w:r>
      <w:r>
        <w:rPr>
          <w:rFonts w:hint="eastAsia" w:ascii="宋体" w:hAnsi="宋体" w:eastAsia="宋体" w:cs="宋体"/>
          <w:b w:val="0"/>
          <w:bCs/>
          <w:caps w:val="0"/>
          <w:smallCaps w:val="0"/>
          <w:snapToGrid w:val="0"/>
          <w:color w:val="auto"/>
          <w:spacing w:val="0"/>
          <w:kern w:val="0"/>
          <w:highlight w:val="none"/>
          <w:lang w:eastAsia="zh-CN"/>
        </w:rPr>
        <w:t>）</w:t>
      </w:r>
      <w:bookmarkStart w:id="275" w:name="_Hlt78795211"/>
      <w:bookmarkEnd w:id="275"/>
      <w:r>
        <w:rPr>
          <w:rFonts w:hint="eastAsia" w:ascii="宋体" w:hAnsi="宋体" w:eastAsia="宋体" w:cs="宋体"/>
          <w:b w:val="0"/>
          <w:bCs/>
          <w:caps w:val="0"/>
          <w:smallCaps w:val="0"/>
          <w:snapToGrid w:val="0"/>
          <w:color w:val="auto"/>
          <w:spacing w:val="0"/>
          <w:kern w:val="0"/>
          <w:highlight w:val="none"/>
        </w:rPr>
        <w:t>《建筑地面工程施工质量验收规范》；</w:t>
      </w:r>
    </w:p>
    <w:p w14:paraId="27F6F7F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8</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《建筑装饰装修工程施工质量验收规范》；</w:t>
      </w:r>
    </w:p>
    <w:p w14:paraId="0FA6EC8B">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9</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《建筑给排水及采暖工程施工质量验收规范》；</w:t>
      </w:r>
    </w:p>
    <w:p w14:paraId="03E093B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10</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《建筑电气工程施工质量验收规范》；</w:t>
      </w:r>
    </w:p>
    <w:p w14:paraId="1DEB224E">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（11）《住建部绿色建筑评价标准》；</w:t>
      </w:r>
    </w:p>
    <w:p w14:paraId="5D099987">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（12）《建筑节能与可再生能源利用通用规范》（GB55015-2021）；</w:t>
      </w:r>
    </w:p>
    <w:p w14:paraId="49EA9281">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（13）《建筑环境通用规范》；</w:t>
      </w:r>
    </w:p>
    <w:p w14:paraId="13779688">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14</w:t>
      </w:r>
      <w:r>
        <w:rPr>
          <w:rFonts w:hint="eastAsia" w:ascii="宋体" w:hAnsi="宋体" w:eastAsia="宋体" w:cs="宋体"/>
          <w:b w:val="0"/>
          <w:bCs/>
          <w:caps w:val="0"/>
          <w:smallCaps w:val="0"/>
          <w:snapToGrid w:val="0"/>
          <w:color w:val="auto"/>
          <w:spacing w:val="0"/>
          <w:kern w:val="0"/>
          <w:highlight w:val="none"/>
          <w:lang w:eastAsia="zh-CN"/>
        </w:rPr>
        <w:t>）《广东省住房和城乡建设厅绿色施工导则》；</w:t>
      </w:r>
    </w:p>
    <w:p w14:paraId="1CCDEF10">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eastAsia="zh-CN"/>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15</w:t>
      </w:r>
      <w:r>
        <w:rPr>
          <w:rFonts w:hint="eastAsia" w:ascii="宋体" w:hAnsi="宋体" w:eastAsia="宋体" w:cs="宋体"/>
          <w:b w:val="0"/>
          <w:bCs/>
          <w:caps w:val="0"/>
          <w:smallCaps w:val="0"/>
          <w:snapToGrid w:val="0"/>
          <w:color w:val="auto"/>
          <w:spacing w:val="0"/>
          <w:kern w:val="0"/>
          <w:highlight w:val="none"/>
          <w:lang w:eastAsia="zh-CN"/>
        </w:rPr>
        <w:t>）《广东省建筑工程绿色施工评价标准》；</w:t>
      </w:r>
    </w:p>
    <w:p w14:paraId="6D764046">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（16）《广东省建筑节能与绿色建筑工程施工质量验收规范》</w:t>
      </w:r>
    </w:p>
    <w:p w14:paraId="316176AC">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Cs/>
          <w:snapToGrid w:val="0"/>
          <w:color w:val="auto"/>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17</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其他现行国家</w:t>
      </w:r>
      <w:r>
        <w:rPr>
          <w:rFonts w:hint="eastAsia" w:ascii="宋体" w:hAnsi="宋体" w:eastAsia="宋体" w:cs="宋体"/>
          <w:b w:val="0"/>
          <w:bCs/>
          <w:caps w:val="0"/>
          <w:smallCaps w:val="0"/>
          <w:snapToGrid w:val="0"/>
          <w:color w:val="auto"/>
          <w:spacing w:val="0"/>
          <w:kern w:val="0"/>
          <w:highlight w:val="none"/>
          <w:lang w:eastAsia="zh-CN"/>
        </w:rPr>
        <w:t>、广东省关于房建工程的</w:t>
      </w:r>
      <w:r>
        <w:rPr>
          <w:rFonts w:hint="eastAsia" w:ascii="宋体" w:hAnsi="宋体" w:eastAsia="宋体" w:cs="宋体"/>
          <w:b w:val="0"/>
          <w:bCs/>
          <w:caps w:val="0"/>
          <w:smallCaps w:val="0"/>
          <w:snapToGrid w:val="0"/>
          <w:color w:val="auto"/>
          <w:spacing w:val="0"/>
          <w:kern w:val="0"/>
          <w:highlight w:val="none"/>
        </w:rPr>
        <w:t>施工</w:t>
      </w:r>
      <w:r>
        <w:rPr>
          <w:rFonts w:hint="eastAsia" w:ascii="宋体" w:hAnsi="宋体" w:eastAsia="宋体" w:cs="宋体"/>
          <w:b w:val="0"/>
          <w:bCs/>
          <w:caps w:val="0"/>
          <w:smallCaps w:val="0"/>
          <w:snapToGrid w:val="0"/>
          <w:color w:val="auto"/>
          <w:spacing w:val="0"/>
          <w:kern w:val="0"/>
          <w:highlight w:val="none"/>
          <w:lang w:eastAsia="zh-CN"/>
        </w:rPr>
        <w:t>及验收</w:t>
      </w:r>
      <w:r>
        <w:rPr>
          <w:rFonts w:hint="eastAsia" w:ascii="宋体" w:hAnsi="宋体" w:eastAsia="宋体" w:cs="宋体"/>
          <w:b w:val="0"/>
          <w:bCs/>
          <w:caps w:val="0"/>
          <w:smallCaps w:val="0"/>
          <w:snapToGrid w:val="0"/>
          <w:color w:val="auto"/>
          <w:spacing w:val="0"/>
          <w:kern w:val="0"/>
          <w:highlight w:val="none"/>
        </w:rPr>
        <w:t>规范</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定额、</w:t>
      </w:r>
      <w:r>
        <w:rPr>
          <w:rFonts w:hint="eastAsia" w:ascii="宋体" w:hAnsi="宋体" w:eastAsia="宋体" w:cs="宋体"/>
          <w:b w:val="0"/>
          <w:bCs/>
          <w:caps w:val="0"/>
          <w:smallCaps w:val="0"/>
          <w:snapToGrid w:val="0"/>
          <w:color w:val="auto"/>
          <w:spacing w:val="0"/>
          <w:kern w:val="0"/>
          <w:highlight w:val="none"/>
          <w:lang w:eastAsia="zh-CN"/>
        </w:rPr>
        <w:t>规程、</w:t>
      </w:r>
      <w:r>
        <w:rPr>
          <w:rFonts w:hint="eastAsia" w:ascii="宋体" w:hAnsi="宋体" w:eastAsia="宋体" w:cs="宋体"/>
          <w:b w:val="0"/>
          <w:bCs/>
          <w:caps w:val="0"/>
          <w:smallCaps w:val="0"/>
          <w:snapToGrid w:val="0"/>
          <w:color w:val="auto"/>
          <w:spacing w:val="0"/>
          <w:kern w:val="0"/>
          <w:highlight w:val="none"/>
        </w:rPr>
        <w:t>标准。</w:t>
      </w:r>
    </w:p>
    <w:p w14:paraId="2EB590BE">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Cs/>
          <w:snapToGrid w:val="0"/>
          <w:color w:val="auto"/>
          <w:kern w:val="0"/>
          <w:highlight w:val="none"/>
        </w:rPr>
      </w:pPr>
      <w:bookmarkStart w:id="276" w:name="_Toc3631"/>
      <w:bookmarkStart w:id="277" w:name="_Toc2706"/>
      <w:bookmarkStart w:id="278" w:name="_Toc16196"/>
      <w:bookmarkStart w:id="279" w:name="_Toc23789"/>
      <w:r>
        <w:rPr>
          <w:rFonts w:hint="eastAsia" w:ascii="宋体" w:hAnsi="宋体" w:eastAsia="宋体" w:cs="宋体"/>
          <w:b/>
          <w:snapToGrid w:val="0"/>
          <w:color w:val="auto"/>
          <w:kern w:val="0"/>
          <w:highlight w:val="none"/>
        </w:rPr>
        <w:t>2．市政基础设施工程建设项目</w:t>
      </w:r>
      <w:bookmarkEnd w:id="276"/>
      <w:bookmarkEnd w:id="277"/>
      <w:bookmarkEnd w:id="278"/>
      <w:bookmarkEnd w:id="279"/>
    </w:p>
    <w:p w14:paraId="146BF938">
      <w:pPr>
        <w:keepNext w:val="0"/>
        <w:keepLines w:val="0"/>
        <w:pageBreakBefore w:val="0"/>
        <w:kinsoku/>
        <w:wordWrap w:val="0"/>
        <w:overflowPunct/>
        <w:topLinePunct w:val="0"/>
        <w:bidi w:val="0"/>
        <w:adjustRightInd w:val="0"/>
        <w:snapToGrid w:val="0"/>
        <w:spacing w:line="500" w:lineRule="exact"/>
        <w:ind w:firstLine="480" w:firstLineChars="200"/>
        <w:rPr>
          <w:rFonts w:hint="eastAsia" w:ascii="宋体" w:hAnsi="宋体" w:eastAsia="宋体" w:cs="宋体"/>
          <w:b w:val="0"/>
          <w:bCs/>
          <w:snapToGrid w:val="0"/>
          <w:color w:val="auto"/>
          <w:kern w:val="0"/>
          <w:szCs w:val="28"/>
          <w:highlight w:val="none"/>
        </w:rPr>
      </w:pPr>
      <w:r>
        <w:rPr>
          <w:rFonts w:hint="eastAsia" w:ascii="宋体" w:hAnsi="宋体" w:eastAsia="宋体" w:cs="宋体"/>
          <w:b w:val="0"/>
          <w:bCs/>
          <w:snapToGrid w:val="0"/>
          <w:color w:val="auto"/>
          <w:kern w:val="0"/>
          <w:highlight w:val="none"/>
        </w:rPr>
        <w:t>市政基础设施工程建设项目必须执行的现行技术规范，包括且不限于：</w:t>
      </w:r>
    </w:p>
    <w:p w14:paraId="5E212450">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szCs w:val="28"/>
          <w:highlight w:val="none"/>
          <w:lang w:eastAsia="zh-CN"/>
        </w:rPr>
        <w:t>（</w:t>
      </w:r>
      <w:r>
        <w:rPr>
          <w:rFonts w:hint="eastAsia" w:ascii="宋体" w:hAnsi="宋体" w:eastAsia="宋体" w:cs="宋体"/>
          <w:b w:val="0"/>
          <w:bCs/>
          <w:caps w:val="0"/>
          <w:smallCaps w:val="0"/>
          <w:snapToGrid w:val="0"/>
          <w:color w:val="auto"/>
          <w:spacing w:val="0"/>
          <w:kern w:val="0"/>
          <w:szCs w:val="28"/>
          <w:highlight w:val="none"/>
          <w:lang w:val="en-US" w:eastAsia="zh-CN"/>
        </w:rPr>
        <w:t>1</w:t>
      </w:r>
      <w:r>
        <w:rPr>
          <w:rFonts w:hint="eastAsia" w:ascii="宋体" w:hAnsi="宋体" w:eastAsia="宋体" w:cs="宋体"/>
          <w:b w:val="0"/>
          <w:bCs/>
          <w:caps w:val="0"/>
          <w:smallCaps w:val="0"/>
          <w:snapToGrid w:val="0"/>
          <w:color w:val="auto"/>
          <w:spacing w:val="0"/>
          <w:kern w:val="0"/>
          <w:szCs w:val="28"/>
          <w:highlight w:val="none"/>
          <w:lang w:eastAsia="zh-CN"/>
        </w:rPr>
        <w:t>）</w:t>
      </w:r>
      <w:r>
        <w:rPr>
          <w:rFonts w:hint="eastAsia" w:ascii="宋体" w:hAnsi="宋体" w:eastAsia="宋体" w:cs="宋体"/>
          <w:b w:val="0"/>
          <w:bCs/>
          <w:caps w:val="0"/>
          <w:smallCaps w:val="0"/>
          <w:snapToGrid w:val="0"/>
          <w:color w:val="auto"/>
          <w:spacing w:val="0"/>
          <w:kern w:val="0"/>
          <w:szCs w:val="28"/>
          <w:highlight w:val="none"/>
        </w:rPr>
        <w:t>《公路路基施工技术规范》</w:t>
      </w:r>
      <w:r>
        <w:rPr>
          <w:rFonts w:hint="eastAsia" w:ascii="宋体" w:hAnsi="宋体" w:eastAsia="宋体" w:cs="宋体"/>
          <w:b w:val="0"/>
          <w:bCs/>
          <w:caps w:val="0"/>
          <w:smallCaps w:val="0"/>
          <w:snapToGrid w:val="0"/>
          <w:color w:val="auto"/>
          <w:spacing w:val="0"/>
          <w:kern w:val="0"/>
          <w:highlight w:val="none"/>
        </w:rPr>
        <w:t>；</w:t>
      </w:r>
    </w:p>
    <w:p w14:paraId="4568D961">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2</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《市政道路工程质量检验评定标准》；</w:t>
      </w:r>
    </w:p>
    <w:p w14:paraId="3E4C154F">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3</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《市政排水管渠工程质量检验评定标准》；</w:t>
      </w:r>
    </w:p>
    <w:p w14:paraId="5F56A82E">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4</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《给水排水管道工程施工及验收规范》；</w:t>
      </w:r>
    </w:p>
    <w:p w14:paraId="3D6E16E1">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5</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《城市道路路基工程施工及验收规范》；</w:t>
      </w:r>
    </w:p>
    <w:p w14:paraId="16C1457D">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6</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《水泥砼路面施工及验收规范》；</w:t>
      </w:r>
    </w:p>
    <w:p w14:paraId="7B83FA86">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7</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《公路水泥砼路面施工技术规范》；</w:t>
      </w:r>
    </w:p>
    <w:p w14:paraId="5B846FCF">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8</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《埋地硬聚氯乙烯排水管道工程技术规程》；</w:t>
      </w:r>
    </w:p>
    <w:p w14:paraId="4B079A40">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9</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《沥青路面施工及验收规范》；</w:t>
      </w:r>
    </w:p>
    <w:p w14:paraId="099D5C96">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10</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《广东省</w:t>
      </w:r>
      <w:r>
        <w:rPr>
          <w:rFonts w:hint="eastAsia" w:ascii="宋体" w:hAnsi="宋体" w:eastAsia="宋体" w:cs="宋体"/>
          <w:b w:val="0"/>
          <w:bCs/>
          <w:caps w:val="0"/>
          <w:smallCaps w:val="0"/>
          <w:snapToGrid w:val="0"/>
          <w:color w:val="auto"/>
          <w:spacing w:val="0"/>
          <w:kern w:val="0"/>
          <w:highlight w:val="none"/>
          <w:lang w:eastAsia="zh-CN"/>
        </w:rPr>
        <w:t>市政</w:t>
      </w:r>
      <w:r>
        <w:rPr>
          <w:rFonts w:hint="eastAsia" w:ascii="宋体" w:hAnsi="宋体" w:eastAsia="宋体" w:cs="宋体"/>
          <w:b w:val="0"/>
          <w:bCs/>
          <w:caps w:val="0"/>
          <w:smallCaps w:val="0"/>
          <w:snapToGrid w:val="0"/>
          <w:color w:val="auto"/>
          <w:spacing w:val="0"/>
          <w:kern w:val="0"/>
          <w:highlight w:val="none"/>
        </w:rPr>
        <w:t>工程施工质量技术资料统一用表》。</w:t>
      </w:r>
    </w:p>
    <w:p w14:paraId="2EE9A8ED">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rPr>
      </w:pPr>
      <w:bookmarkStart w:id="280" w:name="_Toc8840"/>
      <w:bookmarkStart w:id="281" w:name="_Toc20464"/>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11</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i w:val="0"/>
          <w:iCs w:val="0"/>
          <w:color w:val="auto"/>
          <w:kern w:val="0"/>
          <w:szCs w:val="21"/>
          <w:highlight w:val="none"/>
        </w:rPr>
        <w:t>《城市道路照明设计标准》（CJJ45-2015）；</w:t>
      </w:r>
      <w:bookmarkEnd w:id="280"/>
      <w:bookmarkEnd w:id="281"/>
    </w:p>
    <w:p w14:paraId="6CEDE178">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szCs w:val="21"/>
          <w:highlight w:val="none"/>
        </w:rPr>
      </w:pPr>
      <w:bookmarkStart w:id="282" w:name="_Toc8828"/>
      <w:bookmarkStart w:id="283" w:name="_Toc12769"/>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12</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rPr>
        <w:t>《低压配电设计规范》（GB50054-2011）；</w:t>
      </w:r>
      <w:bookmarkEnd w:id="282"/>
      <w:bookmarkEnd w:id="283"/>
    </w:p>
    <w:p w14:paraId="2D63F4CA">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rPr>
      </w:pPr>
      <w:bookmarkStart w:id="284" w:name="_Toc17054"/>
      <w:bookmarkStart w:id="285" w:name="_Toc5338"/>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13</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rPr>
        <w:t>《城市道路照明工程施工及验收规程》（CJJ89-2012）；</w:t>
      </w:r>
      <w:bookmarkEnd w:id="284"/>
      <w:bookmarkEnd w:id="285"/>
    </w:p>
    <w:p w14:paraId="5D9FA93C">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lang w:val="en-US" w:eastAsia="zh-CN"/>
        </w:rPr>
      </w:pPr>
      <w:bookmarkStart w:id="286" w:name="_Toc17302"/>
      <w:bookmarkStart w:id="287" w:name="_Toc15704"/>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14</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LED道路照明工程技术规范</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DB44/T 1898-2016</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w:t>
      </w:r>
      <w:bookmarkEnd w:id="286"/>
      <w:bookmarkEnd w:id="287"/>
    </w:p>
    <w:p w14:paraId="556258A8">
      <w:pPr>
        <w:pStyle w:val="154"/>
        <w:keepNext w:val="0"/>
        <w:keepLines w:val="0"/>
        <w:pageBreakBefore w:val="0"/>
        <w:kinsoku/>
        <w:overflowPunct/>
        <w:topLinePunct w:val="0"/>
        <w:bidi w:val="0"/>
        <w:spacing w:line="500" w:lineRule="exact"/>
        <w:ind w:left="0" w:leftChars="0" w:firstLine="480" w:firstLineChars="200"/>
        <w:rPr>
          <w:rFonts w:hint="eastAsia" w:ascii="宋体" w:hAnsi="宋体" w:eastAsia="宋体" w:cs="宋体"/>
          <w:b w:val="0"/>
          <w:bCs/>
          <w:i w:val="0"/>
          <w:iCs w:val="0"/>
          <w:color w:val="auto"/>
          <w:kern w:val="0"/>
          <w:szCs w:val="21"/>
          <w:highlight w:val="none"/>
          <w:lang w:val="en-US" w:eastAsia="zh-CN"/>
        </w:rPr>
      </w:pP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15</w:t>
      </w:r>
      <w:r>
        <w:rPr>
          <w:rFonts w:hint="eastAsia" w:ascii="宋体" w:hAnsi="宋体" w:eastAsia="宋体" w:cs="宋体"/>
          <w:b w:val="0"/>
          <w:bCs/>
          <w:i w:val="0"/>
          <w:iCs w:val="0"/>
          <w:color w:val="auto"/>
          <w:kern w:val="0"/>
          <w:szCs w:val="21"/>
          <w:highlight w:val="none"/>
          <w:lang w:eastAsia="zh-CN"/>
        </w:rPr>
        <w:t>）《灯具第</w:t>
      </w:r>
      <w:r>
        <w:rPr>
          <w:rFonts w:hint="eastAsia" w:ascii="宋体" w:hAnsi="宋体" w:eastAsia="宋体" w:cs="宋体"/>
          <w:b w:val="0"/>
          <w:bCs/>
          <w:i w:val="0"/>
          <w:iCs w:val="0"/>
          <w:color w:val="auto"/>
          <w:kern w:val="0"/>
          <w:szCs w:val="21"/>
          <w:highlight w:val="none"/>
          <w:lang w:val="en-US" w:eastAsia="zh-CN"/>
        </w:rPr>
        <w:t>1部分：一般要求与试验</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GB7000.1-2015</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w:t>
      </w:r>
    </w:p>
    <w:p w14:paraId="15031DB4">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i w:val="0"/>
          <w:iCs w:val="0"/>
          <w:color w:val="auto"/>
          <w:kern w:val="0"/>
          <w:szCs w:val="21"/>
          <w:highlight w:val="none"/>
          <w:lang w:val="en-US" w:eastAsia="zh-CN"/>
        </w:rPr>
      </w:pP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16</w:t>
      </w:r>
      <w:r>
        <w:rPr>
          <w:rFonts w:hint="eastAsia" w:ascii="宋体" w:hAnsi="宋体" w:eastAsia="宋体" w:cs="宋体"/>
          <w:b w:val="0"/>
          <w:bCs/>
          <w:i w:val="0"/>
          <w:iCs w:val="0"/>
          <w:color w:val="auto"/>
          <w:kern w:val="0"/>
          <w:szCs w:val="21"/>
          <w:highlight w:val="none"/>
          <w:lang w:eastAsia="zh-CN"/>
        </w:rPr>
        <w:t>）《电缆工程电缆设计标准》（</w:t>
      </w:r>
      <w:r>
        <w:rPr>
          <w:rFonts w:hint="eastAsia" w:ascii="宋体" w:hAnsi="宋体" w:eastAsia="宋体" w:cs="宋体"/>
          <w:b w:val="0"/>
          <w:bCs/>
          <w:i w:val="0"/>
          <w:iCs w:val="0"/>
          <w:color w:val="auto"/>
          <w:kern w:val="0"/>
          <w:szCs w:val="21"/>
          <w:highlight w:val="none"/>
          <w:lang w:val="en-US" w:eastAsia="zh-CN"/>
        </w:rPr>
        <w:t>GB50217-2018</w:t>
      </w:r>
      <w:r>
        <w:rPr>
          <w:rFonts w:hint="eastAsia" w:ascii="宋体" w:hAnsi="宋体" w:eastAsia="宋体" w:cs="宋体"/>
          <w:b w:val="0"/>
          <w:bCs/>
          <w:i w:val="0"/>
          <w:iCs w:val="0"/>
          <w:color w:val="auto"/>
          <w:kern w:val="0"/>
          <w:szCs w:val="21"/>
          <w:highlight w:val="none"/>
          <w:lang w:eastAsia="zh-CN"/>
        </w:rPr>
        <w:t>）；</w:t>
      </w:r>
    </w:p>
    <w:p w14:paraId="4D009100">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snapToGrid w:val="0"/>
          <w:color w:val="auto"/>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17</w:t>
      </w:r>
      <w:r>
        <w:rPr>
          <w:rFonts w:hint="eastAsia" w:ascii="宋体" w:hAnsi="宋体" w:eastAsia="宋体" w:cs="宋体"/>
          <w:b w:val="0"/>
          <w:bCs/>
          <w:caps w:val="0"/>
          <w:smallCaps w:val="0"/>
          <w:snapToGrid w:val="0"/>
          <w:color w:val="auto"/>
          <w:spacing w:val="0"/>
          <w:kern w:val="0"/>
          <w:highlight w:val="none"/>
          <w:lang w:eastAsia="zh-CN"/>
        </w:rPr>
        <w:t>）其他现行国家、广东省关于市政工程的技术及验收规范、</w:t>
      </w:r>
      <w:r>
        <w:rPr>
          <w:rFonts w:hint="eastAsia" w:ascii="宋体" w:hAnsi="宋体" w:eastAsia="宋体" w:cs="宋体"/>
          <w:b w:val="0"/>
          <w:bCs/>
          <w:caps w:val="0"/>
          <w:smallCaps w:val="0"/>
          <w:snapToGrid w:val="0"/>
          <w:color w:val="auto"/>
          <w:spacing w:val="0"/>
          <w:kern w:val="0"/>
          <w:highlight w:val="none"/>
          <w:lang w:val="en-US" w:eastAsia="zh-CN"/>
        </w:rPr>
        <w:t>定额、</w:t>
      </w:r>
      <w:r>
        <w:rPr>
          <w:rFonts w:hint="eastAsia" w:ascii="宋体" w:hAnsi="宋体" w:eastAsia="宋体" w:cs="宋体"/>
          <w:b w:val="0"/>
          <w:bCs/>
          <w:caps w:val="0"/>
          <w:smallCaps w:val="0"/>
          <w:snapToGrid w:val="0"/>
          <w:color w:val="auto"/>
          <w:spacing w:val="0"/>
          <w:kern w:val="0"/>
          <w:highlight w:val="none"/>
          <w:lang w:eastAsia="zh-CN"/>
        </w:rPr>
        <w:t>规程、标准。</w:t>
      </w:r>
    </w:p>
    <w:p w14:paraId="32BF9690">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
          <w:snapToGrid w:val="0"/>
          <w:color w:val="auto"/>
          <w:kern w:val="0"/>
          <w:highlight w:val="none"/>
        </w:rPr>
      </w:pPr>
      <w:bookmarkStart w:id="288" w:name="_Toc5246"/>
      <w:bookmarkStart w:id="289" w:name="_Toc20571"/>
      <w:r>
        <w:rPr>
          <w:rFonts w:hint="eastAsia" w:ascii="宋体" w:hAnsi="宋体" w:eastAsia="宋体" w:cs="宋体"/>
          <w:b/>
          <w:snapToGrid w:val="0"/>
          <w:color w:val="auto"/>
          <w:kern w:val="0"/>
          <w:highlight w:val="none"/>
        </w:rPr>
        <w:t>3．备查要求</w:t>
      </w:r>
      <w:bookmarkEnd w:id="288"/>
      <w:bookmarkEnd w:id="289"/>
    </w:p>
    <w:p w14:paraId="13FCC3A1">
      <w:pPr>
        <w:keepNext w:val="0"/>
        <w:keepLines w:val="0"/>
        <w:pageBreakBefore w:val="0"/>
        <w:kinsoku/>
        <w:wordWrap w:val="0"/>
        <w:overflowPunct/>
        <w:topLinePunct w:val="0"/>
        <w:bidi w:val="0"/>
        <w:adjustRightInd w:val="0"/>
        <w:snapToGrid w:val="0"/>
        <w:spacing w:line="500" w:lineRule="exact"/>
        <w:ind w:firstLine="560"/>
        <w:rPr>
          <w:rFonts w:hint="eastAsia" w:ascii="宋体" w:hAnsi="宋体" w:eastAsia="宋体" w:cs="宋体"/>
          <w:bCs/>
          <w:snapToGrid w:val="0"/>
          <w:color w:val="auto"/>
          <w:kern w:val="0"/>
          <w:highlight w:val="none"/>
        </w:rPr>
      </w:pPr>
      <w:r>
        <w:rPr>
          <w:rFonts w:hint="eastAsia" w:ascii="宋体" w:hAnsi="宋体" w:eastAsia="宋体" w:cs="宋体"/>
          <w:b w:val="0"/>
          <w:bCs/>
          <w:snapToGrid w:val="0"/>
          <w:color w:val="auto"/>
          <w:kern w:val="0"/>
          <w:highlight w:val="none"/>
        </w:rPr>
        <w:t>监理人必须在施工现场准备至少一套上述规范，委托人可随时检</w:t>
      </w:r>
      <w:r>
        <w:rPr>
          <w:rFonts w:hint="eastAsia" w:ascii="宋体" w:hAnsi="宋体" w:eastAsia="宋体" w:cs="宋体"/>
          <w:bCs/>
          <w:snapToGrid w:val="0"/>
          <w:color w:val="auto"/>
          <w:kern w:val="0"/>
          <w:highlight w:val="none"/>
        </w:rPr>
        <w:t>查监理人的上述规范，并监督监理人按规范要求执行。</w:t>
      </w:r>
      <w:bookmarkStart w:id="290" w:name="_Hlt69670335"/>
      <w:bookmarkEnd w:id="290"/>
    </w:p>
    <w:p w14:paraId="1034F7EB">
      <w:pPr>
        <w:keepNext w:val="0"/>
        <w:keepLines w:val="0"/>
        <w:pageBreakBefore w:val="0"/>
        <w:kinsoku/>
        <w:wordWrap w:val="0"/>
        <w:overflowPunct/>
        <w:topLinePunct w:val="0"/>
        <w:bidi w:val="0"/>
        <w:adjustRightInd w:val="0"/>
        <w:snapToGrid w:val="0"/>
        <w:spacing w:line="500" w:lineRule="exact"/>
        <w:ind w:firstLine="560"/>
        <w:rPr>
          <w:rFonts w:hint="eastAsia" w:ascii="宋体" w:hAnsi="宋体" w:eastAsia="宋体" w:cs="宋体"/>
          <w:bCs/>
          <w:snapToGrid w:val="0"/>
          <w:color w:val="auto"/>
          <w:kern w:val="0"/>
          <w:highlight w:val="none"/>
        </w:rPr>
      </w:pPr>
    </w:p>
    <w:p w14:paraId="4BC8C10B">
      <w:pPr>
        <w:keepNext w:val="0"/>
        <w:keepLines w:val="0"/>
        <w:pageBreakBefore w:val="0"/>
        <w:kinsoku/>
        <w:wordWrap w:val="0"/>
        <w:overflowPunct/>
        <w:topLinePunct w:val="0"/>
        <w:bidi w:val="0"/>
        <w:adjustRightInd w:val="0"/>
        <w:snapToGrid w:val="0"/>
        <w:spacing w:line="500" w:lineRule="exact"/>
        <w:ind w:firstLine="560"/>
        <w:rPr>
          <w:rFonts w:hint="eastAsia" w:ascii="宋体" w:hAnsi="宋体" w:eastAsia="宋体" w:cs="宋体"/>
          <w:bCs/>
          <w:snapToGrid w:val="0"/>
          <w:color w:val="auto"/>
          <w:kern w:val="0"/>
          <w:highlight w:val="none"/>
        </w:rPr>
        <w:sectPr>
          <w:endnotePr>
            <w:numFmt w:val="decimal"/>
          </w:endnotePr>
          <w:pgSz w:w="11906" w:h="16838"/>
          <w:pgMar w:top="1417" w:right="1417" w:bottom="1417" w:left="1417" w:header="850" w:footer="992" w:gutter="0"/>
          <w:pgNumType w:fmt="decimal"/>
          <w:cols w:space="0" w:num="1"/>
          <w:rtlGutter w:val="0"/>
          <w:docGrid w:linePitch="327" w:charSpace="0"/>
        </w:sectPr>
      </w:pPr>
    </w:p>
    <w:p w14:paraId="4A44EED7">
      <w:pPr>
        <w:pStyle w:val="2"/>
        <w:wordWrap w:val="0"/>
        <w:autoSpaceDE/>
        <w:autoSpaceDN/>
        <w:snapToGrid w:val="0"/>
        <w:spacing w:line="440" w:lineRule="exact"/>
        <w:jc w:val="center"/>
        <w:rPr>
          <w:rFonts w:ascii="Times New Roman"/>
          <w:b/>
          <w:snapToGrid w:val="0"/>
          <w:color w:val="auto"/>
          <w:sz w:val="32"/>
          <w:szCs w:val="22"/>
          <w:highlight w:val="none"/>
        </w:rPr>
      </w:pPr>
      <w:bookmarkStart w:id="291" w:name="_Toc4295"/>
      <w:r>
        <w:rPr>
          <w:rFonts w:hint="eastAsia" w:ascii="Times New Roman"/>
          <w:b/>
          <w:snapToGrid w:val="0"/>
          <w:color w:val="auto"/>
          <w:sz w:val="32"/>
          <w:szCs w:val="22"/>
          <w:highlight w:val="none"/>
        </w:rPr>
        <w:t xml:space="preserve">第五章 </w:t>
      </w:r>
      <w:bookmarkStart w:id="292" w:name="_Hlt75747044"/>
      <w:bookmarkEnd w:id="292"/>
      <w:r>
        <w:rPr>
          <w:rFonts w:hint="eastAsia" w:ascii="Times New Roman"/>
          <w:b/>
          <w:snapToGrid w:val="0"/>
          <w:color w:val="auto"/>
          <w:sz w:val="32"/>
          <w:szCs w:val="22"/>
          <w:highlight w:val="none"/>
        </w:rPr>
        <w:t>投标文件格式</w:t>
      </w:r>
      <w:bookmarkEnd w:id="266"/>
      <w:bookmarkEnd w:id="291"/>
    </w:p>
    <w:bookmarkEnd w:id="267"/>
    <w:p w14:paraId="6EC8ABC5">
      <w:pPr>
        <w:pStyle w:val="72"/>
        <w:keepNext w:val="0"/>
        <w:keepLines w:val="0"/>
        <w:widowControl w:val="0"/>
        <w:wordWrap w:val="0"/>
        <w:adjustRightInd w:val="0"/>
        <w:snapToGrid w:val="0"/>
        <w:spacing w:before="0" w:after="0" w:line="240" w:lineRule="auto"/>
        <w:ind w:left="3640" w:leftChars="15" w:hanging="3604" w:hangingChars="1496"/>
        <w:jc w:val="both"/>
        <w:outlineLvl w:val="9"/>
        <w:rPr>
          <w:rFonts w:ascii="Times New Roman"/>
          <w:b/>
          <w:snapToGrid w:val="0"/>
          <w:color w:val="auto"/>
          <w:highlight w:val="none"/>
        </w:rPr>
      </w:pPr>
      <w:bookmarkStart w:id="293" w:name="_附件二：近三年度主要施工项目（竣工及在建）一览表"/>
      <w:bookmarkEnd w:id="293"/>
      <w:bookmarkStart w:id="294" w:name="_附件四：工期承诺书"/>
      <w:bookmarkEnd w:id="294"/>
      <w:bookmarkStart w:id="295" w:name="_附件一：对招标文件条款自愿接受承诺书"/>
      <w:bookmarkEnd w:id="295"/>
      <w:bookmarkStart w:id="296" w:name="_附件一：投标函"/>
      <w:bookmarkEnd w:id="296"/>
      <w:bookmarkStart w:id="297" w:name="_附件二：工期承诺书"/>
      <w:bookmarkEnd w:id="297"/>
      <w:bookmarkStart w:id="298" w:name="_附件五：综合评审合理低价法"/>
      <w:bookmarkEnd w:id="298"/>
      <w:bookmarkStart w:id="299" w:name="_Toc137621693"/>
      <w:bookmarkStart w:id="300" w:name="_Hlt66847557"/>
      <w:bookmarkStart w:id="301" w:name="_Toc200338097"/>
      <w:bookmarkStart w:id="302" w:name="_Toc66849200"/>
    </w:p>
    <w:p w14:paraId="65E03842">
      <w:pPr>
        <w:pStyle w:val="72"/>
        <w:keepNext w:val="0"/>
        <w:keepLines w:val="0"/>
        <w:widowControl w:val="0"/>
        <w:wordWrap w:val="0"/>
        <w:adjustRightInd w:val="0"/>
        <w:snapToGrid w:val="0"/>
        <w:spacing w:before="0" w:after="0" w:line="240" w:lineRule="auto"/>
        <w:ind w:left="3640" w:leftChars="15" w:hanging="3604" w:hangingChars="1496"/>
        <w:jc w:val="both"/>
        <w:outlineLvl w:val="1"/>
        <w:rPr>
          <w:rFonts w:ascii="Times New Roman"/>
          <w:b/>
          <w:snapToGrid w:val="0"/>
          <w:color w:val="auto"/>
          <w:highlight w:val="none"/>
        </w:rPr>
      </w:pPr>
      <w:bookmarkStart w:id="303" w:name="_Toc63"/>
      <w:bookmarkStart w:id="304" w:name="_Toc29621"/>
      <w:r>
        <w:rPr>
          <w:rFonts w:hint="eastAsia" w:ascii="Times New Roman"/>
          <w:b/>
          <w:snapToGrid w:val="0"/>
          <w:color w:val="auto"/>
          <w:highlight w:val="none"/>
        </w:rPr>
        <w:t>格式一 封面</w:t>
      </w:r>
      <w:bookmarkEnd w:id="303"/>
      <w:bookmarkEnd w:id="304"/>
    </w:p>
    <w:p w14:paraId="5387DC71">
      <w:pPr>
        <w:pStyle w:val="73"/>
        <w:widowControl w:val="0"/>
        <w:wordWrap w:val="0"/>
        <w:adjustRightInd w:val="0"/>
        <w:snapToGrid w:val="0"/>
        <w:spacing w:line="240" w:lineRule="auto"/>
        <w:rPr>
          <w:rFonts w:ascii="Times New Roman"/>
          <w:b/>
          <w:snapToGrid w:val="0"/>
          <w:color w:val="auto"/>
          <w:sz w:val="24"/>
          <w:highlight w:val="none"/>
        </w:rPr>
      </w:pPr>
    </w:p>
    <w:p w14:paraId="7F87FF7A">
      <w:pPr>
        <w:pStyle w:val="73"/>
        <w:widowControl w:val="0"/>
        <w:wordWrap w:val="0"/>
        <w:adjustRightInd w:val="0"/>
        <w:snapToGrid w:val="0"/>
        <w:spacing w:line="240" w:lineRule="auto"/>
        <w:jc w:val="right"/>
        <w:rPr>
          <w:rFonts w:ascii="Times New Roman"/>
          <w:b/>
          <w:snapToGrid w:val="0"/>
          <w:color w:val="auto"/>
          <w:sz w:val="24"/>
          <w:highlight w:val="none"/>
        </w:rPr>
      </w:pPr>
    </w:p>
    <w:p w14:paraId="740876B6">
      <w:pPr>
        <w:pStyle w:val="73"/>
        <w:widowControl w:val="0"/>
        <w:wordWrap w:val="0"/>
        <w:adjustRightInd w:val="0"/>
        <w:snapToGrid w:val="0"/>
        <w:spacing w:line="240" w:lineRule="auto"/>
        <w:rPr>
          <w:rFonts w:ascii="Times New Roman"/>
          <w:b/>
          <w:snapToGrid w:val="0"/>
          <w:color w:val="auto"/>
          <w:sz w:val="24"/>
          <w:highlight w:val="none"/>
        </w:rPr>
      </w:pPr>
    </w:p>
    <w:p w14:paraId="483DB6CF">
      <w:pPr>
        <w:pStyle w:val="73"/>
        <w:widowControl w:val="0"/>
        <w:wordWrap w:val="0"/>
        <w:adjustRightInd w:val="0"/>
        <w:snapToGrid w:val="0"/>
        <w:spacing w:line="240" w:lineRule="auto"/>
        <w:rPr>
          <w:rFonts w:ascii="Times New Roman"/>
          <w:b/>
          <w:snapToGrid w:val="0"/>
          <w:color w:val="auto"/>
          <w:sz w:val="24"/>
          <w:highlight w:val="none"/>
        </w:rPr>
      </w:pPr>
    </w:p>
    <w:p w14:paraId="5370C408">
      <w:pPr>
        <w:pStyle w:val="73"/>
        <w:widowControl w:val="0"/>
        <w:wordWrap w:val="0"/>
        <w:adjustRightInd w:val="0"/>
        <w:snapToGrid w:val="0"/>
        <w:spacing w:line="240" w:lineRule="auto"/>
        <w:rPr>
          <w:rFonts w:ascii="Times New Roman"/>
          <w:b/>
          <w:snapToGrid w:val="0"/>
          <w:color w:val="auto"/>
          <w:sz w:val="24"/>
          <w:highlight w:val="none"/>
        </w:rPr>
      </w:pPr>
    </w:p>
    <w:p w14:paraId="2AD8FE3A">
      <w:pPr>
        <w:pStyle w:val="73"/>
        <w:widowControl w:val="0"/>
        <w:wordWrap w:val="0"/>
        <w:adjustRightInd w:val="0"/>
        <w:snapToGrid w:val="0"/>
        <w:spacing w:line="240" w:lineRule="auto"/>
        <w:rPr>
          <w:rFonts w:ascii="Times New Roman"/>
          <w:b/>
          <w:snapToGrid w:val="0"/>
          <w:color w:val="auto"/>
          <w:sz w:val="24"/>
          <w:highlight w:val="none"/>
        </w:rPr>
      </w:pPr>
    </w:p>
    <w:p w14:paraId="19B8C2F0">
      <w:pPr>
        <w:pStyle w:val="73"/>
        <w:widowControl w:val="0"/>
        <w:wordWrap w:val="0"/>
        <w:adjustRightInd w:val="0"/>
        <w:snapToGrid w:val="0"/>
        <w:spacing w:line="240" w:lineRule="auto"/>
        <w:rPr>
          <w:rFonts w:ascii="Times New Roman"/>
          <w:b/>
          <w:snapToGrid w:val="0"/>
          <w:color w:val="auto"/>
          <w:sz w:val="24"/>
          <w:highlight w:val="none"/>
        </w:rPr>
      </w:pPr>
    </w:p>
    <w:p w14:paraId="24CFEF36">
      <w:pPr>
        <w:pStyle w:val="73"/>
        <w:widowControl w:val="0"/>
        <w:wordWrap w:val="0"/>
        <w:adjustRightInd w:val="0"/>
        <w:snapToGrid w:val="0"/>
        <w:spacing w:line="240" w:lineRule="auto"/>
        <w:rPr>
          <w:rFonts w:ascii="Times New Roman"/>
          <w:b/>
          <w:snapToGrid w:val="0"/>
          <w:color w:val="auto"/>
          <w:sz w:val="24"/>
          <w:highlight w:val="none"/>
        </w:rPr>
      </w:pPr>
    </w:p>
    <w:p w14:paraId="69E90546">
      <w:pPr>
        <w:pStyle w:val="73"/>
        <w:widowControl w:val="0"/>
        <w:wordWrap w:val="0"/>
        <w:adjustRightInd w:val="0"/>
        <w:snapToGrid w:val="0"/>
        <w:spacing w:line="240" w:lineRule="auto"/>
        <w:rPr>
          <w:rFonts w:ascii="Times New Roman"/>
          <w:b/>
          <w:snapToGrid w:val="0"/>
          <w:color w:val="auto"/>
          <w:sz w:val="24"/>
          <w:highlight w:val="none"/>
        </w:rPr>
      </w:pPr>
    </w:p>
    <w:p w14:paraId="2B90D6D1">
      <w:pPr>
        <w:pStyle w:val="73"/>
        <w:widowControl w:val="0"/>
        <w:wordWrap w:val="0"/>
        <w:adjustRightInd w:val="0"/>
        <w:snapToGrid w:val="0"/>
        <w:spacing w:line="240" w:lineRule="auto"/>
        <w:rPr>
          <w:rFonts w:ascii="Times New Roman"/>
          <w:b/>
          <w:snapToGrid w:val="0"/>
          <w:color w:val="auto"/>
          <w:sz w:val="24"/>
          <w:highlight w:val="none"/>
        </w:rPr>
      </w:pPr>
    </w:p>
    <w:p w14:paraId="15AF2E18">
      <w:pPr>
        <w:pStyle w:val="73"/>
        <w:widowControl w:val="0"/>
        <w:wordWrap w:val="0"/>
        <w:adjustRightInd w:val="0"/>
        <w:snapToGrid w:val="0"/>
        <w:spacing w:line="240" w:lineRule="auto"/>
        <w:ind w:firstLine="0"/>
        <w:jc w:val="center"/>
        <w:rPr>
          <w:rFonts w:ascii="Times New Roman"/>
          <w:b/>
          <w:snapToGrid w:val="0"/>
          <w:color w:val="auto"/>
          <w:sz w:val="48"/>
          <w:szCs w:val="48"/>
          <w:highlight w:val="none"/>
        </w:rPr>
      </w:pPr>
      <w:r>
        <w:rPr>
          <w:rFonts w:hint="eastAsia" w:ascii="Times New Roman"/>
          <w:bCs/>
          <w:snapToGrid w:val="0"/>
          <w:color w:val="auto"/>
          <w:sz w:val="48"/>
          <w:szCs w:val="48"/>
          <w:highlight w:val="none"/>
          <w:u w:val="single"/>
        </w:rPr>
        <w:t xml:space="preserve">             </w:t>
      </w:r>
      <w:r>
        <w:rPr>
          <w:rFonts w:hint="eastAsia" w:ascii="Times New Roman"/>
          <w:b/>
          <w:snapToGrid w:val="0"/>
          <w:color w:val="auto"/>
          <w:sz w:val="48"/>
          <w:szCs w:val="48"/>
          <w:highlight w:val="none"/>
        </w:rPr>
        <w:t>（项目名称）招标</w:t>
      </w:r>
    </w:p>
    <w:p w14:paraId="65D26406">
      <w:pPr>
        <w:pStyle w:val="73"/>
        <w:widowControl w:val="0"/>
        <w:wordWrap w:val="0"/>
        <w:adjustRightInd w:val="0"/>
        <w:snapToGrid w:val="0"/>
        <w:spacing w:line="240" w:lineRule="auto"/>
        <w:ind w:firstLine="0"/>
        <w:jc w:val="center"/>
        <w:rPr>
          <w:rFonts w:ascii="Times New Roman"/>
          <w:b/>
          <w:snapToGrid w:val="0"/>
          <w:color w:val="auto"/>
          <w:sz w:val="32"/>
          <w:highlight w:val="none"/>
        </w:rPr>
      </w:pPr>
    </w:p>
    <w:p w14:paraId="19497A0C">
      <w:pPr>
        <w:pStyle w:val="73"/>
        <w:widowControl w:val="0"/>
        <w:wordWrap w:val="0"/>
        <w:adjustRightInd w:val="0"/>
        <w:snapToGrid w:val="0"/>
        <w:spacing w:line="240" w:lineRule="auto"/>
        <w:ind w:firstLine="0"/>
        <w:jc w:val="center"/>
        <w:rPr>
          <w:rFonts w:ascii="Times New Roman"/>
          <w:b/>
          <w:snapToGrid w:val="0"/>
          <w:color w:val="auto"/>
          <w:sz w:val="72"/>
          <w:highlight w:val="none"/>
        </w:rPr>
      </w:pPr>
      <w:r>
        <w:rPr>
          <w:rFonts w:hint="eastAsia" w:ascii="Times New Roman"/>
          <w:b/>
          <w:snapToGrid w:val="0"/>
          <w:color w:val="auto"/>
          <w:sz w:val="72"/>
          <w:highlight w:val="none"/>
        </w:rPr>
        <w:t>投  标  文  件</w:t>
      </w:r>
    </w:p>
    <w:p w14:paraId="459D8F37">
      <w:pPr>
        <w:pStyle w:val="73"/>
        <w:widowControl w:val="0"/>
        <w:wordWrap w:val="0"/>
        <w:adjustRightInd w:val="0"/>
        <w:snapToGrid w:val="0"/>
        <w:spacing w:line="240" w:lineRule="auto"/>
        <w:ind w:firstLine="0"/>
        <w:jc w:val="center"/>
        <w:rPr>
          <w:rFonts w:ascii="Times New Roman"/>
          <w:b/>
          <w:snapToGrid w:val="0"/>
          <w:color w:val="auto"/>
          <w:sz w:val="32"/>
          <w:highlight w:val="none"/>
        </w:rPr>
      </w:pPr>
    </w:p>
    <w:p w14:paraId="62B53FAE">
      <w:pPr>
        <w:pStyle w:val="73"/>
        <w:widowControl w:val="0"/>
        <w:wordWrap w:val="0"/>
        <w:adjustRightInd w:val="0"/>
        <w:snapToGrid w:val="0"/>
        <w:spacing w:line="240" w:lineRule="auto"/>
        <w:ind w:firstLine="0"/>
        <w:jc w:val="center"/>
        <w:rPr>
          <w:rFonts w:ascii="Times New Roman"/>
          <w:b/>
          <w:snapToGrid w:val="0"/>
          <w:color w:val="auto"/>
          <w:sz w:val="48"/>
          <w:szCs w:val="48"/>
          <w:highlight w:val="none"/>
        </w:rPr>
      </w:pPr>
      <w:r>
        <w:rPr>
          <w:rFonts w:hint="eastAsia" w:ascii="Times New Roman"/>
          <w:b/>
          <w:snapToGrid w:val="0"/>
          <w:color w:val="auto"/>
          <w:sz w:val="48"/>
          <w:szCs w:val="48"/>
          <w:highlight w:val="none"/>
        </w:rPr>
        <w:t>（商务标书／监理大纲／</w:t>
      </w:r>
      <w:r>
        <w:rPr>
          <w:rFonts w:hint="eastAsia" w:ascii="Times New Roman"/>
          <w:b/>
          <w:snapToGrid w:val="0"/>
          <w:color w:val="auto"/>
          <w:sz w:val="48"/>
          <w:szCs w:val="48"/>
          <w:highlight w:val="none"/>
          <w:lang w:val="en-US" w:eastAsia="zh-CN"/>
        </w:rPr>
        <w:t>定标文件</w:t>
      </w:r>
      <w:r>
        <w:rPr>
          <w:rFonts w:hint="eastAsia" w:ascii="Times New Roman"/>
          <w:b/>
          <w:snapToGrid w:val="0"/>
          <w:color w:val="auto"/>
          <w:sz w:val="48"/>
          <w:szCs w:val="48"/>
          <w:highlight w:val="none"/>
        </w:rPr>
        <w:t>）</w:t>
      </w:r>
    </w:p>
    <w:p w14:paraId="1A3EB244">
      <w:pPr>
        <w:pStyle w:val="73"/>
        <w:widowControl w:val="0"/>
        <w:wordWrap w:val="0"/>
        <w:adjustRightInd w:val="0"/>
        <w:snapToGrid w:val="0"/>
        <w:spacing w:line="240" w:lineRule="auto"/>
        <w:rPr>
          <w:rFonts w:ascii="Times New Roman"/>
          <w:b/>
          <w:snapToGrid w:val="0"/>
          <w:color w:val="auto"/>
          <w:highlight w:val="none"/>
        </w:rPr>
      </w:pPr>
    </w:p>
    <w:p w14:paraId="30CE1B1A">
      <w:pPr>
        <w:pStyle w:val="73"/>
        <w:widowControl w:val="0"/>
        <w:wordWrap w:val="0"/>
        <w:adjustRightInd w:val="0"/>
        <w:snapToGrid w:val="0"/>
        <w:spacing w:line="240" w:lineRule="auto"/>
        <w:rPr>
          <w:rFonts w:ascii="Times New Roman"/>
          <w:b/>
          <w:snapToGrid w:val="0"/>
          <w:color w:val="auto"/>
          <w:sz w:val="32"/>
          <w:highlight w:val="none"/>
        </w:rPr>
      </w:pPr>
    </w:p>
    <w:p w14:paraId="7BDA06F0">
      <w:pPr>
        <w:pStyle w:val="73"/>
        <w:widowControl w:val="0"/>
        <w:wordWrap w:val="0"/>
        <w:adjustRightInd w:val="0"/>
        <w:snapToGrid w:val="0"/>
        <w:spacing w:line="240" w:lineRule="auto"/>
        <w:rPr>
          <w:rFonts w:ascii="Times New Roman"/>
          <w:b/>
          <w:snapToGrid w:val="0"/>
          <w:color w:val="auto"/>
          <w:sz w:val="32"/>
          <w:highlight w:val="none"/>
        </w:rPr>
      </w:pPr>
    </w:p>
    <w:p w14:paraId="7F390B2A">
      <w:pPr>
        <w:pStyle w:val="73"/>
        <w:widowControl w:val="0"/>
        <w:wordWrap w:val="0"/>
        <w:adjustRightInd w:val="0"/>
        <w:snapToGrid w:val="0"/>
        <w:spacing w:line="240" w:lineRule="auto"/>
        <w:rPr>
          <w:rFonts w:ascii="Times New Roman"/>
          <w:b/>
          <w:snapToGrid w:val="0"/>
          <w:color w:val="auto"/>
          <w:sz w:val="32"/>
          <w:highlight w:val="none"/>
        </w:rPr>
      </w:pPr>
    </w:p>
    <w:p w14:paraId="629392BC">
      <w:pPr>
        <w:pStyle w:val="73"/>
        <w:widowControl w:val="0"/>
        <w:wordWrap w:val="0"/>
        <w:adjustRightInd w:val="0"/>
        <w:snapToGrid w:val="0"/>
        <w:spacing w:line="240" w:lineRule="auto"/>
        <w:rPr>
          <w:rFonts w:ascii="Times New Roman"/>
          <w:b/>
          <w:snapToGrid w:val="0"/>
          <w:color w:val="auto"/>
          <w:sz w:val="32"/>
          <w:highlight w:val="none"/>
        </w:rPr>
      </w:pPr>
    </w:p>
    <w:p w14:paraId="56F45E1D">
      <w:pPr>
        <w:pStyle w:val="73"/>
        <w:widowControl w:val="0"/>
        <w:wordWrap w:val="0"/>
        <w:adjustRightInd w:val="0"/>
        <w:snapToGrid w:val="0"/>
        <w:spacing w:line="240" w:lineRule="auto"/>
        <w:rPr>
          <w:rFonts w:ascii="Times New Roman"/>
          <w:b/>
          <w:snapToGrid w:val="0"/>
          <w:color w:val="auto"/>
          <w:sz w:val="32"/>
          <w:highlight w:val="none"/>
        </w:rPr>
      </w:pPr>
    </w:p>
    <w:p w14:paraId="599DFE3F">
      <w:pPr>
        <w:pStyle w:val="73"/>
        <w:widowControl w:val="0"/>
        <w:wordWrap w:val="0"/>
        <w:adjustRightInd w:val="0"/>
        <w:snapToGrid w:val="0"/>
        <w:spacing w:line="240" w:lineRule="auto"/>
        <w:rPr>
          <w:rFonts w:ascii="Times New Roman"/>
          <w:b/>
          <w:snapToGrid w:val="0"/>
          <w:color w:val="auto"/>
          <w:sz w:val="32"/>
          <w:highlight w:val="none"/>
        </w:rPr>
      </w:pPr>
    </w:p>
    <w:p w14:paraId="37C996CB">
      <w:pPr>
        <w:pStyle w:val="73"/>
        <w:widowControl w:val="0"/>
        <w:wordWrap w:val="0"/>
        <w:adjustRightInd w:val="0"/>
        <w:snapToGrid w:val="0"/>
        <w:spacing w:line="240" w:lineRule="auto"/>
        <w:rPr>
          <w:rFonts w:ascii="Times New Roman"/>
          <w:b/>
          <w:snapToGrid w:val="0"/>
          <w:color w:val="auto"/>
          <w:sz w:val="32"/>
          <w:highlight w:val="none"/>
        </w:rPr>
      </w:pPr>
    </w:p>
    <w:p w14:paraId="58D9FC44">
      <w:pPr>
        <w:pStyle w:val="73"/>
        <w:widowControl w:val="0"/>
        <w:wordWrap w:val="0"/>
        <w:adjustRightInd w:val="0"/>
        <w:snapToGrid w:val="0"/>
        <w:spacing w:line="240" w:lineRule="auto"/>
        <w:rPr>
          <w:rFonts w:ascii="Times New Roman"/>
          <w:b/>
          <w:snapToGrid w:val="0"/>
          <w:color w:val="auto"/>
          <w:sz w:val="32"/>
          <w:highlight w:val="none"/>
        </w:rPr>
      </w:pPr>
    </w:p>
    <w:p w14:paraId="4047CDDF">
      <w:pPr>
        <w:pStyle w:val="73"/>
        <w:widowControl w:val="0"/>
        <w:wordWrap w:val="0"/>
        <w:adjustRightInd w:val="0"/>
        <w:snapToGrid w:val="0"/>
        <w:spacing w:line="240" w:lineRule="auto"/>
        <w:ind w:firstLine="0"/>
        <w:jc w:val="center"/>
        <w:rPr>
          <w:rFonts w:ascii="Times New Roman"/>
          <w:bCs/>
          <w:snapToGrid w:val="0"/>
          <w:color w:val="auto"/>
          <w:sz w:val="32"/>
          <w:highlight w:val="none"/>
        </w:rPr>
      </w:pPr>
      <w:r>
        <w:rPr>
          <w:rFonts w:hint="eastAsia" w:ascii="Times New Roman"/>
          <w:bCs/>
          <w:snapToGrid w:val="0"/>
          <w:color w:val="auto"/>
          <w:sz w:val="32"/>
          <w:highlight w:val="none"/>
        </w:rPr>
        <w:t>投标人：</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（盖单位章）</w:t>
      </w:r>
    </w:p>
    <w:p w14:paraId="2CECE357">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1C8DA68C">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4F779471">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2EF12842">
      <w:pPr>
        <w:pStyle w:val="73"/>
        <w:widowControl w:val="0"/>
        <w:wordWrap w:val="0"/>
        <w:adjustRightInd w:val="0"/>
        <w:snapToGrid w:val="0"/>
        <w:spacing w:line="240" w:lineRule="auto"/>
        <w:ind w:firstLine="0"/>
        <w:jc w:val="center"/>
        <w:rPr>
          <w:rFonts w:ascii="Times New Roman"/>
          <w:bCs/>
          <w:snapToGrid w:val="0"/>
          <w:color w:val="auto"/>
          <w:sz w:val="32"/>
          <w:highlight w:val="none"/>
        </w:rPr>
      </w:pPr>
      <w:r>
        <w:rPr>
          <w:rFonts w:hint="eastAsia" w:ascii="Times New Roman"/>
          <w:bCs/>
          <w:snapToGrid w:val="0"/>
          <w:color w:val="auto"/>
          <w:sz w:val="32"/>
          <w:highlight w:val="none"/>
        </w:rPr>
        <w:t>法定代表人或其委托代理人：</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（签字或盖章）</w:t>
      </w:r>
    </w:p>
    <w:p w14:paraId="5173DC86">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141A6118">
      <w:pPr>
        <w:pStyle w:val="73"/>
        <w:widowControl w:val="0"/>
        <w:wordWrap w:val="0"/>
        <w:adjustRightInd w:val="0"/>
        <w:snapToGrid w:val="0"/>
        <w:spacing w:line="240" w:lineRule="auto"/>
        <w:ind w:firstLine="0"/>
        <w:jc w:val="center"/>
        <w:rPr>
          <w:rFonts w:ascii="Times New Roman"/>
          <w:bCs/>
          <w:snapToGrid w:val="0"/>
          <w:color w:val="auto"/>
          <w:sz w:val="32"/>
          <w:highlight w:val="none"/>
          <w:u w:val="single"/>
        </w:rPr>
      </w:pPr>
    </w:p>
    <w:p w14:paraId="7BFED451">
      <w:pPr>
        <w:pStyle w:val="73"/>
        <w:widowControl w:val="0"/>
        <w:wordWrap w:val="0"/>
        <w:adjustRightInd w:val="0"/>
        <w:snapToGrid w:val="0"/>
        <w:spacing w:line="240" w:lineRule="auto"/>
        <w:ind w:firstLine="0"/>
        <w:jc w:val="center"/>
        <w:rPr>
          <w:rFonts w:ascii="Times New Roman"/>
          <w:b/>
          <w:snapToGrid w:val="0"/>
          <w:color w:val="auto"/>
          <w:highlight w:val="none"/>
        </w:rPr>
      </w:pP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年</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月</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日</w:t>
      </w:r>
    </w:p>
    <w:p w14:paraId="3F78C09F">
      <w:pPr>
        <w:pStyle w:val="73"/>
        <w:widowControl w:val="0"/>
        <w:wordWrap w:val="0"/>
        <w:adjustRightInd w:val="0"/>
        <w:snapToGrid w:val="0"/>
        <w:rPr>
          <w:rFonts w:ascii="Times New Roman"/>
          <w:b/>
          <w:snapToGrid w:val="0"/>
          <w:color w:val="auto"/>
          <w:highlight w:val="none"/>
        </w:rPr>
      </w:pPr>
    </w:p>
    <w:p w14:paraId="56DD6D9B">
      <w:pPr>
        <w:pStyle w:val="73"/>
        <w:widowControl w:val="0"/>
        <w:wordWrap w:val="0"/>
        <w:adjustRightInd w:val="0"/>
        <w:snapToGrid w:val="0"/>
        <w:rPr>
          <w:rFonts w:ascii="Times New Roman"/>
          <w:b/>
          <w:snapToGrid w:val="0"/>
          <w:color w:val="auto"/>
          <w:highlight w:val="none"/>
        </w:rPr>
      </w:pPr>
    </w:p>
    <w:p w14:paraId="423B2D12">
      <w:pPr>
        <w:pStyle w:val="73"/>
        <w:widowControl w:val="0"/>
        <w:wordWrap w:val="0"/>
        <w:adjustRightInd w:val="0"/>
        <w:snapToGrid w:val="0"/>
        <w:rPr>
          <w:rFonts w:ascii="Times New Roman"/>
          <w:b/>
          <w:snapToGrid w:val="0"/>
          <w:color w:val="auto"/>
          <w:highlight w:val="none"/>
        </w:rPr>
        <w:sectPr>
          <w:endnotePr>
            <w:numFmt w:val="decimal"/>
          </w:endnotePr>
          <w:pgSz w:w="11906" w:h="16838"/>
          <w:pgMar w:top="1417" w:right="1417" w:bottom="1417" w:left="1417" w:header="850" w:footer="992" w:gutter="0"/>
          <w:cols w:space="0" w:num="1"/>
          <w:docGrid w:linePitch="327" w:charSpace="0"/>
        </w:sectPr>
      </w:pPr>
    </w:p>
    <w:p w14:paraId="0644A6A7">
      <w:pPr>
        <w:pStyle w:val="3"/>
        <w:wordWrap w:val="0"/>
        <w:autoSpaceDE/>
        <w:autoSpaceDN/>
        <w:snapToGrid w:val="0"/>
        <w:spacing w:line="440" w:lineRule="exact"/>
        <w:rPr>
          <w:rFonts w:ascii="Times New Roman"/>
          <w:b/>
          <w:snapToGrid w:val="0"/>
          <w:color w:val="auto"/>
          <w:highlight w:val="none"/>
        </w:rPr>
      </w:pPr>
      <w:bookmarkStart w:id="305" w:name="_Toc19706"/>
      <w:bookmarkStart w:id="306" w:name="_Toc21838"/>
      <w:bookmarkStart w:id="307" w:name="_Toc106418843"/>
      <w:bookmarkStart w:id="308" w:name="_Toc104711098"/>
      <w:r>
        <w:rPr>
          <w:rFonts w:hint="eastAsia" w:ascii="Times New Roman"/>
          <w:b/>
          <w:snapToGrid w:val="0"/>
          <w:color w:val="auto"/>
          <w:highlight w:val="none"/>
        </w:rPr>
        <w:t>格式</w:t>
      </w:r>
      <w:bookmarkStart w:id="309" w:name="_Hlt97526007"/>
      <w:bookmarkEnd w:id="309"/>
      <w:r>
        <w:rPr>
          <w:rFonts w:hint="eastAsia" w:ascii="Times New Roman"/>
          <w:b/>
          <w:snapToGrid w:val="0"/>
          <w:color w:val="auto"/>
          <w:highlight w:val="none"/>
        </w:rPr>
        <w:t>二 投标函</w:t>
      </w:r>
      <w:bookmarkEnd w:id="305"/>
      <w:bookmarkEnd w:id="306"/>
    </w:p>
    <w:p w14:paraId="3E86E65F">
      <w:pPr>
        <w:wordWrap w:val="0"/>
        <w:adjustRightInd w:val="0"/>
        <w:snapToGrid w:val="0"/>
        <w:spacing w:before="260" w:after="260" w:line="440" w:lineRule="exact"/>
        <w:jc w:val="center"/>
        <w:rPr>
          <w:rFonts w:ascii="Times New Roman"/>
          <w:b/>
          <w:snapToGrid w:val="0"/>
          <w:color w:val="auto"/>
          <w:kern w:val="0"/>
          <w:highlight w:val="none"/>
        </w:rPr>
      </w:pPr>
      <w:r>
        <w:rPr>
          <w:rFonts w:hint="eastAsia" w:ascii="Times New Roman"/>
          <w:b/>
          <w:snapToGrid w:val="0"/>
          <w:color w:val="auto"/>
          <w:kern w:val="0"/>
          <w:sz w:val="30"/>
          <w:highlight w:val="none"/>
        </w:rPr>
        <w:t>投</w:t>
      </w:r>
      <w:r>
        <w:rPr>
          <w:rFonts w:ascii="Times New Roman"/>
          <w:b/>
          <w:snapToGrid w:val="0"/>
          <w:color w:val="auto"/>
          <w:kern w:val="0"/>
          <w:sz w:val="30"/>
          <w:highlight w:val="none"/>
        </w:rPr>
        <w:t xml:space="preserve">  </w:t>
      </w:r>
      <w:r>
        <w:rPr>
          <w:rFonts w:hint="eastAsia" w:ascii="Times New Roman"/>
          <w:b/>
          <w:snapToGrid w:val="0"/>
          <w:color w:val="auto"/>
          <w:kern w:val="0"/>
          <w:sz w:val="30"/>
          <w:highlight w:val="none"/>
        </w:rPr>
        <w:t>标</w:t>
      </w:r>
      <w:r>
        <w:rPr>
          <w:rFonts w:ascii="Times New Roman"/>
          <w:b/>
          <w:snapToGrid w:val="0"/>
          <w:color w:val="auto"/>
          <w:kern w:val="0"/>
          <w:sz w:val="30"/>
          <w:highlight w:val="none"/>
        </w:rPr>
        <w:t xml:space="preserve">  </w:t>
      </w:r>
      <w:r>
        <w:rPr>
          <w:rFonts w:hint="eastAsia" w:ascii="Times New Roman"/>
          <w:b/>
          <w:snapToGrid w:val="0"/>
          <w:color w:val="auto"/>
          <w:kern w:val="0"/>
          <w:sz w:val="30"/>
          <w:highlight w:val="none"/>
        </w:rPr>
        <w:t>函</w:t>
      </w:r>
      <w:bookmarkEnd w:id="307"/>
      <w:bookmarkEnd w:id="308"/>
    </w:p>
    <w:p w14:paraId="44C5E6D0">
      <w:pPr>
        <w:wordWrap w:val="0"/>
        <w:adjustRightInd w:val="0"/>
        <w:snapToGrid w:val="0"/>
        <w:spacing w:line="440" w:lineRule="exact"/>
        <w:jc w:val="center"/>
        <w:rPr>
          <w:rFonts w:ascii="Times New Roman"/>
          <w:b/>
          <w:snapToGrid w:val="0"/>
          <w:color w:val="auto"/>
          <w:kern w:val="0"/>
          <w:highlight w:val="none"/>
        </w:rPr>
      </w:pPr>
    </w:p>
    <w:p w14:paraId="18E667C3">
      <w:pPr>
        <w:wordWrap w:val="0"/>
        <w:adjustRightInd w:val="0"/>
        <w:snapToGrid w:val="0"/>
        <w:spacing w:line="440" w:lineRule="exact"/>
        <w:rPr>
          <w:rFonts w:ascii="Times New Roman"/>
          <w:snapToGrid w:val="0"/>
          <w:color w:val="auto"/>
          <w:kern w:val="0"/>
          <w:highlight w:val="none"/>
        </w:rPr>
      </w:pPr>
      <w:r>
        <w:rPr>
          <w:rFonts w:hint="eastAsia" w:ascii="Times New Roman"/>
          <w:snapToGrid w:val="0"/>
          <w:color w:val="auto"/>
          <w:kern w:val="0"/>
          <w:highlight w:val="none"/>
        </w:rPr>
        <w:t>致：</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（招标人名称）</w:t>
      </w:r>
    </w:p>
    <w:p w14:paraId="55E0B79C">
      <w:pPr>
        <w:wordWrap w:val="0"/>
        <w:adjustRightInd w:val="0"/>
        <w:snapToGrid w:val="0"/>
        <w:spacing w:line="500" w:lineRule="exact"/>
        <w:ind w:firstLine="570"/>
        <w:rPr>
          <w:rFonts w:hAnsi="宋体" w:cs="宋体"/>
          <w:snapToGrid w:val="0"/>
          <w:color w:val="auto"/>
          <w:kern w:val="0"/>
          <w:highlight w:val="none"/>
          <w:u w:val="single"/>
        </w:rPr>
      </w:pPr>
      <w:r>
        <w:rPr>
          <w:rFonts w:hint="eastAsia" w:hAnsi="宋体" w:cs="宋体"/>
          <w:snapToGrid w:val="0"/>
          <w:color w:val="auto"/>
          <w:kern w:val="0"/>
          <w:highlight w:val="none"/>
        </w:rPr>
        <w:t xml:space="preserve">1. </w:t>
      </w:r>
      <w:r>
        <w:rPr>
          <w:rFonts w:hint="eastAsia" w:hAnsi="宋体" w:cs="宋体"/>
          <w:snapToGrid w:val="0"/>
          <w:color w:val="auto"/>
          <w:kern w:val="0"/>
          <w:szCs w:val="22"/>
          <w:highlight w:val="none"/>
        </w:rPr>
        <w:t>我方在仔细研究</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（项目名称）（以下简称“本项目”）监理招标文件的全部内容后，结合自身资质、能力和特点，愿意接受招标文件的全部内容和条件。兹以人民币（大写）：</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 xml:space="preserve">（小写）：（¥ </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）的投标总价（其中，增值税税率为</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）竞投本项目监理及相关服务</w:t>
      </w:r>
      <w:r>
        <w:rPr>
          <w:rFonts w:hint="eastAsia" w:hAnsi="宋体" w:cs="宋体"/>
          <w:snapToGrid w:val="0"/>
          <w:color w:val="auto"/>
          <w:kern w:val="0"/>
          <w:szCs w:val="22"/>
          <w:highlight w:val="none"/>
          <w:lang w:eastAsia="zh-CN"/>
        </w:rPr>
        <w:t>，投标取费费率为</w:t>
      </w:r>
      <w:r>
        <w:rPr>
          <w:rFonts w:hint="eastAsia" w:hAnsi="宋体" w:cs="宋体"/>
          <w:snapToGrid w:val="0"/>
          <w:color w:val="auto"/>
          <w:kern w:val="0"/>
          <w:szCs w:val="22"/>
          <w:highlight w:val="none"/>
          <w:u w:val="single"/>
          <w:lang w:eastAsia="zh-CN"/>
        </w:rPr>
        <w:t xml:space="preserve">     </w:t>
      </w:r>
      <w:r>
        <w:rPr>
          <w:rFonts w:hint="eastAsia" w:hAnsi="宋体" w:cs="宋体"/>
          <w:snapToGrid w:val="0"/>
          <w:color w:val="auto"/>
          <w:kern w:val="0"/>
          <w:szCs w:val="22"/>
          <w:highlight w:val="none"/>
          <w:lang w:eastAsia="zh-CN"/>
        </w:rPr>
        <w:t>%</w:t>
      </w:r>
      <w:r>
        <w:rPr>
          <w:rFonts w:hint="eastAsia" w:hAnsi="宋体" w:cs="宋体"/>
          <w:snapToGrid w:val="0"/>
          <w:color w:val="auto"/>
          <w:kern w:val="0"/>
          <w:szCs w:val="22"/>
          <w:highlight w:val="none"/>
        </w:rPr>
        <w:t>。</w:t>
      </w:r>
    </w:p>
    <w:p w14:paraId="2D5DAC41">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2. 如果我方中标，我方保证按照委托人发出的开始监理通知中写明的日期开始本项目的</w:t>
      </w:r>
      <w:r>
        <w:rPr>
          <w:rFonts w:hint="eastAsia" w:hAnsi="宋体" w:cs="宋体"/>
          <w:snapToGrid w:val="0"/>
          <w:color w:val="auto"/>
          <w:kern w:val="0"/>
          <w:highlight w:val="none"/>
          <w:u w:val="single"/>
        </w:rPr>
        <w:t xml:space="preserve"> 监理及相关服务 </w:t>
      </w:r>
      <w:r>
        <w:rPr>
          <w:rFonts w:hint="eastAsia" w:hAnsi="宋体" w:cs="宋体"/>
          <w:snapToGrid w:val="0"/>
          <w:color w:val="auto"/>
          <w:kern w:val="0"/>
          <w:highlight w:val="none"/>
        </w:rPr>
        <w:t>，并在合同约定的服务期限内完成合同规定的全部义务。</w:t>
      </w:r>
    </w:p>
    <w:p w14:paraId="394D8C99">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3. 本投标函在你方接收我方递交的投标文件之日起、到招标文件规定的投标有效期期满前对我方具有约束力。我方随时准备接受你方发出的中标通知书。</w:t>
      </w:r>
    </w:p>
    <w:p w14:paraId="559F7A9F">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4．我方在此声明，我方不存在本项目招标文件第一章第三节第</w:t>
      </w:r>
      <w:r>
        <w:rPr>
          <w:rFonts w:hint="eastAsia" w:hAnsi="宋体" w:cs="宋体"/>
          <w:b/>
          <w:bCs/>
          <w:snapToGrid w:val="0"/>
          <w:color w:val="auto"/>
          <w:kern w:val="0"/>
          <w:highlight w:val="none"/>
        </w:rPr>
        <w:t>2.4</w:t>
      </w:r>
      <w:r>
        <w:rPr>
          <w:rFonts w:hint="eastAsia" w:hAnsi="宋体" w:cs="宋体"/>
          <w:snapToGrid w:val="0"/>
          <w:color w:val="auto"/>
          <w:kern w:val="0"/>
          <w:highlight w:val="none"/>
        </w:rPr>
        <w:t>条“禁止投标条款”所列出的任何一种情形，并愿意承担因我方就此弄虚作假所引起的一切法律后果。</w:t>
      </w:r>
    </w:p>
    <w:p w14:paraId="041590E4">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4763CEE0">
      <w:pPr>
        <w:wordWrap w:val="0"/>
        <w:adjustRightInd w:val="0"/>
        <w:snapToGrid w:val="0"/>
        <w:spacing w:line="440" w:lineRule="exact"/>
        <w:ind w:firstLine="570"/>
        <w:rPr>
          <w:rFonts w:hAnsi="宋体" w:cs="宋体"/>
          <w:snapToGrid w:val="0"/>
          <w:color w:val="auto"/>
          <w:kern w:val="0"/>
          <w:highlight w:val="none"/>
        </w:rPr>
      </w:pPr>
      <w:bookmarkStart w:id="310" w:name="_Hlt68771070"/>
      <w:bookmarkEnd w:id="310"/>
      <w:r>
        <w:rPr>
          <w:rFonts w:hint="eastAsia" w:hAnsi="宋体" w:cs="宋体"/>
          <w:snapToGrid w:val="0"/>
          <w:color w:val="auto"/>
          <w:kern w:val="0"/>
          <w:highlight w:val="none"/>
        </w:rPr>
        <w:t>6. 我方理解你方不一定要接纳收到的最低投标总价或任何投标总价的投标人中标，也不要求你方解释我方是否中标的原因。</w:t>
      </w:r>
    </w:p>
    <w:p w14:paraId="441F8BD9">
      <w:pPr>
        <w:wordWrap w:val="0"/>
        <w:adjustRightInd w:val="0"/>
        <w:snapToGrid w:val="0"/>
        <w:spacing w:line="440" w:lineRule="exact"/>
        <w:ind w:firstLine="570"/>
        <w:rPr>
          <w:rFonts w:ascii="Times New Roman"/>
          <w:snapToGrid w:val="0"/>
          <w:color w:val="auto"/>
          <w:kern w:val="0"/>
          <w:highlight w:val="none"/>
        </w:rPr>
      </w:pPr>
      <w:r>
        <w:rPr>
          <w:rFonts w:hint="eastAsia" w:ascii="Times New Roman"/>
          <w:snapToGrid w:val="0"/>
          <w:color w:val="auto"/>
          <w:kern w:val="0"/>
          <w:highlight w:val="none"/>
        </w:rPr>
        <w:t xml:space="preserve">  </w:t>
      </w:r>
    </w:p>
    <w:p w14:paraId="7DE470F2">
      <w:pPr>
        <w:wordWrap w:val="0"/>
        <w:adjustRightInd w:val="0"/>
        <w:snapToGrid w:val="0"/>
        <w:spacing w:line="440" w:lineRule="exact"/>
        <w:rPr>
          <w:rFonts w:ascii="Times New Roman"/>
          <w:snapToGrid w:val="0"/>
          <w:color w:val="auto"/>
          <w:kern w:val="0"/>
          <w:highlight w:val="none"/>
        </w:rPr>
      </w:pPr>
    </w:p>
    <w:p w14:paraId="65F5A93A">
      <w:pPr>
        <w:wordWrap w:val="0"/>
        <w:adjustRightInd w:val="0"/>
        <w:snapToGrid w:val="0"/>
        <w:spacing w:line="440" w:lineRule="exact"/>
        <w:jc w:val="right"/>
        <w:rPr>
          <w:rFonts w:ascii="Times New Roman"/>
          <w:snapToGrid w:val="0"/>
          <w:color w:val="auto"/>
          <w:kern w:val="0"/>
          <w:highlight w:val="none"/>
        </w:rPr>
      </w:pPr>
      <w:r>
        <w:rPr>
          <w:rFonts w:hint="eastAsia" w:ascii="Times New Roman"/>
          <w:snapToGrid w:val="0"/>
          <w:color w:val="auto"/>
          <w:kern w:val="0"/>
          <w:highlight w:val="none"/>
        </w:rPr>
        <w:t xml:space="preserve">    投标人：</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（盖单位章）</w:t>
      </w:r>
    </w:p>
    <w:p w14:paraId="5BD4C38D">
      <w:pPr>
        <w:wordWrap w:val="0"/>
        <w:adjustRightInd w:val="0"/>
        <w:snapToGrid w:val="0"/>
        <w:spacing w:line="440" w:lineRule="exact"/>
        <w:jc w:val="right"/>
        <w:rPr>
          <w:rFonts w:ascii="Times New Roman"/>
          <w:snapToGrid w:val="0"/>
          <w:color w:val="auto"/>
          <w:kern w:val="0"/>
          <w:highlight w:val="none"/>
        </w:rPr>
      </w:pPr>
    </w:p>
    <w:p w14:paraId="3CB2AC11">
      <w:pPr>
        <w:wordWrap w:val="0"/>
        <w:adjustRightInd w:val="0"/>
        <w:snapToGrid w:val="0"/>
        <w:spacing w:line="440" w:lineRule="exact"/>
        <w:ind w:firstLine="480" w:firstLineChars="200"/>
        <w:jc w:val="right"/>
        <w:rPr>
          <w:rFonts w:ascii="Times New Roman"/>
          <w:snapToGrid w:val="0"/>
          <w:color w:val="auto"/>
          <w:kern w:val="0"/>
          <w:highlight w:val="none"/>
        </w:rPr>
      </w:pPr>
      <w:r>
        <w:rPr>
          <w:rFonts w:hint="eastAsia" w:ascii="Times New Roman"/>
          <w:snapToGrid w:val="0"/>
          <w:color w:val="auto"/>
          <w:kern w:val="0"/>
          <w:highlight w:val="none"/>
        </w:rPr>
        <w:t>法定代表人或其委托代理人：</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（签字或盖章）</w:t>
      </w:r>
    </w:p>
    <w:p w14:paraId="41974781">
      <w:pPr>
        <w:wordWrap w:val="0"/>
        <w:adjustRightInd w:val="0"/>
        <w:snapToGrid w:val="0"/>
        <w:spacing w:line="440" w:lineRule="exact"/>
        <w:ind w:firstLine="480" w:firstLineChars="200"/>
        <w:jc w:val="right"/>
        <w:rPr>
          <w:rFonts w:ascii="Times New Roman"/>
          <w:snapToGrid w:val="0"/>
          <w:color w:val="auto"/>
          <w:kern w:val="0"/>
          <w:highlight w:val="none"/>
        </w:rPr>
      </w:pPr>
    </w:p>
    <w:p w14:paraId="088D1701">
      <w:pPr>
        <w:wordWrap w:val="0"/>
        <w:adjustRightInd w:val="0"/>
        <w:snapToGrid w:val="0"/>
        <w:spacing w:line="440" w:lineRule="exact"/>
        <w:jc w:val="left"/>
        <w:rPr>
          <w:rFonts w:ascii="Times New Roman"/>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r>
        <w:rPr>
          <w:rFonts w:hint="eastAsia" w:ascii="Times New Roman"/>
          <w:snapToGrid w:val="0"/>
          <w:color w:val="auto"/>
          <w:kern w:val="0"/>
          <w:highlight w:val="none"/>
        </w:rPr>
        <w:t xml:space="preserve">                                       </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年</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月</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日</w:t>
      </w:r>
    </w:p>
    <w:p w14:paraId="62A4B770">
      <w:pPr>
        <w:pStyle w:val="73"/>
        <w:widowControl w:val="0"/>
        <w:wordWrap w:val="0"/>
        <w:adjustRightInd w:val="0"/>
        <w:snapToGrid w:val="0"/>
        <w:spacing w:line="400" w:lineRule="exact"/>
        <w:ind w:firstLine="0"/>
        <w:outlineLvl w:val="1"/>
        <w:rPr>
          <w:rFonts w:hAnsi="宋体" w:cs="宋体"/>
          <w:b/>
          <w:snapToGrid w:val="0"/>
          <w:color w:val="auto"/>
          <w:sz w:val="24"/>
          <w:highlight w:val="none"/>
        </w:rPr>
      </w:pPr>
      <w:bookmarkStart w:id="311" w:name="_Toc30827"/>
      <w:r>
        <w:rPr>
          <w:rFonts w:hint="eastAsia" w:hAnsi="宋体" w:cs="宋体"/>
          <w:b/>
          <w:snapToGrid w:val="0"/>
          <w:color w:val="auto"/>
          <w:sz w:val="24"/>
          <w:highlight w:val="none"/>
        </w:rPr>
        <w:t>格式三 各项承诺一览表</w:t>
      </w:r>
      <w:bookmarkEnd w:id="311"/>
    </w:p>
    <w:p w14:paraId="5570DE38">
      <w:pPr>
        <w:pStyle w:val="72"/>
        <w:keepNext w:val="0"/>
        <w:keepLines w:val="0"/>
        <w:widowControl w:val="0"/>
        <w:wordWrap w:val="0"/>
        <w:adjustRightInd w:val="0"/>
        <w:snapToGrid w:val="0"/>
        <w:spacing w:before="260" w:after="260" w:line="440" w:lineRule="exact"/>
        <w:ind w:firstLine="0"/>
        <w:outlineLvl w:val="9"/>
        <w:rPr>
          <w:rFonts w:hAnsi="宋体" w:cs="宋体"/>
          <w:b/>
          <w:snapToGrid w:val="0"/>
          <w:color w:val="auto"/>
          <w:highlight w:val="none"/>
        </w:rPr>
      </w:pPr>
      <w:bookmarkStart w:id="312" w:name="_Toc11270"/>
      <w:bookmarkStart w:id="313" w:name="_Toc27092"/>
      <w:bookmarkStart w:id="314" w:name="_Toc7685"/>
      <w:bookmarkStart w:id="315" w:name="_Toc18253"/>
      <w:bookmarkStart w:id="316" w:name="_Toc24548"/>
      <w:r>
        <w:rPr>
          <w:rFonts w:hint="eastAsia" w:hAnsi="宋体" w:cs="宋体"/>
          <w:b/>
          <w:snapToGrid w:val="0"/>
          <w:color w:val="auto"/>
          <w:sz w:val="30"/>
          <w:highlight w:val="none"/>
        </w:rPr>
        <w:t>各项承诺一览表</w:t>
      </w:r>
      <w:bookmarkEnd w:id="312"/>
      <w:bookmarkEnd w:id="313"/>
      <w:bookmarkEnd w:id="314"/>
      <w:bookmarkEnd w:id="315"/>
      <w:bookmarkEnd w:id="316"/>
    </w:p>
    <w:tbl>
      <w:tblPr>
        <w:tblStyle w:val="32"/>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019"/>
      </w:tblGrid>
      <w:tr w14:paraId="5040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16" w:type="dxa"/>
            <w:tcBorders>
              <w:tl2br w:val="nil"/>
              <w:tr2bl w:val="nil"/>
            </w:tcBorders>
            <w:vAlign w:val="center"/>
          </w:tcPr>
          <w:p w14:paraId="3900BDBA">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序号</w:t>
            </w:r>
          </w:p>
        </w:tc>
        <w:tc>
          <w:tcPr>
            <w:tcW w:w="1573" w:type="dxa"/>
            <w:tcBorders>
              <w:tl2br w:val="nil"/>
              <w:tr2bl w:val="nil"/>
            </w:tcBorders>
            <w:vAlign w:val="center"/>
          </w:tcPr>
          <w:p w14:paraId="20FB2641">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承诺事项</w:t>
            </w:r>
          </w:p>
        </w:tc>
        <w:tc>
          <w:tcPr>
            <w:tcW w:w="2923" w:type="dxa"/>
            <w:tcBorders>
              <w:tl2br w:val="nil"/>
              <w:tr2bl w:val="nil"/>
            </w:tcBorders>
            <w:vAlign w:val="center"/>
          </w:tcPr>
          <w:p w14:paraId="5FB40FF4">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承诺内容</w:t>
            </w:r>
          </w:p>
        </w:tc>
        <w:tc>
          <w:tcPr>
            <w:tcW w:w="4019" w:type="dxa"/>
            <w:tcBorders>
              <w:tl2br w:val="nil"/>
              <w:tr2bl w:val="nil"/>
            </w:tcBorders>
            <w:vAlign w:val="center"/>
          </w:tcPr>
          <w:p w14:paraId="3B51EC41">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违约承诺</w:t>
            </w:r>
          </w:p>
        </w:tc>
      </w:tr>
      <w:tr w14:paraId="0062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atLeast"/>
          <w:jc w:val="center"/>
        </w:trPr>
        <w:tc>
          <w:tcPr>
            <w:tcW w:w="716" w:type="dxa"/>
            <w:tcBorders>
              <w:tl2br w:val="nil"/>
              <w:tr2bl w:val="nil"/>
            </w:tcBorders>
            <w:vAlign w:val="center"/>
          </w:tcPr>
          <w:p w14:paraId="76EF5F15">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1573" w:type="dxa"/>
            <w:tcBorders>
              <w:tl2br w:val="nil"/>
              <w:tr2bl w:val="nil"/>
            </w:tcBorders>
            <w:vAlign w:val="center"/>
          </w:tcPr>
          <w:p w14:paraId="318FCDD7">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自愿接受招标</w:t>
            </w:r>
          </w:p>
          <w:p w14:paraId="2288ADF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文件条款的承诺</w:t>
            </w:r>
          </w:p>
        </w:tc>
        <w:tc>
          <w:tcPr>
            <w:tcW w:w="2923" w:type="dxa"/>
            <w:tcBorders>
              <w:tl2br w:val="nil"/>
              <w:tr2bl w:val="nil"/>
            </w:tcBorders>
            <w:vAlign w:val="center"/>
          </w:tcPr>
          <w:p w14:paraId="771687B7">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我方自愿接受招标文件的所有条款，所递交的投标文件已经充分响应招标文件的实质性要求。</w:t>
            </w:r>
          </w:p>
        </w:tc>
        <w:tc>
          <w:tcPr>
            <w:tcW w:w="4019" w:type="dxa"/>
            <w:tcBorders>
              <w:tl2br w:val="nil"/>
              <w:tr2bl w:val="nil"/>
            </w:tcBorders>
            <w:vAlign w:val="center"/>
          </w:tcPr>
          <w:p w14:paraId="061181E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7948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jc w:val="center"/>
        </w:trPr>
        <w:tc>
          <w:tcPr>
            <w:tcW w:w="716" w:type="dxa"/>
            <w:tcBorders>
              <w:tl2br w:val="nil"/>
              <w:tr2bl w:val="nil"/>
            </w:tcBorders>
            <w:vAlign w:val="center"/>
          </w:tcPr>
          <w:p w14:paraId="7399CDF3">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1573" w:type="dxa"/>
            <w:tcBorders>
              <w:tl2br w:val="nil"/>
              <w:tr2bl w:val="nil"/>
            </w:tcBorders>
            <w:vAlign w:val="center"/>
          </w:tcPr>
          <w:p w14:paraId="5CEF087F">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无禁止投标</w:t>
            </w:r>
          </w:p>
          <w:p w14:paraId="07F33545">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情形的承诺</w:t>
            </w:r>
          </w:p>
        </w:tc>
        <w:tc>
          <w:tcPr>
            <w:tcW w:w="2923" w:type="dxa"/>
            <w:tcBorders>
              <w:tl2br w:val="nil"/>
              <w:tr2bl w:val="nil"/>
            </w:tcBorders>
            <w:vAlign w:val="center"/>
          </w:tcPr>
          <w:p w14:paraId="30E757C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我方不存在招标文件第一章第三节第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w:t>
            </w:r>
          </w:p>
        </w:tc>
        <w:tc>
          <w:tcPr>
            <w:tcW w:w="4019" w:type="dxa"/>
            <w:tcBorders>
              <w:tl2br w:val="nil"/>
              <w:tr2bl w:val="nil"/>
            </w:tcBorders>
            <w:vAlign w:val="center"/>
          </w:tcPr>
          <w:p w14:paraId="5DA36C6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如果我方有招标文件第一章第三节第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4531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jc w:val="center"/>
        </w:trPr>
        <w:tc>
          <w:tcPr>
            <w:tcW w:w="716" w:type="dxa"/>
            <w:tcBorders>
              <w:tl2br w:val="nil"/>
              <w:tr2bl w:val="nil"/>
            </w:tcBorders>
            <w:vAlign w:val="center"/>
          </w:tcPr>
          <w:p w14:paraId="3680E018">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1573" w:type="dxa"/>
            <w:tcBorders>
              <w:tl2br w:val="nil"/>
              <w:tr2bl w:val="nil"/>
            </w:tcBorders>
            <w:vAlign w:val="center"/>
          </w:tcPr>
          <w:p w14:paraId="0D8F7307">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自觉抵制围标</w:t>
            </w:r>
          </w:p>
          <w:p w14:paraId="346D774A">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串标和弄虚</w:t>
            </w:r>
          </w:p>
          <w:p w14:paraId="0DF23D6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作假行为的承诺</w:t>
            </w:r>
          </w:p>
        </w:tc>
        <w:tc>
          <w:tcPr>
            <w:tcW w:w="2923" w:type="dxa"/>
            <w:tcBorders>
              <w:tl2br w:val="nil"/>
              <w:tr2bl w:val="nil"/>
            </w:tcBorders>
            <w:vAlign w:val="center"/>
          </w:tcPr>
          <w:p w14:paraId="34060EB2">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我方合法正当、诚实守信地参与投标，不组织、不参加围标串标违法行为，不通过弄虚作假行为骗取中标。</w:t>
            </w:r>
          </w:p>
        </w:tc>
        <w:tc>
          <w:tcPr>
            <w:tcW w:w="4019" w:type="dxa"/>
            <w:tcBorders>
              <w:tl2br w:val="nil"/>
              <w:tr2bl w:val="nil"/>
            </w:tcBorders>
            <w:vAlign w:val="center"/>
          </w:tcPr>
          <w:p w14:paraId="3F36BE5E">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2FC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0" w:hRule="atLeast"/>
          <w:jc w:val="center"/>
        </w:trPr>
        <w:tc>
          <w:tcPr>
            <w:tcW w:w="716" w:type="dxa"/>
            <w:tcBorders>
              <w:tl2br w:val="nil"/>
              <w:tr2bl w:val="nil"/>
            </w:tcBorders>
            <w:vAlign w:val="center"/>
          </w:tcPr>
          <w:p w14:paraId="2937D28C">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4</w:t>
            </w:r>
          </w:p>
        </w:tc>
        <w:tc>
          <w:tcPr>
            <w:tcW w:w="1573" w:type="dxa"/>
            <w:tcBorders>
              <w:tl2br w:val="nil"/>
              <w:tr2bl w:val="nil"/>
            </w:tcBorders>
            <w:vAlign w:val="center"/>
          </w:tcPr>
          <w:p w14:paraId="24A68828">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总监理工程师</w:t>
            </w:r>
          </w:p>
          <w:p w14:paraId="412EC98A">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任职承诺</w:t>
            </w:r>
          </w:p>
        </w:tc>
        <w:tc>
          <w:tcPr>
            <w:tcW w:w="2923" w:type="dxa"/>
            <w:tcBorders>
              <w:tl2br w:val="nil"/>
              <w:tr2bl w:val="nil"/>
            </w:tcBorders>
            <w:vAlign w:val="center"/>
          </w:tcPr>
          <w:p w14:paraId="15CAB8D6">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我方拟派总监理工程师现阶段担任总监理工程师的在施（包括已中标未开工、已开工未竣工）建设工程项目不超过2个，经任职项目的建设单位同意，参加本项目投标。</w:t>
            </w:r>
          </w:p>
        </w:tc>
        <w:tc>
          <w:tcPr>
            <w:tcW w:w="4019" w:type="dxa"/>
            <w:tcBorders>
              <w:tl2br w:val="nil"/>
              <w:tr2bl w:val="nil"/>
            </w:tcBorders>
            <w:vAlign w:val="center"/>
          </w:tcPr>
          <w:p w14:paraId="678CD53F">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69BA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716" w:type="dxa"/>
            <w:tcBorders>
              <w:tl2br w:val="nil"/>
              <w:tr2bl w:val="nil"/>
            </w:tcBorders>
            <w:vAlign w:val="center"/>
          </w:tcPr>
          <w:p w14:paraId="472F5E1E">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5</w:t>
            </w:r>
          </w:p>
        </w:tc>
        <w:tc>
          <w:tcPr>
            <w:tcW w:w="1573" w:type="dxa"/>
            <w:tcBorders>
              <w:tl2br w:val="nil"/>
              <w:tr2bl w:val="nil"/>
            </w:tcBorders>
            <w:vAlign w:val="center"/>
          </w:tcPr>
          <w:p w14:paraId="57931405">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投标文件</w:t>
            </w:r>
          </w:p>
          <w:p w14:paraId="250F4C97">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真实性承诺</w:t>
            </w:r>
          </w:p>
        </w:tc>
        <w:tc>
          <w:tcPr>
            <w:tcW w:w="2923" w:type="dxa"/>
            <w:tcBorders>
              <w:tl2br w:val="nil"/>
              <w:tr2bl w:val="nil"/>
            </w:tcBorders>
            <w:vAlign w:val="center"/>
          </w:tcPr>
          <w:p w14:paraId="08B45A49">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我方所递交投标文件的全部内容均为真实、有效、准确的。</w:t>
            </w:r>
          </w:p>
        </w:tc>
        <w:tc>
          <w:tcPr>
            <w:tcW w:w="4019" w:type="dxa"/>
            <w:tcBorders>
              <w:tl2br w:val="nil"/>
              <w:tr2bl w:val="nil"/>
            </w:tcBorders>
            <w:vAlign w:val="center"/>
          </w:tcPr>
          <w:p w14:paraId="0C9F1316">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0C1A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3B7F4E66">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6</w:t>
            </w:r>
          </w:p>
        </w:tc>
        <w:tc>
          <w:tcPr>
            <w:tcW w:w="1573" w:type="dxa"/>
            <w:tcBorders>
              <w:tl2br w:val="nil"/>
              <w:tr2bl w:val="nil"/>
            </w:tcBorders>
            <w:vAlign w:val="center"/>
          </w:tcPr>
          <w:p w14:paraId="3E32F11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投标文件</w:t>
            </w:r>
          </w:p>
          <w:p w14:paraId="07F9A8EE">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信息公开承诺</w:t>
            </w:r>
          </w:p>
        </w:tc>
        <w:tc>
          <w:tcPr>
            <w:tcW w:w="2923" w:type="dxa"/>
            <w:tcBorders>
              <w:tl2br w:val="nil"/>
              <w:tr2bl w:val="nil"/>
            </w:tcBorders>
            <w:vAlign w:val="center"/>
          </w:tcPr>
          <w:p w14:paraId="6873836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我方提供完整的电子文件。如果我方成为本招标项目中标候选人，我方同意并授权招标人在评标结果公示期内公开我方商务标书的全部内容。</w:t>
            </w:r>
          </w:p>
        </w:tc>
        <w:tc>
          <w:tcPr>
            <w:tcW w:w="4019" w:type="dxa"/>
            <w:tcBorders>
              <w:tl2br w:val="nil"/>
              <w:tr2bl w:val="nil"/>
            </w:tcBorders>
            <w:vAlign w:val="center"/>
          </w:tcPr>
          <w:p w14:paraId="5AED0D5A">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left"/>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w:t>
            </w:r>
          </w:p>
        </w:tc>
      </w:tr>
      <w:tr w14:paraId="3284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6680765C">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hAnsi="宋体" w:eastAsia="宋体" w:cs="宋体"/>
                <w:snapToGrid w:val="0"/>
                <w:color w:val="auto"/>
                <w:kern w:val="0"/>
                <w:sz w:val="21"/>
                <w:szCs w:val="21"/>
                <w:highlight w:val="none"/>
                <w:lang w:eastAsia="zh-CN"/>
              </w:rPr>
            </w:pPr>
            <w:r>
              <w:rPr>
                <w:rFonts w:hint="eastAsia" w:hAnsi="宋体" w:cs="宋体"/>
                <w:snapToGrid w:val="0"/>
                <w:color w:val="auto"/>
                <w:kern w:val="0"/>
                <w:sz w:val="21"/>
                <w:szCs w:val="21"/>
                <w:highlight w:val="none"/>
                <w:lang w:val="en-US" w:eastAsia="zh-CN"/>
              </w:rPr>
              <w:t>7</w:t>
            </w:r>
          </w:p>
        </w:tc>
        <w:tc>
          <w:tcPr>
            <w:tcW w:w="1573" w:type="dxa"/>
            <w:tcBorders>
              <w:tl2br w:val="nil"/>
              <w:tr2bl w:val="nil"/>
            </w:tcBorders>
            <w:vAlign w:val="center"/>
          </w:tcPr>
          <w:p w14:paraId="2490221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按时签订合同</w:t>
            </w:r>
          </w:p>
          <w:p w14:paraId="531BA464">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的承诺</w:t>
            </w:r>
          </w:p>
        </w:tc>
        <w:tc>
          <w:tcPr>
            <w:tcW w:w="2923" w:type="dxa"/>
            <w:tcBorders>
              <w:tl2br w:val="nil"/>
              <w:tr2bl w:val="nil"/>
            </w:tcBorders>
            <w:vAlign w:val="center"/>
          </w:tcPr>
          <w:p w14:paraId="73C8F4CD">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019" w:type="dxa"/>
            <w:tcBorders>
              <w:tl2br w:val="nil"/>
              <w:tr2bl w:val="nil"/>
            </w:tcBorders>
            <w:vAlign w:val="center"/>
          </w:tcPr>
          <w:p w14:paraId="19D63278">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3AA430E0">
      <w:pPr>
        <w:pStyle w:val="74"/>
        <w:wordWrap w:val="0"/>
        <w:adjustRightInd w:val="0"/>
        <w:snapToGrid w:val="0"/>
        <w:spacing w:line="420" w:lineRule="exact"/>
        <w:jc w:val="left"/>
        <w:rPr>
          <w:rFonts w:hAnsi="宋体" w:cs="宋体"/>
          <w:snapToGrid w:val="0"/>
          <w:color w:val="auto"/>
          <w:kern w:val="0"/>
          <w:highlight w:val="none"/>
        </w:rPr>
      </w:pPr>
    </w:p>
    <w:p w14:paraId="75511094">
      <w:pPr>
        <w:pStyle w:val="74"/>
        <w:wordWrap w:val="0"/>
        <w:adjustRightInd w:val="0"/>
        <w:snapToGrid w:val="0"/>
        <w:spacing w:line="420" w:lineRule="exact"/>
        <w:jc w:val="left"/>
        <w:rPr>
          <w:rFonts w:hAnsi="宋体" w:cs="宋体"/>
          <w:snapToGrid w:val="0"/>
          <w:color w:val="auto"/>
          <w:kern w:val="0"/>
          <w:highlight w:val="none"/>
        </w:rPr>
      </w:pPr>
    </w:p>
    <w:p w14:paraId="6A172129">
      <w:pPr>
        <w:pStyle w:val="16"/>
        <w:wordWrap w:val="0"/>
        <w:adjustRightInd w:val="0"/>
        <w:snapToGrid w:val="0"/>
        <w:spacing w:line="420" w:lineRule="exact"/>
        <w:ind w:firstLine="480" w:firstLineChars="200"/>
        <w:jc w:val="right"/>
        <w:rPr>
          <w:rFonts w:hAnsi="宋体" w:cs="宋体"/>
          <w:snapToGrid w:val="0"/>
          <w:color w:val="auto"/>
          <w:kern w:val="0"/>
          <w:szCs w:val="24"/>
          <w:highlight w:val="none"/>
        </w:rPr>
      </w:pPr>
      <w:r>
        <w:rPr>
          <w:rFonts w:hint="eastAsia" w:hAnsi="宋体" w:cs="宋体"/>
          <w:snapToGrid w:val="0"/>
          <w:color w:val="auto"/>
          <w:kern w:val="0"/>
          <w:szCs w:val="24"/>
          <w:highlight w:val="none"/>
        </w:rPr>
        <w:t>投标人：</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（盖单位章）</w:t>
      </w:r>
    </w:p>
    <w:p w14:paraId="76A431D6">
      <w:pPr>
        <w:pStyle w:val="16"/>
        <w:wordWrap w:val="0"/>
        <w:adjustRightInd w:val="0"/>
        <w:snapToGrid w:val="0"/>
        <w:spacing w:line="420" w:lineRule="exact"/>
        <w:ind w:firstLine="480" w:firstLineChars="200"/>
        <w:jc w:val="right"/>
        <w:rPr>
          <w:rFonts w:hAnsi="宋体" w:cs="宋体"/>
          <w:snapToGrid w:val="0"/>
          <w:color w:val="auto"/>
          <w:kern w:val="0"/>
          <w:szCs w:val="24"/>
          <w:highlight w:val="none"/>
        </w:rPr>
      </w:pPr>
    </w:p>
    <w:p w14:paraId="5674CFFD">
      <w:pPr>
        <w:pStyle w:val="16"/>
        <w:wordWrap w:val="0"/>
        <w:adjustRightInd w:val="0"/>
        <w:snapToGrid w:val="0"/>
        <w:spacing w:line="420" w:lineRule="exact"/>
        <w:ind w:firstLine="480" w:firstLineChars="200"/>
        <w:jc w:val="right"/>
        <w:rPr>
          <w:rFonts w:hAnsi="宋体" w:cs="宋体"/>
          <w:snapToGrid w:val="0"/>
          <w:color w:val="auto"/>
          <w:kern w:val="0"/>
          <w:szCs w:val="24"/>
          <w:highlight w:val="none"/>
        </w:rPr>
      </w:pPr>
    </w:p>
    <w:p w14:paraId="4E33AA44">
      <w:pPr>
        <w:pStyle w:val="16"/>
        <w:wordWrap w:val="0"/>
        <w:adjustRightInd w:val="0"/>
        <w:snapToGrid w:val="0"/>
        <w:spacing w:line="420" w:lineRule="exact"/>
        <w:ind w:firstLine="480" w:firstLineChars="200"/>
        <w:jc w:val="right"/>
        <w:rPr>
          <w:rFonts w:hAnsi="宋体" w:cs="宋体"/>
          <w:snapToGrid w:val="0"/>
          <w:color w:val="auto"/>
          <w:kern w:val="0"/>
          <w:szCs w:val="24"/>
          <w:highlight w:val="none"/>
        </w:rPr>
      </w:pPr>
      <w:r>
        <w:rPr>
          <w:rFonts w:hint="eastAsia" w:hAnsi="宋体" w:cs="宋体"/>
          <w:snapToGrid w:val="0"/>
          <w:color w:val="auto"/>
          <w:kern w:val="0"/>
          <w:szCs w:val="24"/>
          <w:highlight w:val="none"/>
        </w:rPr>
        <w:t>法定代表人或其委托代理人：</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（签字或盖章）</w:t>
      </w:r>
    </w:p>
    <w:p w14:paraId="6C961299">
      <w:pPr>
        <w:pStyle w:val="16"/>
        <w:wordWrap w:val="0"/>
        <w:adjustRightInd w:val="0"/>
        <w:snapToGrid w:val="0"/>
        <w:spacing w:line="420" w:lineRule="exact"/>
        <w:ind w:firstLine="480" w:firstLineChars="200"/>
        <w:rPr>
          <w:rFonts w:hAnsi="宋体" w:cs="宋体"/>
          <w:snapToGrid w:val="0"/>
          <w:color w:val="auto"/>
          <w:kern w:val="0"/>
          <w:szCs w:val="24"/>
          <w:highlight w:val="none"/>
        </w:rPr>
      </w:pPr>
    </w:p>
    <w:p w14:paraId="306B122B">
      <w:pPr>
        <w:pStyle w:val="16"/>
        <w:wordWrap w:val="0"/>
        <w:adjustRightInd w:val="0"/>
        <w:snapToGrid w:val="0"/>
        <w:spacing w:line="420" w:lineRule="exact"/>
        <w:ind w:firstLine="480" w:firstLineChars="200"/>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年</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月</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日</w:t>
      </w:r>
    </w:p>
    <w:p w14:paraId="27FBA394">
      <w:pPr>
        <w:wordWrap w:val="0"/>
        <w:adjustRightInd w:val="0"/>
        <w:snapToGrid w:val="0"/>
        <w:spacing w:line="420" w:lineRule="exact"/>
        <w:jc w:val="left"/>
        <w:rPr>
          <w:rFonts w:hAnsi="宋体" w:cs="宋体"/>
          <w:b/>
          <w:snapToGrid w:val="0"/>
          <w:color w:val="auto"/>
          <w:kern w:val="0"/>
          <w:highlight w:val="none"/>
        </w:rPr>
      </w:pPr>
    </w:p>
    <w:p w14:paraId="22C6E951">
      <w:pPr>
        <w:wordWrap w:val="0"/>
        <w:adjustRightInd w:val="0"/>
        <w:snapToGrid w:val="0"/>
        <w:spacing w:line="420" w:lineRule="exact"/>
        <w:jc w:val="left"/>
        <w:rPr>
          <w:rFonts w:hAnsi="宋体" w:cs="宋体"/>
          <w:b/>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p>
    <w:p w14:paraId="0B27C1A1">
      <w:pPr>
        <w:wordWrap w:val="0"/>
        <w:adjustRightInd w:val="0"/>
        <w:snapToGrid w:val="0"/>
        <w:spacing w:line="440" w:lineRule="exact"/>
        <w:outlineLvl w:val="1"/>
        <w:rPr>
          <w:rFonts w:hAnsi="宋体" w:cs="宋体"/>
          <w:b/>
          <w:bCs/>
          <w:snapToGrid w:val="0"/>
          <w:color w:val="auto"/>
          <w:kern w:val="0"/>
          <w:szCs w:val="24"/>
          <w:highlight w:val="none"/>
        </w:rPr>
      </w:pPr>
      <w:bookmarkStart w:id="317" w:name="_Toc22542"/>
      <w:r>
        <w:rPr>
          <w:rFonts w:hint="eastAsia" w:hAnsi="宋体" w:cs="宋体"/>
          <w:b/>
          <w:bCs/>
          <w:snapToGrid w:val="0"/>
          <w:color w:val="auto"/>
          <w:kern w:val="0"/>
          <w:szCs w:val="24"/>
          <w:highlight w:val="none"/>
        </w:rPr>
        <w:t>格式四 授权委托书</w:t>
      </w:r>
      <w:bookmarkEnd w:id="317"/>
    </w:p>
    <w:p w14:paraId="67E2A007">
      <w:pPr>
        <w:wordWrap w:val="0"/>
        <w:adjustRightInd w:val="0"/>
        <w:snapToGrid w:val="0"/>
        <w:spacing w:line="440" w:lineRule="exact"/>
        <w:rPr>
          <w:rFonts w:hAnsi="宋体" w:cs="宋体"/>
          <w:b/>
          <w:bCs/>
          <w:snapToGrid w:val="0"/>
          <w:color w:val="auto"/>
          <w:kern w:val="0"/>
          <w:szCs w:val="24"/>
          <w:highlight w:val="none"/>
        </w:rPr>
      </w:pPr>
    </w:p>
    <w:p w14:paraId="75552C2F">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授权委托书</w:t>
      </w:r>
    </w:p>
    <w:p w14:paraId="1BD3964A">
      <w:pPr>
        <w:wordWrap w:val="0"/>
        <w:adjustRightInd w:val="0"/>
        <w:snapToGrid w:val="0"/>
        <w:spacing w:line="440" w:lineRule="exact"/>
        <w:rPr>
          <w:rFonts w:hAnsi="宋体" w:cs="宋体"/>
          <w:snapToGrid w:val="0"/>
          <w:color w:val="auto"/>
          <w:kern w:val="0"/>
          <w:szCs w:val="28"/>
          <w:highlight w:val="none"/>
        </w:rPr>
      </w:pPr>
    </w:p>
    <w:p w14:paraId="4069F3CC">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本人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（姓名）系</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（投标人名称）的法定代表人，现委托</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（姓名）为我方代理人。代理人根据授权，以我方名义签署、澄清、说明、补正、递交、撤回、修改</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（项目名称）监理投标文件、签订合同和处理有关事宜，其法律后果由我方承担。</w:t>
      </w:r>
    </w:p>
    <w:p w14:paraId="65E8B8BD">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委托期限：至</w:t>
      </w:r>
      <w:r>
        <w:rPr>
          <w:rFonts w:hint="eastAsia" w:hAnsi="宋体" w:cs="宋体"/>
          <w:snapToGrid w:val="0"/>
          <w:color w:val="auto"/>
          <w:kern w:val="0"/>
          <w:szCs w:val="21"/>
          <w:highlight w:val="none"/>
          <w:u w:val="single"/>
        </w:rPr>
        <w:t xml:space="preserve">     年   月   日</w:t>
      </w:r>
      <w:r>
        <w:rPr>
          <w:rFonts w:hint="eastAsia" w:hAnsi="宋体" w:cs="宋体"/>
          <w:i/>
          <w:iCs/>
          <w:snapToGrid w:val="0"/>
          <w:color w:val="auto"/>
          <w:kern w:val="0"/>
          <w:szCs w:val="21"/>
          <w:highlight w:val="none"/>
          <w:u w:val="single"/>
        </w:rPr>
        <w:t>（不得短于招标文件规定的投标有效期）</w:t>
      </w:r>
      <w:r>
        <w:rPr>
          <w:rFonts w:hint="eastAsia" w:hAnsi="宋体" w:cs="宋体"/>
          <w:snapToGrid w:val="0"/>
          <w:color w:val="auto"/>
          <w:kern w:val="0"/>
          <w:szCs w:val="21"/>
          <w:highlight w:val="none"/>
        </w:rPr>
        <w:t xml:space="preserve"> 。</w:t>
      </w:r>
    </w:p>
    <w:p w14:paraId="456BE0A2">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代理人无转委托权。</w:t>
      </w:r>
    </w:p>
    <w:p w14:paraId="41F3E177">
      <w:pPr>
        <w:wordWrap w:val="0"/>
        <w:adjustRightInd w:val="0"/>
        <w:snapToGrid w:val="0"/>
        <w:spacing w:line="440" w:lineRule="exact"/>
        <w:ind w:firstLine="480" w:firstLineChars="200"/>
        <w:rPr>
          <w:rFonts w:hAnsi="宋体" w:cs="宋体"/>
          <w:snapToGrid w:val="0"/>
          <w:color w:val="auto"/>
          <w:kern w:val="0"/>
          <w:szCs w:val="21"/>
          <w:highlight w:val="none"/>
        </w:rPr>
      </w:pPr>
    </w:p>
    <w:p w14:paraId="1D9D606D">
      <w:pPr>
        <w:wordWrap w:val="0"/>
        <w:adjustRightInd w:val="0"/>
        <w:snapToGrid w:val="0"/>
        <w:spacing w:line="440" w:lineRule="exact"/>
        <w:ind w:firstLine="480" w:firstLineChars="200"/>
        <w:rPr>
          <w:rFonts w:hAnsi="宋体" w:cs="宋体"/>
          <w:snapToGrid w:val="0"/>
          <w:color w:val="auto"/>
          <w:kern w:val="0"/>
          <w:szCs w:val="21"/>
          <w:highlight w:val="none"/>
        </w:rPr>
      </w:pPr>
    </w:p>
    <w:p w14:paraId="2E0F77F6">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投  标  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（盖单位章）</w:t>
      </w:r>
    </w:p>
    <w:p w14:paraId="44A20314">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p>
    <w:p w14:paraId="01E5792B">
      <w:pPr>
        <w:wordWrap w:val="0"/>
        <w:adjustRightInd w:val="0"/>
        <w:snapToGrid w:val="0"/>
        <w:spacing w:line="440" w:lineRule="exact"/>
        <w:ind w:firstLine="480" w:firstLineChars="200"/>
        <w:rPr>
          <w:rFonts w:hAnsi="宋体" w:cs="宋体"/>
          <w:snapToGrid w:val="0"/>
          <w:color w:val="auto"/>
          <w:kern w:val="0"/>
          <w:szCs w:val="21"/>
          <w:highlight w:val="none"/>
        </w:rPr>
      </w:pPr>
    </w:p>
    <w:p w14:paraId="04FBE60B">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法定代表人：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53124C85">
      <w:pPr>
        <w:wordWrap w:val="0"/>
        <w:adjustRightInd w:val="0"/>
        <w:snapToGrid w:val="0"/>
        <w:spacing w:line="440" w:lineRule="exact"/>
        <w:ind w:firstLine="480" w:firstLineChars="200"/>
        <w:rPr>
          <w:rFonts w:hAnsi="宋体" w:cs="宋体"/>
          <w:snapToGrid w:val="0"/>
          <w:color w:val="auto"/>
          <w:kern w:val="0"/>
          <w:szCs w:val="21"/>
          <w:highlight w:val="none"/>
        </w:rPr>
      </w:pPr>
    </w:p>
    <w:p w14:paraId="14C71C27">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委托代理人：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436EF06C">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p>
    <w:p w14:paraId="7D1C13A5">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月</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日</w:t>
      </w:r>
    </w:p>
    <w:p w14:paraId="189C3027">
      <w:pPr>
        <w:wordWrap w:val="0"/>
        <w:adjustRightInd w:val="0"/>
        <w:snapToGrid w:val="0"/>
        <w:spacing w:line="440" w:lineRule="exact"/>
        <w:ind w:firstLine="480" w:firstLineChars="200"/>
        <w:rPr>
          <w:rFonts w:hAnsi="宋体" w:cs="宋体"/>
          <w:snapToGrid w:val="0"/>
          <w:color w:val="auto"/>
          <w:kern w:val="0"/>
          <w:szCs w:val="21"/>
          <w:highlight w:val="none"/>
        </w:rPr>
      </w:pPr>
    </w:p>
    <w:p w14:paraId="115E616E">
      <w:pPr>
        <w:wordWrap w:val="0"/>
        <w:adjustRightInd w:val="0"/>
        <w:snapToGrid w:val="0"/>
        <w:spacing w:line="440" w:lineRule="exact"/>
        <w:ind w:firstLine="480" w:firstLineChars="200"/>
        <w:rPr>
          <w:rFonts w:hAnsi="宋体" w:cs="宋体"/>
          <w:snapToGrid w:val="0"/>
          <w:color w:val="auto"/>
          <w:kern w:val="0"/>
          <w:szCs w:val="21"/>
          <w:highlight w:val="none"/>
        </w:rPr>
      </w:pPr>
    </w:p>
    <w:p w14:paraId="429CC9A5">
      <w:pPr>
        <w:wordWrap w:val="0"/>
        <w:adjustRightInd w:val="0"/>
        <w:snapToGrid w:val="0"/>
        <w:ind w:firstLine="6440" w:firstLineChars="2300"/>
        <w:rPr>
          <w:rFonts w:hAnsi="宋体" w:cs="宋体"/>
          <w:snapToGrid w:val="0"/>
          <w:color w:val="auto"/>
          <w:kern w:val="0"/>
          <w:szCs w:val="24"/>
          <w:highlight w:val="none"/>
        </w:rPr>
      </w:pPr>
      <w:r>
        <w:rPr>
          <w:rFonts w:hint="eastAsia" w:hAnsi="宋体" w:cs="宋体"/>
          <w:snapToGrid w:val="0"/>
          <w:color w:val="auto"/>
          <w:kern w:val="0"/>
          <w:sz w:val="28"/>
          <w:szCs w:val="28"/>
          <w:highlight w:val="none"/>
          <w:u w:val="singl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3"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125D223">
                            <w:pPr>
                              <w:jc w:val="center"/>
                              <w:rPr>
                                <w:szCs w:val="21"/>
                              </w:rPr>
                            </w:pPr>
                          </w:p>
                          <w:p w14:paraId="2072E511">
                            <w:pPr>
                              <w:jc w:val="center"/>
                              <w:rPr>
                                <w:szCs w:val="21"/>
                              </w:rPr>
                            </w:pPr>
                          </w:p>
                          <w:p w14:paraId="03A2BFB3">
                            <w:pPr>
                              <w:jc w:val="center"/>
                              <w:rPr>
                                <w:szCs w:val="21"/>
                              </w:rPr>
                            </w:pPr>
                            <w:r>
                              <w:rPr>
                                <w:rFonts w:hint="eastAsia"/>
                                <w:szCs w:val="21"/>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sn06zYAAAACQEAAA8AAAAAAAAAAQAgAAAAIgAAAGRycy9kb3ducmV2LnhtbFBLAQIUABQAAAAI&#10;AIdO4kBaUS9UJgIAAFQEAAAOAAAAAAAAAAEAIAAAACcBAABkcnMvZTJvRG9jLnhtbFBLBQYAAAAA&#10;BgAGAFkBAAC/BQAAAAA=&#10;">
                <v:fill on="t" focussize="0,0"/>
                <v:stroke color="#000000" joinstyle="miter"/>
                <v:imagedata o:title=""/>
                <o:lock v:ext="edit" aspectratio="f"/>
                <v:textbox>
                  <w:txbxContent>
                    <w:p w14:paraId="1125D223">
                      <w:pPr>
                        <w:jc w:val="center"/>
                        <w:rPr>
                          <w:szCs w:val="21"/>
                        </w:rPr>
                      </w:pPr>
                    </w:p>
                    <w:p w14:paraId="2072E511">
                      <w:pPr>
                        <w:jc w:val="center"/>
                        <w:rPr>
                          <w:szCs w:val="21"/>
                        </w:rPr>
                      </w:pPr>
                    </w:p>
                    <w:p w14:paraId="03A2BFB3">
                      <w:pPr>
                        <w:jc w:val="center"/>
                        <w:rPr>
                          <w:szCs w:val="21"/>
                        </w:rPr>
                      </w:pPr>
                      <w:r>
                        <w:rPr>
                          <w:rFonts w:hint="eastAsia"/>
                          <w:szCs w:val="21"/>
                        </w:rPr>
                        <w:t>委托代理人身份证彩色扫描件正、反面</w:t>
                      </w:r>
                    </w:p>
                  </w:txbxContent>
                </v:textbox>
              </v:shape>
            </w:pict>
          </mc:Fallback>
        </mc:AlternateContent>
      </w:r>
    </w:p>
    <w:p w14:paraId="431207B0">
      <w:pPr>
        <w:pStyle w:val="10"/>
        <w:wordWrap w:val="0"/>
        <w:adjustRightInd w:val="0"/>
        <w:snapToGrid w:val="0"/>
        <w:rPr>
          <w:rFonts w:hAnsi="宋体" w:cs="宋体"/>
          <w:snapToGrid w:val="0"/>
          <w:color w:val="auto"/>
          <w:kern w:val="0"/>
          <w:szCs w:val="24"/>
          <w:highlight w:val="none"/>
        </w:rPr>
      </w:pPr>
    </w:p>
    <w:p w14:paraId="78FB1940">
      <w:pPr>
        <w:bidi w:val="0"/>
        <w:rPr>
          <w:color w:val="auto"/>
          <w:highlight w:val="none"/>
        </w:rPr>
      </w:pPr>
    </w:p>
    <w:p w14:paraId="27B8C3BD">
      <w:pPr>
        <w:wordWrap w:val="0"/>
        <w:adjustRightInd w:val="0"/>
        <w:snapToGrid w:val="0"/>
        <w:rPr>
          <w:rFonts w:hAnsi="宋体" w:cs="宋体"/>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p>
    <w:p w14:paraId="6A8067D3">
      <w:pPr>
        <w:wordWrap w:val="0"/>
        <w:adjustRightInd w:val="0"/>
        <w:snapToGrid w:val="0"/>
        <w:spacing w:line="440" w:lineRule="exact"/>
        <w:outlineLvl w:val="1"/>
        <w:rPr>
          <w:rFonts w:hAnsi="宋体" w:cs="宋体"/>
          <w:b/>
          <w:snapToGrid w:val="0"/>
          <w:color w:val="auto"/>
          <w:kern w:val="0"/>
          <w:highlight w:val="none"/>
        </w:rPr>
      </w:pPr>
      <w:bookmarkStart w:id="318" w:name="_Toc15411"/>
      <w:r>
        <w:rPr>
          <w:rFonts w:hint="eastAsia" w:hAnsi="宋体" w:cs="宋体"/>
          <w:b/>
          <w:snapToGrid w:val="0"/>
          <w:color w:val="auto"/>
          <w:kern w:val="0"/>
          <w:highlight w:val="none"/>
        </w:rPr>
        <w:t>格式五 法定代表人身份证明</w:t>
      </w:r>
      <w:bookmarkEnd w:id="318"/>
    </w:p>
    <w:p w14:paraId="2C87667C">
      <w:pPr>
        <w:wordWrap w:val="0"/>
        <w:adjustRightInd w:val="0"/>
        <w:snapToGrid w:val="0"/>
        <w:spacing w:line="440" w:lineRule="exact"/>
        <w:rPr>
          <w:rFonts w:hAnsi="宋体" w:cs="宋体"/>
          <w:b/>
          <w:snapToGrid w:val="0"/>
          <w:color w:val="auto"/>
          <w:kern w:val="0"/>
          <w:highlight w:val="none"/>
        </w:rPr>
      </w:pPr>
    </w:p>
    <w:p w14:paraId="245F5D9E">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法定代表人身份证明</w:t>
      </w:r>
    </w:p>
    <w:p w14:paraId="5BD89A8C">
      <w:pPr>
        <w:wordWrap w:val="0"/>
        <w:adjustRightInd w:val="0"/>
        <w:snapToGrid w:val="0"/>
        <w:spacing w:line="440" w:lineRule="exact"/>
        <w:rPr>
          <w:rFonts w:hAnsi="宋体" w:cs="宋体"/>
          <w:snapToGrid w:val="0"/>
          <w:color w:val="auto"/>
          <w:kern w:val="0"/>
          <w:szCs w:val="21"/>
          <w:highlight w:val="none"/>
        </w:rPr>
      </w:pPr>
    </w:p>
    <w:p w14:paraId="04F52525">
      <w:pPr>
        <w:wordWrap w:val="0"/>
        <w:adjustRightInd w:val="0"/>
        <w:snapToGrid w:val="0"/>
        <w:spacing w:line="440" w:lineRule="exact"/>
        <w:rPr>
          <w:rFonts w:hAnsi="宋体" w:cs="宋体"/>
          <w:snapToGrid w:val="0"/>
          <w:color w:val="auto"/>
          <w:kern w:val="0"/>
          <w:szCs w:val="21"/>
          <w:highlight w:val="none"/>
          <w:u w:val="single"/>
        </w:rPr>
      </w:pPr>
      <w:r>
        <w:rPr>
          <w:rFonts w:hint="eastAsia" w:hAnsi="宋体" w:cs="宋体"/>
          <w:snapToGrid w:val="0"/>
          <w:color w:val="auto"/>
          <w:kern w:val="0"/>
          <w:szCs w:val="21"/>
          <w:highlight w:val="none"/>
        </w:rPr>
        <w:t>投标人名称：</w:t>
      </w:r>
      <w:r>
        <w:rPr>
          <w:rFonts w:hint="eastAsia" w:hAnsi="宋体" w:cs="宋体"/>
          <w:snapToGrid w:val="0"/>
          <w:color w:val="auto"/>
          <w:kern w:val="0"/>
          <w:szCs w:val="21"/>
          <w:highlight w:val="none"/>
          <w:u w:val="single"/>
        </w:rPr>
        <w:t xml:space="preserve">                  </w:t>
      </w:r>
    </w:p>
    <w:p w14:paraId="09ED36F2">
      <w:pPr>
        <w:wordWrap w:val="0"/>
        <w:adjustRightInd w:val="0"/>
        <w:snapToGrid w:val="0"/>
        <w:spacing w:line="440" w:lineRule="exact"/>
        <w:rPr>
          <w:rFonts w:hAnsi="宋体" w:cs="宋体"/>
          <w:snapToGrid w:val="0"/>
          <w:color w:val="auto"/>
          <w:kern w:val="0"/>
          <w:szCs w:val="21"/>
          <w:highlight w:val="none"/>
          <w:u w:val="single"/>
        </w:rPr>
      </w:pPr>
      <w:r>
        <w:rPr>
          <w:rFonts w:hint="eastAsia" w:hAnsi="宋体" w:cs="宋体"/>
          <w:snapToGrid w:val="0"/>
          <w:color w:val="auto"/>
          <w:kern w:val="0"/>
          <w:szCs w:val="21"/>
          <w:highlight w:val="none"/>
        </w:rPr>
        <w:t>姓名：</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性别：</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年龄：</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职务：</w:t>
      </w:r>
      <w:r>
        <w:rPr>
          <w:rFonts w:hint="eastAsia" w:hAnsi="宋体" w:cs="宋体"/>
          <w:snapToGrid w:val="0"/>
          <w:color w:val="auto"/>
          <w:kern w:val="0"/>
          <w:szCs w:val="21"/>
          <w:highlight w:val="none"/>
          <w:u w:val="single"/>
        </w:rPr>
        <w:t xml:space="preserve">           </w:t>
      </w:r>
    </w:p>
    <w:p w14:paraId="08933ED0">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系</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（投标人名称）的法定代表人。</w:t>
      </w:r>
    </w:p>
    <w:p w14:paraId="2ED9C50E">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特此证明。</w:t>
      </w:r>
    </w:p>
    <w:p w14:paraId="551A9759">
      <w:pPr>
        <w:wordWrap w:val="0"/>
        <w:adjustRightInd w:val="0"/>
        <w:snapToGrid w:val="0"/>
        <w:spacing w:line="440" w:lineRule="exact"/>
        <w:rPr>
          <w:rFonts w:hAnsi="宋体" w:cs="宋体"/>
          <w:snapToGrid w:val="0"/>
          <w:color w:val="auto"/>
          <w:kern w:val="0"/>
          <w:szCs w:val="21"/>
          <w:highlight w:val="none"/>
        </w:rPr>
      </w:pPr>
    </w:p>
    <w:p w14:paraId="586180BD">
      <w:pPr>
        <w:wordWrap w:val="0"/>
        <w:adjustRightInd w:val="0"/>
        <w:snapToGrid w:val="0"/>
        <w:spacing w:line="440" w:lineRule="exact"/>
        <w:rPr>
          <w:rFonts w:hAnsi="宋体" w:cs="宋体"/>
          <w:snapToGrid w:val="0"/>
          <w:color w:val="auto"/>
          <w:kern w:val="0"/>
          <w:szCs w:val="21"/>
          <w:highlight w:val="none"/>
        </w:rPr>
      </w:pPr>
    </w:p>
    <w:p w14:paraId="26945659">
      <w:pPr>
        <w:wordWrap w:val="0"/>
        <w:adjustRightInd w:val="0"/>
        <w:snapToGrid w:val="0"/>
        <w:spacing w:line="440" w:lineRule="exact"/>
        <w:jc w:val="right"/>
        <w:rPr>
          <w:rFonts w:hAnsi="宋体" w:cs="宋体"/>
          <w:snapToGrid w:val="0"/>
          <w:color w:val="auto"/>
          <w:kern w:val="0"/>
          <w:szCs w:val="21"/>
          <w:highlight w:val="none"/>
        </w:rPr>
      </w:pPr>
      <w:r>
        <w:rPr>
          <w:rFonts w:hint="eastAsia" w:hAnsi="宋体" w:cs="宋体"/>
          <w:snapToGrid w:val="0"/>
          <w:color w:val="auto"/>
          <w:kern w:val="0"/>
          <w:szCs w:val="21"/>
          <w:highlight w:val="none"/>
        </w:rPr>
        <w:t>投标人：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（盖单位章）</w:t>
      </w:r>
    </w:p>
    <w:p w14:paraId="15E40F58">
      <w:pPr>
        <w:wordWrap w:val="0"/>
        <w:adjustRightInd w:val="0"/>
        <w:snapToGrid w:val="0"/>
        <w:spacing w:line="440" w:lineRule="exact"/>
        <w:jc w:val="right"/>
        <w:rPr>
          <w:rFonts w:hAnsi="宋体" w:cs="宋体"/>
          <w:snapToGrid w:val="0"/>
          <w:color w:val="auto"/>
          <w:kern w:val="0"/>
          <w:szCs w:val="21"/>
          <w:highlight w:val="none"/>
        </w:rPr>
      </w:pPr>
    </w:p>
    <w:p w14:paraId="61782D2D">
      <w:pPr>
        <w:wordWrap w:val="0"/>
        <w:adjustRightInd w:val="0"/>
        <w:snapToGrid w:val="0"/>
        <w:spacing w:line="440" w:lineRule="exact"/>
        <w:jc w:val="right"/>
        <w:rPr>
          <w:rFonts w:hAnsi="宋体" w:cs="宋体"/>
          <w:snapToGrid w:val="0"/>
          <w:color w:val="auto"/>
          <w:kern w:val="0"/>
          <w:szCs w:val="21"/>
          <w:highlight w:val="none"/>
        </w:rPr>
      </w:pPr>
    </w:p>
    <w:p w14:paraId="168CBCE0">
      <w:pPr>
        <w:wordWrap w:val="0"/>
        <w:adjustRightInd w:val="0"/>
        <w:snapToGrid w:val="0"/>
        <w:spacing w:line="440" w:lineRule="exact"/>
        <w:jc w:val="righ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法定代表人：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7FC49713">
      <w:pPr>
        <w:wordWrap w:val="0"/>
        <w:adjustRightInd w:val="0"/>
        <w:snapToGrid w:val="0"/>
        <w:spacing w:line="440" w:lineRule="exact"/>
        <w:jc w:val="center"/>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p>
    <w:p w14:paraId="0FDBD50D">
      <w:pPr>
        <w:wordWrap w:val="0"/>
        <w:adjustRightInd w:val="0"/>
        <w:snapToGrid w:val="0"/>
        <w:spacing w:line="440" w:lineRule="exact"/>
        <w:jc w:val="center"/>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月</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 xml:space="preserve">日       </w:t>
      </w:r>
    </w:p>
    <w:p w14:paraId="65206BC4">
      <w:pPr>
        <w:wordWrap w:val="0"/>
        <w:adjustRightInd w:val="0"/>
        <w:snapToGrid w:val="0"/>
        <w:spacing w:line="440" w:lineRule="exact"/>
        <w:ind w:firstLine="240" w:firstLineChars="100"/>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p>
    <w:p w14:paraId="76CCA2DE">
      <w:pPr>
        <w:wordWrap w:val="0"/>
        <w:adjustRightInd w:val="0"/>
        <w:snapToGrid w:val="0"/>
        <w:spacing w:line="440" w:lineRule="exact"/>
        <w:ind w:firstLine="240" w:firstLineChars="100"/>
        <w:rPr>
          <w:rFonts w:hAnsi="宋体" w:cs="宋体"/>
          <w:snapToGrid w:val="0"/>
          <w:color w:val="auto"/>
          <w:kern w:val="0"/>
          <w:szCs w:val="21"/>
          <w:highlight w:val="none"/>
        </w:rPr>
      </w:pPr>
    </w:p>
    <w:p w14:paraId="1E91BBF2">
      <w:pPr>
        <w:wordWrap w:val="0"/>
        <w:adjustRightInd w:val="0"/>
        <w:snapToGrid w:val="0"/>
        <w:spacing w:line="440" w:lineRule="exact"/>
        <w:ind w:firstLine="240" w:firstLineChars="100"/>
        <w:rPr>
          <w:rFonts w:hAnsi="宋体" w:cs="宋体"/>
          <w:snapToGrid w:val="0"/>
          <w:color w:val="auto"/>
          <w:kern w:val="0"/>
          <w:szCs w:val="21"/>
          <w:highlight w:val="none"/>
        </w:rPr>
      </w:pPr>
    </w:p>
    <w:p w14:paraId="69EDFA5B">
      <w:pPr>
        <w:wordWrap w:val="0"/>
        <w:adjustRightInd w:val="0"/>
        <w:snapToGrid w:val="0"/>
        <w:spacing w:line="440" w:lineRule="exact"/>
        <w:ind w:firstLine="720" w:firstLineChars="300"/>
        <w:rPr>
          <w:rFonts w:hAnsi="宋体" w:cs="宋体"/>
          <w:b/>
          <w:snapToGrid w:val="0"/>
          <w:color w:val="auto"/>
          <w:kern w:val="0"/>
          <w:szCs w:val="21"/>
          <w:highlight w:val="none"/>
        </w:rPr>
      </w:pPr>
      <w:r>
        <w:rPr>
          <w:rFonts w:hint="eastAsia" w:hAnsi="宋体" w:cs="宋体"/>
          <w:snapToGrid w:val="0"/>
          <w:color w:val="auto"/>
          <w:kern w:val="0"/>
          <w:szCs w:val="21"/>
          <w:highlight w:val="none"/>
        </w:rPr>
        <w:t xml:space="preserve">  </w:t>
      </w:r>
      <w:r>
        <w:rPr>
          <w:rFonts w:hint="eastAsia" w:hAnsi="宋体" w:cs="宋体"/>
          <w:i/>
          <w:iCs/>
          <w:snapToGrid w:val="0"/>
          <w:color w:val="auto"/>
          <w:kern w:val="0"/>
          <w:szCs w:val="21"/>
          <w:highlight w:val="none"/>
        </w:rPr>
        <w:t xml:space="preserve"> </w:t>
      </w:r>
    </w:p>
    <w:p w14:paraId="584A0B85">
      <w:pPr>
        <w:wordWrap w:val="0"/>
        <w:adjustRightInd w:val="0"/>
        <w:snapToGrid w:val="0"/>
        <w:rPr>
          <w:rFonts w:hAnsi="宋体" w:cs="宋体"/>
          <w:b/>
          <w:snapToGrid w:val="0"/>
          <w:color w:val="auto"/>
          <w:kern w:val="0"/>
          <w:szCs w:val="21"/>
          <w:highlight w:val="none"/>
        </w:rPr>
      </w:pPr>
      <w:r>
        <w:rPr>
          <w:rFonts w:hint="eastAsia" w:hAnsi="宋体" w:cs="宋体"/>
          <w:b/>
          <w:snapToGrid w:val="0"/>
          <w:color w:val="auto"/>
          <w:kern w:val="0"/>
          <w:szCs w:val="21"/>
          <w:highlight w:val="none"/>
        </w:rPr>
        <mc:AlternateContent>
          <mc:Choice Requires="wps">
            <w:drawing>
              <wp:anchor distT="0" distB="0" distL="114300" distR="114300" simplePos="0" relativeHeight="25165926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3F81204">
                            <w:pPr>
                              <w:jc w:val="center"/>
                              <w:rPr>
                                <w:szCs w:val="21"/>
                              </w:rPr>
                            </w:pPr>
                          </w:p>
                          <w:p w14:paraId="43152740">
                            <w:pPr>
                              <w:jc w:val="center"/>
                              <w:rPr>
                                <w:szCs w:val="21"/>
                              </w:rPr>
                            </w:pPr>
                          </w:p>
                          <w:p w14:paraId="38619606">
                            <w:pPr>
                              <w:jc w:val="center"/>
                              <w:rPr>
                                <w:szCs w:val="21"/>
                              </w:rPr>
                            </w:pPr>
                            <w:r>
                              <w:rPr>
                                <w:rFonts w:hint="eastAsia"/>
                                <w:szCs w:val="21"/>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5926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CgE5luJAIAAFQ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Ds&#10;wm7XAAAACQEAAA8AAAAAAAAAAQAgAAAAIgAAAGRycy9kb3ducmV2LnhtbFBLAQIUABQAAAAIAIdO&#10;4kCgE5luJAIAAFQEAAAOAAAAAAAAAAEAIAAAACYBAABkcnMvZTJvRG9jLnhtbFBLBQYAAAAABgAG&#10;AFkBAAC8BQAAAAA=&#10;">
                <v:fill on="t" focussize="0,0"/>
                <v:stroke color="#000000" joinstyle="miter"/>
                <v:imagedata o:title=""/>
                <o:lock v:ext="edit" aspectratio="f"/>
                <v:textbox>
                  <w:txbxContent>
                    <w:p w14:paraId="33F81204">
                      <w:pPr>
                        <w:jc w:val="center"/>
                        <w:rPr>
                          <w:szCs w:val="21"/>
                        </w:rPr>
                      </w:pPr>
                    </w:p>
                    <w:p w14:paraId="43152740">
                      <w:pPr>
                        <w:jc w:val="center"/>
                        <w:rPr>
                          <w:szCs w:val="21"/>
                        </w:rPr>
                      </w:pPr>
                    </w:p>
                    <w:p w14:paraId="38619606">
                      <w:pPr>
                        <w:jc w:val="center"/>
                        <w:rPr>
                          <w:szCs w:val="21"/>
                        </w:rPr>
                      </w:pPr>
                      <w:r>
                        <w:rPr>
                          <w:rFonts w:hint="eastAsia"/>
                          <w:szCs w:val="21"/>
                        </w:rPr>
                        <w:t>法定代表人身份证彩色扫描件正、反面</w:t>
                      </w:r>
                    </w:p>
                  </w:txbxContent>
                </v:textbox>
              </v:shape>
            </w:pict>
          </mc:Fallback>
        </mc:AlternateContent>
      </w:r>
    </w:p>
    <w:p w14:paraId="12F5B155">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Ansi="宋体" w:cs="宋体"/>
          <w:snapToGrid w:val="0"/>
          <w:color w:val="auto"/>
          <w:kern w:val="0"/>
          <w:sz w:val="28"/>
          <w:szCs w:val="28"/>
          <w:highlight w:val="none"/>
        </w:rPr>
      </w:pPr>
    </w:p>
    <w:p w14:paraId="149B16EF">
      <w:pPr>
        <w:wordWrap w:val="0"/>
        <w:adjustRightInd w:val="0"/>
        <w:snapToGrid w:val="0"/>
        <w:spacing w:line="480" w:lineRule="exact"/>
        <w:jc w:val="center"/>
        <w:rPr>
          <w:rFonts w:hAnsi="宋体" w:cs="宋体"/>
          <w:b/>
          <w:snapToGrid w:val="0"/>
          <w:color w:val="auto"/>
          <w:kern w:val="0"/>
          <w:sz w:val="28"/>
          <w:szCs w:val="28"/>
          <w:highlight w:val="none"/>
        </w:rPr>
      </w:pPr>
    </w:p>
    <w:p w14:paraId="05AFF319">
      <w:pPr>
        <w:wordWrap w:val="0"/>
        <w:adjustRightInd w:val="0"/>
        <w:snapToGrid w:val="0"/>
        <w:spacing w:line="480" w:lineRule="exact"/>
        <w:jc w:val="center"/>
        <w:rPr>
          <w:rFonts w:hAnsi="宋体" w:cs="宋体"/>
          <w:b/>
          <w:snapToGrid w:val="0"/>
          <w:color w:val="auto"/>
          <w:kern w:val="0"/>
          <w:sz w:val="28"/>
          <w:szCs w:val="28"/>
          <w:highlight w:val="none"/>
        </w:rPr>
      </w:pPr>
    </w:p>
    <w:p w14:paraId="0316E669">
      <w:pPr>
        <w:wordWrap w:val="0"/>
        <w:adjustRightInd w:val="0"/>
        <w:snapToGrid w:val="0"/>
        <w:spacing w:line="480" w:lineRule="exact"/>
        <w:jc w:val="center"/>
        <w:rPr>
          <w:rFonts w:hAnsi="宋体" w:cs="宋体"/>
          <w:b/>
          <w:snapToGrid w:val="0"/>
          <w:color w:val="auto"/>
          <w:kern w:val="0"/>
          <w:sz w:val="28"/>
          <w:szCs w:val="28"/>
          <w:highlight w:val="none"/>
        </w:rPr>
        <w:sectPr>
          <w:endnotePr>
            <w:numFmt w:val="decimal"/>
          </w:endnotePr>
          <w:pgSz w:w="11906" w:h="16838"/>
          <w:pgMar w:top="1417" w:right="1417" w:bottom="1417" w:left="1417" w:header="850" w:footer="992" w:gutter="0"/>
          <w:cols w:space="0" w:num="1"/>
          <w:docGrid w:linePitch="327" w:charSpace="0"/>
        </w:sectPr>
      </w:pPr>
    </w:p>
    <w:p w14:paraId="624DC245">
      <w:pPr>
        <w:wordWrap w:val="0"/>
        <w:adjustRightInd w:val="0"/>
        <w:snapToGrid w:val="0"/>
        <w:spacing w:line="440" w:lineRule="exact"/>
        <w:outlineLvl w:val="1"/>
        <w:rPr>
          <w:rFonts w:hAnsi="宋体" w:cs="宋体"/>
          <w:b/>
          <w:bCs/>
          <w:snapToGrid w:val="0"/>
          <w:color w:val="auto"/>
          <w:kern w:val="0"/>
          <w:szCs w:val="24"/>
          <w:highlight w:val="none"/>
        </w:rPr>
      </w:pPr>
      <w:bookmarkStart w:id="319" w:name="_Toc19398"/>
      <w:r>
        <w:rPr>
          <w:rFonts w:hint="eastAsia" w:hAnsi="宋体" w:cs="宋体"/>
          <w:b/>
          <w:bCs/>
          <w:snapToGrid w:val="0"/>
          <w:color w:val="auto"/>
          <w:kern w:val="0"/>
          <w:szCs w:val="24"/>
          <w:highlight w:val="none"/>
        </w:rPr>
        <w:t>格式六 投标人基本情况表</w:t>
      </w:r>
      <w:bookmarkEnd w:id="319"/>
    </w:p>
    <w:p w14:paraId="7DC570B1">
      <w:pPr>
        <w:pStyle w:val="73"/>
        <w:widowControl w:val="0"/>
        <w:wordWrap w:val="0"/>
        <w:adjustRightInd w:val="0"/>
        <w:snapToGrid w:val="0"/>
        <w:spacing w:before="260" w:after="260" w:line="400" w:lineRule="exact"/>
        <w:ind w:firstLine="0"/>
        <w:jc w:val="center"/>
        <w:rPr>
          <w:rFonts w:hAnsi="宋体" w:cs="宋体"/>
          <w:snapToGrid w:val="0"/>
          <w:color w:val="auto"/>
          <w:sz w:val="24"/>
          <w:highlight w:val="none"/>
        </w:rPr>
      </w:pPr>
      <w:r>
        <w:rPr>
          <w:rFonts w:hint="eastAsia" w:hAnsi="宋体" w:cs="宋体"/>
          <w:b/>
          <w:snapToGrid w:val="0"/>
          <w:color w:val="auto"/>
          <w:sz w:val="30"/>
          <w:highlight w:val="none"/>
        </w:rPr>
        <w:t>投标人基本情况表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70A3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12A444B">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投标人名称</w:t>
            </w:r>
          </w:p>
        </w:tc>
        <w:tc>
          <w:tcPr>
            <w:tcW w:w="7020" w:type="dxa"/>
            <w:gridSpan w:val="8"/>
            <w:vAlign w:val="center"/>
          </w:tcPr>
          <w:p w14:paraId="035F7EE9">
            <w:pPr>
              <w:pStyle w:val="137"/>
              <w:wordWrap w:val="0"/>
              <w:adjustRightInd w:val="0"/>
              <w:snapToGrid w:val="0"/>
              <w:jc w:val="center"/>
              <w:rPr>
                <w:rFonts w:ascii="宋体" w:hAnsi="宋体" w:cs="宋体"/>
                <w:snapToGrid w:val="0"/>
                <w:color w:val="auto"/>
                <w:kern w:val="0"/>
                <w:szCs w:val="21"/>
                <w:highlight w:val="none"/>
              </w:rPr>
            </w:pPr>
          </w:p>
        </w:tc>
      </w:tr>
      <w:tr w14:paraId="222F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F16227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注册地址</w:t>
            </w:r>
          </w:p>
        </w:tc>
        <w:tc>
          <w:tcPr>
            <w:tcW w:w="3389" w:type="dxa"/>
            <w:gridSpan w:val="3"/>
            <w:vAlign w:val="center"/>
          </w:tcPr>
          <w:p w14:paraId="54A13FC7">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5F2AB66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邮政编码</w:t>
            </w:r>
          </w:p>
        </w:tc>
        <w:tc>
          <w:tcPr>
            <w:tcW w:w="2385" w:type="dxa"/>
            <w:gridSpan w:val="3"/>
            <w:vAlign w:val="center"/>
          </w:tcPr>
          <w:p w14:paraId="6962C0F4">
            <w:pPr>
              <w:pStyle w:val="137"/>
              <w:wordWrap w:val="0"/>
              <w:adjustRightInd w:val="0"/>
              <w:snapToGrid w:val="0"/>
              <w:jc w:val="center"/>
              <w:rPr>
                <w:rFonts w:ascii="宋体" w:hAnsi="宋体" w:cs="宋体"/>
                <w:snapToGrid w:val="0"/>
                <w:color w:val="auto"/>
                <w:kern w:val="0"/>
                <w:szCs w:val="21"/>
                <w:highlight w:val="none"/>
              </w:rPr>
            </w:pPr>
          </w:p>
        </w:tc>
      </w:tr>
      <w:tr w14:paraId="6B01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210196AE">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联系方式</w:t>
            </w:r>
          </w:p>
        </w:tc>
        <w:tc>
          <w:tcPr>
            <w:tcW w:w="897" w:type="dxa"/>
            <w:vAlign w:val="center"/>
          </w:tcPr>
          <w:p w14:paraId="642A44B1">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联系人</w:t>
            </w:r>
          </w:p>
        </w:tc>
        <w:tc>
          <w:tcPr>
            <w:tcW w:w="2492" w:type="dxa"/>
            <w:gridSpan w:val="2"/>
            <w:vAlign w:val="center"/>
          </w:tcPr>
          <w:p w14:paraId="62C6C1A7">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33C251E0">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  话</w:t>
            </w:r>
          </w:p>
        </w:tc>
        <w:tc>
          <w:tcPr>
            <w:tcW w:w="2385" w:type="dxa"/>
            <w:gridSpan w:val="3"/>
            <w:vAlign w:val="center"/>
          </w:tcPr>
          <w:p w14:paraId="4C12F4DD">
            <w:pPr>
              <w:pStyle w:val="137"/>
              <w:wordWrap w:val="0"/>
              <w:adjustRightInd w:val="0"/>
              <w:snapToGrid w:val="0"/>
              <w:jc w:val="center"/>
              <w:rPr>
                <w:rFonts w:ascii="宋体" w:hAnsi="宋体" w:cs="宋体"/>
                <w:snapToGrid w:val="0"/>
                <w:color w:val="auto"/>
                <w:kern w:val="0"/>
                <w:szCs w:val="21"/>
                <w:highlight w:val="none"/>
              </w:rPr>
            </w:pPr>
          </w:p>
        </w:tc>
      </w:tr>
      <w:tr w14:paraId="0A11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6E075EE4">
            <w:pPr>
              <w:pStyle w:val="137"/>
              <w:wordWrap w:val="0"/>
              <w:adjustRightInd w:val="0"/>
              <w:snapToGrid w:val="0"/>
              <w:jc w:val="center"/>
              <w:rPr>
                <w:rFonts w:ascii="宋体" w:hAnsi="宋体" w:cs="宋体"/>
                <w:snapToGrid w:val="0"/>
                <w:color w:val="auto"/>
                <w:kern w:val="0"/>
                <w:szCs w:val="21"/>
                <w:highlight w:val="none"/>
              </w:rPr>
            </w:pPr>
          </w:p>
        </w:tc>
        <w:tc>
          <w:tcPr>
            <w:tcW w:w="897" w:type="dxa"/>
            <w:vAlign w:val="center"/>
          </w:tcPr>
          <w:p w14:paraId="53830C82">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传  真</w:t>
            </w:r>
          </w:p>
        </w:tc>
        <w:tc>
          <w:tcPr>
            <w:tcW w:w="2492" w:type="dxa"/>
            <w:gridSpan w:val="2"/>
            <w:vAlign w:val="center"/>
          </w:tcPr>
          <w:p w14:paraId="0FC3B9DD">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677AF8FD">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电子邮箱</w:t>
            </w:r>
          </w:p>
        </w:tc>
        <w:tc>
          <w:tcPr>
            <w:tcW w:w="2385" w:type="dxa"/>
            <w:gridSpan w:val="3"/>
            <w:vAlign w:val="center"/>
          </w:tcPr>
          <w:p w14:paraId="328961C0">
            <w:pPr>
              <w:pStyle w:val="137"/>
              <w:wordWrap w:val="0"/>
              <w:adjustRightInd w:val="0"/>
              <w:snapToGrid w:val="0"/>
              <w:jc w:val="center"/>
              <w:rPr>
                <w:rFonts w:ascii="宋体" w:hAnsi="宋体" w:cs="宋体"/>
                <w:snapToGrid w:val="0"/>
                <w:color w:val="auto"/>
                <w:kern w:val="0"/>
                <w:szCs w:val="21"/>
                <w:highlight w:val="none"/>
              </w:rPr>
            </w:pPr>
          </w:p>
        </w:tc>
      </w:tr>
      <w:tr w14:paraId="56A5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6F04C68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法定代表人</w:t>
            </w:r>
          </w:p>
        </w:tc>
        <w:tc>
          <w:tcPr>
            <w:tcW w:w="897" w:type="dxa"/>
            <w:vAlign w:val="center"/>
          </w:tcPr>
          <w:p w14:paraId="4FBF80B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姓名</w:t>
            </w:r>
          </w:p>
        </w:tc>
        <w:tc>
          <w:tcPr>
            <w:tcW w:w="1689" w:type="dxa"/>
            <w:vAlign w:val="center"/>
          </w:tcPr>
          <w:p w14:paraId="543BBCF7">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Align w:val="center"/>
          </w:tcPr>
          <w:p w14:paraId="04BF6A3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技术职称</w:t>
            </w:r>
          </w:p>
        </w:tc>
        <w:tc>
          <w:tcPr>
            <w:tcW w:w="1220" w:type="dxa"/>
            <w:gridSpan w:val="2"/>
            <w:vAlign w:val="center"/>
          </w:tcPr>
          <w:p w14:paraId="6E47CE61">
            <w:pPr>
              <w:pStyle w:val="137"/>
              <w:wordWrap w:val="0"/>
              <w:adjustRightInd w:val="0"/>
              <w:snapToGrid w:val="0"/>
              <w:jc w:val="center"/>
              <w:rPr>
                <w:rFonts w:ascii="宋体" w:hAnsi="宋体" w:cs="宋体"/>
                <w:snapToGrid w:val="0"/>
                <w:color w:val="auto"/>
                <w:kern w:val="0"/>
                <w:szCs w:val="21"/>
                <w:highlight w:val="none"/>
              </w:rPr>
            </w:pPr>
          </w:p>
        </w:tc>
        <w:tc>
          <w:tcPr>
            <w:tcW w:w="709" w:type="dxa"/>
            <w:vAlign w:val="center"/>
          </w:tcPr>
          <w:p w14:paraId="362E3670">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1416" w:type="dxa"/>
            <w:vAlign w:val="center"/>
          </w:tcPr>
          <w:p w14:paraId="7B2B2D3E">
            <w:pPr>
              <w:pStyle w:val="137"/>
              <w:wordWrap w:val="0"/>
              <w:adjustRightInd w:val="0"/>
              <w:snapToGrid w:val="0"/>
              <w:jc w:val="center"/>
              <w:rPr>
                <w:rFonts w:ascii="宋体" w:hAnsi="宋体" w:cs="宋体"/>
                <w:snapToGrid w:val="0"/>
                <w:color w:val="auto"/>
                <w:kern w:val="0"/>
                <w:szCs w:val="21"/>
                <w:highlight w:val="none"/>
              </w:rPr>
            </w:pPr>
          </w:p>
        </w:tc>
      </w:tr>
      <w:tr w14:paraId="4820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F70EE0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技术负责人</w:t>
            </w:r>
          </w:p>
        </w:tc>
        <w:tc>
          <w:tcPr>
            <w:tcW w:w="897" w:type="dxa"/>
            <w:vAlign w:val="center"/>
          </w:tcPr>
          <w:p w14:paraId="4BFD536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姓名</w:t>
            </w:r>
          </w:p>
        </w:tc>
        <w:tc>
          <w:tcPr>
            <w:tcW w:w="1689" w:type="dxa"/>
            <w:vAlign w:val="center"/>
          </w:tcPr>
          <w:p w14:paraId="7C40B094">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Align w:val="center"/>
          </w:tcPr>
          <w:p w14:paraId="20655B0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技术职称</w:t>
            </w:r>
          </w:p>
        </w:tc>
        <w:tc>
          <w:tcPr>
            <w:tcW w:w="1220" w:type="dxa"/>
            <w:gridSpan w:val="2"/>
            <w:vAlign w:val="center"/>
          </w:tcPr>
          <w:p w14:paraId="65862890">
            <w:pPr>
              <w:pStyle w:val="137"/>
              <w:wordWrap w:val="0"/>
              <w:adjustRightInd w:val="0"/>
              <w:snapToGrid w:val="0"/>
              <w:jc w:val="center"/>
              <w:rPr>
                <w:rFonts w:ascii="宋体" w:hAnsi="宋体" w:cs="宋体"/>
                <w:snapToGrid w:val="0"/>
                <w:color w:val="auto"/>
                <w:kern w:val="0"/>
                <w:szCs w:val="21"/>
                <w:highlight w:val="none"/>
              </w:rPr>
            </w:pPr>
          </w:p>
        </w:tc>
        <w:tc>
          <w:tcPr>
            <w:tcW w:w="709" w:type="dxa"/>
            <w:vAlign w:val="center"/>
          </w:tcPr>
          <w:p w14:paraId="4FDE660B">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1416" w:type="dxa"/>
            <w:vAlign w:val="center"/>
          </w:tcPr>
          <w:p w14:paraId="0785F837">
            <w:pPr>
              <w:pStyle w:val="137"/>
              <w:wordWrap w:val="0"/>
              <w:adjustRightInd w:val="0"/>
              <w:snapToGrid w:val="0"/>
              <w:jc w:val="center"/>
              <w:rPr>
                <w:rFonts w:ascii="宋体" w:hAnsi="宋体" w:cs="宋体"/>
                <w:snapToGrid w:val="0"/>
                <w:color w:val="auto"/>
                <w:kern w:val="0"/>
                <w:szCs w:val="21"/>
                <w:highlight w:val="none"/>
              </w:rPr>
            </w:pPr>
          </w:p>
        </w:tc>
      </w:tr>
      <w:tr w14:paraId="0BE2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9FFF1E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成立日期</w:t>
            </w:r>
          </w:p>
        </w:tc>
        <w:tc>
          <w:tcPr>
            <w:tcW w:w="2586" w:type="dxa"/>
            <w:gridSpan w:val="2"/>
            <w:vAlign w:val="center"/>
          </w:tcPr>
          <w:p w14:paraId="5D2BEF0D">
            <w:pPr>
              <w:pStyle w:val="137"/>
              <w:wordWrap w:val="0"/>
              <w:adjustRightInd w:val="0"/>
              <w:snapToGrid w:val="0"/>
              <w:jc w:val="center"/>
              <w:rPr>
                <w:rFonts w:ascii="宋体" w:hAnsi="宋体" w:cs="宋体"/>
                <w:snapToGrid w:val="0"/>
                <w:color w:val="auto"/>
                <w:kern w:val="0"/>
                <w:szCs w:val="21"/>
                <w:highlight w:val="none"/>
              </w:rPr>
            </w:pPr>
          </w:p>
        </w:tc>
        <w:tc>
          <w:tcPr>
            <w:tcW w:w="4434" w:type="dxa"/>
            <w:gridSpan w:val="6"/>
            <w:vAlign w:val="center"/>
          </w:tcPr>
          <w:p w14:paraId="0E1651D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员工总人数（个）：</w:t>
            </w:r>
          </w:p>
        </w:tc>
      </w:tr>
      <w:tr w14:paraId="75BE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2E5847B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企业资质</w:t>
            </w:r>
          </w:p>
          <w:p w14:paraId="246D4937">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类型和等级</w:t>
            </w:r>
          </w:p>
        </w:tc>
        <w:tc>
          <w:tcPr>
            <w:tcW w:w="2586" w:type="dxa"/>
            <w:gridSpan w:val="2"/>
            <w:vAlign w:val="center"/>
          </w:tcPr>
          <w:p w14:paraId="30C15D16">
            <w:pPr>
              <w:pStyle w:val="137"/>
              <w:wordWrap w:val="0"/>
              <w:adjustRightInd w:val="0"/>
              <w:snapToGrid w:val="0"/>
              <w:jc w:val="left"/>
              <w:rPr>
                <w:rFonts w:ascii="宋体" w:hAnsi="宋体" w:cs="宋体"/>
                <w:snapToGrid w:val="0"/>
                <w:color w:val="auto"/>
                <w:kern w:val="0"/>
                <w:szCs w:val="21"/>
                <w:highlight w:val="none"/>
              </w:rPr>
            </w:pPr>
          </w:p>
        </w:tc>
        <w:tc>
          <w:tcPr>
            <w:tcW w:w="1089" w:type="dxa"/>
            <w:gridSpan w:val="2"/>
            <w:vMerge w:val="restart"/>
            <w:vAlign w:val="center"/>
          </w:tcPr>
          <w:p w14:paraId="08A9BC47">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其中</w:t>
            </w:r>
          </w:p>
        </w:tc>
        <w:tc>
          <w:tcPr>
            <w:tcW w:w="1929" w:type="dxa"/>
            <w:gridSpan w:val="3"/>
            <w:vAlign w:val="center"/>
          </w:tcPr>
          <w:p w14:paraId="077BF33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各类注册人员</w:t>
            </w:r>
          </w:p>
        </w:tc>
        <w:tc>
          <w:tcPr>
            <w:tcW w:w="1416" w:type="dxa"/>
            <w:vAlign w:val="center"/>
          </w:tcPr>
          <w:p w14:paraId="5356B096">
            <w:pPr>
              <w:pStyle w:val="137"/>
              <w:wordWrap w:val="0"/>
              <w:adjustRightInd w:val="0"/>
              <w:snapToGrid w:val="0"/>
              <w:jc w:val="center"/>
              <w:rPr>
                <w:rFonts w:ascii="宋体" w:hAnsi="宋体" w:cs="宋体"/>
                <w:snapToGrid w:val="0"/>
                <w:color w:val="auto"/>
                <w:kern w:val="0"/>
                <w:szCs w:val="21"/>
                <w:highlight w:val="none"/>
              </w:rPr>
            </w:pPr>
          </w:p>
        </w:tc>
      </w:tr>
      <w:tr w14:paraId="4F32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A2A204D">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营业执照号</w:t>
            </w:r>
          </w:p>
        </w:tc>
        <w:tc>
          <w:tcPr>
            <w:tcW w:w="2586" w:type="dxa"/>
            <w:gridSpan w:val="2"/>
            <w:vAlign w:val="center"/>
          </w:tcPr>
          <w:p w14:paraId="4D9EDF92">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28E154A9">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2E181752">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高级职称人员</w:t>
            </w:r>
          </w:p>
        </w:tc>
        <w:tc>
          <w:tcPr>
            <w:tcW w:w="1416" w:type="dxa"/>
            <w:vAlign w:val="center"/>
          </w:tcPr>
          <w:p w14:paraId="4F56FD9C">
            <w:pPr>
              <w:pStyle w:val="137"/>
              <w:wordWrap w:val="0"/>
              <w:adjustRightInd w:val="0"/>
              <w:snapToGrid w:val="0"/>
              <w:jc w:val="center"/>
              <w:rPr>
                <w:rFonts w:ascii="宋体" w:hAnsi="宋体" w:cs="宋体"/>
                <w:snapToGrid w:val="0"/>
                <w:color w:val="auto"/>
                <w:kern w:val="0"/>
                <w:szCs w:val="21"/>
                <w:highlight w:val="none"/>
              </w:rPr>
            </w:pPr>
          </w:p>
        </w:tc>
      </w:tr>
      <w:tr w14:paraId="6288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23D927B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注册资金</w:t>
            </w:r>
          </w:p>
        </w:tc>
        <w:tc>
          <w:tcPr>
            <w:tcW w:w="2586" w:type="dxa"/>
            <w:gridSpan w:val="2"/>
            <w:vAlign w:val="center"/>
          </w:tcPr>
          <w:p w14:paraId="7737448F">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08B97691">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649BFB3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中级职称人员</w:t>
            </w:r>
          </w:p>
        </w:tc>
        <w:tc>
          <w:tcPr>
            <w:tcW w:w="1416" w:type="dxa"/>
            <w:vAlign w:val="center"/>
          </w:tcPr>
          <w:p w14:paraId="56B02B18">
            <w:pPr>
              <w:pStyle w:val="137"/>
              <w:wordWrap w:val="0"/>
              <w:adjustRightInd w:val="0"/>
              <w:snapToGrid w:val="0"/>
              <w:jc w:val="center"/>
              <w:rPr>
                <w:rFonts w:ascii="宋体" w:hAnsi="宋体" w:cs="宋体"/>
                <w:snapToGrid w:val="0"/>
                <w:color w:val="auto"/>
                <w:kern w:val="0"/>
                <w:szCs w:val="21"/>
                <w:highlight w:val="none"/>
              </w:rPr>
            </w:pPr>
          </w:p>
        </w:tc>
      </w:tr>
      <w:tr w14:paraId="6BC7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6DC4399D">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基本账户</w:t>
            </w:r>
          </w:p>
          <w:p w14:paraId="7579202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开户银行</w:t>
            </w:r>
          </w:p>
        </w:tc>
        <w:tc>
          <w:tcPr>
            <w:tcW w:w="2586" w:type="dxa"/>
            <w:gridSpan w:val="2"/>
            <w:vAlign w:val="center"/>
          </w:tcPr>
          <w:p w14:paraId="7615F1A2">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7D3C6B93">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4D2DD1BB">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初级职称人员</w:t>
            </w:r>
          </w:p>
        </w:tc>
        <w:tc>
          <w:tcPr>
            <w:tcW w:w="1416" w:type="dxa"/>
            <w:vAlign w:val="center"/>
          </w:tcPr>
          <w:p w14:paraId="0DBEA232">
            <w:pPr>
              <w:pStyle w:val="137"/>
              <w:wordWrap w:val="0"/>
              <w:adjustRightInd w:val="0"/>
              <w:snapToGrid w:val="0"/>
              <w:jc w:val="center"/>
              <w:rPr>
                <w:rFonts w:ascii="宋体" w:hAnsi="宋体" w:cs="宋体"/>
                <w:snapToGrid w:val="0"/>
                <w:color w:val="auto"/>
                <w:kern w:val="0"/>
                <w:szCs w:val="21"/>
                <w:highlight w:val="none"/>
              </w:rPr>
            </w:pPr>
          </w:p>
        </w:tc>
      </w:tr>
      <w:tr w14:paraId="65BE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82DE62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基本账户</w:t>
            </w:r>
          </w:p>
          <w:p w14:paraId="6D736B3F">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银行账号</w:t>
            </w:r>
          </w:p>
        </w:tc>
        <w:tc>
          <w:tcPr>
            <w:tcW w:w="2586" w:type="dxa"/>
            <w:gridSpan w:val="2"/>
            <w:vAlign w:val="center"/>
          </w:tcPr>
          <w:p w14:paraId="1625899F">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653C7A8D">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6BEE022E">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技术员</w:t>
            </w:r>
          </w:p>
        </w:tc>
        <w:tc>
          <w:tcPr>
            <w:tcW w:w="1416" w:type="dxa"/>
            <w:vAlign w:val="center"/>
          </w:tcPr>
          <w:p w14:paraId="4BDEE33A">
            <w:pPr>
              <w:pStyle w:val="137"/>
              <w:wordWrap w:val="0"/>
              <w:adjustRightInd w:val="0"/>
              <w:snapToGrid w:val="0"/>
              <w:jc w:val="center"/>
              <w:rPr>
                <w:rFonts w:ascii="宋体" w:hAnsi="宋体" w:cs="宋体"/>
                <w:snapToGrid w:val="0"/>
                <w:color w:val="auto"/>
                <w:kern w:val="0"/>
                <w:szCs w:val="21"/>
                <w:highlight w:val="none"/>
              </w:rPr>
            </w:pPr>
          </w:p>
        </w:tc>
      </w:tr>
      <w:tr w14:paraId="7291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7A87EB22">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经营范围</w:t>
            </w:r>
          </w:p>
        </w:tc>
        <w:tc>
          <w:tcPr>
            <w:tcW w:w="7020" w:type="dxa"/>
            <w:gridSpan w:val="8"/>
            <w:vAlign w:val="center"/>
          </w:tcPr>
          <w:p w14:paraId="190474BD">
            <w:pPr>
              <w:pStyle w:val="137"/>
              <w:wordWrap w:val="0"/>
              <w:adjustRightInd w:val="0"/>
              <w:snapToGrid w:val="0"/>
              <w:jc w:val="center"/>
              <w:rPr>
                <w:rFonts w:ascii="宋体" w:hAnsi="宋体" w:cs="宋体"/>
                <w:snapToGrid w:val="0"/>
                <w:color w:val="auto"/>
                <w:kern w:val="0"/>
                <w:szCs w:val="21"/>
                <w:highlight w:val="none"/>
              </w:rPr>
            </w:pPr>
          </w:p>
        </w:tc>
      </w:tr>
      <w:tr w14:paraId="5A31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3314500F">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关联企业情况</w:t>
            </w:r>
          </w:p>
        </w:tc>
        <w:tc>
          <w:tcPr>
            <w:tcW w:w="7020" w:type="dxa"/>
            <w:gridSpan w:val="8"/>
            <w:vAlign w:val="center"/>
          </w:tcPr>
          <w:p w14:paraId="4A8DE9B0">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包括但不限于与投标人存在以下关系的不同单位：</w:t>
            </w:r>
          </w:p>
          <w:p w14:paraId="12BCDAB8">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1．法定代表人为同一人的。</w:t>
            </w:r>
          </w:p>
          <w:p w14:paraId="78674BB6">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2．存在控股、管理关系的。</w:t>
            </w:r>
          </w:p>
          <w:p w14:paraId="28BAF7E6">
            <w:pPr>
              <w:pStyle w:val="137"/>
              <w:wordWrap w:val="0"/>
              <w:adjustRightInd w:val="0"/>
              <w:snapToGrid w:val="0"/>
              <w:jc w:val="lef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3．主要人员相互任职的。</w:t>
            </w:r>
          </w:p>
        </w:tc>
      </w:tr>
      <w:tr w14:paraId="5234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27330DB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备注</w:t>
            </w:r>
          </w:p>
        </w:tc>
        <w:tc>
          <w:tcPr>
            <w:tcW w:w="7020" w:type="dxa"/>
            <w:gridSpan w:val="8"/>
            <w:vAlign w:val="center"/>
          </w:tcPr>
          <w:p w14:paraId="4B3E4BB7">
            <w:pPr>
              <w:pStyle w:val="137"/>
              <w:wordWrap w:val="0"/>
              <w:adjustRightInd w:val="0"/>
              <w:snapToGrid w:val="0"/>
              <w:jc w:val="center"/>
              <w:rPr>
                <w:rFonts w:ascii="宋体" w:hAnsi="宋体" w:cs="宋体"/>
                <w:snapToGrid w:val="0"/>
                <w:color w:val="auto"/>
                <w:kern w:val="0"/>
                <w:szCs w:val="21"/>
                <w:highlight w:val="none"/>
              </w:rPr>
            </w:pPr>
          </w:p>
        </w:tc>
      </w:tr>
    </w:tbl>
    <w:p w14:paraId="2D507DB6">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说明：</w:t>
      </w:r>
    </w:p>
    <w:p w14:paraId="3E922357">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1．《投标人基本情况表》后应附以下资料：</w:t>
      </w:r>
    </w:p>
    <w:p w14:paraId="3CBE9E65">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（1）企业营业执照、资质证书</w:t>
      </w:r>
      <w:r>
        <w:rPr>
          <w:rFonts w:hint="eastAsia" w:ascii="宋体" w:hAnsi="宋体" w:cs="宋体"/>
          <w:snapToGrid w:val="0"/>
          <w:color w:val="auto"/>
          <w:kern w:val="0"/>
          <w:szCs w:val="21"/>
          <w:highlight w:val="none"/>
          <w:lang w:val="en-US" w:eastAsia="zh-CN"/>
        </w:rPr>
        <w:t>彩色</w:t>
      </w:r>
      <w:r>
        <w:rPr>
          <w:rFonts w:hint="eastAsia" w:ascii="宋体" w:hAnsi="宋体" w:cs="宋体"/>
          <w:snapToGrid w:val="0"/>
          <w:color w:val="auto"/>
          <w:kern w:val="0"/>
          <w:szCs w:val="21"/>
          <w:highlight w:val="none"/>
        </w:rPr>
        <w:t>扫描件（因推行电子证照，企业的营业执照、资质证书等可以提供电子证照）；</w:t>
      </w:r>
    </w:p>
    <w:p w14:paraId="0214F6F8">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r>
        <w:rPr>
          <w:rFonts w:hint="eastAsia" w:ascii="宋体" w:hAnsi="宋体" w:cs="宋体"/>
          <w:snapToGrid w:val="0"/>
          <w:color w:val="auto"/>
          <w:kern w:val="0"/>
          <w:highlight w:val="none"/>
        </w:rPr>
        <w:t>“进粤企业和人员诚信信息登记平台”企业信息情况打印页。（适用于省外企业）</w:t>
      </w:r>
      <w:r>
        <w:rPr>
          <w:rFonts w:hint="eastAsia" w:ascii="宋体" w:hAnsi="宋体" w:cs="宋体"/>
          <w:snapToGrid w:val="0"/>
          <w:color w:val="auto"/>
          <w:kern w:val="0"/>
          <w:szCs w:val="21"/>
          <w:highlight w:val="none"/>
        </w:rPr>
        <w:t>。</w:t>
      </w:r>
    </w:p>
    <w:p w14:paraId="3324FD8D">
      <w:pPr>
        <w:pStyle w:val="73"/>
        <w:widowControl w:val="0"/>
        <w:wordWrap w:val="0"/>
        <w:adjustRightInd w:val="0"/>
        <w:snapToGrid w:val="0"/>
        <w:spacing w:line="400" w:lineRule="exact"/>
        <w:rPr>
          <w:rFonts w:hAnsi="宋体" w:cs="宋体"/>
          <w:snapToGrid w:val="0"/>
          <w:color w:val="auto"/>
          <w:sz w:val="21"/>
          <w:szCs w:val="21"/>
          <w:highlight w:val="none"/>
        </w:rPr>
      </w:pPr>
      <w:r>
        <w:rPr>
          <w:rFonts w:hint="eastAsia" w:hAnsi="宋体" w:cs="宋体"/>
          <w:snapToGrid w:val="0"/>
          <w:color w:val="auto"/>
          <w:sz w:val="21"/>
          <w:szCs w:val="21"/>
          <w:highlight w:val="none"/>
        </w:rPr>
        <w:t>（3）《法人和非法人组织公共信用信息报告》打印件(在“信用中国”网站企业查询界面中下载) 。</w:t>
      </w:r>
    </w:p>
    <w:p w14:paraId="7B15B908">
      <w:pPr>
        <w:wordWrap w:val="0"/>
        <w:adjustRightInd w:val="0"/>
        <w:snapToGrid w:val="0"/>
        <w:spacing w:line="440" w:lineRule="exact"/>
        <w:jc w:val="left"/>
        <w:outlineLvl w:val="1"/>
        <w:rPr>
          <w:rFonts w:hAnsi="宋体" w:cs="宋体"/>
          <w:b/>
          <w:snapToGrid w:val="0"/>
          <w:color w:val="auto"/>
          <w:kern w:val="0"/>
          <w:highlight w:val="none"/>
        </w:rPr>
      </w:pPr>
      <w:bookmarkStart w:id="320" w:name="_Toc22906"/>
      <w:r>
        <w:rPr>
          <w:rFonts w:hint="eastAsia" w:hAnsi="宋体" w:cs="宋体"/>
          <w:b/>
          <w:snapToGrid w:val="0"/>
          <w:color w:val="auto"/>
          <w:kern w:val="0"/>
          <w:highlight w:val="none"/>
        </w:rPr>
        <w:t>格式七 总监理工程师任职声明（适用于无任职项目）</w:t>
      </w:r>
      <w:bookmarkEnd w:id="320"/>
    </w:p>
    <w:p w14:paraId="06AA44C1">
      <w:pPr>
        <w:wordWrap w:val="0"/>
        <w:adjustRightInd w:val="0"/>
        <w:snapToGrid w:val="0"/>
        <w:spacing w:line="440" w:lineRule="exact"/>
        <w:jc w:val="left"/>
        <w:rPr>
          <w:rFonts w:hAnsi="宋体" w:cs="宋体"/>
          <w:b/>
          <w:snapToGrid w:val="0"/>
          <w:color w:val="auto"/>
          <w:kern w:val="0"/>
          <w:highlight w:val="none"/>
        </w:rPr>
      </w:pPr>
    </w:p>
    <w:p w14:paraId="5C843E48">
      <w:pPr>
        <w:wordWrap w:val="0"/>
        <w:adjustRightInd w:val="0"/>
        <w:snapToGrid w:val="0"/>
        <w:spacing w:before="260" w:after="260" w:line="440" w:lineRule="exact"/>
        <w:jc w:val="center"/>
        <w:rPr>
          <w:rFonts w:hAnsi="宋体" w:cs="宋体"/>
          <w:snapToGrid w:val="0"/>
          <w:color w:val="auto"/>
          <w:kern w:val="0"/>
          <w:szCs w:val="28"/>
          <w:highlight w:val="none"/>
        </w:rPr>
      </w:pPr>
      <w:r>
        <w:rPr>
          <w:rFonts w:hint="eastAsia" w:hAnsi="宋体" w:cs="宋体"/>
          <w:b/>
          <w:snapToGrid w:val="0"/>
          <w:color w:val="auto"/>
          <w:kern w:val="0"/>
          <w:sz w:val="30"/>
          <w:highlight w:val="none"/>
        </w:rPr>
        <w:t>总监理工程师任职声明</w:t>
      </w:r>
    </w:p>
    <w:p w14:paraId="5DACBD5C">
      <w:pPr>
        <w:wordWrap w:val="0"/>
        <w:adjustRightInd w:val="0"/>
        <w:snapToGrid w:val="0"/>
        <w:spacing w:line="440" w:lineRule="exact"/>
        <w:jc w:val="center"/>
        <w:rPr>
          <w:rFonts w:hAnsi="宋体" w:cs="宋体"/>
          <w:snapToGrid w:val="0"/>
          <w:color w:val="auto"/>
          <w:kern w:val="0"/>
          <w:szCs w:val="28"/>
          <w:highlight w:val="none"/>
        </w:rPr>
      </w:pPr>
    </w:p>
    <w:p w14:paraId="772C87D7">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（招标人名称）：</w:t>
      </w:r>
    </w:p>
    <w:p w14:paraId="1A3F14E9">
      <w:pPr>
        <w:wordWrap w:val="0"/>
        <w:adjustRightInd w:val="0"/>
        <w:snapToGrid w:val="0"/>
        <w:spacing w:line="440" w:lineRule="exact"/>
        <w:ind w:firstLine="480" w:firstLineChars="200"/>
        <w:rPr>
          <w:rFonts w:hAnsi="宋体" w:cs="宋体"/>
          <w:snapToGrid w:val="0"/>
          <w:color w:val="auto"/>
          <w:kern w:val="0"/>
          <w:szCs w:val="28"/>
          <w:highlight w:val="none"/>
        </w:rPr>
      </w:pPr>
      <w:r>
        <w:rPr>
          <w:rFonts w:hint="eastAsia" w:hAnsi="宋体" w:cs="宋体"/>
          <w:snapToGrid w:val="0"/>
          <w:color w:val="auto"/>
          <w:kern w:val="0"/>
          <w:szCs w:val="28"/>
          <w:highlight w:val="none"/>
        </w:rPr>
        <w:t>我方在此声明，我方拟派往</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（项目名称）的总监理工程师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（总监理工程师姓名）现阶段未担任任何在施（包括已中标未开工、已开工未竣工）建设工程项目的总监理工程师。</w:t>
      </w:r>
    </w:p>
    <w:p w14:paraId="719A9224">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我方保证上述信息的真实和准确，并愿意承担因我方就此弄虚作假所引起的一切法律后果。</w:t>
      </w:r>
    </w:p>
    <w:p w14:paraId="2A682264">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6FE99100">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特此承诺　　</w:t>
      </w:r>
    </w:p>
    <w:p w14:paraId="3D029F0C">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5C5FE084">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4DCBD1EF">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投标人：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（盖单位章）</w:t>
      </w:r>
    </w:p>
    <w:p w14:paraId="3009D5E9">
      <w:pPr>
        <w:wordWrap w:val="0"/>
        <w:adjustRightInd w:val="0"/>
        <w:snapToGrid w:val="0"/>
        <w:spacing w:line="440" w:lineRule="exact"/>
        <w:jc w:val="right"/>
        <w:rPr>
          <w:rFonts w:hAnsi="宋体" w:cs="宋体"/>
          <w:snapToGrid w:val="0"/>
          <w:color w:val="auto"/>
          <w:kern w:val="0"/>
          <w:szCs w:val="28"/>
          <w:highlight w:val="none"/>
        </w:rPr>
      </w:pPr>
    </w:p>
    <w:p w14:paraId="3B710F54">
      <w:pPr>
        <w:wordWrap w:val="0"/>
        <w:adjustRightInd w:val="0"/>
        <w:snapToGrid w:val="0"/>
        <w:spacing w:line="440" w:lineRule="exact"/>
        <w:jc w:val="right"/>
        <w:rPr>
          <w:rFonts w:hAnsi="宋体" w:cs="宋体"/>
          <w:snapToGrid w:val="0"/>
          <w:color w:val="auto"/>
          <w:kern w:val="0"/>
          <w:szCs w:val="28"/>
          <w:highlight w:val="none"/>
        </w:rPr>
      </w:pPr>
    </w:p>
    <w:p w14:paraId="27629241">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法定代表人或其委托代理人：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（签字或盖章）</w:t>
      </w:r>
    </w:p>
    <w:p w14:paraId="06EC90C1">
      <w:pPr>
        <w:wordWrap w:val="0"/>
        <w:adjustRightInd w:val="0"/>
        <w:snapToGrid w:val="0"/>
        <w:spacing w:line="440" w:lineRule="exact"/>
        <w:jc w:val="right"/>
        <w:rPr>
          <w:rFonts w:hAnsi="宋体" w:cs="宋体"/>
          <w:snapToGrid w:val="0"/>
          <w:color w:val="auto"/>
          <w:kern w:val="0"/>
          <w:szCs w:val="28"/>
          <w:highlight w:val="none"/>
        </w:rPr>
      </w:pPr>
    </w:p>
    <w:p w14:paraId="6A65C20D">
      <w:pPr>
        <w:wordWrap w:val="0"/>
        <w:adjustRightInd w:val="0"/>
        <w:snapToGrid w:val="0"/>
        <w:spacing w:line="440" w:lineRule="exact"/>
        <w:jc w:val="center"/>
        <w:rPr>
          <w:rFonts w:hAnsi="宋体" w:cs="宋体"/>
          <w:snapToGrid w:val="0"/>
          <w:color w:val="auto"/>
          <w:kern w:val="0"/>
          <w:szCs w:val="28"/>
          <w:highlight w:val="none"/>
        </w:rPr>
      </w:pPr>
      <w:r>
        <w:rPr>
          <w:rFonts w:hint="eastAsia" w:hAnsi="宋体" w:cs="宋体"/>
          <w:snapToGrid w:val="0"/>
          <w:color w:val="auto"/>
          <w:kern w:val="0"/>
          <w:szCs w:val="28"/>
          <w:highlight w:val="none"/>
        </w:rPr>
        <w:t xml:space="preserve">                            </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日</w:t>
      </w:r>
    </w:p>
    <w:p w14:paraId="5BE74466">
      <w:pPr>
        <w:wordWrap w:val="0"/>
        <w:adjustRightInd w:val="0"/>
        <w:snapToGrid w:val="0"/>
        <w:spacing w:line="400" w:lineRule="exact"/>
        <w:ind w:firstLine="420"/>
        <w:rPr>
          <w:rFonts w:hAnsi="宋体" w:cs="宋体"/>
          <w:snapToGrid w:val="0"/>
          <w:color w:val="auto"/>
          <w:kern w:val="0"/>
          <w:sz w:val="21"/>
          <w:szCs w:val="28"/>
          <w:highlight w:val="none"/>
        </w:rPr>
        <w:sectPr>
          <w:endnotePr>
            <w:numFmt w:val="decimal"/>
          </w:endnotePr>
          <w:pgSz w:w="11906" w:h="16838"/>
          <w:pgMar w:top="1417" w:right="1417" w:bottom="1417" w:left="1417" w:header="850" w:footer="992" w:gutter="0"/>
          <w:cols w:space="0" w:num="1"/>
          <w:docGrid w:linePitch="327" w:charSpace="0"/>
        </w:sectPr>
      </w:pPr>
    </w:p>
    <w:p w14:paraId="207C8005">
      <w:pPr>
        <w:wordWrap w:val="0"/>
        <w:adjustRightInd w:val="0"/>
        <w:snapToGrid w:val="0"/>
        <w:spacing w:line="440" w:lineRule="exact"/>
        <w:jc w:val="left"/>
        <w:outlineLvl w:val="1"/>
        <w:rPr>
          <w:rFonts w:hAnsi="宋体" w:cs="宋体"/>
          <w:b/>
          <w:snapToGrid w:val="0"/>
          <w:color w:val="auto"/>
          <w:kern w:val="0"/>
          <w:highlight w:val="none"/>
        </w:rPr>
      </w:pPr>
      <w:bookmarkStart w:id="321" w:name="_Toc27081"/>
      <w:r>
        <w:rPr>
          <w:rFonts w:hint="eastAsia" w:hAnsi="宋体" w:cs="宋体"/>
          <w:b/>
          <w:snapToGrid w:val="0"/>
          <w:color w:val="auto"/>
          <w:kern w:val="0"/>
          <w:highlight w:val="none"/>
        </w:rPr>
        <w:t>格式八 总监理工程师任职声明（适用于有任职项目）</w:t>
      </w:r>
      <w:bookmarkEnd w:id="321"/>
    </w:p>
    <w:p w14:paraId="26C2DBC7">
      <w:pPr>
        <w:wordWrap w:val="0"/>
        <w:adjustRightInd w:val="0"/>
        <w:snapToGrid w:val="0"/>
        <w:spacing w:line="440" w:lineRule="exact"/>
        <w:jc w:val="left"/>
        <w:rPr>
          <w:rFonts w:hAnsi="宋体" w:cs="宋体"/>
          <w:b/>
          <w:snapToGrid w:val="0"/>
          <w:color w:val="auto"/>
          <w:kern w:val="0"/>
          <w:highlight w:val="none"/>
        </w:rPr>
      </w:pPr>
    </w:p>
    <w:p w14:paraId="14476DE6">
      <w:pPr>
        <w:wordWrap w:val="0"/>
        <w:adjustRightInd w:val="0"/>
        <w:snapToGrid w:val="0"/>
        <w:spacing w:before="260" w:after="260" w:line="440" w:lineRule="exact"/>
        <w:jc w:val="center"/>
        <w:rPr>
          <w:rFonts w:hAnsi="宋体" w:cs="宋体"/>
          <w:snapToGrid w:val="0"/>
          <w:color w:val="auto"/>
          <w:kern w:val="0"/>
          <w:szCs w:val="28"/>
          <w:highlight w:val="none"/>
        </w:rPr>
      </w:pPr>
      <w:r>
        <w:rPr>
          <w:rFonts w:hint="eastAsia" w:hAnsi="宋体" w:cs="宋体"/>
          <w:b/>
          <w:snapToGrid w:val="0"/>
          <w:color w:val="auto"/>
          <w:kern w:val="0"/>
          <w:sz w:val="30"/>
          <w:highlight w:val="none"/>
        </w:rPr>
        <w:t>总监理工程师任职声明</w:t>
      </w:r>
    </w:p>
    <w:p w14:paraId="6E412F46">
      <w:pPr>
        <w:wordWrap w:val="0"/>
        <w:adjustRightInd w:val="0"/>
        <w:snapToGrid w:val="0"/>
        <w:spacing w:line="440" w:lineRule="exact"/>
        <w:jc w:val="center"/>
        <w:rPr>
          <w:rFonts w:hAnsi="宋体" w:cs="宋体"/>
          <w:snapToGrid w:val="0"/>
          <w:color w:val="auto"/>
          <w:kern w:val="0"/>
          <w:szCs w:val="28"/>
          <w:highlight w:val="none"/>
        </w:rPr>
      </w:pPr>
    </w:p>
    <w:p w14:paraId="1475A23F">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（招标人名称）：</w:t>
      </w:r>
    </w:p>
    <w:p w14:paraId="49DEAF94">
      <w:pPr>
        <w:wordWrap w:val="0"/>
        <w:adjustRightInd w:val="0"/>
        <w:snapToGrid w:val="0"/>
        <w:spacing w:line="440" w:lineRule="exact"/>
        <w:ind w:firstLine="480" w:firstLineChars="200"/>
        <w:rPr>
          <w:rFonts w:hAnsi="宋体" w:cs="宋体"/>
          <w:snapToGrid w:val="0"/>
          <w:color w:val="auto"/>
          <w:kern w:val="0"/>
          <w:szCs w:val="28"/>
          <w:highlight w:val="none"/>
        </w:rPr>
      </w:pPr>
      <w:r>
        <w:rPr>
          <w:rFonts w:hint="eastAsia" w:hAnsi="宋体" w:cs="宋体"/>
          <w:snapToGrid w:val="0"/>
          <w:color w:val="auto"/>
          <w:kern w:val="0"/>
          <w:szCs w:val="28"/>
          <w:highlight w:val="none"/>
        </w:rPr>
        <w:t>我方在此声明，我方拟派往</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（项目名称）的总监理工程师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（总监理工程师姓名）现阶段正在担任</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个在施（包括已中标未开工、已开工未竣工）建设工程项目的总监理工程师，具体情况详见《总监理工程师任职项目情况表》。</w:t>
      </w:r>
    </w:p>
    <w:p w14:paraId="79AC62A5">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我方保证上述信息的真实和准确，并愿意承担因我方就此弄虚作假所引起的一切法律后果。</w:t>
      </w:r>
    </w:p>
    <w:p w14:paraId="24C0646A">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3331CF7E">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特此承诺</w:t>
      </w:r>
    </w:p>
    <w:p w14:paraId="44D57BC6">
      <w:pPr>
        <w:wordWrap w:val="0"/>
        <w:adjustRightInd w:val="0"/>
        <w:snapToGrid w:val="0"/>
        <w:spacing w:line="440" w:lineRule="exact"/>
        <w:ind w:firstLine="480"/>
        <w:rPr>
          <w:rFonts w:hAnsi="宋体" w:cs="宋体"/>
          <w:snapToGrid w:val="0"/>
          <w:color w:val="auto"/>
          <w:kern w:val="0"/>
          <w:szCs w:val="28"/>
          <w:highlight w:val="none"/>
        </w:rPr>
      </w:pPr>
    </w:p>
    <w:p w14:paraId="73D70E54">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1B55ABAF">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投标人：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（盖单位章）</w:t>
      </w:r>
    </w:p>
    <w:p w14:paraId="01129E36">
      <w:pPr>
        <w:wordWrap w:val="0"/>
        <w:adjustRightInd w:val="0"/>
        <w:snapToGrid w:val="0"/>
        <w:spacing w:line="440" w:lineRule="exact"/>
        <w:jc w:val="right"/>
        <w:rPr>
          <w:rFonts w:hAnsi="宋体" w:cs="宋体"/>
          <w:snapToGrid w:val="0"/>
          <w:color w:val="auto"/>
          <w:kern w:val="0"/>
          <w:szCs w:val="28"/>
          <w:highlight w:val="none"/>
        </w:rPr>
      </w:pPr>
    </w:p>
    <w:p w14:paraId="20006EFF">
      <w:pPr>
        <w:wordWrap w:val="0"/>
        <w:adjustRightInd w:val="0"/>
        <w:snapToGrid w:val="0"/>
        <w:spacing w:line="440" w:lineRule="exact"/>
        <w:jc w:val="right"/>
        <w:rPr>
          <w:rFonts w:hAnsi="宋体" w:cs="宋体"/>
          <w:snapToGrid w:val="0"/>
          <w:color w:val="auto"/>
          <w:kern w:val="0"/>
          <w:szCs w:val="28"/>
          <w:highlight w:val="none"/>
        </w:rPr>
      </w:pPr>
    </w:p>
    <w:p w14:paraId="040892D9">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法定代表人或其委托代理人：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（签字或盖章）</w:t>
      </w:r>
    </w:p>
    <w:p w14:paraId="7D58F295">
      <w:pPr>
        <w:wordWrap w:val="0"/>
        <w:adjustRightInd w:val="0"/>
        <w:snapToGrid w:val="0"/>
        <w:spacing w:line="440" w:lineRule="exact"/>
        <w:jc w:val="right"/>
        <w:rPr>
          <w:rFonts w:hAnsi="宋体" w:cs="宋体"/>
          <w:snapToGrid w:val="0"/>
          <w:color w:val="auto"/>
          <w:kern w:val="0"/>
          <w:szCs w:val="28"/>
          <w:highlight w:val="none"/>
        </w:rPr>
      </w:pPr>
    </w:p>
    <w:p w14:paraId="24B9CFA0">
      <w:pPr>
        <w:wordWrap w:val="0"/>
        <w:adjustRightInd w:val="0"/>
        <w:snapToGrid w:val="0"/>
        <w:spacing w:line="440" w:lineRule="exact"/>
        <w:jc w:val="center"/>
        <w:rPr>
          <w:rFonts w:hAnsi="宋体" w:cs="宋体"/>
          <w:snapToGrid w:val="0"/>
          <w:color w:val="auto"/>
          <w:kern w:val="0"/>
          <w:szCs w:val="28"/>
          <w:highlight w:val="none"/>
        </w:rPr>
      </w:pPr>
      <w:r>
        <w:rPr>
          <w:rFonts w:hint="eastAsia" w:hAnsi="宋体" w:cs="宋体"/>
          <w:snapToGrid w:val="0"/>
          <w:color w:val="auto"/>
          <w:kern w:val="0"/>
          <w:szCs w:val="28"/>
          <w:highlight w:val="none"/>
        </w:rPr>
        <w:t xml:space="preserve">                            </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日</w:t>
      </w:r>
    </w:p>
    <w:p w14:paraId="488B3E30">
      <w:pPr>
        <w:wordWrap w:val="0"/>
        <w:adjustRightInd w:val="0"/>
        <w:snapToGrid w:val="0"/>
        <w:spacing w:line="440" w:lineRule="exact"/>
        <w:jc w:val="center"/>
        <w:rPr>
          <w:rFonts w:hAnsi="宋体" w:cs="宋体"/>
          <w:snapToGrid w:val="0"/>
          <w:color w:val="auto"/>
          <w:kern w:val="0"/>
          <w:szCs w:val="28"/>
          <w:highlight w:val="none"/>
        </w:rPr>
      </w:pPr>
    </w:p>
    <w:p w14:paraId="37CAE8B6">
      <w:pPr>
        <w:wordWrap w:val="0"/>
        <w:adjustRightInd w:val="0"/>
        <w:snapToGrid w:val="0"/>
        <w:spacing w:line="400" w:lineRule="exact"/>
        <w:ind w:firstLine="420"/>
        <w:rPr>
          <w:rFonts w:hAnsi="宋体" w:cs="宋体"/>
          <w:snapToGrid w:val="0"/>
          <w:color w:val="auto"/>
          <w:kern w:val="0"/>
          <w:sz w:val="21"/>
          <w:szCs w:val="28"/>
          <w:highlight w:val="none"/>
        </w:rPr>
        <w:sectPr>
          <w:endnotePr>
            <w:numFmt w:val="decimal"/>
          </w:endnotePr>
          <w:pgSz w:w="11906" w:h="16838"/>
          <w:pgMar w:top="1417" w:right="1417" w:bottom="1417" w:left="1417" w:header="850" w:footer="992" w:gutter="0"/>
          <w:cols w:space="0" w:num="1"/>
          <w:docGrid w:linePitch="327" w:charSpace="0"/>
        </w:sectPr>
      </w:pPr>
    </w:p>
    <w:p w14:paraId="4EC4EC42">
      <w:pPr>
        <w:wordWrap w:val="0"/>
        <w:adjustRightInd w:val="0"/>
        <w:snapToGrid w:val="0"/>
        <w:spacing w:line="440" w:lineRule="exact"/>
        <w:outlineLvl w:val="1"/>
        <w:rPr>
          <w:rFonts w:hAnsi="宋体" w:cs="宋体"/>
          <w:b/>
          <w:bCs/>
          <w:snapToGrid w:val="0"/>
          <w:color w:val="auto"/>
          <w:kern w:val="0"/>
          <w:szCs w:val="24"/>
          <w:highlight w:val="none"/>
        </w:rPr>
      </w:pPr>
      <w:bookmarkStart w:id="322" w:name="_Toc136"/>
      <w:r>
        <w:rPr>
          <w:rFonts w:hint="eastAsia" w:hAnsi="宋体" w:cs="宋体"/>
          <w:b/>
          <w:bCs/>
          <w:snapToGrid w:val="0"/>
          <w:color w:val="auto"/>
          <w:kern w:val="0"/>
          <w:szCs w:val="24"/>
          <w:highlight w:val="none"/>
        </w:rPr>
        <w:t>格式九 总监理工程师任职项目情况表</w:t>
      </w:r>
      <w:bookmarkEnd w:id="322"/>
    </w:p>
    <w:p w14:paraId="5595B289">
      <w:pPr>
        <w:wordWrap w:val="0"/>
        <w:adjustRightInd w:val="0"/>
        <w:snapToGrid w:val="0"/>
        <w:spacing w:line="440" w:lineRule="exact"/>
        <w:rPr>
          <w:rFonts w:hAnsi="宋体" w:cs="宋体"/>
          <w:b/>
          <w:bCs/>
          <w:snapToGrid w:val="0"/>
          <w:color w:val="auto"/>
          <w:kern w:val="0"/>
          <w:szCs w:val="24"/>
          <w:highlight w:val="none"/>
        </w:rPr>
      </w:pPr>
    </w:p>
    <w:p w14:paraId="36144E39">
      <w:pPr>
        <w:pStyle w:val="73"/>
        <w:widowControl w:val="0"/>
        <w:wordWrap w:val="0"/>
        <w:adjustRightInd w:val="0"/>
        <w:snapToGrid w:val="0"/>
        <w:spacing w:before="260" w:after="260" w:line="400" w:lineRule="exact"/>
        <w:ind w:firstLine="0"/>
        <w:jc w:val="center"/>
        <w:rPr>
          <w:rFonts w:hAnsi="宋体" w:cs="宋体"/>
          <w:snapToGrid w:val="0"/>
          <w:color w:val="auto"/>
          <w:sz w:val="24"/>
          <w:highlight w:val="none"/>
        </w:rPr>
      </w:pPr>
      <w:r>
        <w:rPr>
          <w:rFonts w:hint="eastAsia" w:hAnsi="宋体" w:cs="宋体"/>
          <w:b/>
          <w:snapToGrid w:val="0"/>
          <w:color w:val="auto"/>
          <w:sz w:val="30"/>
          <w:highlight w:val="none"/>
        </w:rPr>
        <w:t xml:space="preserve"> 总监理工程师任职项目情况表（）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3B9A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9548F6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项目名称</w:t>
            </w:r>
          </w:p>
        </w:tc>
        <w:tc>
          <w:tcPr>
            <w:tcW w:w="2771" w:type="dxa"/>
            <w:vAlign w:val="center"/>
          </w:tcPr>
          <w:p w14:paraId="0778D040">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1C4C989E">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项目所在地</w:t>
            </w:r>
          </w:p>
        </w:tc>
        <w:tc>
          <w:tcPr>
            <w:tcW w:w="2594" w:type="dxa"/>
            <w:vAlign w:val="center"/>
          </w:tcPr>
          <w:p w14:paraId="2E707445">
            <w:pPr>
              <w:pStyle w:val="137"/>
              <w:wordWrap w:val="0"/>
              <w:adjustRightInd w:val="0"/>
              <w:snapToGrid w:val="0"/>
              <w:jc w:val="center"/>
              <w:rPr>
                <w:rFonts w:ascii="宋体" w:hAnsi="宋体" w:cs="宋体"/>
                <w:snapToGrid w:val="0"/>
                <w:color w:val="auto"/>
                <w:kern w:val="0"/>
                <w:szCs w:val="21"/>
                <w:highlight w:val="none"/>
              </w:rPr>
            </w:pPr>
          </w:p>
        </w:tc>
      </w:tr>
      <w:tr w14:paraId="0A946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05D73B71">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委托人名称</w:t>
            </w:r>
          </w:p>
        </w:tc>
        <w:tc>
          <w:tcPr>
            <w:tcW w:w="2771" w:type="dxa"/>
            <w:vAlign w:val="center"/>
          </w:tcPr>
          <w:p w14:paraId="65AFF2CC">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659A8BFB">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委托人地址</w:t>
            </w:r>
          </w:p>
        </w:tc>
        <w:tc>
          <w:tcPr>
            <w:tcW w:w="2594" w:type="dxa"/>
            <w:vAlign w:val="center"/>
          </w:tcPr>
          <w:p w14:paraId="5720087E">
            <w:pPr>
              <w:pStyle w:val="137"/>
              <w:wordWrap w:val="0"/>
              <w:adjustRightInd w:val="0"/>
              <w:snapToGrid w:val="0"/>
              <w:jc w:val="center"/>
              <w:rPr>
                <w:rFonts w:ascii="宋体" w:hAnsi="宋体" w:cs="宋体"/>
                <w:snapToGrid w:val="0"/>
                <w:color w:val="auto"/>
                <w:kern w:val="0"/>
                <w:szCs w:val="21"/>
                <w:highlight w:val="none"/>
              </w:rPr>
            </w:pPr>
          </w:p>
        </w:tc>
      </w:tr>
      <w:tr w14:paraId="265A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69EE24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委托人电话</w:t>
            </w:r>
          </w:p>
        </w:tc>
        <w:tc>
          <w:tcPr>
            <w:tcW w:w="2771" w:type="dxa"/>
            <w:vAlign w:val="center"/>
          </w:tcPr>
          <w:p w14:paraId="040ECD65">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36F91777">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总监理工程师</w:t>
            </w:r>
          </w:p>
        </w:tc>
        <w:tc>
          <w:tcPr>
            <w:tcW w:w="2594" w:type="dxa"/>
            <w:vAlign w:val="center"/>
          </w:tcPr>
          <w:p w14:paraId="57F7B5F1">
            <w:pPr>
              <w:pStyle w:val="137"/>
              <w:wordWrap w:val="0"/>
              <w:adjustRightInd w:val="0"/>
              <w:snapToGrid w:val="0"/>
              <w:jc w:val="center"/>
              <w:rPr>
                <w:rFonts w:ascii="宋体" w:hAnsi="宋体" w:cs="宋体"/>
                <w:snapToGrid w:val="0"/>
                <w:color w:val="auto"/>
                <w:kern w:val="0"/>
                <w:szCs w:val="21"/>
                <w:highlight w:val="none"/>
              </w:rPr>
            </w:pPr>
          </w:p>
        </w:tc>
      </w:tr>
      <w:tr w14:paraId="54AD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0D0B131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监理服务期限</w:t>
            </w:r>
          </w:p>
        </w:tc>
        <w:tc>
          <w:tcPr>
            <w:tcW w:w="2771" w:type="dxa"/>
            <w:vAlign w:val="center"/>
          </w:tcPr>
          <w:p w14:paraId="1762110D">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4005DF8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监理内容</w:t>
            </w:r>
          </w:p>
        </w:tc>
        <w:tc>
          <w:tcPr>
            <w:tcW w:w="2594" w:type="dxa"/>
            <w:vAlign w:val="center"/>
          </w:tcPr>
          <w:p w14:paraId="76DCCB4D">
            <w:pPr>
              <w:pStyle w:val="137"/>
              <w:wordWrap w:val="0"/>
              <w:adjustRightInd w:val="0"/>
              <w:snapToGrid w:val="0"/>
              <w:jc w:val="center"/>
              <w:rPr>
                <w:rFonts w:ascii="宋体" w:hAnsi="宋体" w:cs="宋体"/>
                <w:snapToGrid w:val="0"/>
                <w:color w:val="auto"/>
                <w:kern w:val="0"/>
                <w:szCs w:val="21"/>
                <w:highlight w:val="none"/>
              </w:rPr>
            </w:pPr>
          </w:p>
        </w:tc>
      </w:tr>
      <w:tr w14:paraId="5555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0BFF0CFF">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项目描述</w:t>
            </w:r>
          </w:p>
        </w:tc>
        <w:tc>
          <w:tcPr>
            <w:tcW w:w="7000" w:type="dxa"/>
            <w:gridSpan w:val="3"/>
            <w:vAlign w:val="center"/>
          </w:tcPr>
          <w:p w14:paraId="5483EF3D">
            <w:pPr>
              <w:pStyle w:val="137"/>
              <w:wordWrap w:val="0"/>
              <w:adjustRightInd w:val="0"/>
              <w:snapToGrid w:val="0"/>
              <w:jc w:val="left"/>
              <w:rPr>
                <w:rFonts w:ascii="宋体" w:hAnsi="宋体" w:cs="宋体"/>
                <w:snapToGrid w:val="0"/>
                <w:color w:val="auto"/>
                <w:kern w:val="0"/>
                <w:szCs w:val="21"/>
                <w:highlight w:val="none"/>
              </w:rPr>
            </w:pPr>
          </w:p>
        </w:tc>
      </w:tr>
      <w:tr w14:paraId="5FA5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2FC2E3A7">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委托人声明</w:t>
            </w:r>
          </w:p>
        </w:tc>
        <w:tc>
          <w:tcPr>
            <w:tcW w:w="7000" w:type="dxa"/>
            <w:gridSpan w:val="3"/>
            <w:vAlign w:val="center"/>
          </w:tcPr>
          <w:p w14:paraId="5E752C42">
            <w:pPr>
              <w:pStyle w:val="137"/>
              <w:adjustRightInd w:val="0"/>
              <w:snapToGrid w:val="0"/>
              <w:spacing w:line="360" w:lineRule="auto"/>
              <w:rPr>
                <w:rFonts w:ascii="宋体" w:hAnsi="宋体" w:cs="宋体"/>
                <w:snapToGrid w:val="0"/>
                <w:color w:val="auto"/>
                <w:kern w:val="0"/>
                <w:szCs w:val="21"/>
                <w:highlight w:val="none"/>
              </w:rPr>
            </w:pPr>
          </w:p>
          <w:p w14:paraId="0B3E4FE7">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致：</w:t>
            </w:r>
            <w:r>
              <w:rPr>
                <w:rFonts w:hint="eastAsia" w:ascii="宋体" w:hAnsi="宋体" w:cs="宋体"/>
                <w:snapToGrid w:val="0"/>
                <w:color w:val="auto"/>
                <w:kern w:val="0"/>
                <w:szCs w:val="21"/>
                <w:highlight w:val="none"/>
                <w:u w:val="single"/>
              </w:rPr>
              <w:t>（本招标项目招标人名称）</w:t>
            </w:r>
          </w:p>
          <w:p w14:paraId="277B1F34">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我方在此声明：</w:t>
            </w:r>
          </w:p>
          <w:p w14:paraId="4BC760DF">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一、在</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同志任我方在施项目总监理工程师期间，如果</w:t>
            </w:r>
            <w:r>
              <w:rPr>
                <w:rFonts w:hint="eastAsia" w:ascii="宋体" w:hAnsi="宋体" w:cs="宋体"/>
                <w:snapToGrid w:val="0"/>
                <w:color w:val="auto"/>
                <w:kern w:val="0"/>
                <w:szCs w:val="21"/>
                <w:highlight w:val="none"/>
                <w:u w:val="single"/>
              </w:rPr>
              <w:t xml:space="preserve"> （投标人名称） </w:t>
            </w:r>
            <w:r>
              <w:rPr>
                <w:rFonts w:hint="eastAsia" w:ascii="宋体" w:hAnsi="宋体" w:cs="宋体"/>
                <w:snapToGrid w:val="0"/>
                <w:color w:val="auto"/>
                <w:kern w:val="0"/>
                <w:szCs w:val="21"/>
                <w:highlight w:val="none"/>
              </w:rPr>
              <w:t>中标你方招标项目监理业务，在</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同志目前担任总监理工程师职务的项目总数不超过两个（含我方在施项目）的前提下，我方同意其同时担任你方招标项目的总监理工程师；如果未中标，以上声明自动失效。</w:t>
            </w:r>
          </w:p>
          <w:p w14:paraId="0573CB11">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二、无论</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同志是否担任其他建设项目的总监理工程师，</w:t>
            </w:r>
            <w:r>
              <w:rPr>
                <w:rFonts w:hint="eastAsia" w:ascii="宋体" w:hAnsi="宋体" w:cs="宋体"/>
                <w:snapToGrid w:val="0"/>
                <w:color w:val="auto"/>
                <w:kern w:val="0"/>
                <w:szCs w:val="21"/>
                <w:highlight w:val="none"/>
                <w:u w:val="single"/>
              </w:rPr>
              <w:t xml:space="preserve"> （投标人名称） </w:t>
            </w:r>
            <w:r>
              <w:rPr>
                <w:rFonts w:hint="eastAsia" w:ascii="宋体" w:hAnsi="宋体" w:cs="宋体"/>
                <w:snapToGrid w:val="0"/>
                <w:color w:val="auto"/>
                <w:kern w:val="0"/>
                <w:szCs w:val="21"/>
                <w:highlight w:val="none"/>
              </w:rPr>
              <w:t>都必须完全、严格履行我方在施项目监理合同中约定的所有义务，并确保服务内容、服务质量不得有任何减少或降低。</w:t>
            </w:r>
          </w:p>
          <w:p w14:paraId="6536B3E7">
            <w:pPr>
              <w:pStyle w:val="137"/>
              <w:adjustRightInd w:val="0"/>
              <w:snapToGrid w:val="0"/>
              <w:spacing w:line="360" w:lineRule="auto"/>
              <w:rPr>
                <w:rFonts w:ascii="宋体" w:hAnsi="宋体" w:cs="宋体"/>
                <w:snapToGrid w:val="0"/>
                <w:color w:val="auto"/>
                <w:kern w:val="0"/>
                <w:szCs w:val="21"/>
                <w:highlight w:val="none"/>
              </w:rPr>
            </w:pPr>
          </w:p>
          <w:p w14:paraId="3C1265FB">
            <w:pPr>
              <w:pStyle w:val="137"/>
              <w:adjustRightInd w:val="0"/>
              <w:snapToGrid w:val="0"/>
              <w:spacing w:line="360" w:lineRule="auto"/>
              <w:rPr>
                <w:rFonts w:ascii="宋体" w:hAnsi="宋体" w:cs="宋体"/>
                <w:snapToGrid w:val="0"/>
                <w:color w:val="auto"/>
                <w:kern w:val="0"/>
                <w:szCs w:val="21"/>
                <w:highlight w:val="none"/>
              </w:rPr>
            </w:pPr>
          </w:p>
          <w:p w14:paraId="0F438A3F">
            <w:pPr>
              <w:pStyle w:val="137"/>
              <w:adjustRightInd w:val="0"/>
              <w:snapToGrid w:val="0"/>
              <w:spacing w:line="360" w:lineRule="auto"/>
              <w:jc w:val="righ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建设单位名称：</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（盖单位章）</w:t>
            </w:r>
          </w:p>
          <w:p w14:paraId="5125B9E0">
            <w:pPr>
              <w:pStyle w:val="137"/>
              <w:adjustRightInd w:val="0"/>
              <w:snapToGrid w:val="0"/>
              <w:spacing w:line="360" w:lineRule="auto"/>
              <w:jc w:val="right"/>
              <w:rPr>
                <w:rFonts w:ascii="宋体" w:hAnsi="宋体" w:cs="宋体"/>
                <w:snapToGrid w:val="0"/>
                <w:color w:val="auto"/>
                <w:kern w:val="0"/>
                <w:szCs w:val="21"/>
                <w:highlight w:val="none"/>
              </w:rPr>
            </w:pPr>
          </w:p>
          <w:p w14:paraId="1712C4B6">
            <w:pPr>
              <w:pStyle w:val="137"/>
              <w:adjustRightInd w:val="0"/>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XXXX年XX月XX日</w:t>
            </w:r>
          </w:p>
        </w:tc>
      </w:tr>
    </w:tbl>
    <w:p w14:paraId="7DF3AFF3">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说明：</w:t>
      </w:r>
    </w:p>
    <w:p w14:paraId="0D0BDA96">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w:t>
      </w:r>
      <w:r>
        <w:rPr>
          <w:rFonts w:hint="eastAsia" w:ascii="宋体" w:hAnsi="宋体" w:cs="宋体"/>
          <w:snapToGrid w:val="0"/>
          <w:color w:val="auto"/>
          <w:kern w:val="0"/>
          <w:szCs w:val="28"/>
          <w:highlight w:val="none"/>
        </w:rPr>
        <w:t>．</w:t>
      </w:r>
      <w:r>
        <w:rPr>
          <w:rFonts w:hint="eastAsia" w:ascii="宋体" w:hAnsi="宋体" w:cs="宋体"/>
          <w:snapToGrid w:val="0"/>
          <w:color w:val="auto"/>
          <w:kern w:val="0"/>
          <w:szCs w:val="21"/>
          <w:highlight w:val="none"/>
        </w:rPr>
        <w:t>“任职项目”指拟派总监理工程师正在担任总监理工程师职务的在施（包括已中标未开工、已开工未竣工）建设工程项目。任职项目多于一宗的，一项目一表，并标明序号。</w:t>
      </w:r>
    </w:p>
    <w:p w14:paraId="0DAD1415">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r>
        <w:rPr>
          <w:rFonts w:hint="eastAsia" w:ascii="宋体" w:hAnsi="宋体" w:cs="宋体"/>
          <w:snapToGrid w:val="0"/>
          <w:color w:val="auto"/>
          <w:kern w:val="0"/>
          <w:szCs w:val="28"/>
          <w:highlight w:val="none"/>
        </w:rPr>
        <w:t>．</w:t>
      </w:r>
      <w:r>
        <w:rPr>
          <w:rFonts w:hint="eastAsia" w:ascii="宋体" w:hAnsi="宋体" w:cs="宋体"/>
          <w:snapToGrid w:val="0"/>
          <w:color w:val="auto"/>
          <w:kern w:val="0"/>
          <w:szCs w:val="21"/>
          <w:highlight w:val="none"/>
        </w:rPr>
        <w:t>每份情况表后应附该项目的合同协议书彩色扫描件。</w:t>
      </w:r>
    </w:p>
    <w:p w14:paraId="033FC882">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w:t>
      </w:r>
      <w:r>
        <w:rPr>
          <w:rFonts w:hint="eastAsia" w:ascii="宋体" w:hAnsi="宋体" w:cs="宋体"/>
          <w:snapToGrid w:val="0"/>
          <w:color w:val="auto"/>
          <w:kern w:val="0"/>
          <w:szCs w:val="28"/>
          <w:highlight w:val="none"/>
        </w:rPr>
        <w:t>．投标人填写本</w:t>
      </w:r>
      <w:r>
        <w:rPr>
          <w:rFonts w:hint="eastAsia" w:ascii="宋体" w:hAnsi="宋体" w:cs="宋体"/>
          <w:snapToGrid w:val="0"/>
          <w:color w:val="auto"/>
          <w:kern w:val="0"/>
          <w:szCs w:val="21"/>
          <w:highlight w:val="none"/>
        </w:rPr>
        <w:t>表后交任职项目建设单位审核同意后盖章。任职项目建设单位另行出具书面同意意见的，投标人应将该书面意见附在本表后，同时在“委托人声明”栏目注明“另附”即可。</w:t>
      </w:r>
    </w:p>
    <w:p w14:paraId="3C467284">
      <w:pPr>
        <w:wordWrap w:val="0"/>
        <w:adjustRightInd w:val="0"/>
        <w:snapToGrid w:val="0"/>
        <w:spacing w:line="400" w:lineRule="exact"/>
        <w:rPr>
          <w:rFonts w:hAnsi="宋体" w:cs="宋体"/>
          <w:snapToGrid w:val="0"/>
          <w:color w:val="auto"/>
          <w:kern w:val="0"/>
          <w:sz w:val="21"/>
          <w:szCs w:val="21"/>
          <w:highlight w:val="none"/>
        </w:rPr>
        <w:sectPr>
          <w:endnotePr>
            <w:numFmt w:val="decimal"/>
          </w:endnotePr>
          <w:pgSz w:w="11906" w:h="16838"/>
          <w:pgMar w:top="1417" w:right="1417" w:bottom="1417" w:left="1417" w:header="850" w:footer="992" w:gutter="0"/>
          <w:cols w:space="0" w:num="1"/>
          <w:docGrid w:linePitch="327" w:charSpace="0"/>
        </w:sectPr>
      </w:pPr>
    </w:p>
    <w:p w14:paraId="1076C906">
      <w:pPr>
        <w:wordWrap w:val="0"/>
        <w:adjustRightInd w:val="0"/>
        <w:snapToGrid w:val="0"/>
        <w:spacing w:line="440" w:lineRule="exact"/>
        <w:ind w:left="2609" w:leftChars="15" w:hanging="2573" w:hangingChars="1068"/>
        <w:outlineLvl w:val="1"/>
        <w:rPr>
          <w:rFonts w:hAnsi="宋体" w:cs="宋体"/>
          <w:b/>
          <w:bCs/>
          <w:snapToGrid w:val="0"/>
          <w:color w:val="auto"/>
          <w:kern w:val="0"/>
          <w:szCs w:val="24"/>
          <w:highlight w:val="none"/>
        </w:rPr>
      </w:pPr>
      <w:bookmarkStart w:id="323" w:name="_Toc18807"/>
      <w:bookmarkStart w:id="324" w:name="_Toc200338098"/>
      <w:bookmarkStart w:id="325" w:name="_Toc8264"/>
      <w:r>
        <w:rPr>
          <w:rFonts w:hint="eastAsia" w:hAnsi="宋体" w:cs="宋体"/>
          <w:b/>
          <w:snapToGrid w:val="0"/>
          <w:color w:val="auto"/>
          <w:kern w:val="0"/>
          <w:highlight w:val="none"/>
        </w:rPr>
        <w:t>格式</w:t>
      </w:r>
      <w:bookmarkStart w:id="326" w:name="_Hlt287950384"/>
      <w:bookmarkEnd w:id="326"/>
      <w:r>
        <w:rPr>
          <w:rFonts w:hint="eastAsia" w:hAnsi="宋体" w:cs="宋体"/>
          <w:b/>
          <w:bCs/>
          <w:snapToGrid w:val="0"/>
          <w:color w:val="auto"/>
          <w:kern w:val="0"/>
          <w:szCs w:val="24"/>
          <w:highlight w:val="none"/>
        </w:rPr>
        <w:t>十 项目监理机构组成人员汇总表</w:t>
      </w:r>
      <w:bookmarkEnd w:id="323"/>
    </w:p>
    <w:p w14:paraId="0FAFBFC9">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 xml:space="preserve"> 项目监理机构组成人员汇总表</w:t>
      </w:r>
    </w:p>
    <w:tbl>
      <w:tblPr>
        <w:tblStyle w:val="3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315FBD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180EBF75">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1425" w:type="dxa"/>
            <w:vMerge w:val="restart"/>
            <w:tcBorders>
              <w:top w:val="single" w:color="auto" w:sz="6" w:space="0"/>
              <w:left w:val="single" w:color="auto" w:sz="6" w:space="0"/>
              <w:right w:val="single" w:color="auto" w:sz="6" w:space="0"/>
            </w:tcBorders>
            <w:vAlign w:val="center"/>
          </w:tcPr>
          <w:p w14:paraId="3021881C">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拟担任职务</w:t>
            </w:r>
          </w:p>
        </w:tc>
        <w:tc>
          <w:tcPr>
            <w:tcW w:w="840" w:type="dxa"/>
            <w:vMerge w:val="restart"/>
            <w:tcBorders>
              <w:top w:val="single" w:color="auto" w:sz="6" w:space="0"/>
              <w:left w:val="single" w:color="auto" w:sz="6" w:space="0"/>
              <w:right w:val="single" w:color="auto" w:sz="4" w:space="0"/>
            </w:tcBorders>
            <w:vAlign w:val="center"/>
          </w:tcPr>
          <w:p w14:paraId="6F0EF4C0">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08FFFB14">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31D0E492">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7A3C288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岗位证书</w:t>
            </w:r>
          </w:p>
        </w:tc>
      </w:tr>
      <w:tr w14:paraId="04FFDB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11AA0394">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vMerge w:val="continue"/>
            <w:tcBorders>
              <w:left w:val="single" w:color="auto" w:sz="6" w:space="0"/>
              <w:bottom w:val="single" w:color="auto" w:sz="6" w:space="0"/>
              <w:right w:val="single" w:color="auto" w:sz="6" w:space="0"/>
            </w:tcBorders>
            <w:vAlign w:val="center"/>
          </w:tcPr>
          <w:p w14:paraId="3DDAA9D9">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vMerge w:val="continue"/>
            <w:tcBorders>
              <w:left w:val="single" w:color="auto" w:sz="6" w:space="0"/>
              <w:bottom w:val="single" w:color="auto" w:sz="6" w:space="0"/>
              <w:right w:val="single" w:color="auto" w:sz="4" w:space="0"/>
            </w:tcBorders>
            <w:vAlign w:val="center"/>
          </w:tcPr>
          <w:p w14:paraId="7594BCFF">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610EDC90">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2178D065">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09862772">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4136E638">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3113F195">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2835DBA6">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7F459341">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6CA42847">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56518E8A">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r>
      <w:tr w14:paraId="158BAC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CF6C97F">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1425" w:type="dxa"/>
            <w:tcBorders>
              <w:top w:val="single" w:color="auto" w:sz="6" w:space="0"/>
              <w:left w:val="single" w:color="auto" w:sz="6" w:space="0"/>
              <w:bottom w:val="single" w:color="auto" w:sz="6" w:space="0"/>
              <w:right w:val="single" w:color="auto" w:sz="6" w:space="0"/>
            </w:tcBorders>
            <w:vAlign w:val="center"/>
          </w:tcPr>
          <w:p w14:paraId="5CBA888F">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31FBC3DC">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4" w:space="0"/>
              <w:left w:val="single" w:color="auto" w:sz="6" w:space="0"/>
              <w:bottom w:val="single" w:color="auto" w:sz="6" w:space="0"/>
              <w:right w:val="single" w:color="auto" w:sz="6" w:space="0"/>
            </w:tcBorders>
            <w:vAlign w:val="center"/>
          </w:tcPr>
          <w:p w14:paraId="0BEE3DF5">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4" w:space="0"/>
              <w:left w:val="single" w:color="auto" w:sz="6" w:space="0"/>
              <w:bottom w:val="single" w:color="auto" w:sz="6" w:space="0"/>
              <w:right w:val="single" w:color="auto" w:sz="6" w:space="0"/>
            </w:tcBorders>
            <w:vAlign w:val="center"/>
          </w:tcPr>
          <w:p w14:paraId="3A1D11A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4" w:space="0"/>
              <w:left w:val="single" w:color="auto" w:sz="6" w:space="0"/>
              <w:bottom w:val="single" w:color="auto" w:sz="6" w:space="0"/>
              <w:right w:val="single" w:color="auto" w:sz="6" w:space="0"/>
            </w:tcBorders>
            <w:vAlign w:val="center"/>
          </w:tcPr>
          <w:p w14:paraId="13C7A735">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4FD4171">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57F8824">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C16595B">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2027BCD7">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BB2BE92">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4369EA3">
            <w:pPr>
              <w:wordWrap w:val="0"/>
              <w:adjustRightInd w:val="0"/>
              <w:snapToGrid w:val="0"/>
              <w:spacing w:line="240" w:lineRule="auto"/>
              <w:jc w:val="center"/>
              <w:rPr>
                <w:rFonts w:hAnsi="宋体" w:cs="宋体"/>
                <w:snapToGrid w:val="0"/>
                <w:color w:val="auto"/>
                <w:kern w:val="0"/>
                <w:sz w:val="21"/>
                <w:szCs w:val="21"/>
                <w:highlight w:val="none"/>
              </w:rPr>
            </w:pPr>
          </w:p>
        </w:tc>
      </w:tr>
      <w:tr w14:paraId="1F5412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C2CA6B5">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1425" w:type="dxa"/>
            <w:tcBorders>
              <w:top w:val="single" w:color="auto" w:sz="6" w:space="0"/>
              <w:left w:val="single" w:color="auto" w:sz="6" w:space="0"/>
              <w:bottom w:val="single" w:color="auto" w:sz="6" w:space="0"/>
              <w:right w:val="single" w:color="auto" w:sz="6" w:space="0"/>
            </w:tcBorders>
            <w:vAlign w:val="center"/>
          </w:tcPr>
          <w:p w14:paraId="736CC546">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13E67115">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4584ABE2">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372DA0C">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C2F686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D419AAE">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D160999">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2E8884AF">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060EC1BE">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D9D77D4">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6A1B50B">
            <w:pPr>
              <w:wordWrap w:val="0"/>
              <w:adjustRightInd w:val="0"/>
              <w:snapToGrid w:val="0"/>
              <w:spacing w:line="240" w:lineRule="auto"/>
              <w:jc w:val="center"/>
              <w:rPr>
                <w:rFonts w:hAnsi="宋体" w:cs="宋体"/>
                <w:snapToGrid w:val="0"/>
                <w:color w:val="auto"/>
                <w:kern w:val="0"/>
                <w:sz w:val="21"/>
                <w:szCs w:val="21"/>
                <w:highlight w:val="none"/>
              </w:rPr>
            </w:pPr>
          </w:p>
        </w:tc>
      </w:tr>
      <w:tr w14:paraId="3C102A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A9BE290">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1425" w:type="dxa"/>
            <w:tcBorders>
              <w:top w:val="single" w:color="auto" w:sz="6" w:space="0"/>
              <w:left w:val="single" w:color="auto" w:sz="6" w:space="0"/>
              <w:bottom w:val="single" w:color="auto" w:sz="6" w:space="0"/>
              <w:right w:val="single" w:color="auto" w:sz="6" w:space="0"/>
            </w:tcBorders>
            <w:vAlign w:val="center"/>
          </w:tcPr>
          <w:p w14:paraId="7995E14B">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35527CF5">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8F602C8">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5DDAFD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C4D91A3">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C49E475">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68FFC42F">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A63CEB8">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23687DC8">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4B942BAC">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914EA5D">
            <w:pPr>
              <w:wordWrap w:val="0"/>
              <w:adjustRightInd w:val="0"/>
              <w:snapToGrid w:val="0"/>
              <w:spacing w:line="240" w:lineRule="auto"/>
              <w:jc w:val="center"/>
              <w:rPr>
                <w:rFonts w:hAnsi="宋体" w:cs="宋体"/>
                <w:snapToGrid w:val="0"/>
                <w:color w:val="auto"/>
                <w:kern w:val="0"/>
                <w:sz w:val="21"/>
                <w:szCs w:val="21"/>
                <w:highlight w:val="none"/>
              </w:rPr>
            </w:pPr>
          </w:p>
        </w:tc>
      </w:tr>
      <w:tr w14:paraId="73820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A1EAEA4">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1425" w:type="dxa"/>
            <w:tcBorders>
              <w:top w:val="single" w:color="auto" w:sz="6" w:space="0"/>
              <w:left w:val="single" w:color="auto" w:sz="6" w:space="0"/>
              <w:bottom w:val="single" w:color="auto" w:sz="6" w:space="0"/>
              <w:right w:val="single" w:color="auto" w:sz="6" w:space="0"/>
            </w:tcBorders>
            <w:vAlign w:val="center"/>
          </w:tcPr>
          <w:p w14:paraId="60092A5F">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625FCA5">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0E50AC6">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74F60A3">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6A5ACAA">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349EA06">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4B88C05">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A619ECF">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13D3074C">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483AF75">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0B1532E">
            <w:pPr>
              <w:wordWrap w:val="0"/>
              <w:adjustRightInd w:val="0"/>
              <w:snapToGrid w:val="0"/>
              <w:spacing w:line="240" w:lineRule="auto"/>
              <w:jc w:val="center"/>
              <w:rPr>
                <w:rFonts w:hAnsi="宋体" w:cs="宋体"/>
                <w:snapToGrid w:val="0"/>
                <w:color w:val="auto"/>
                <w:kern w:val="0"/>
                <w:sz w:val="21"/>
                <w:szCs w:val="21"/>
                <w:highlight w:val="none"/>
              </w:rPr>
            </w:pPr>
          </w:p>
        </w:tc>
      </w:tr>
      <w:tr w14:paraId="6993A7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33784A2">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2E9A9D0">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3D8E0D0">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34EC958">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59AB011">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C3BF43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99A72FF">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0370960E">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3F5DC5EB">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08FEF6C">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3E8EF0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349B1CE">
            <w:pPr>
              <w:wordWrap w:val="0"/>
              <w:adjustRightInd w:val="0"/>
              <w:snapToGrid w:val="0"/>
              <w:spacing w:line="240" w:lineRule="auto"/>
              <w:jc w:val="center"/>
              <w:rPr>
                <w:rFonts w:hAnsi="宋体" w:cs="宋体"/>
                <w:snapToGrid w:val="0"/>
                <w:color w:val="auto"/>
                <w:kern w:val="0"/>
                <w:sz w:val="21"/>
                <w:szCs w:val="21"/>
                <w:highlight w:val="none"/>
              </w:rPr>
            </w:pPr>
          </w:p>
        </w:tc>
      </w:tr>
      <w:tr w14:paraId="4F6DB5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03D8243D">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E89DE1E">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023D5B0">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348EF215">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A64175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19791CA">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D4600AD">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38A28D5">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0A9D878">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BC42B3A">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48D4EC07">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BFC8312">
            <w:pPr>
              <w:wordWrap w:val="0"/>
              <w:adjustRightInd w:val="0"/>
              <w:snapToGrid w:val="0"/>
              <w:spacing w:line="240" w:lineRule="auto"/>
              <w:jc w:val="center"/>
              <w:rPr>
                <w:rFonts w:hAnsi="宋体" w:cs="宋体"/>
                <w:snapToGrid w:val="0"/>
                <w:color w:val="auto"/>
                <w:kern w:val="0"/>
                <w:sz w:val="21"/>
                <w:szCs w:val="21"/>
                <w:highlight w:val="none"/>
              </w:rPr>
            </w:pPr>
          </w:p>
        </w:tc>
      </w:tr>
      <w:tr w14:paraId="44EF13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013331B6">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A4B292A">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F1DCF16">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E07275A">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359266AD">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3702ABA">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B6F53D7">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254BE8C">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3DCA10D">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6302F49">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2B6D2EFA">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609D3659">
            <w:pPr>
              <w:wordWrap w:val="0"/>
              <w:adjustRightInd w:val="0"/>
              <w:snapToGrid w:val="0"/>
              <w:spacing w:line="240" w:lineRule="auto"/>
              <w:jc w:val="center"/>
              <w:rPr>
                <w:rFonts w:hAnsi="宋体" w:cs="宋体"/>
                <w:snapToGrid w:val="0"/>
                <w:color w:val="auto"/>
                <w:kern w:val="0"/>
                <w:sz w:val="21"/>
                <w:szCs w:val="21"/>
                <w:highlight w:val="none"/>
              </w:rPr>
            </w:pPr>
          </w:p>
        </w:tc>
      </w:tr>
      <w:tr w14:paraId="2FA5C0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6528D4A">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4502862">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77310916">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7A5F88F">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1FF269C4">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734A06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2B5F643">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33FCBAF1">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106BED5">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E027220">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24576BBC">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34D303E">
            <w:pPr>
              <w:wordWrap w:val="0"/>
              <w:adjustRightInd w:val="0"/>
              <w:snapToGrid w:val="0"/>
              <w:spacing w:line="240" w:lineRule="auto"/>
              <w:jc w:val="center"/>
              <w:rPr>
                <w:rFonts w:hAnsi="宋体" w:cs="宋体"/>
                <w:snapToGrid w:val="0"/>
                <w:color w:val="auto"/>
                <w:kern w:val="0"/>
                <w:sz w:val="21"/>
                <w:szCs w:val="21"/>
                <w:highlight w:val="none"/>
              </w:rPr>
            </w:pPr>
          </w:p>
        </w:tc>
      </w:tr>
      <w:tr w14:paraId="55063E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1EFEDC5">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2EAF9CA">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B18F1F7">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7C6C840">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8B25C36">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AE994BA">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5BDF7EC7">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B144E7E">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2490DE29">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1EA3F989">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14B323F">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4709796">
            <w:pPr>
              <w:wordWrap w:val="0"/>
              <w:adjustRightInd w:val="0"/>
              <w:snapToGrid w:val="0"/>
              <w:spacing w:line="240" w:lineRule="auto"/>
              <w:jc w:val="center"/>
              <w:rPr>
                <w:rFonts w:hAnsi="宋体" w:cs="宋体"/>
                <w:snapToGrid w:val="0"/>
                <w:color w:val="auto"/>
                <w:kern w:val="0"/>
                <w:sz w:val="21"/>
                <w:szCs w:val="21"/>
                <w:highlight w:val="none"/>
              </w:rPr>
            </w:pPr>
          </w:p>
        </w:tc>
        <w:bookmarkStart w:id="327" w:name="_附件二十五：综合评审合理低价法"/>
        <w:bookmarkStart w:id="328" w:name="_Hlt69116778"/>
        <w:bookmarkStart w:id="329" w:name="_附件十：单项工程费汇总表"/>
        <w:bookmarkStart w:id="330" w:name="_Hlt68774664"/>
        <w:bookmarkStart w:id="331" w:name="_附件二十四：技术标提问单"/>
      </w:tr>
      <w:bookmarkEnd w:id="324"/>
      <w:bookmarkEnd w:id="325"/>
      <w:bookmarkEnd w:id="327"/>
      <w:bookmarkEnd w:id="328"/>
      <w:bookmarkEnd w:id="329"/>
      <w:bookmarkEnd w:id="330"/>
      <w:bookmarkEnd w:id="331"/>
      <w:tr w14:paraId="7D64BF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23522AA">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7C149B2">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F1A71F1">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0C4BC8BB">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6E2AAF3A">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A254A5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71EA2DD5">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38C47199">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286BC7B4">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273A57F1">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32EDC35A">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7E512E2">
            <w:pPr>
              <w:wordWrap w:val="0"/>
              <w:adjustRightInd w:val="0"/>
              <w:snapToGrid w:val="0"/>
              <w:spacing w:line="240" w:lineRule="auto"/>
              <w:jc w:val="center"/>
              <w:rPr>
                <w:rFonts w:hAnsi="宋体" w:cs="宋体"/>
                <w:snapToGrid w:val="0"/>
                <w:color w:val="auto"/>
                <w:kern w:val="0"/>
                <w:sz w:val="21"/>
                <w:szCs w:val="21"/>
                <w:highlight w:val="none"/>
              </w:rPr>
            </w:pPr>
          </w:p>
        </w:tc>
      </w:tr>
    </w:tbl>
    <w:p w14:paraId="1B6E2434">
      <w:pPr>
        <w:pStyle w:val="73"/>
        <w:widowControl w:val="0"/>
        <w:wordWrap w:val="0"/>
        <w:adjustRightInd w:val="0"/>
        <w:snapToGrid w:val="0"/>
        <w:spacing w:line="400" w:lineRule="exact"/>
        <w:rPr>
          <w:rFonts w:hAnsi="宋体" w:cs="宋体"/>
          <w:snapToGrid w:val="0"/>
          <w:color w:val="auto"/>
          <w:sz w:val="21"/>
          <w:highlight w:val="none"/>
        </w:rPr>
      </w:pPr>
      <w:r>
        <w:rPr>
          <w:rFonts w:hint="eastAsia" w:hAnsi="宋体" w:cs="宋体"/>
          <w:snapToGrid w:val="0"/>
          <w:color w:val="auto"/>
          <w:sz w:val="21"/>
          <w:highlight w:val="none"/>
        </w:rPr>
        <w:t>说明：</w:t>
      </w:r>
    </w:p>
    <w:p w14:paraId="053126A2">
      <w:pPr>
        <w:pStyle w:val="73"/>
        <w:widowControl w:val="0"/>
        <w:wordWrap w:val="0"/>
        <w:adjustRightInd w:val="0"/>
        <w:snapToGrid w:val="0"/>
        <w:spacing w:line="400" w:lineRule="exact"/>
        <w:rPr>
          <w:rFonts w:hAnsi="宋体" w:cs="宋体"/>
          <w:snapToGrid w:val="0"/>
          <w:color w:val="auto"/>
          <w:sz w:val="21"/>
          <w:highlight w:val="none"/>
        </w:rPr>
        <w:sectPr>
          <w:endnotePr>
            <w:numFmt w:val="decimal"/>
          </w:endnotePr>
          <w:pgSz w:w="16838" w:h="11906" w:orient="landscape"/>
          <w:pgMar w:top="1417" w:right="1417" w:bottom="1417" w:left="1417" w:header="850" w:footer="992" w:gutter="0"/>
          <w:cols w:space="0" w:num="1"/>
          <w:docGrid w:linePitch="327" w:charSpace="0"/>
        </w:sectPr>
      </w:pPr>
      <w:r>
        <w:rPr>
          <w:rFonts w:hint="eastAsia" w:hAnsi="宋体" w:cs="宋体"/>
          <w:snapToGrid w:val="0"/>
          <w:color w:val="auto"/>
          <w:sz w:val="21"/>
          <w:highlight w:val="none"/>
        </w:rPr>
        <w:t>1</w:t>
      </w:r>
      <w:r>
        <w:rPr>
          <w:rFonts w:hint="eastAsia" w:hAnsi="宋体" w:cs="宋体"/>
          <w:snapToGrid w:val="0"/>
          <w:color w:val="auto"/>
          <w:sz w:val="21"/>
          <w:szCs w:val="28"/>
          <w:highlight w:val="none"/>
        </w:rPr>
        <w:t>．表中没有或无法填写的栏目，用</w:t>
      </w:r>
      <w:r>
        <w:rPr>
          <w:rFonts w:hint="eastAsia" w:hAnsi="宋体" w:cs="宋体"/>
          <w:snapToGrid w:val="0"/>
          <w:color w:val="auto"/>
          <w:sz w:val="21"/>
          <w:highlight w:val="none"/>
        </w:rPr>
        <w:t>“/”示意。</w:t>
      </w:r>
      <w:bookmarkEnd w:id="299"/>
      <w:bookmarkEnd w:id="300"/>
      <w:bookmarkEnd w:id="301"/>
      <w:bookmarkEnd w:id="302"/>
    </w:p>
    <w:p w14:paraId="6BC28A7D">
      <w:pPr>
        <w:pStyle w:val="149"/>
        <w:keepNext/>
        <w:keepLines/>
        <w:snapToGrid w:val="0"/>
        <w:spacing w:line="400" w:lineRule="exact"/>
        <w:jc w:val="both"/>
        <w:rPr>
          <w:rFonts w:ascii="宋体" w:hAnsi="宋体" w:cs="宋体"/>
          <w:b/>
          <w:bCs/>
          <w:snapToGrid w:val="0"/>
          <w:color w:val="auto"/>
          <w:highlight w:val="none"/>
        </w:rPr>
      </w:pPr>
      <w:bookmarkStart w:id="332" w:name="_Toc24916"/>
      <w:bookmarkStart w:id="333" w:name="_Toc23185"/>
      <w:r>
        <w:rPr>
          <w:rFonts w:hint="eastAsia" w:ascii="宋体" w:hAnsi="宋体" w:cs="宋体"/>
          <w:b/>
          <w:bCs/>
          <w:snapToGrid w:val="0"/>
          <w:color w:val="auto"/>
          <w:highlight w:val="none"/>
        </w:rPr>
        <w:t>格式十一 总监理工程师简历表</w:t>
      </w:r>
      <w:bookmarkEnd w:id="332"/>
      <w:bookmarkEnd w:id="333"/>
    </w:p>
    <w:p w14:paraId="4962B08F">
      <w:pPr>
        <w:adjustRightInd w:val="0"/>
        <w:snapToGrid w:val="0"/>
        <w:spacing w:line="400" w:lineRule="exact"/>
        <w:jc w:val="center"/>
        <w:rPr>
          <w:rFonts w:hAnsi="宋体" w:cs="宋体"/>
          <w:b/>
          <w:bCs/>
          <w:color w:val="auto"/>
          <w:sz w:val="32"/>
          <w:szCs w:val="22"/>
          <w:highlight w:val="none"/>
        </w:rPr>
      </w:pPr>
    </w:p>
    <w:p w14:paraId="5EF3711A">
      <w:pPr>
        <w:adjustRightInd w:val="0"/>
        <w:snapToGrid w:val="0"/>
        <w:spacing w:line="400" w:lineRule="exact"/>
        <w:jc w:val="center"/>
        <w:rPr>
          <w:rFonts w:hAnsi="宋体" w:cs="宋体"/>
          <w:b/>
          <w:bCs/>
          <w:color w:val="auto"/>
          <w:sz w:val="32"/>
          <w:szCs w:val="22"/>
          <w:highlight w:val="none"/>
        </w:rPr>
      </w:pPr>
      <w:r>
        <w:rPr>
          <w:rFonts w:hint="eastAsia" w:hAnsi="宋体" w:cs="宋体"/>
          <w:b/>
          <w:bCs/>
          <w:color w:val="auto"/>
          <w:sz w:val="32"/>
          <w:szCs w:val="22"/>
          <w:highlight w:val="none"/>
        </w:rPr>
        <w:t>总监理工程师简历表</w:t>
      </w:r>
    </w:p>
    <w:tbl>
      <w:tblPr>
        <w:tblStyle w:val="3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3C716A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B98823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6FCF7171">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520D48D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2CDAA7F1">
            <w:pPr>
              <w:wordWrap w:val="0"/>
              <w:adjustRightInd w:val="0"/>
              <w:snapToGrid w:val="0"/>
              <w:spacing w:line="400" w:lineRule="exact"/>
              <w:jc w:val="center"/>
              <w:rPr>
                <w:rFonts w:hAnsi="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0E05527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6E82B1FC">
            <w:pPr>
              <w:wordWrap w:val="0"/>
              <w:adjustRightInd w:val="0"/>
              <w:snapToGrid w:val="0"/>
              <w:spacing w:line="400" w:lineRule="exact"/>
              <w:jc w:val="center"/>
              <w:rPr>
                <w:rFonts w:hAnsi="宋体" w:cs="宋体"/>
                <w:snapToGrid w:val="0"/>
                <w:color w:val="auto"/>
                <w:kern w:val="0"/>
                <w:sz w:val="21"/>
                <w:szCs w:val="21"/>
                <w:highlight w:val="none"/>
              </w:rPr>
            </w:pPr>
          </w:p>
        </w:tc>
      </w:tr>
      <w:tr w14:paraId="1865D3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8D2296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5D150535">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4AF9C8E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6ABEDA22">
            <w:pPr>
              <w:wordWrap w:val="0"/>
              <w:adjustRightInd w:val="0"/>
              <w:snapToGrid w:val="0"/>
              <w:spacing w:line="400" w:lineRule="exact"/>
              <w:jc w:val="center"/>
              <w:rPr>
                <w:rFonts w:hAnsi="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7D5305F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23A580F5">
            <w:pPr>
              <w:wordWrap w:val="0"/>
              <w:adjustRightInd w:val="0"/>
              <w:snapToGrid w:val="0"/>
              <w:spacing w:line="400" w:lineRule="exact"/>
              <w:jc w:val="center"/>
              <w:rPr>
                <w:rFonts w:hAnsi="宋体" w:cs="宋体"/>
                <w:snapToGrid w:val="0"/>
                <w:color w:val="auto"/>
                <w:kern w:val="0"/>
                <w:sz w:val="21"/>
                <w:szCs w:val="21"/>
                <w:highlight w:val="none"/>
              </w:rPr>
            </w:pPr>
          </w:p>
        </w:tc>
      </w:tr>
      <w:tr w14:paraId="25C8A9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4C59F26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0216DC1A">
            <w:pPr>
              <w:wordWrap w:val="0"/>
              <w:adjustRightInd w:val="0"/>
              <w:snapToGrid w:val="0"/>
              <w:spacing w:line="400" w:lineRule="exact"/>
              <w:jc w:val="center"/>
              <w:rPr>
                <w:rFonts w:hAnsi="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4ABFB27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395AC6D5">
            <w:pPr>
              <w:wordWrap w:val="0"/>
              <w:adjustRightInd w:val="0"/>
              <w:snapToGrid w:val="0"/>
              <w:spacing w:line="400" w:lineRule="exact"/>
              <w:jc w:val="center"/>
              <w:rPr>
                <w:rFonts w:hAnsi="宋体" w:cs="宋体"/>
                <w:snapToGrid w:val="0"/>
                <w:color w:val="auto"/>
                <w:kern w:val="0"/>
                <w:sz w:val="21"/>
                <w:szCs w:val="21"/>
                <w:highlight w:val="none"/>
              </w:rPr>
            </w:pPr>
          </w:p>
        </w:tc>
      </w:tr>
      <w:tr w14:paraId="248F1B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041392D">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16283542">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名称：                               证书号：</w:t>
            </w:r>
          </w:p>
        </w:tc>
      </w:tr>
      <w:tr w14:paraId="5B8378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05FDC20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主要工作经历</w:t>
            </w:r>
          </w:p>
        </w:tc>
      </w:tr>
      <w:tr w14:paraId="65AA07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1B749EA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E8ABE29">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6AFC6C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E47C7C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8795F6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起止时间</w:t>
            </w:r>
          </w:p>
        </w:tc>
      </w:tr>
      <w:tr w14:paraId="09F3E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1927007E">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7786A6C">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619B4EE">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3DF9714">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9DF401F">
            <w:pPr>
              <w:wordWrap w:val="0"/>
              <w:adjustRightInd w:val="0"/>
              <w:snapToGrid w:val="0"/>
              <w:spacing w:line="400" w:lineRule="exact"/>
              <w:jc w:val="center"/>
              <w:rPr>
                <w:rFonts w:hAnsi="宋体" w:cs="宋体"/>
                <w:snapToGrid w:val="0"/>
                <w:color w:val="auto"/>
                <w:kern w:val="0"/>
                <w:sz w:val="21"/>
                <w:szCs w:val="21"/>
                <w:highlight w:val="none"/>
              </w:rPr>
            </w:pPr>
          </w:p>
        </w:tc>
      </w:tr>
      <w:tr w14:paraId="0AF73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1F91B9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54CC9A0C">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7398055">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3387C1BB">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6B5F180E">
            <w:pPr>
              <w:wordWrap w:val="0"/>
              <w:adjustRightInd w:val="0"/>
              <w:snapToGrid w:val="0"/>
              <w:spacing w:line="400" w:lineRule="exact"/>
              <w:jc w:val="center"/>
              <w:rPr>
                <w:rFonts w:hAnsi="宋体" w:cs="宋体"/>
                <w:snapToGrid w:val="0"/>
                <w:color w:val="auto"/>
                <w:kern w:val="0"/>
                <w:sz w:val="21"/>
                <w:szCs w:val="21"/>
                <w:highlight w:val="none"/>
              </w:rPr>
            </w:pPr>
          </w:p>
        </w:tc>
      </w:tr>
      <w:tr w14:paraId="3F0EAF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636E7D5">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CA4F6DA">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6CB761D">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785D5F8">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C0892AE">
            <w:pPr>
              <w:wordWrap w:val="0"/>
              <w:adjustRightInd w:val="0"/>
              <w:snapToGrid w:val="0"/>
              <w:spacing w:line="400" w:lineRule="exact"/>
              <w:jc w:val="center"/>
              <w:rPr>
                <w:rFonts w:hAnsi="宋体" w:cs="宋体"/>
                <w:snapToGrid w:val="0"/>
                <w:color w:val="auto"/>
                <w:kern w:val="0"/>
                <w:sz w:val="21"/>
                <w:szCs w:val="21"/>
                <w:highlight w:val="none"/>
              </w:rPr>
            </w:pPr>
          </w:p>
        </w:tc>
      </w:tr>
      <w:tr w14:paraId="6ECB5E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9A6B7B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80A4C25">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0BBBDD2F">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D74E60A">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5B20825A">
            <w:pPr>
              <w:wordWrap w:val="0"/>
              <w:adjustRightInd w:val="0"/>
              <w:snapToGrid w:val="0"/>
              <w:spacing w:line="400" w:lineRule="exact"/>
              <w:jc w:val="center"/>
              <w:rPr>
                <w:rFonts w:hAnsi="宋体" w:cs="宋体"/>
                <w:snapToGrid w:val="0"/>
                <w:color w:val="auto"/>
                <w:kern w:val="0"/>
                <w:sz w:val="21"/>
                <w:szCs w:val="21"/>
                <w:highlight w:val="none"/>
              </w:rPr>
            </w:pPr>
          </w:p>
        </w:tc>
      </w:tr>
    </w:tbl>
    <w:p w14:paraId="1B24FCDC">
      <w:pPr>
        <w:adjustRightInd w:val="0"/>
        <w:snapToGrid w:val="0"/>
        <w:spacing w:line="400" w:lineRule="exact"/>
        <w:rPr>
          <w:rFonts w:hAnsi="宋体" w:cs="宋体"/>
          <w:color w:val="auto"/>
          <w:highlight w:val="none"/>
        </w:rPr>
      </w:pPr>
    </w:p>
    <w:p w14:paraId="4A5D44F0">
      <w:pPr>
        <w:pStyle w:val="74"/>
        <w:wordWrap w:val="0"/>
        <w:adjustRightInd w:val="0"/>
        <w:snapToGrid w:val="0"/>
        <w:spacing w:line="400" w:lineRule="exact"/>
        <w:jc w:val="right"/>
        <w:rPr>
          <w:rFonts w:hAnsi="宋体" w:cs="宋体"/>
          <w:snapToGrid w:val="0"/>
          <w:color w:val="auto"/>
          <w:kern w:val="0"/>
          <w:highlight w:val="none"/>
        </w:rPr>
      </w:pPr>
    </w:p>
    <w:p w14:paraId="444F8E8B">
      <w:pPr>
        <w:pStyle w:val="74"/>
        <w:wordWrap w:val="0"/>
        <w:adjustRightInd w:val="0"/>
        <w:snapToGrid w:val="0"/>
        <w:spacing w:line="400" w:lineRule="exact"/>
        <w:jc w:val="right"/>
        <w:rPr>
          <w:rFonts w:hAnsi="宋体" w:cs="宋体"/>
          <w:snapToGrid w:val="0"/>
          <w:color w:val="auto"/>
          <w:kern w:val="0"/>
          <w:highlight w:val="none"/>
        </w:rPr>
      </w:pPr>
      <w:r>
        <w:rPr>
          <w:rFonts w:hint="eastAsia" w:hAnsi="宋体" w:cs="宋体"/>
          <w:snapToGrid w:val="0"/>
          <w:color w:val="auto"/>
          <w:kern w:val="0"/>
          <w:highlight w:val="none"/>
        </w:rPr>
        <w:t>总监理工程师：</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（签字）</w:t>
      </w:r>
    </w:p>
    <w:p w14:paraId="4118ABC3">
      <w:pPr>
        <w:pStyle w:val="74"/>
        <w:wordWrap w:val="0"/>
        <w:adjustRightInd w:val="0"/>
        <w:snapToGrid w:val="0"/>
        <w:spacing w:line="400" w:lineRule="exact"/>
        <w:jc w:val="center"/>
        <w:rPr>
          <w:rFonts w:hAnsi="宋体" w:cs="宋体"/>
          <w:snapToGrid w:val="0"/>
          <w:color w:val="auto"/>
          <w:kern w:val="0"/>
          <w:highlight w:val="none"/>
        </w:rPr>
      </w:pPr>
      <w:r>
        <w:rPr>
          <w:rFonts w:hint="eastAsia" w:hAnsi="宋体" w:cs="宋体"/>
          <w:snapToGrid w:val="0"/>
          <w:color w:val="auto"/>
          <w:kern w:val="0"/>
          <w:highlight w:val="none"/>
        </w:rPr>
        <w:t xml:space="preserve">                                     </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年</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月</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日</w:t>
      </w:r>
    </w:p>
    <w:p w14:paraId="66BED10F">
      <w:pPr>
        <w:wordWrap w:val="0"/>
        <w:adjustRightInd w:val="0"/>
        <w:snapToGrid w:val="0"/>
        <w:spacing w:line="400" w:lineRule="exact"/>
        <w:ind w:firstLine="570"/>
        <w:rPr>
          <w:rFonts w:hAnsi="宋体" w:cs="宋体"/>
          <w:snapToGrid w:val="0"/>
          <w:color w:val="auto"/>
          <w:kern w:val="0"/>
          <w:szCs w:val="28"/>
          <w:highlight w:val="none"/>
        </w:rPr>
      </w:pPr>
    </w:p>
    <w:p w14:paraId="27624572">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说明：《总监理工程师简历表》后应附拟派总监理工程师以下资料：</w:t>
      </w:r>
    </w:p>
    <w:p w14:paraId="462FC7D5">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1．身份证彩色扫描件；</w:t>
      </w:r>
    </w:p>
    <w:p w14:paraId="2DEF84B1">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2．监理工程师注册证书彩色扫描件（须彩色扫描至变更注册栏）</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r>
        <w:rPr>
          <w:rFonts w:hint="eastAsia" w:hAnsi="宋体" w:cs="宋体"/>
          <w:snapToGrid w:val="0"/>
          <w:color w:val="auto"/>
          <w:kern w:val="0"/>
          <w:sz w:val="21"/>
          <w:szCs w:val="28"/>
          <w:highlight w:val="none"/>
        </w:rPr>
        <w:t>；</w:t>
      </w:r>
    </w:p>
    <w:p w14:paraId="5FB8B9CE">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3．</w:t>
      </w:r>
      <w:r>
        <w:rPr>
          <w:rFonts w:hint="eastAsia" w:ascii="宋体" w:hAnsi="宋体" w:eastAsia="宋体" w:cs="宋体"/>
          <w:caps w:val="0"/>
          <w:smallCaps w:val="0"/>
          <w:snapToGrid w:val="0"/>
          <w:color w:val="auto"/>
          <w:spacing w:val="0"/>
          <w:kern w:val="0"/>
          <w:sz w:val="21"/>
          <w:szCs w:val="28"/>
          <w:highlight w:val="none"/>
          <w:lang w:val="en-US" w:eastAsia="zh-CN"/>
        </w:rPr>
        <w:t>在本单位缴纳社保的证明（至少一个月，其中必须有202</w:t>
      </w:r>
      <w:r>
        <w:rPr>
          <w:rFonts w:hint="eastAsia" w:hAnsi="宋体" w:cs="宋体"/>
          <w:caps w:val="0"/>
          <w:smallCaps w:val="0"/>
          <w:snapToGrid w:val="0"/>
          <w:color w:val="auto"/>
          <w:spacing w:val="0"/>
          <w:kern w:val="0"/>
          <w:sz w:val="21"/>
          <w:szCs w:val="28"/>
          <w:highlight w:val="none"/>
          <w:lang w:val="en-US" w:eastAsia="zh-CN"/>
        </w:rPr>
        <w:t>6</w:t>
      </w:r>
      <w:r>
        <w:rPr>
          <w:rFonts w:hint="eastAsia" w:ascii="宋体" w:hAnsi="宋体" w:eastAsia="宋体" w:cs="宋体"/>
          <w:caps w:val="0"/>
          <w:smallCaps w:val="0"/>
          <w:snapToGrid w:val="0"/>
          <w:color w:val="auto"/>
          <w:spacing w:val="0"/>
          <w:kern w:val="0"/>
          <w:sz w:val="21"/>
          <w:szCs w:val="28"/>
          <w:highlight w:val="none"/>
          <w:lang w:val="en-US" w:eastAsia="zh-CN"/>
        </w:rPr>
        <w:t>年</w:t>
      </w:r>
      <w:r>
        <w:rPr>
          <w:rFonts w:hint="eastAsia" w:hAnsi="宋体" w:cs="宋体"/>
          <w:caps w:val="0"/>
          <w:smallCaps w:val="0"/>
          <w:snapToGrid w:val="0"/>
          <w:color w:val="auto"/>
          <w:spacing w:val="0"/>
          <w:kern w:val="0"/>
          <w:sz w:val="21"/>
          <w:szCs w:val="28"/>
          <w:highlight w:val="none"/>
          <w:lang w:val="en-US" w:eastAsia="zh-CN"/>
        </w:rPr>
        <w:t>8</w:t>
      </w:r>
      <w:r>
        <w:rPr>
          <w:rFonts w:hint="eastAsia" w:ascii="宋体" w:hAnsi="宋体" w:eastAsia="宋体" w:cs="宋体"/>
          <w:caps w:val="0"/>
          <w:smallCaps w:val="0"/>
          <w:snapToGrid w:val="0"/>
          <w:color w:val="auto"/>
          <w:spacing w:val="0"/>
          <w:kern w:val="0"/>
          <w:sz w:val="21"/>
          <w:szCs w:val="28"/>
          <w:highlight w:val="none"/>
          <w:lang w:val="en-US" w:eastAsia="zh-CN"/>
        </w:rPr>
        <w:t>月）彩色扫描件。</w:t>
      </w:r>
    </w:p>
    <w:p w14:paraId="7329B617">
      <w:pPr>
        <w:pStyle w:val="9"/>
        <w:snapToGrid w:val="0"/>
        <w:spacing w:line="400" w:lineRule="exact"/>
        <w:ind w:firstLine="420" w:firstLineChars="200"/>
        <w:rPr>
          <w:rFonts w:hAnsi="宋体" w:cs="宋体"/>
          <w:snapToGrid w:val="0"/>
          <w:color w:val="auto"/>
          <w:sz w:val="21"/>
          <w:highlight w:val="none"/>
        </w:rPr>
      </w:pPr>
      <w:r>
        <w:rPr>
          <w:rFonts w:hint="eastAsia" w:hAnsi="宋体" w:cs="宋体"/>
          <w:snapToGrid w:val="0"/>
          <w:color w:val="auto"/>
          <w:sz w:val="21"/>
          <w:highlight w:val="none"/>
        </w:rPr>
        <w:t>4.“进粤企业和人员诚信信息登记平台”个人（总监理工程师等）信息情况截图。（适用于省外建筑企业）</w:t>
      </w:r>
    </w:p>
    <w:p w14:paraId="73C3B4C3">
      <w:pPr>
        <w:pStyle w:val="9"/>
        <w:snapToGrid w:val="0"/>
        <w:spacing w:line="400" w:lineRule="exact"/>
        <w:rPr>
          <w:rFonts w:hAnsi="宋体" w:cs="宋体"/>
          <w:snapToGrid w:val="0"/>
          <w:color w:val="auto"/>
          <w:sz w:val="21"/>
          <w:highlight w:val="none"/>
        </w:rPr>
      </w:pPr>
    </w:p>
    <w:p w14:paraId="0F4A7451">
      <w:pPr>
        <w:adjustRightInd w:val="0"/>
        <w:snapToGrid w:val="0"/>
        <w:spacing w:line="400" w:lineRule="exact"/>
        <w:rPr>
          <w:rFonts w:hAnsi="宋体" w:cs="宋体"/>
          <w:b/>
          <w:bCs/>
          <w:snapToGrid w:val="0"/>
          <w:color w:val="auto"/>
          <w:kern w:val="0"/>
          <w:szCs w:val="24"/>
          <w:highlight w:val="none"/>
        </w:rPr>
      </w:pPr>
      <w:bookmarkStart w:id="334" w:name="_Toc19546"/>
      <w:r>
        <w:rPr>
          <w:rFonts w:hint="eastAsia" w:hAnsi="宋体" w:cs="宋体"/>
          <w:b/>
          <w:bCs/>
          <w:snapToGrid w:val="0"/>
          <w:color w:val="auto"/>
          <w:kern w:val="0"/>
          <w:szCs w:val="24"/>
          <w:highlight w:val="none"/>
        </w:rPr>
        <w:br w:type="page"/>
      </w:r>
    </w:p>
    <w:p w14:paraId="7DCA4700">
      <w:pPr>
        <w:pStyle w:val="149"/>
        <w:keepNext/>
        <w:keepLines/>
        <w:snapToGrid w:val="0"/>
        <w:spacing w:line="400" w:lineRule="exact"/>
        <w:jc w:val="both"/>
        <w:rPr>
          <w:rFonts w:ascii="宋体" w:hAnsi="宋体" w:cs="宋体"/>
          <w:b/>
          <w:bCs/>
          <w:snapToGrid w:val="0"/>
          <w:color w:val="auto"/>
          <w:highlight w:val="none"/>
        </w:rPr>
      </w:pPr>
      <w:bookmarkStart w:id="335" w:name="_Toc26946"/>
      <w:r>
        <w:rPr>
          <w:rFonts w:hint="eastAsia" w:ascii="宋体" w:hAnsi="宋体" w:cs="宋体"/>
          <w:b/>
          <w:bCs/>
          <w:snapToGrid w:val="0"/>
          <w:color w:val="auto"/>
          <w:highlight w:val="none"/>
        </w:rPr>
        <w:t>格式十二 其他拟派人员简历表</w:t>
      </w:r>
      <w:bookmarkEnd w:id="334"/>
      <w:bookmarkEnd w:id="335"/>
    </w:p>
    <w:p w14:paraId="0A687ECA">
      <w:pPr>
        <w:adjustRightInd w:val="0"/>
        <w:snapToGrid w:val="0"/>
        <w:spacing w:line="400" w:lineRule="exact"/>
        <w:jc w:val="center"/>
        <w:rPr>
          <w:rFonts w:hAnsi="宋体" w:cs="宋体"/>
          <w:b/>
          <w:bCs/>
          <w:color w:val="auto"/>
          <w:sz w:val="32"/>
          <w:szCs w:val="22"/>
          <w:highlight w:val="none"/>
        </w:rPr>
      </w:pPr>
    </w:p>
    <w:p w14:paraId="4E123040">
      <w:pPr>
        <w:adjustRightInd w:val="0"/>
        <w:snapToGrid w:val="0"/>
        <w:spacing w:line="400" w:lineRule="exact"/>
        <w:jc w:val="center"/>
        <w:rPr>
          <w:rFonts w:hAnsi="宋体" w:cs="宋体"/>
          <w:b/>
          <w:bCs/>
          <w:color w:val="auto"/>
          <w:sz w:val="32"/>
          <w:szCs w:val="22"/>
          <w:highlight w:val="none"/>
        </w:rPr>
      </w:pPr>
      <w:r>
        <w:rPr>
          <w:rFonts w:hint="eastAsia" w:hAnsi="宋体" w:cs="宋体"/>
          <w:b/>
          <w:bCs/>
          <w:color w:val="auto"/>
          <w:sz w:val="32"/>
          <w:szCs w:val="22"/>
          <w:highlight w:val="none"/>
        </w:rPr>
        <w:t>其他拟派人员简历表（）</w:t>
      </w:r>
    </w:p>
    <w:tbl>
      <w:tblPr>
        <w:tblStyle w:val="3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151AC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076896A">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13651822">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6E8A79B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01AEF1FF">
            <w:pPr>
              <w:wordWrap w:val="0"/>
              <w:adjustRightInd w:val="0"/>
              <w:snapToGrid w:val="0"/>
              <w:spacing w:line="400" w:lineRule="exact"/>
              <w:jc w:val="center"/>
              <w:rPr>
                <w:rFonts w:hAnsi="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579C66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07FB2003">
            <w:pPr>
              <w:wordWrap w:val="0"/>
              <w:adjustRightInd w:val="0"/>
              <w:snapToGrid w:val="0"/>
              <w:spacing w:line="400" w:lineRule="exact"/>
              <w:jc w:val="center"/>
              <w:rPr>
                <w:rFonts w:hAnsi="宋体" w:cs="宋体"/>
                <w:snapToGrid w:val="0"/>
                <w:color w:val="auto"/>
                <w:kern w:val="0"/>
                <w:sz w:val="21"/>
                <w:szCs w:val="21"/>
                <w:highlight w:val="none"/>
              </w:rPr>
            </w:pPr>
          </w:p>
        </w:tc>
      </w:tr>
      <w:tr w14:paraId="55E3C2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DE246E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049705F3">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3BDA67A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3164D296">
            <w:pPr>
              <w:wordWrap w:val="0"/>
              <w:adjustRightInd w:val="0"/>
              <w:snapToGrid w:val="0"/>
              <w:spacing w:line="400" w:lineRule="exact"/>
              <w:jc w:val="center"/>
              <w:rPr>
                <w:rFonts w:hAnsi="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E73649E">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53AE8376">
            <w:pPr>
              <w:wordWrap w:val="0"/>
              <w:adjustRightInd w:val="0"/>
              <w:snapToGrid w:val="0"/>
              <w:spacing w:line="400" w:lineRule="exact"/>
              <w:jc w:val="center"/>
              <w:rPr>
                <w:rFonts w:hAnsi="宋体" w:cs="宋体"/>
                <w:snapToGrid w:val="0"/>
                <w:color w:val="auto"/>
                <w:kern w:val="0"/>
                <w:sz w:val="21"/>
                <w:szCs w:val="21"/>
                <w:highlight w:val="none"/>
              </w:rPr>
            </w:pPr>
          </w:p>
        </w:tc>
      </w:tr>
      <w:tr w14:paraId="1B0E93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968424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13474AEE">
            <w:pPr>
              <w:wordWrap w:val="0"/>
              <w:adjustRightInd w:val="0"/>
              <w:snapToGrid w:val="0"/>
              <w:spacing w:line="400" w:lineRule="exact"/>
              <w:jc w:val="center"/>
              <w:rPr>
                <w:rFonts w:hAnsi="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17C2767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2D7AFC4E">
            <w:pPr>
              <w:wordWrap w:val="0"/>
              <w:adjustRightInd w:val="0"/>
              <w:snapToGrid w:val="0"/>
              <w:spacing w:line="400" w:lineRule="exact"/>
              <w:jc w:val="center"/>
              <w:rPr>
                <w:rFonts w:hAnsi="宋体" w:cs="宋体"/>
                <w:snapToGrid w:val="0"/>
                <w:color w:val="auto"/>
                <w:kern w:val="0"/>
                <w:sz w:val="21"/>
                <w:szCs w:val="21"/>
                <w:highlight w:val="none"/>
              </w:rPr>
            </w:pPr>
          </w:p>
        </w:tc>
      </w:tr>
      <w:tr w14:paraId="194D10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C36F9E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68838D1C">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1"/>
                <w:highlight w:val="none"/>
              </w:rPr>
              <w:t>名称：                               证书号：</w:t>
            </w:r>
          </w:p>
          <w:p w14:paraId="27812708">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1"/>
                <w:highlight w:val="none"/>
              </w:rPr>
              <w:t>名称：                               证书号：</w:t>
            </w:r>
          </w:p>
          <w:p w14:paraId="4D290D2F">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r>
              <w:rPr>
                <w:rFonts w:hint="eastAsia" w:hAnsi="宋体" w:cs="宋体"/>
                <w:snapToGrid w:val="0"/>
                <w:color w:val="auto"/>
                <w:kern w:val="0"/>
                <w:sz w:val="21"/>
                <w:szCs w:val="28"/>
                <w:highlight w:val="none"/>
              </w:rPr>
              <w:t>．……</w:t>
            </w:r>
          </w:p>
        </w:tc>
      </w:tr>
      <w:tr w14:paraId="62BD55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33F5543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主要工作经历</w:t>
            </w:r>
          </w:p>
        </w:tc>
      </w:tr>
      <w:tr w14:paraId="62544C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DD835F4">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D93D55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7D08D785">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C5840B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11911D9">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起止时间</w:t>
            </w:r>
          </w:p>
        </w:tc>
      </w:tr>
      <w:tr w14:paraId="115DA1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3851013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3086F9A">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00569463">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8F297C1">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1AB842B">
            <w:pPr>
              <w:wordWrap w:val="0"/>
              <w:adjustRightInd w:val="0"/>
              <w:snapToGrid w:val="0"/>
              <w:spacing w:line="400" w:lineRule="exact"/>
              <w:jc w:val="center"/>
              <w:rPr>
                <w:rFonts w:hAnsi="宋体" w:cs="宋体"/>
                <w:snapToGrid w:val="0"/>
                <w:color w:val="auto"/>
                <w:kern w:val="0"/>
                <w:sz w:val="21"/>
                <w:szCs w:val="21"/>
                <w:highlight w:val="none"/>
              </w:rPr>
            </w:pPr>
          </w:p>
        </w:tc>
      </w:tr>
      <w:tr w14:paraId="2FB95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696CDE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5ADEFC59">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DA21F77">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4A83B31E">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95BB19A">
            <w:pPr>
              <w:wordWrap w:val="0"/>
              <w:adjustRightInd w:val="0"/>
              <w:snapToGrid w:val="0"/>
              <w:spacing w:line="400" w:lineRule="exact"/>
              <w:jc w:val="center"/>
              <w:rPr>
                <w:rFonts w:hAnsi="宋体" w:cs="宋体"/>
                <w:snapToGrid w:val="0"/>
                <w:color w:val="auto"/>
                <w:kern w:val="0"/>
                <w:sz w:val="21"/>
                <w:szCs w:val="21"/>
                <w:highlight w:val="none"/>
              </w:rPr>
            </w:pPr>
          </w:p>
        </w:tc>
      </w:tr>
      <w:tr w14:paraId="0E15EA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7301506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86DCD5F">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B943244">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AC5241C">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CC63B59">
            <w:pPr>
              <w:wordWrap w:val="0"/>
              <w:adjustRightInd w:val="0"/>
              <w:snapToGrid w:val="0"/>
              <w:spacing w:line="400" w:lineRule="exact"/>
              <w:jc w:val="center"/>
              <w:rPr>
                <w:rFonts w:hAnsi="宋体" w:cs="宋体"/>
                <w:snapToGrid w:val="0"/>
                <w:color w:val="auto"/>
                <w:kern w:val="0"/>
                <w:sz w:val="21"/>
                <w:szCs w:val="21"/>
                <w:highlight w:val="none"/>
              </w:rPr>
            </w:pPr>
          </w:p>
        </w:tc>
      </w:tr>
      <w:tr w14:paraId="177668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6E4E0939">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936D2AD">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8316A18">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CE55488">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A821659">
            <w:pPr>
              <w:wordWrap w:val="0"/>
              <w:adjustRightInd w:val="0"/>
              <w:snapToGrid w:val="0"/>
              <w:spacing w:line="400" w:lineRule="exact"/>
              <w:jc w:val="center"/>
              <w:rPr>
                <w:rFonts w:hAnsi="宋体" w:cs="宋体"/>
                <w:snapToGrid w:val="0"/>
                <w:color w:val="auto"/>
                <w:kern w:val="0"/>
                <w:sz w:val="21"/>
                <w:szCs w:val="21"/>
                <w:highlight w:val="none"/>
              </w:rPr>
            </w:pPr>
          </w:p>
        </w:tc>
      </w:tr>
    </w:tbl>
    <w:p w14:paraId="61B5DFC5">
      <w:pPr>
        <w:pStyle w:val="74"/>
        <w:wordWrap w:val="0"/>
        <w:adjustRightInd w:val="0"/>
        <w:snapToGrid w:val="0"/>
        <w:spacing w:line="400" w:lineRule="exact"/>
        <w:rPr>
          <w:rFonts w:hAnsi="宋体" w:cs="宋体"/>
          <w:snapToGrid w:val="0"/>
          <w:color w:val="auto"/>
          <w:kern w:val="0"/>
          <w:highlight w:val="none"/>
        </w:rPr>
      </w:pPr>
    </w:p>
    <w:p w14:paraId="32704ECC">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说明：</w:t>
      </w:r>
    </w:p>
    <w:p w14:paraId="794FF2FA">
      <w:pPr>
        <w:wordWrap w:val="0"/>
        <w:adjustRightInd w:val="0"/>
        <w:snapToGrid w:val="0"/>
        <w:spacing w:line="40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8"/>
          <w:highlight w:val="none"/>
        </w:rPr>
        <w:t>1．“其他拟派人员”指项目监理机构中除总监理工程师以外的拟派人员，包括专业监理工程师、监理员、相关服务人员等。以上拟派人员一人一表，</w:t>
      </w:r>
      <w:r>
        <w:rPr>
          <w:rFonts w:hint="eastAsia" w:hAnsi="宋体" w:cs="宋体"/>
          <w:snapToGrid w:val="0"/>
          <w:color w:val="auto"/>
          <w:kern w:val="0"/>
          <w:sz w:val="21"/>
          <w:szCs w:val="21"/>
          <w:highlight w:val="none"/>
        </w:rPr>
        <w:t>并标明序号。</w:t>
      </w:r>
    </w:p>
    <w:p w14:paraId="3C241974">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2．每份简历表后应附该拟派人员以下资料：</w:t>
      </w:r>
    </w:p>
    <w:p w14:paraId="4B983E1A">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（1）身份证彩色扫描件；</w:t>
      </w:r>
    </w:p>
    <w:p w14:paraId="1F841C3A">
      <w:pPr>
        <w:wordWrap w:val="0"/>
        <w:adjustRightInd w:val="0"/>
        <w:snapToGrid w:val="0"/>
        <w:spacing w:line="400" w:lineRule="exact"/>
        <w:ind w:firstLine="420"/>
        <w:rPr>
          <w:rFonts w:hint="eastAsia" w:hAnsi="宋体" w:eastAsia="宋体" w:cs="宋体"/>
          <w:snapToGrid w:val="0"/>
          <w:color w:val="auto"/>
          <w:kern w:val="0"/>
          <w:sz w:val="21"/>
          <w:szCs w:val="28"/>
          <w:highlight w:val="none"/>
          <w:lang w:val="en-US" w:eastAsia="zh-CN"/>
        </w:rPr>
      </w:pPr>
      <w:r>
        <w:rPr>
          <w:rFonts w:hint="eastAsia" w:hAnsi="宋体" w:cs="宋体"/>
          <w:snapToGrid w:val="0"/>
          <w:color w:val="auto"/>
          <w:kern w:val="0"/>
          <w:sz w:val="21"/>
          <w:szCs w:val="28"/>
          <w:highlight w:val="none"/>
        </w:rPr>
        <w:t>（2）相关证书彩色扫描件</w:t>
      </w:r>
      <w:r>
        <w:rPr>
          <w:rFonts w:hint="eastAsia" w:hAnsi="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rPr>
        <w:t>须彩色扫描至变更注册栏</w:t>
      </w:r>
      <w:r>
        <w:rPr>
          <w:rFonts w:hint="eastAsia" w:hAnsi="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r>
        <w:rPr>
          <w:rFonts w:hint="eastAsia" w:ascii="宋体" w:hAnsi="宋体" w:eastAsia="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rPr>
        <w:t>具体要求详见招标文件第一章第三节第</w:t>
      </w:r>
      <w:r>
        <w:rPr>
          <w:rFonts w:hint="eastAsia" w:hAnsi="宋体" w:cs="宋体"/>
          <w:b/>
          <w:bCs/>
          <w:snapToGrid w:val="0"/>
          <w:color w:val="auto"/>
          <w:kern w:val="0"/>
          <w:sz w:val="21"/>
          <w:szCs w:val="28"/>
          <w:highlight w:val="none"/>
        </w:rPr>
        <w:t>15.5</w:t>
      </w:r>
      <w:r>
        <w:rPr>
          <w:rFonts w:hint="eastAsia" w:hAnsi="宋体" w:cs="宋体"/>
          <w:snapToGrid w:val="0"/>
          <w:color w:val="auto"/>
          <w:kern w:val="0"/>
          <w:sz w:val="21"/>
          <w:szCs w:val="28"/>
          <w:highlight w:val="none"/>
        </w:rPr>
        <w:t>条表</w:t>
      </w:r>
      <w:r>
        <w:rPr>
          <w:rFonts w:hint="eastAsia" w:hAnsi="宋体" w:cs="宋体"/>
          <w:b/>
          <w:bCs/>
          <w:snapToGrid w:val="0"/>
          <w:color w:val="auto"/>
          <w:kern w:val="0"/>
          <w:sz w:val="21"/>
          <w:szCs w:val="28"/>
          <w:highlight w:val="none"/>
        </w:rPr>
        <w:t>2</w:t>
      </w:r>
      <w:r>
        <w:rPr>
          <w:rFonts w:hint="eastAsia" w:hAnsi="宋体" w:cs="宋体"/>
          <w:snapToGrid w:val="0"/>
          <w:color w:val="auto"/>
          <w:kern w:val="0"/>
          <w:sz w:val="21"/>
          <w:szCs w:val="28"/>
          <w:highlight w:val="none"/>
        </w:rPr>
        <w:t>《项目监理机构其他人员需求表》“持证要求”栏目</w:t>
      </w:r>
      <w:r>
        <w:rPr>
          <w:rFonts w:hint="eastAsia" w:hAnsi="宋体" w:cs="宋体"/>
          <w:snapToGrid w:val="0"/>
          <w:color w:val="auto"/>
          <w:kern w:val="0"/>
          <w:sz w:val="21"/>
          <w:szCs w:val="28"/>
          <w:highlight w:val="none"/>
          <w:lang w:val="en-US" w:eastAsia="zh-CN"/>
        </w:rPr>
        <w:t>；</w:t>
      </w:r>
    </w:p>
    <w:p w14:paraId="4C8DF413">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（3）</w:t>
      </w:r>
      <w:r>
        <w:rPr>
          <w:rFonts w:hint="eastAsia" w:ascii="Times New Roman"/>
          <w:snapToGrid w:val="0"/>
          <w:color w:val="auto"/>
          <w:kern w:val="0"/>
          <w:sz w:val="21"/>
          <w:szCs w:val="28"/>
          <w:highlight w:val="none"/>
        </w:rPr>
        <w:t>在本单位缴纳社保的证明</w:t>
      </w:r>
      <w:r>
        <w:rPr>
          <w:rFonts w:hint="eastAsia" w:ascii="宋体" w:hAnsi="宋体" w:eastAsia="宋体" w:cs="宋体"/>
          <w:caps w:val="0"/>
          <w:smallCaps w:val="0"/>
          <w:snapToGrid w:val="0"/>
          <w:color w:val="auto"/>
          <w:spacing w:val="0"/>
          <w:kern w:val="0"/>
          <w:sz w:val="21"/>
          <w:szCs w:val="28"/>
          <w:highlight w:val="none"/>
          <w:lang w:val="en-US" w:eastAsia="zh-CN"/>
        </w:rPr>
        <w:t>（至少一个月，其中必须有202</w:t>
      </w:r>
      <w:r>
        <w:rPr>
          <w:rFonts w:hint="eastAsia" w:hAnsi="宋体" w:cs="宋体"/>
          <w:caps w:val="0"/>
          <w:smallCaps w:val="0"/>
          <w:snapToGrid w:val="0"/>
          <w:color w:val="auto"/>
          <w:spacing w:val="0"/>
          <w:kern w:val="0"/>
          <w:sz w:val="21"/>
          <w:szCs w:val="28"/>
          <w:highlight w:val="none"/>
          <w:lang w:val="en-US" w:eastAsia="zh-CN"/>
        </w:rPr>
        <w:t>6</w:t>
      </w:r>
      <w:r>
        <w:rPr>
          <w:rFonts w:hint="eastAsia" w:ascii="宋体" w:hAnsi="宋体" w:eastAsia="宋体" w:cs="宋体"/>
          <w:caps w:val="0"/>
          <w:smallCaps w:val="0"/>
          <w:snapToGrid w:val="0"/>
          <w:color w:val="auto"/>
          <w:spacing w:val="0"/>
          <w:kern w:val="0"/>
          <w:sz w:val="21"/>
          <w:szCs w:val="28"/>
          <w:highlight w:val="none"/>
          <w:lang w:val="en-US" w:eastAsia="zh-CN"/>
        </w:rPr>
        <w:t>年</w:t>
      </w:r>
      <w:r>
        <w:rPr>
          <w:rFonts w:hint="eastAsia" w:hAnsi="宋体" w:cs="宋体"/>
          <w:caps w:val="0"/>
          <w:smallCaps w:val="0"/>
          <w:snapToGrid w:val="0"/>
          <w:color w:val="auto"/>
          <w:spacing w:val="0"/>
          <w:kern w:val="0"/>
          <w:sz w:val="21"/>
          <w:szCs w:val="28"/>
          <w:highlight w:val="none"/>
          <w:lang w:val="en-US" w:eastAsia="zh-CN"/>
        </w:rPr>
        <w:t>8</w:t>
      </w:r>
      <w:r>
        <w:rPr>
          <w:rFonts w:hint="eastAsia" w:ascii="宋体" w:hAnsi="宋体" w:eastAsia="宋体" w:cs="宋体"/>
          <w:caps w:val="0"/>
          <w:smallCaps w:val="0"/>
          <w:snapToGrid w:val="0"/>
          <w:color w:val="auto"/>
          <w:spacing w:val="0"/>
          <w:kern w:val="0"/>
          <w:sz w:val="21"/>
          <w:szCs w:val="28"/>
          <w:highlight w:val="none"/>
          <w:lang w:val="en-US" w:eastAsia="zh-CN"/>
        </w:rPr>
        <w:t>月）</w:t>
      </w:r>
      <w:r>
        <w:rPr>
          <w:rFonts w:hint="eastAsia" w:ascii="Times New Roman"/>
          <w:snapToGrid w:val="0"/>
          <w:color w:val="auto"/>
          <w:kern w:val="0"/>
          <w:sz w:val="21"/>
          <w:szCs w:val="28"/>
          <w:highlight w:val="none"/>
        </w:rPr>
        <w:t>彩色扫描件。</w:t>
      </w:r>
    </w:p>
    <w:p w14:paraId="3811590C">
      <w:pPr>
        <w:pStyle w:val="9"/>
        <w:snapToGrid w:val="0"/>
        <w:spacing w:line="400" w:lineRule="exact"/>
        <w:ind w:firstLine="420" w:firstLineChars="200"/>
        <w:rPr>
          <w:rFonts w:hAnsi="宋体" w:cs="宋体"/>
          <w:snapToGrid w:val="0"/>
          <w:color w:val="auto"/>
          <w:sz w:val="21"/>
          <w:highlight w:val="none"/>
        </w:rPr>
      </w:pPr>
      <w:r>
        <w:rPr>
          <w:rFonts w:hint="eastAsia" w:hAnsi="宋体" w:cs="宋体"/>
          <w:snapToGrid w:val="0"/>
          <w:color w:val="auto"/>
          <w:sz w:val="21"/>
          <w:highlight w:val="none"/>
        </w:rPr>
        <w:t>3.“进粤企业和人员诚信信息登记平台”个人信息情况截图。（适用于省外建筑企业）</w:t>
      </w:r>
    </w:p>
    <w:p w14:paraId="4330266D">
      <w:pPr>
        <w:rPr>
          <w:color w:val="auto"/>
          <w:highlight w:val="none"/>
        </w:rPr>
      </w:pPr>
      <w:bookmarkStart w:id="336" w:name="_Toc593"/>
      <w:bookmarkStart w:id="337" w:name="_Toc25312"/>
    </w:p>
    <w:p w14:paraId="051B7D7D">
      <w:pPr>
        <w:rPr>
          <w:color w:val="auto"/>
          <w:highlight w:val="none"/>
        </w:rPr>
      </w:pPr>
      <w:r>
        <w:rPr>
          <w:color w:val="auto"/>
          <w:highlight w:val="none"/>
        </w:rPr>
        <w:br w:type="page"/>
      </w:r>
    </w:p>
    <w:p w14:paraId="4AC2D9F8">
      <w:pPr>
        <w:pStyle w:val="3"/>
        <w:bidi w:val="0"/>
        <w:rPr>
          <w:rFonts w:hint="default"/>
          <w:b/>
          <w:bCs/>
          <w:color w:val="auto"/>
          <w:highlight w:val="none"/>
          <w:lang w:val="en-US" w:eastAsia="zh-CN"/>
        </w:rPr>
      </w:pPr>
      <w:bookmarkStart w:id="338" w:name="_Toc9763"/>
      <w:r>
        <w:rPr>
          <w:rFonts w:hint="eastAsia"/>
          <w:b/>
          <w:bCs/>
          <w:color w:val="auto"/>
          <w:highlight w:val="none"/>
          <w:lang w:val="en-US" w:eastAsia="zh-CN"/>
        </w:rPr>
        <w:t>格式十三 原件一览表</w:t>
      </w:r>
      <w:bookmarkEnd w:id="338"/>
      <w:r>
        <w:rPr>
          <w:rFonts w:hint="eastAsia"/>
          <w:b/>
          <w:bCs/>
          <w:color w:val="auto"/>
          <w:highlight w:val="none"/>
          <w:lang w:val="en-US" w:eastAsia="zh-CN"/>
        </w:rPr>
        <w:t>(如需）</w:t>
      </w:r>
    </w:p>
    <w:tbl>
      <w:tblPr>
        <w:tblStyle w:val="32"/>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701"/>
        <w:gridCol w:w="1506"/>
        <w:gridCol w:w="601"/>
        <w:gridCol w:w="1393"/>
        <w:gridCol w:w="1625"/>
        <w:gridCol w:w="754"/>
        <w:gridCol w:w="958"/>
        <w:gridCol w:w="1570"/>
      </w:tblGrid>
      <w:tr w14:paraId="5CFC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63" w:hRule="atLeast"/>
        </w:trPr>
        <w:tc>
          <w:tcPr>
            <w:tcW w:w="9108" w:type="dxa"/>
            <w:gridSpan w:val="8"/>
            <w:shd w:val="clear" w:color="auto" w:fill="auto"/>
            <w:noWrap w:val="0"/>
            <w:tcMar>
              <w:left w:w="108" w:type="dxa"/>
              <w:right w:w="108" w:type="dxa"/>
            </w:tcMar>
            <w:vAlign w:val="center"/>
          </w:tcPr>
          <w:p w14:paraId="6A03C89D">
            <w:pPr>
              <w:jc w:val="center"/>
              <w:rPr>
                <w:rFonts w:hAnsi="宋体" w:cs="宋体"/>
                <w:color w:val="auto"/>
                <w:highlight w:val="none"/>
              </w:rPr>
            </w:pPr>
            <w:r>
              <w:rPr>
                <w:rFonts w:hAnsi="宋体" w:cs="宋体"/>
                <w:b/>
                <w:color w:val="auto"/>
                <w:highlight w:val="none"/>
              </w:rPr>
              <w:t>原件一览表</w:t>
            </w:r>
          </w:p>
        </w:tc>
      </w:tr>
      <w:tr w14:paraId="3E07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37BBD24A">
            <w:pPr>
              <w:jc w:val="center"/>
              <w:rPr>
                <w:rFonts w:hAnsi="宋体" w:cs="宋体"/>
                <w:color w:val="auto"/>
                <w:sz w:val="24"/>
                <w:szCs w:val="24"/>
                <w:highlight w:val="none"/>
              </w:rPr>
            </w:pPr>
            <w:r>
              <w:rPr>
                <w:rFonts w:hAnsi="宋体" w:cs="宋体"/>
                <w:color w:val="auto"/>
                <w:sz w:val="24"/>
                <w:szCs w:val="24"/>
                <w:highlight w:val="none"/>
              </w:rPr>
              <w:t>工程名称</w:t>
            </w:r>
          </w:p>
        </w:tc>
        <w:tc>
          <w:tcPr>
            <w:tcW w:w="6300" w:type="dxa"/>
            <w:gridSpan w:val="5"/>
            <w:shd w:val="clear" w:color="auto" w:fill="auto"/>
            <w:noWrap w:val="0"/>
            <w:tcMar>
              <w:left w:w="108" w:type="dxa"/>
              <w:right w:w="108" w:type="dxa"/>
            </w:tcMar>
            <w:vAlign w:val="center"/>
          </w:tcPr>
          <w:p w14:paraId="133071DC">
            <w:pPr>
              <w:jc w:val="center"/>
              <w:rPr>
                <w:rFonts w:hAnsi="宋体" w:cs="宋体"/>
                <w:color w:val="auto"/>
                <w:sz w:val="24"/>
                <w:szCs w:val="24"/>
                <w:highlight w:val="none"/>
              </w:rPr>
            </w:pPr>
            <w:r>
              <w:rPr>
                <w:rFonts w:hAnsi="宋体" w:cs="宋体"/>
                <w:color w:val="auto"/>
                <w:sz w:val="24"/>
                <w:szCs w:val="24"/>
                <w:highlight w:val="none"/>
              </w:rPr>
              <w:t xml:space="preserve"> </w:t>
            </w:r>
          </w:p>
        </w:tc>
      </w:tr>
      <w:tr w14:paraId="0040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24D18EC0">
            <w:pPr>
              <w:jc w:val="center"/>
              <w:rPr>
                <w:rFonts w:hAnsi="宋体" w:cs="宋体"/>
                <w:color w:val="auto"/>
                <w:sz w:val="24"/>
                <w:szCs w:val="24"/>
                <w:highlight w:val="none"/>
              </w:rPr>
            </w:pPr>
            <w:r>
              <w:rPr>
                <w:rFonts w:hAnsi="宋体" w:cs="宋体"/>
                <w:color w:val="auto"/>
                <w:sz w:val="24"/>
                <w:szCs w:val="24"/>
                <w:highlight w:val="none"/>
              </w:rPr>
              <w:t>投标人名称                (请务必填写单位全称)</w:t>
            </w:r>
          </w:p>
        </w:tc>
        <w:tc>
          <w:tcPr>
            <w:tcW w:w="6300" w:type="dxa"/>
            <w:gridSpan w:val="5"/>
            <w:shd w:val="clear" w:color="auto" w:fill="auto"/>
            <w:noWrap w:val="0"/>
            <w:tcMar>
              <w:left w:w="108" w:type="dxa"/>
              <w:right w:w="108" w:type="dxa"/>
            </w:tcMar>
            <w:vAlign w:val="center"/>
          </w:tcPr>
          <w:p w14:paraId="412423DC">
            <w:pPr>
              <w:jc w:val="center"/>
              <w:rPr>
                <w:rFonts w:hAnsi="宋体" w:cs="宋体"/>
                <w:color w:val="auto"/>
                <w:sz w:val="24"/>
                <w:szCs w:val="24"/>
                <w:highlight w:val="none"/>
              </w:rPr>
            </w:pPr>
            <w:r>
              <w:rPr>
                <w:rFonts w:hAnsi="宋体" w:cs="宋体"/>
                <w:color w:val="auto"/>
                <w:sz w:val="24"/>
                <w:szCs w:val="24"/>
                <w:highlight w:val="none"/>
              </w:rPr>
              <w:t>　</w:t>
            </w:r>
          </w:p>
        </w:tc>
      </w:tr>
      <w:tr w14:paraId="3B54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35396D73">
            <w:pPr>
              <w:jc w:val="center"/>
              <w:rPr>
                <w:rFonts w:hint="eastAsia" w:hAnsi="宋体" w:cs="宋体"/>
                <w:color w:val="auto"/>
                <w:sz w:val="24"/>
                <w:szCs w:val="24"/>
                <w:highlight w:val="none"/>
              </w:rPr>
            </w:pPr>
            <w:r>
              <w:rPr>
                <w:rFonts w:hAnsi="宋体" w:cs="宋体"/>
                <w:color w:val="auto"/>
                <w:sz w:val="24"/>
                <w:szCs w:val="24"/>
                <w:highlight w:val="none"/>
              </w:rPr>
              <w:t>投标人法定代表人或其</w:t>
            </w:r>
          </w:p>
          <w:p w14:paraId="197B40B2">
            <w:pPr>
              <w:jc w:val="center"/>
              <w:rPr>
                <w:rFonts w:hAnsi="宋体" w:cs="宋体"/>
                <w:color w:val="auto"/>
                <w:sz w:val="24"/>
                <w:szCs w:val="24"/>
                <w:highlight w:val="none"/>
              </w:rPr>
            </w:pPr>
            <w:r>
              <w:rPr>
                <w:rFonts w:hAnsi="宋体" w:cs="宋体"/>
                <w:color w:val="auto"/>
                <w:sz w:val="24"/>
                <w:szCs w:val="24"/>
                <w:highlight w:val="none"/>
              </w:rPr>
              <w:t>委托代理人签名</w:t>
            </w:r>
          </w:p>
        </w:tc>
        <w:tc>
          <w:tcPr>
            <w:tcW w:w="3018" w:type="dxa"/>
            <w:gridSpan w:val="2"/>
            <w:shd w:val="clear" w:color="auto" w:fill="auto"/>
            <w:noWrap w:val="0"/>
            <w:tcMar>
              <w:left w:w="108" w:type="dxa"/>
              <w:right w:w="108" w:type="dxa"/>
            </w:tcMar>
            <w:vAlign w:val="center"/>
          </w:tcPr>
          <w:p w14:paraId="7B28BE46">
            <w:pPr>
              <w:jc w:val="center"/>
              <w:rPr>
                <w:rFonts w:hAnsi="宋体" w:cs="宋体"/>
                <w:color w:val="auto"/>
                <w:sz w:val="24"/>
                <w:szCs w:val="24"/>
                <w:highlight w:val="none"/>
              </w:rPr>
            </w:pPr>
            <w:r>
              <w:rPr>
                <w:rFonts w:hAnsi="宋体" w:cs="宋体"/>
                <w:color w:val="auto"/>
                <w:sz w:val="24"/>
                <w:szCs w:val="24"/>
                <w:highlight w:val="none"/>
              </w:rPr>
              <w:t>　</w:t>
            </w:r>
          </w:p>
        </w:tc>
        <w:tc>
          <w:tcPr>
            <w:tcW w:w="754" w:type="dxa"/>
            <w:shd w:val="clear" w:color="auto" w:fill="auto"/>
            <w:noWrap w:val="0"/>
            <w:tcMar>
              <w:left w:w="108" w:type="dxa"/>
              <w:right w:w="108" w:type="dxa"/>
            </w:tcMar>
            <w:vAlign w:val="center"/>
          </w:tcPr>
          <w:p w14:paraId="62963D5F">
            <w:pPr>
              <w:jc w:val="center"/>
              <w:rPr>
                <w:rFonts w:hAnsi="宋体" w:cs="宋体"/>
                <w:color w:val="auto"/>
                <w:sz w:val="24"/>
                <w:szCs w:val="24"/>
                <w:highlight w:val="none"/>
              </w:rPr>
            </w:pPr>
            <w:r>
              <w:rPr>
                <w:rFonts w:hAnsi="宋体" w:cs="宋体"/>
                <w:color w:val="auto"/>
                <w:sz w:val="24"/>
                <w:szCs w:val="24"/>
                <w:highlight w:val="none"/>
              </w:rPr>
              <w:t>手机号码</w:t>
            </w:r>
          </w:p>
        </w:tc>
        <w:tc>
          <w:tcPr>
            <w:tcW w:w="2528" w:type="dxa"/>
            <w:gridSpan w:val="2"/>
            <w:shd w:val="clear" w:color="auto" w:fill="auto"/>
            <w:noWrap w:val="0"/>
            <w:tcMar>
              <w:left w:w="108" w:type="dxa"/>
              <w:right w:w="108" w:type="dxa"/>
            </w:tcMar>
            <w:vAlign w:val="center"/>
          </w:tcPr>
          <w:p w14:paraId="4F058579">
            <w:pPr>
              <w:jc w:val="center"/>
              <w:rPr>
                <w:rFonts w:hAnsi="宋体" w:cs="宋体"/>
                <w:color w:val="auto"/>
                <w:sz w:val="24"/>
                <w:szCs w:val="24"/>
                <w:highlight w:val="none"/>
              </w:rPr>
            </w:pPr>
            <w:r>
              <w:rPr>
                <w:rFonts w:hAnsi="宋体" w:cs="宋体"/>
                <w:color w:val="auto"/>
                <w:sz w:val="24"/>
                <w:szCs w:val="24"/>
                <w:highlight w:val="none"/>
              </w:rPr>
              <w:t>　</w:t>
            </w:r>
          </w:p>
        </w:tc>
      </w:tr>
      <w:tr w14:paraId="14F6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9108" w:type="dxa"/>
            <w:gridSpan w:val="8"/>
            <w:shd w:val="clear" w:color="auto" w:fill="auto"/>
            <w:noWrap w:val="0"/>
            <w:tcMar>
              <w:left w:w="108" w:type="dxa"/>
              <w:right w:w="108" w:type="dxa"/>
            </w:tcMar>
            <w:vAlign w:val="center"/>
          </w:tcPr>
          <w:p w14:paraId="2A2C3FDF">
            <w:pPr>
              <w:jc w:val="center"/>
              <w:rPr>
                <w:rFonts w:hAnsi="宋体" w:cs="宋体"/>
                <w:color w:val="auto"/>
                <w:sz w:val="24"/>
                <w:szCs w:val="24"/>
                <w:highlight w:val="none"/>
              </w:rPr>
            </w:pPr>
            <w:r>
              <w:rPr>
                <w:rFonts w:hAnsi="宋体" w:cs="宋体"/>
                <w:color w:val="auto"/>
                <w:sz w:val="24"/>
                <w:szCs w:val="24"/>
                <w:highlight w:val="none"/>
              </w:rPr>
              <w:t>递交的证明材料原件如下：</w:t>
            </w:r>
          </w:p>
        </w:tc>
      </w:tr>
      <w:tr w14:paraId="15CC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09A7CC73">
            <w:pPr>
              <w:jc w:val="center"/>
              <w:rPr>
                <w:rFonts w:hAnsi="宋体" w:cs="宋体"/>
                <w:color w:val="auto"/>
                <w:sz w:val="24"/>
                <w:szCs w:val="24"/>
                <w:highlight w:val="none"/>
              </w:rPr>
            </w:pPr>
            <w:r>
              <w:rPr>
                <w:rFonts w:hAnsi="宋体" w:cs="宋体"/>
                <w:color w:val="auto"/>
                <w:sz w:val="24"/>
                <w:szCs w:val="24"/>
                <w:highlight w:val="none"/>
              </w:rPr>
              <w:t>序号</w:t>
            </w:r>
          </w:p>
        </w:tc>
        <w:tc>
          <w:tcPr>
            <w:tcW w:w="5125" w:type="dxa"/>
            <w:gridSpan w:val="4"/>
            <w:shd w:val="clear" w:color="auto" w:fill="auto"/>
            <w:noWrap w:val="0"/>
            <w:tcMar>
              <w:left w:w="108" w:type="dxa"/>
              <w:right w:w="108" w:type="dxa"/>
            </w:tcMar>
            <w:vAlign w:val="center"/>
          </w:tcPr>
          <w:p w14:paraId="7885C591">
            <w:pPr>
              <w:jc w:val="center"/>
              <w:rPr>
                <w:rFonts w:hAnsi="宋体" w:cs="宋体"/>
                <w:color w:val="auto"/>
                <w:sz w:val="24"/>
                <w:szCs w:val="24"/>
                <w:highlight w:val="none"/>
              </w:rPr>
            </w:pPr>
            <w:r>
              <w:rPr>
                <w:rFonts w:hAnsi="宋体" w:cs="宋体"/>
                <w:color w:val="auto"/>
                <w:sz w:val="24"/>
                <w:szCs w:val="24"/>
                <w:highlight w:val="none"/>
              </w:rPr>
              <w:t>证明材料原件名称</w:t>
            </w:r>
          </w:p>
        </w:tc>
        <w:tc>
          <w:tcPr>
            <w:tcW w:w="1712" w:type="dxa"/>
            <w:gridSpan w:val="2"/>
            <w:shd w:val="clear" w:color="auto" w:fill="auto"/>
            <w:noWrap w:val="0"/>
            <w:tcMar>
              <w:left w:w="108" w:type="dxa"/>
              <w:right w:w="108" w:type="dxa"/>
            </w:tcMar>
            <w:vAlign w:val="center"/>
          </w:tcPr>
          <w:p w14:paraId="7C260F0D">
            <w:pPr>
              <w:jc w:val="center"/>
              <w:rPr>
                <w:rFonts w:hAnsi="宋体" w:cs="宋体"/>
                <w:color w:val="auto"/>
                <w:sz w:val="24"/>
                <w:szCs w:val="24"/>
                <w:highlight w:val="none"/>
              </w:rPr>
            </w:pPr>
            <w:r>
              <w:rPr>
                <w:rFonts w:hAnsi="宋体" w:cs="宋体"/>
                <w:color w:val="auto"/>
                <w:sz w:val="24"/>
                <w:szCs w:val="24"/>
                <w:highlight w:val="none"/>
              </w:rPr>
              <w:t>单位</w:t>
            </w:r>
          </w:p>
        </w:tc>
        <w:tc>
          <w:tcPr>
            <w:tcW w:w="1570" w:type="dxa"/>
            <w:shd w:val="clear" w:color="auto" w:fill="auto"/>
            <w:noWrap w:val="0"/>
            <w:tcMar>
              <w:left w:w="108" w:type="dxa"/>
              <w:right w:w="108" w:type="dxa"/>
            </w:tcMar>
            <w:vAlign w:val="center"/>
          </w:tcPr>
          <w:p w14:paraId="6C3894C1">
            <w:pPr>
              <w:jc w:val="center"/>
              <w:rPr>
                <w:rFonts w:hAnsi="宋体" w:cs="宋体"/>
                <w:color w:val="auto"/>
                <w:sz w:val="24"/>
                <w:szCs w:val="24"/>
                <w:highlight w:val="none"/>
              </w:rPr>
            </w:pPr>
            <w:r>
              <w:rPr>
                <w:rFonts w:hAnsi="宋体" w:cs="宋体"/>
                <w:color w:val="auto"/>
                <w:sz w:val="24"/>
                <w:szCs w:val="24"/>
                <w:highlight w:val="none"/>
              </w:rPr>
              <w:t>数量</w:t>
            </w:r>
          </w:p>
        </w:tc>
      </w:tr>
      <w:tr w14:paraId="69C7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14F10A9B">
            <w:pPr>
              <w:jc w:val="center"/>
              <w:rPr>
                <w:rFonts w:hint="eastAsia" w:hAnsi="宋体" w:cs="宋体"/>
                <w:color w:val="auto"/>
                <w:sz w:val="24"/>
                <w:szCs w:val="24"/>
                <w:highlight w:val="none"/>
              </w:rPr>
            </w:pPr>
            <w:r>
              <w:rPr>
                <w:rFonts w:hint="eastAsia" w:hAnsi="宋体" w:cs="宋体"/>
                <w:color w:val="auto"/>
                <w:sz w:val="24"/>
                <w:szCs w:val="24"/>
                <w:highlight w:val="none"/>
              </w:rPr>
              <w:t>1</w:t>
            </w:r>
          </w:p>
        </w:tc>
        <w:tc>
          <w:tcPr>
            <w:tcW w:w="5125" w:type="dxa"/>
            <w:gridSpan w:val="4"/>
            <w:shd w:val="clear" w:color="auto" w:fill="auto"/>
            <w:noWrap w:val="0"/>
            <w:tcMar>
              <w:left w:w="108" w:type="dxa"/>
              <w:right w:w="108" w:type="dxa"/>
            </w:tcMar>
            <w:vAlign w:val="center"/>
          </w:tcPr>
          <w:p w14:paraId="6F6806AB">
            <w:pPr>
              <w:jc w:val="center"/>
              <w:rPr>
                <w:rFonts w:hAnsi="宋体" w:cs="宋体"/>
                <w:color w:val="auto"/>
                <w:sz w:val="24"/>
                <w:szCs w:val="24"/>
                <w:highlight w:val="none"/>
              </w:rPr>
            </w:pPr>
          </w:p>
        </w:tc>
        <w:tc>
          <w:tcPr>
            <w:tcW w:w="1712" w:type="dxa"/>
            <w:gridSpan w:val="2"/>
            <w:shd w:val="clear" w:color="auto" w:fill="auto"/>
            <w:noWrap w:val="0"/>
            <w:tcMar>
              <w:left w:w="108" w:type="dxa"/>
              <w:right w:w="108" w:type="dxa"/>
            </w:tcMar>
            <w:vAlign w:val="center"/>
          </w:tcPr>
          <w:p w14:paraId="7A6327BA">
            <w:pPr>
              <w:jc w:val="center"/>
              <w:rPr>
                <w:rFonts w:hAnsi="宋体" w:cs="宋体"/>
                <w:color w:val="auto"/>
                <w:sz w:val="24"/>
                <w:szCs w:val="24"/>
                <w:highlight w:val="none"/>
              </w:rPr>
            </w:pPr>
          </w:p>
        </w:tc>
        <w:tc>
          <w:tcPr>
            <w:tcW w:w="1570" w:type="dxa"/>
            <w:shd w:val="clear" w:color="auto" w:fill="auto"/>
            <w:noWrap w:val="0"/>
            <w:tcMar>
              <w:left w:w="108" w:type="dxa"/>
              <w:right w:w="108" w:type="dxa"/>
            </w:tcMar>
            <w:vAlign w:val="center"/>
          </w:tcPr>
          <w:p w14:paraId="63E339D8">
            <w:pPr>
              <w:jc w:val="center"/>
              <w:rPr>
                <w:rFonts w:hAnsi="宋体" w:cs="宋体"/>
                <w:color w:val="auto"/>
                <w:sz w:val="24"/>
                <w:szCs w:val="24"/>
                <w:highlight w:val="none"/>
              </w:rPr>
            </w:pPr>
            <w:r>
              <w:rPr>
                <w:rFonts w:hAnsi="宋体" w:cs="宋体"/>
                <w:color w:val="auto"/>
                <w:sz w:val="24"/>
                <w:szCs w:val="24"/>
                <w:highlight w:val="none"/>
              </w:rPr>
              <w:t>　</w:t>
            </w:r>
          </w:p>
        </w:tc>
      </w:tr>
      <w:tr w14:paraId="3288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0B0E8526">
            <w:pPr>
              <w:jc w:val="center"/>
              <w:rPr>
                <w:rFonts w:hint="eastAsia" w:hAnsi="宋体" w:cs="宋体"/>
                <w:color w:val="auto"/>
                <w:sz w:val="24"/>
                <w:szCs w:val="24"/>
                <w:highlight w:val="none"/>
              </w:rPr>
            </w:pPr>
            <w:r>
              <w:rPr>
                <w:rFonts w:hint="eastAsia" w:hAnsi="宋体" w:cs="宋体"/>
                <w:color w:val="auto"/>
                <w:sz w:val="24"/>
                <w:szCs w:val="24"/>
                <w:highlight w:val="none"/>
              </w:rPr>
              <w:t>2</w:t>
            </w:r>
          </w:p>
        </w:tc>
        <w:tc>
          <w:tcPr>
            <w:tcW w:w="5125" w:type="dxa"/>
            <w:gridSpan w:val="4"/>
            <w:shd w:val="clear" w:color="auto" w:fill="auto"/>
            <w:noWrap w:val="0"/>
            <w:tcMar>
              <w:left w:w="108" w:type="dxa"/>
              <w:right w:w="108" w:type="dxa"/>
            </w:tcMar>
            <w:vAlign w:val="center"/>
          </w:tcPr>
          <w:p w14:paraId="0B1A8BF9">
            <w:pPr>
              <w:jc w:val="center"/>
              <w:rPr>
                <w:rFonts w:hAnsi="宋体" w:cs="宋体"/>
                <w:color w:val="auto"/>
                <w:sz w:val="24"/>
                <w:szCs w:val="24"/>
                <w:highlight w:val="none"/>
              </w:rPr>
            </w:pPr>
          </w:p>
        </w:tc>
        <w:tc>
          <w:tcPr>
            <w:tcW w:w="1712" w:type="dxa"/>
            <w:gridSpan w:val="2"/>
            <w:shd w:val="clear" w:color="auto" w:fill="auto"/>
            <w:noWrap w:val="0"/>
            <w:tcMar>
              <w:left w:w="108" w:type="dxa"/>
              <w:right w:w="108" w:type="dxa"/>
            </w:tcMar>
            <w:vAlign w:val="center"/>
          </w:tcPr>
          <w:p w14:paraId="0F137302">
            <w:pPr>
              <w:jc w:val="center"/>
              <w:rPr>
                <w:rFonts w:hAnsi="宋体" w:cs="宋体"/>
                <w:color w:val="auto"/>
                <w:sz w:val="24"/>
                <w:szCs w:val="24"/>
                <w:highlight w:val="none"/>
              </w:rPr>
            </w:pPr>
          </w:p>
        </w:tc>
        <w:tc>
          <w:tcPr>
            <w:tcW w:w="1570" w:type="dxa"/>
            <w:shd w:val="clear" w:color="auto" w:fill="auto"/>
            <w:noWrap w:val="0"/>
            <w:tcMar>
              <w:left w:w="108" w:type="dxa"/>
              <w:right w:w="108" w:type="dxa"/>
            </w:tcMar>
            <w:vAlign w:val="center"/>
          </w:tcPr>
          <w:p w14:paraId="4AFD8456">
            <w:pPr>
              <w:jc w:val="center"/>
              <w:rPr>
                <w:rFonts w:hAnsi="宋体" w:cs="宋体"/>
                <w:color w:val="auto"/>
                <w:sz w:val="24"/>
                <w:szCs w:val="24"/>
                <w:highlight w:val="none"/>
              </w:rPr>
            </w:pPr>
          </w:p>
        </w:tc>
      </w:tr>
      <w:tr w14:paraId="7E64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0C403D50">
            <w:pPr>
              <w:jc w:val="center"/>
              <w:rPr>
                <w:rFonts w:hint="eastAsia" w:hAnsi="宋体" w:cs="宋体"/>
                <w:color w:val="auto"/>
                <w:sz w:val="24"/>
                <w:szCs w:val="24"/>
                <w:highlight w:val="none"/>
              </w:rPr>
            </w:pPr>
            <w:r>
              <w:rPr>
                <w:rFonts w:hint="eastAsia" w:hAnsi="宋体" w:cs="宋体"/>
                <w:color w:val="auto"/>
                <w:sz w:val="24"/>
                <w:szCs w:val="24"/>
                <w:highlight w:val="none"/>
              </w:rPr>
              <w:t>3</w:t>
            </w:r>
          </w:p>
        </w:tc>
        <w:tc>
          <w:tcPr>
            <w:tcW w:w="5125" w:type="dxa"/>
            <w:gridSpan w:val="4"/>
            <w:shd w:val="clear" w:color="auto" w:fill="auto"/>
            <w:noWrap w:val="0"/>
            <w:tcMar>
              <w:left w:w="108" w:type="dxa"/>
              <w:right w:w="108" w:type="dxa"/>
            </w:tcMar>
            <w:vAlign w:val="center"/>
          </w:tcPr>
          <w:p w14:paraId="184AF5FD">
            <w:pPr>
              <w:jc w:val="center"/>
              <w:rPr>
                <w:rFonts w:hAnsi="宋体" w:cs="宋体"/>
                <w:color w:val="auto"/>
                <w:sz w:val="24"/>
                <w:szCs w:val="24"/>
                <w:highlight w:val="none"/>
              </w:rPr>
            </w:pPr>
          </w:p>
        </w:tc>
        <w:tc>
          <w:tcPr>
            <w:tcW w:w="1712" w:type="dxa"/>
            <w:gridSpan w:val="2"/>
            <w:shd w:val="clear" w:color="auto" w:fill="auto"/>
            <w:noWrap w:val="0"/>
            <w:tcMar>
              <w:left w:w="108" w:type="dxa"/>
              <w:right w:w="108" w:type="dxa"/>
            </w:tcMar>
            <w:vAlign w:val="center"/>
          </w:tcPr>
          <w:p w14:paraId="333249D0">
            <w:pPr>
              <w:jc w:val="center"/>
              <w:rPr>
                <w:rFonts w:hAnsi="宋体" w:cs="宋体"/>
                <w:color w:val="auto"/>
                <w:sz w:val="24"/>
                <w:szCs w:val="24"/>
                <w:highlight w:val="none"/>
              </w:rPr>
            </w:pPr>
          </w:p>
        </w:tc>
        <w:tc>
          <w:tcPr>
            <w:tcW w:w="1570" w:type="dxa"/>
            <w:shd w:val="clear" w:color="auto" w:fill="auto"/>
            <w:noWrap w:val="0"/>
            <w:tcMar>
              <w:left w:w="108" w:type="dxa"/>
              <w:right w:w="108" w:type="dxa"/>
            </w:tcMar>
            <w:vAlign w:val="center"/>
          </w:tcPr>
          <w:p w14:paraId="6AE18A05">
            <w:pPr>
              <w:jc w:val="center"/>
              <w:rPr>
                <w:rFonts w:hAnsi="宋体" w:cs="宋体"/>
                <w:color w:val="auto"/>
                <w:sz w:val="24"/>
                <w:szCs w:val="24"/>
                <w:highlight w:val="none"/>
              </w:rPr>
            </w:pPr>
          </w:p>
        </w:tc>
      </w:tr>
      <w:tr w14:paraId="2B30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1270A255">
            <w:pPr>
              <w:jc w:val="center"/>
              <w:rPr>
                <w:rFonts w:hint="eastAsia" w:hAnsi="宋体" w:cs="宋体"/>
                <w:color w:val="auto"/>
                <w:sz w:val="24"/>
                <w:szCs w:val="24"/>
                <w:highlight w:val="none"/>
              </w:rPr>
            </w:pPr>
            <w:r>
              <w:rPr>
                <w:rFonts w:hint="eastAsia" w:hAnsi="宋体" w:cs="宋体"/>
                <w:color w:val="auto"/>
                <w:sz w:val="24"/>
                <w:szCs w:val="24"/>
                <w:highlight w:val="none"/>
              </w:rPr>
              <w:t>...</w:t>
            </w:r>
          </w:p>
        </w:tc>
        <w:tc>
          <w:tcPr>
            <w:tcW w:w="5125" w:type="dxa"/>
            <w:gridSpan w:val="4"/>
            <w:shd w:val="clear" w:color="auto" w:fill="auto"/>
            <w:noWrap w:val="0"/>
            <w:tcMar>
              <w:left w:w="108" w:type="dxa"/>
              <w:right w:w="108" w:type="dxa"/>
            </w:tcMar>
            <w:vAlign w:val="center"/>
          </w:tcPr>
          <w:p w14:paraId="6BC62214">
            <w:pPr>
              <w:jc w:val="center"/>
              <w:rPr>
                <w:rFonts w:hAnsi="宋体" w:cs="宋体"/>
                <w:color w:val="auto"/>
                <w:sz w:val="24"/>
                <w:szCs w:val="24"/>
                <w:highlight w:val="none"/>
              </w:rPr>
            </w:pPr>
          </w:p>
        </w:tc>
        <w:tc>
          <w:tcPr>
            <w:tcW w:w="1712" w:type="dxa"/>
            <w:gridSpan w:val="2"/>
            <w:shd w:val="clear" w:color="auto" w:fill="auto"/>
            <w:noWrap w:val="0"/>
            <w:tcMar>
              <w:left w:w="108" w:type="dxa"/>
              <w:right w:w="108" w:type="dxa"/>
            </w:tcMar>
            <w:vAlign w:val="center"/>
          </w:tcPr>
          <w:p w14:paraId="4614BB83">
            <w:pPr>
              <w:jc w:val="center"/>
              <w:rPr>
                <w:rFonts w:hAnsi="宋体" w:cs="宋体"/>
                <w:color w:val="auto"/>
                <w:sz w:val="24"/>
                <w:szCs w:val="24"/>
                <w:highlight w:val="none"/>
              </w:rPr>
            </w:pPr>
          </w:p>
        </w:tc>
        <w:tc>
          <w:tcPr>
            <w:tcW w:w="1570" w:type="dxa"/>
            <w:shd w:val="clear" w:color="auto" w:fill="auto"/>
            <w:noWrap w:val="0"/>
            <w:tcMar>
              <w:left w:w="108" w:type="dxa"/>
              <w:right w:w="108" w:type="dxa"/>
            </w:tcMar>
            <w:vAlign w:val="center"/>
          </w:tcPr>
          <w:p w14:paraId="46574E7C">
            <w:pPr>
              <w:jc w:val="center"/>
              <w:rPr>
                <w:rFonts w:hAnsi="宋体" w:cs="宋体"/>
                <w:color w:val="auto"/>
                <w:sz w:val="24"/>
                <w:szCs w:val="24"/>
                <w:highlight w:val="none"/>
              </w:rPr>
            </w:pPr>
            <w:r>
              <w:rPr>
                <w:rFonts w:hAnsi="宋体" w:cs="宋体"/>
                <w:color w:val="auto"/>
                <w:sz w:val="24"/>
                <w:szCs w:val="24"/>
                <w:highlight w:val="none"/>
              </w:rPr>
              <w:t>　</w:t>
            </w:r>
          </w:p>
        </w:tc>
      </w:tr>
      <w:tr w14:paraId="5CFA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2037" w:hRule="atLeast"/>
        </w:trPr>
        <w:tc>
          <w:tcPr>
            <w:tcW w:w="701" w:type="dxa"/>
            <w:shd w:val="clear" w:color="auto" w:fill="auto"/>
            <w:noWrap w:val="0"/>
            <w:tcMar>
              <w:left w:w="108" w:type="dxa"/>
              <w:right w:w="108" w:type="dxa"/>
            </w:tcMar>
            <w:vAlign w:val="center"/>
          </w:tcPr>
          <w:p w14:paraId="59857587">
            <w:pPr>
              <w:ind w:left="8" w:hanging="94"/>
              <w:jc w:val="center"/>
              <w:rPr>
                <w:rFonts w:hint="eastAsia" w:hAnsi="宋体" w:cs="宋体"/>
                <w:color w:val="auto"/>
                <w:sz w:val="24"/>
                <w:szCs w:val="24"/>
                <w:highlight w:val="none"/>
              </w:rPr>
            </w:pPr>
            <w:r>
              <w:rPr>
                <w:rFonts w:hint="eastAsia" w:hAnsi="宋体" w:cs="宋体"/>
                <w:color w:val="auto"/>
                <w:sz w:val="24"/>
                <w:szCs w:val="24"/>
                <w:highlight w:val="none"/>
              </w:rPr>
              <w:t>注意：</w:t>
            </w:r>
          </w:p>
        </w:tc>
        <w:tc>
          <w:tcPr>
            <w:tcW w:w="8407" w:type="dxa"/>
            <w:gridSpan w:val="7"/>
            <w:shd w:val="clear" w:color="auto" w:fill="auto"/>
            <w:noWrap w:val="0"/>
            <w:tcMar>
              <w:left w:w="108" w:type="dxa"/>
              <w:right w:w="108" w:type="dxa"/>
            </w:tcMar>
            <w:vAlign w:val="center"/>
          </w:tcPr>
          <w:p w14:paraId="066A8DA0">
            <w:pPr>
              <w:ind w:firstLine="480"/>
              <w:rPr>
                <w:rFonts w:hint="eastAsia" w:hAnsi="宋体" w:cs="宋体"/>
                <w:color w:val="auto"/>
                <w:sz w:val="24"/>
                <w:szCs w:val="24"/>
                <w:highlight w:val="none"/>
              </w:rPr>
            </w:pPr>
            <w:r>
              <w:rPr>
                <w:rFonts w:hint="eastAsia" w:hAnsi="宋体" w:cs="宋体"/>
                <w:color w:val="auto"/>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152D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1120" w:hRule="atLeast"/>
        </w:trPr>
        <w:tc>
          <w:tcPr>
            <w:tcW w:w="2207" w:type="dxa"/>
            <w:gridSpan w:val="2"/>
            <w:shd w:val="clear" w:color="auto" w:fill="auto"/>
            <w:noWrap w:val="0"/>
            <w:tcMar>
              <w:left w:w="108" w:type="dxa"/>
              <w:right w:w="108" w:type="dxa"/>
            </w:tcMar>
            <w:vAlign w:val="center"/>
          </w:tcPr>
          <w:p w14:paraId="6043E0BB">
            <w:pPr>
              <w:jc w:val="both"/>
              <w:rPr>
                <w:rFonts w:hint="eastAsia" w:hAnsi="宋体" w:cs="宋体"/>
                <w:color w:val="auto"/>
                <w:sz w:val="24"/>
                <w:szCs w:val="24"/>
                <w:highlight w:val="none"/>
              </w:rPr>
            </w:pPr>
            <w:r>
              <w:rPr>
                <w:rFonts w:hint="eastAsia" w:hAnsi="宋体" w:cs="宋体"/>
                <w:color w:val="auto"/>
                <w:sz w:val="24"/>
                <w:szCs w:val="24"/>
                <w:highlight w:val="none"/>
              </w:rPr>
              <w:t>接收原件经办人(招标代理)：</w:t>
            </w:r>
          </w:p>
        </w:tc>
        <w:tc>
          <w:tcPr>
            <w:tcW w:w="1994" w:type="dxa"/>
            <w:gridSpan w:val="2"/>
            <w:shd w:val="clear" w:color="auto" w:fill="auto"/>
            <w:noWrap w:val="0"/>
            <w:tcMar>
              <w:left w:w="108" w:type="dxa"/>
              <w:right w:w="108" w:type="dxa"/>
            </w:tcMar>
            <w:vAlign w:val="center"/>
          </w:tcPr>
          <w:p w14:paraId="7EA88912">
            <w:pPr>
              <w:jc w:val="center"/>
              <w:rPr>
                <w:rFonts w:hint="eastAsia" w:hAnsi="宋体" w:cs="宋体"/>
                <w:color w:val="auto"/>
                <w:sz w:val="24"/>
                <w:szCs w:val="24"/>
                <w:highlight w:val="none"/>
              </w:rPr>
            </w:pPr>
          </w:p>
        </w:tc>
        <w:tc>
          <w:tcPr>
            <w:tcW w:w="1625" w:type="dxa"/>
            <w:shd w:val="clear" w:color="auto" w:fill="auto"/>
            <w:noWrap w:val="0"/>
            <w:tcMar>
              <w:left w:w="108" w:type="dxa"/>
              <w:right w:w="108" w:type="dxa"/>
            </w:tcMar>
            <w:vAlign w:val="center"/>
          </w:tcPr>
          <w:p w14:paraId="7703D5B1">
            <w:pPr>
              <w:jc w:val="center"/>
              <w:rPr>
                <w:rFonts w:hint="eastAsia" w:hAnsi="宋体" w:cs="宋体"/>
                <w:color w:val="auto"/>
                <w:sz w:val="24"/>
                <w:szCs w:val="24"/>
                <w:highlight w:val="none"/>
              </w:rPr>
            </w:pPr>
            <w:r>
              <w:rPr>
                <w:rFonts w:hint="eastAsia" w:hAnsi="宋体" w:cs="宋体"/>
                <w:color w:val="auto"/>
                <w:sz w:val="24"/>
                <w:szCs w:val="24"/>
                <w:highlight w:val="none"/>
              </w:rPr>
              <w:t>接收时间：</w:t>
            </w:r>
          </w:p>
        </w:tc>
        <w:tc>
          <w:tcPr>
            <w:tcW w:w="3282" w:type="dxa"/>
            <w:gridSpan w:val="3"/>
            <w:shd w:val="clear" w:color="auto" w:fill="auto"/>
            <w:noWrap w:val="0"/>
            <w:tcMar>
              <w:left w:w="108" w:type="dxa"/>
              <w:right w:w="108" w:type="dxa"/>
            </w:tcMar>
            <w:vAlign w:val="center"/>
          </w:tcPr>
          <w:p w14:paraId="7029FF2C">
            <w:pPr>
              <w:ind w:firstLine="720" w:firstLineChars="300"/>
              <w:jc w:val="left"/>
              <w:rPr>
                <w:rFonts w:hint="eastAsia" w:hAnsi="宋体" w:cs="宋体"/>
                <w:color w:val="auto"/>
                <w:sz w:val="24"/>
                <w:szCs w:val="24"/>
                <w:highlight w:val="none"/>
              </w:rPr>
            </w:pPr>
            <w:r>
              <w:rPr>
                <w:rFonts w:hint="eastAsia" w:hAnsi="宋体" w:cs="宋体"/>
                <w:color w:val="auto"/>
                <w:sz w:val="24"/>
                <w:szCs w:val="24"/>
                <w:highlight w:val="none"/>
              </w:rPr>
              <w:t>年   月   日   时  分</w:t>
            </w:r>
          </w:p>
        </w:tc>
      </w:tr>
      <w:tr w14:paraId="69D1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990" w:hRule="atLeast"/>
        </w:trPr>
        <w:tc>
          <w:tcPr>
            <w:tcW w:w="2207" w:type="dxa"/>
            <w:gridSpan w:val="2"/>
            <w:shd w:val="clear" w:color="auto" w:fill="auto"/>
            <w:noWrap w:val="0"/>
            <w:tcMar>
              <w:left w:w="108" w:type="dxa"/>
              <w:right w:w="108" w:type="dxa"/>
            </w:tcMar>
            <w:vAlign w:val="center"/>
          </w:tcPr>
          <w:p w14:paraId="7CBB07C8">
            <w:pPr>
              <w:jc w:val="center"/>
              <w:rPr>
                <w:rFonts w:hint="eastAsia" w:hAnsi="宋体" w:cs="宋体"/>
                <w:color w:val="auto"/>
                <w:sz w:val="24"/>
                <w:szCs w:val="24"/>
                <w:highlight w:val="none"/>
              </w:rPr>
            </w:pPr>
            <w:r>
              <w:rPr>
                <w:rFonts w:hint="eastAsia" w:hAnsi="宋体" w:cs="宋体"/>
                <w:color w:val="auto"/>
                <w:sz w:val="24"/>
                <w:szCs w:val="24"/>
                <w:highlight w:val="none"/>
              </w:rPr>
              <w:t>退还原件接收人(投标人)：</w:t>
            </w:r>
          </w:p>
        </w:tc>
        <w:tc>
          <w:tcPr>
            <w:tcW w:w="1994" w:type="dxa"/>
            <w:gridSpan w:val="2"/>
            <w:shd w:val="clear" w:color="auto" w:fill="auto"/>
            <w:noWrap w:val="0"/>
            <w:tcMar>
              <w:left w:w="108" w:type="dxa"/>
              <w:right w:w="108" w:type="dxa"/>
            </w:tcMar>
            <w:vAlign w:val="center"/>
          </w:tcPr>
          <w:p w14:paraId="2A25340B">
            <w:pPr>
              <w:jc w:val="center"/>
              <w:rPr>
                <w:rFonts w:hint="eastAsia" w:hAnsi="宋体" w:cs="宋体"/>
                <w:color w:val="auto"/>
                <w:sz w:val="24"/>
                <w:szCs w:val="24"/>
                <w:highlight w:val="none"/>
              </w:rPr>
            </w:pPr>
          </w:p>
        </w:tc>
        <w:tc>
          <w:tcPr>
            <w:tcW w:w="1625" w:type="dxa"/>
            <w:shd w:val="clear" w:color="auto" w:fill="auto"/>
            <w:noWrap w:val="0"/>
            <w:tcMar>
              <w:left w:w="108" w:type="dxa"/>
              <w:right w:w="108" w:type="dxa"/>
            </w:tcMar>
            <w:vAlign w:val="center"/>
          </w:tcPr>
          <w:p w14:paraId="7CDA9957">
            <w:pPr>
              <w:jc w:val="center"/>
              <w:rPr>
                <w:rFonts w:hint="eastAsia" w:hAnsi="宋体" w:cs="宋体"/>
                <w:color w:val="auto"/>
                <w:sz w:val="24"/>
                <w:szCs w:val="24"/>
                <w:highlight w:val="none"/>
              </w:rPr>
            </w:pPr>
            <w:r>
              <w:rPr>
                <w:rFonts w:hint="eastAsia" w:hAnsi="宋体" w:cs="宋体"/>
                <w:color w:val="auto"/>
                <w:sz w:val="24"/>
                <w:szCs w:val="24"/>
                <w:highlight w:val="none"/>
              </w:rPr>
              <w:t>退还时间：</w:t>
            </w:r>
          </w:p>
        </w:tc>
        <w:tc>
          <w:tcPr>
            <w:tcW w:w="3282" w:type="dxa"/>
            <w:gridSpan w:val="3"/>
            <w:shd w:val="clear" w:color="auto" w:fill="auto"/>
            <w:noWrap w:val="0"/>
            <w:tcMar>
              <w:left w:w="108" w:type="dxa"/>
              <w:right w:w="108" w:type="dxa"/>
            </w:tcMar>
            <w:vAlign w:val="center"/>
          </w:tcPr>
          <w:p w14:paraId="493C7233">
            <w:pPr>
              <w:ind w:firstLine="720" w:firstLineChars="300"/>
              <w:jc w:val="left"/>
              <w:rPr>
                <w:rFonts w:hint="eastAsia" w:hAnsi="宋体" w:cs="宋体"/>
                <w:color w:val="auto"/>
                <w:sz w:val="24"/>
                <w:szCs w:val="24"/>
                <w:highlight w:val="none"/>
              </w:rPr>
            </w:pPr>
            <w:r>
              <w:rPr>
                <w:rFonts w:hint="eastAsia" w:hAnsi="宋体" w:cs="宋体"/>
                <w:color w:val="auto"/>
                <w:sz w:val="24"/>
                <w:szCs w:val="24"/>
                <w:highlight w:val="none"/>
              </w:rPr>
              <w:t>年   月   日   时   分</w:t>
            </w:r>
          </w:p>
        </w:tc>
      </w:tr>
    </w:tbl>
    <w:p w14:paraId="39C28E62">
      <w:pPr>
        <w:bidi w:val="0"/>
        <w:rPr>
          <w:color w:val="auto"/>
          <w:highlight w:val="none"/>
        </w:rPr>
      </w:pPr>
    </w:p>
    <w:p w14:paraId="32CC7408">
      <w:pPr>
        <w:rPr>
          <w:color w:val="auto"/>
          <w:highlight w:val="none"/>
        </w:rPr>
      </w:pPr>
      <w:r>
        <w:rPr>
          <w:color w:val="auto"/>
          <w:highlight w:val="none"/>
        </w:rPr>
        <w:br w:type="page"/>
      </w:r>
    </w:p>
    <w:p w14:paraId="3B4EBEA9">
      <w:pPr>
        <w:pStyle w:val="3"/>
        <w:bidi w:val="0"/>
        <w:rPr>
          <w:rFonts w:hint="default" w:ascii="宋体" w:hAnsi="Times New Roman" w:eastAsia="宋体" w:cs="Times New Roman"/>
          <w:b/>
          <w:bCs/>
          <w:color w:val="auto"/>
          <w:highlight w:val="none"/>
          <w:lang w:val="en-US" w:eastAsia="zh-CN"/>
        </w:rPr>
      </w:pPr>
      <w:bookmarkStart w:id="339" w:name="_Toc26582"/>
      <w:bookmarkStart w:id="340" w:name="_Toc20950"/>
      <w:r>
        <w:rPr>
          <w:rFonts w:hint="eastAsia" w:ascii="宋体" w:hAnsi="Times New Roman" w:eastAsia="宋体" w:cs="Times New Roman"/>
          <w:b/>
          <w:bCs/>
          <w:color w:val="auto"/>
          <w:highlight w:val="none"/>
          <w:lang w:val="en-US" w:eastAsia="zh-CN"/>
        </w:rPr>
        <w:t>格式十四 定标因素评审资料</w:t>
      </w:r>
      <w:bookmarkEnd w:id="339"/>
      <w:bookmarkEnd w:id="340"/>
    </w:p>
    <w:p w14:paraId="176A6E89">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定标因素评审资料</w:t>
      </w:r>
    </w:p>
    <w:p w14:paraId="1B458023">
      <w:pPr>
        <w:jc w:val="left"/>
        <w:rPr>
          <w:rFonts w:hint="eastAsia" w:ascii="宋体" w:hAnsi="宋体" w:eastAsia="宋体" w:cs="宋体"/>
          <w:color w:val="auto"/>
          <w:sz w:val="24"/>
          <w:highlight w:val="none"/>
          <w:lang w:eastAsia="zh-CN"/>
        </w:rPr>
      </w:pPr>
    </w:p>
    <w:p w14:paraId="0F5E5884">
      <w:pPr>
        <w:bidi w:val="0"/>
        <w:ind w:firstLine="560" w:firstLineChars="200"/>
        <w:rPr>
          <w:rFonts w:hint="eastAsia"/>
          <w:color w:val="auto"/>
          <w:highlight w:val="none"/>
        </w:rPr>
      </w:pPr>
      <w:r>
        <w:rPr>
          <w:rFonts w:hint="eastAsia" w:ascii="宋体" w:hAnsi="宋体" w:eastAsia="宋体" w:cs="宋体"/>
          <w:b w:val="0"/>
          <w:bCs w:val="0"/>
          <w:color w:val="auto"/>
          <w:sz w:val="28"/>
          <w:szCs w:val="28"/>
          <w:highlight w:val="none"/>
          <w:lang w:val="en-US" w:eastAsia="zh-CN"/>
        </w:rPr>
        <w:t>投标人根据“</w:t>
      </w:r>
      <w:r>
        <w:rPr>
          <w:rFonts w:hint="eastAsia" w:ascii="宋体" w:hAnsi="宋体" w:eastAsia="宋体" w:cs="宋体"/>
          <w:b w:val="0"/>
          <w:bCs w:val="0"/>
          <w:color w:val="auto"/>
          <w:sz w:val="28"/>
          <w:szCs w:val="28"/>
          <w:highlight w:val="none"/>
        </w:rPr>
        <w:t>第</w:t>
      </w:r>
      <w:r>
        <w:rPr>
          <w:rFonts w:hint="eastAsia" w:ascii="宋体" w:hAnsi="宋体" w:eastAsia="宋体" w:cs="宋体"/>
          <w:b w:val="0"/>
          <w:bCs w:val="0"/>
          <w:color w:val="auto"/>
          <w:sz w:val="28"/>
          <w:szCs w:val="28"/>
          <w:highlight w:val="none"/>
          <w:lang w:val="en-US" w:eastAsia="zh-CN"/>
        </w:rPr>
        <w:t>一</w:t>
      </w:r>
      <w:r>
        <w:rPr>
          <w:rFonts w:hint="eastAsia" w:ascii="宋体" w:hAnsi="宋体" w:eastAsia="宋体" w:cs="宋体"/>
          <w:b w:val="0"/>
          <w:bCs w:val="0"/>
          <w:color w:val="auto"/>
          <w:sz w:val="28"/>
          <w:szCs w:val="28"/>
          <w:highlight w:val="none"/>
        </w:rPr>
        <w:t>章</w:t>
      </w:r>
      <w:r>
        <w:rPr>
          <w:rFonts w:hint="eastAsia" w:ascii="宋体" w:hAnsi="宋体" w:eastAsia="宋体" w:cs="宋体"/>
          <w:b w:val="0"/>
          <w:bCs w:val="0"/>
          <w:color w:val="auto"/>
          <w:sz w:val="28"/>
          <w:szCs w:val="28"/>
          <w:highlight w:val="none"/>
          <w:lang w:val="en-US" w:eastAsia="zh-CN"/>
        </w:rPr>
        <w:t xml:space="preserve"> 第五节 定标规定及细则”载明的</w:t>
      </w:r>
      <w:r>
        <w:rPr>
          <w:rFonts w:hint="eastAsia" w:ascii="宋体" w:hAnsi="宋体" w:eastAsia="宋体" w:cs="宋体"/>
          <w:b w:val="0"/>
          <w:bCs w:val="0"/>
          <w:color w:val="auto"/>
          <w:sz w:val="28"/>
          <w:szCs w:val="28"/>
          <w:highlight w:val="none"/>
          <w:lang w:eastAsia="zh-CN"/>
        </w:rPr>
        <w:t>定标因素，</w:t>
      </w:r>
      <w:r>
        <w:rPr>
          <w:rFonts w:hint="eastAsia" w:ascii="宋体" w:hAnsi="宋体" w:eastAsia="宋体" w:cs="宋体"/>
          <w:b w:val="0"/>
          <w:bCs w:val="0"/>
          <w:color w:val="auto"/>
          <w:sz w:val="28"/>
          <w:szCs w:val="28"/>
          <w:highlight w:val="none"/>
          <w:lang w:val="en-US" w:eastAsia="zh-CN"/>
        </w:rPr>
        <w:t>提交</w:t>
      </w:r>
      <w:r>
        <w:rPr>
          <w:rFonts w:hint="eastAsia" w:ascii="宋体" w:hAnsi="宋体" w:eastAsia="宋体" w:cs="宋体"/>
          <w:b w:val="0"/>
          <w:bCs w:val="0"/>
          <w:color w:val="auto"/>
          <w:sz w:val="28"/>
          <w:szCs w:val="28"/>
          <w:highlight w:val="none"/>
          <w:lang w:eastAsia="zh-CN"/>
        </w:rPr>
        <w:t>评审资料。</w:t>
      </w:r>
    </w:p>
    <w:p w14:paraId="160DCDAA">
      <w:pPr>
        <w:bidi w:val="0"/>
        <w:rPr>
          <w:color w:val="auto"/>
          <w:highlight w:val="none"/>
        </w:rPr>
      </w:pPr>
    </w:p>
    <w:p w14:paraId="6F5A0768">
      <w:pPr>
        <w:rPr>
          <w:color w:val="auto"/>
          <w:highlight w:val="none"/>
        </w:rPr>
      </w:pPr>
      <w:r>
        <w:rPr>
          <w:color w:val="auto"/>
          <w:highlight w:val="none"/>
        </w:rPr>
        <w:br w:type="page"/>
      </w:r>
    </w:p>
    <w:bookmarkEnd w:id="336"/>
    <w:bookmarkEnd w:id="337"/>
    <w:p w14:paraId="54E5563D">
      <w:pPr>
        <w:pStyle w:val="150"/>
        <w:keepNext/>
        <w:keepLines/>
        <w:snapToGrid w:val="0"/>
        <w:spacing w:line="400" w:lineRule="exact"/>
        <w:jc w:val="center"/>
        <w:rPr>
          <w:rFonts w:ascii="宋体" w:hAnsi="宋体" w:cs="宋体"/>
          <w:b/>
          <w:color w:val="auto"/>
          <w:kern w:val="44"/>
          <w:sz w:val="32"/>
          <w:szCs w:val="22"/>
          <w:highlight w:val="none"/>
        </w:rPr>
      </w:pPr>
      <w:bookmarkStart w:id="341" w:name="_Toc132687128"/>
      <w:bookmarkStart w:id="342" w:name="_Toc13722"/>
      <w:bookmarkStart w:id="343" w:name="_Toc137444778"/>
      <w:bookmarkStart w:id="344" w:name="_Toc142468134"/>
      <w:bookmarkStart w:id="345" w:name="_Toc133160683"/>
      <w:bookmarkStart w:id="346" w:name="_Toc3174"/>
      <w:bookmarkStart w:id="347" w:name="_Toc24615"/>
      <w:bookmarkStart w:id="348" w:name="_Toc133815902"/>
      <w:bookmarkStart w:id="349" w:name="_Toc78794873"/>
      <w:r>
        <w:rPr>
          <w:rFonts w:hint="eastAsia" w:ascii="宋体" w:hAnsi="宋体" w:cs="宋体"/>
          <w:b/>
          <w:color w:val="auto"/>
          <w:kern w:val="44"/>
          <w:sz w:val="32"/>
          <w:szCs w:val="22"/>
          <w:highlight w:val="none"/>
        </w:rPr>
        <w:t>第六章 建设工程监理合同</w:t>
      </w:r>
      <w:bookmarkEnd w:id="341"/>
      <w:bookmarkEnd w:id="342"/>
      <w:bookmarkEnd w:id="343"/>
      <w:bookmarkEnd w:id="344"/>
      <w:bookmarkEnd w:id="345"/>
      <w:bookmarkEnd w:id="346"/>
      <w:bookmarkEnd w:id="347"/>
    </w:p>
    <w:p w14:paraId="4EE4581F">
      <w:pPr>
        <w:wordWrap w:val="0"/>
        <w:adjustRightInd w:val="0"/>
        <w:snapToGrid w:val="0"/>
        <w:spacing w:before="360" w:beforeLines="150" w:line="400" w:lineRule="exact"/>
        <w:rPr>
          <w:rFonts w:hAnsi="宋体" w:cs="宋体"/>
          <w:color w:val="auto"/>
          <w:highlight w:val="none"/>
        </w:rPr>
      </w:pPr>
      <w:r>
        <w:rPr>
          <w:rFonts w:hint="eastAsia" w:hAnsi="宋体" w:cs="宋体"/>
          <w:snapToGrid w:val="0"/>
          <w:color w:val="auto"/>
          <w:kern w:val="0"/>
          <w:highlight w:val="none"/>
        </w:rPr>
        <w:t xml:space="preserve">    （略），</w:t>
      </w:r>
      <w:bookmarkEnd w:id="348"/>
      <w:bookmarkEnd w:id="349"/>
      <w:r>
        <w:rPr>
          <w:rFonts w:hint="eastAsia" w:hAnsi="宋体" w:cs="宋体"/>
          <w:snapToGrid w:val="0"/>
          <w:color w:val="auto"/>
          <w:kern w:val="0"/>
          <w:highlight w:val="none"/>
        </w:rPr>
        <w:t>按</w:t>
      </w:r>
      <w:r>
        <w:rPr>
          <w:rFonts w:hint="eastAsia" w:hAnsi="宋体" w:cs="宋体"/>
          <w:b/>
          <w:bCs/>
          <w:snapToGrid w:val="0"/>
          <w:color w:val="auto"/>
          <w:kern w:val="0"/>
          <w:highlight w:val="none"/>
          <w:lang w:eastAsia="zh-CN"/>
        </w:rPr>
        <w:t>《</w:t>
      </w:r>
      <w:r>
        <w:rPr>
          <w:rFonts w:hint="eastAsia" w:hAnsi="宋体" w:cs="宋体"/>
          <w:b/>
          <w:bCs/>
          <w:snapToGrid w:val="0"/>
          <w:color w:val="auto"/>
          <w:kern w:val="0"/>
          <w:highlight w:val="none"/>
        </w:rPr>
        <w:t>建设工程监理合同示范文本</w:t>
      </w:r>
      <w:r>
        <w:rPr>
          <w:rFonts w:hint="eastAsia" w:hAnsi="宋体" w:cs="宋体"/>
          <w:b/>
          <w:bCs/>
          <w:snapToGrid w:val="0"/>
          <w:color w:val="auto"/>
          <w:kern w:val="0"/>
          <w:highlight w:val="none"/>
          <w:lang w:eastAsia="zh-CN"/>
        </w:rPr>
        <w:t>》（房屋建筑</w:t>
      </w:r>
      <w:r>
        <w:rPr>
          <w:rFonts w:hint="eastAsia" w:hAnsi="宋体" w:cs="宋体"/>
          <w:b/>
          <w:bCs/>
          <w:snapToGrid w:val="0"/>
          <w:color w:val="auto"/>
          <w:kern w:val="0"/>
          <w:highlight w:val="none"/>
          <w:lang w:val="en-US" w:eastAsia="zh-CN"/>
        </w:rPr>
        <w:t>和市政工程</w:t>
      </w:r>
      <w:r>
        <w:rPr>
          <w:rFonts w:hint="eastAsia" w:hAnsi="宋体" w:cs="宋体"/>
          <w:b/>
          <w:bCs/>
          <w:snapToGrid w:val="0"/>
          <w:color w:val="auto"/>
          <w:kern w:val="0"/>
          <w:highlight w:val="none"/>
        </w:rPr>
        <w:t>WJ-2025-0922</w:t>
      </w:r>
      <w:r>
        <w:rPr>
          <w:rFonts w:hint="eastAsia" w:hAnsi="宋体" w:cs="宋体"/>
          <w:b/>
          <w:bCs/>
          <w:snapToGrid w:val="0"/>
          <w:color w:val="auto"/>
          <w:kern w:val="0"/>
          <w:highlight w:val="none"/>
          <w:lang w:eastAsia="zh-CN"/>
        </w:rPr>
        <w:t>）</w:t>
      </w:r>
      <w:r>
        <w:rPr>
          <w:rFonts w:hint="eastAsia" w:hAnsi="宋体" w:cs="宋体"/>
          <w:snapToGrid w:val="0"/>
          <w:color w:val="auto"/>
          <w:kern w:val="0"/>
          <w:highlight w:val="none"/>
        </w:rPr>
        <w:t>执行。</w:t>
      </w:r>
    </w:p>
    <w:p w14:paraId="162A1ABF">
      <w:pPr>
        <w:pStyle w:val="9"/>
        <w:snapToGrid w:val="0"/>
        <w:spacing w:line="400" w:lineRule="exact"/>
        <w:rPr>
          <w:rFonts w:hAnsi="宋体" w:cs="宋体"/>
          <w:snapToGrid w:val="0"/>
          <w:color w:val="auto"/>
          <w:highlight w:val="none"/>
        </w:rPr>
      </w:pPr>
    </w:p>
    <w:p w14:paraId="715CE872">
      <w:pPr>
        <w:pStyle w:val="73"/>
        <w:widowControl w:val="0"/>
        <w:wordWrap w:val="0"/>
        <w:adjustRightInd w:val="0"/>
        <w:snapToGrid w:val="0"/>
        <w:spacing w:line="400" w:lineRule="exact"/>
        <w:ind w:firstLine="0"/>
        <w:rPr>
          <w:rFonts w:hAnsi="宋体" w:cs="宋体"/>
          <w:snapToGrid w:val="0"/>
          <w:color w:val="auto"/>
          <w:sz w:val="21"/>
          <w:highlight w:val="none"/>
        </w:rPr>
      </w:pPr>
    </w:p>
    <w:sectPr>
      <w:footerReference r:id="rId7" w:type="default"/>
      <w:endnotePr>
        <w:numFmt w:val="decimal"/>
      </w:endnotePr>
      <w:pgSz w:w="11906" w:h="16838"/>
      <w:pgMar w:top="1134" w:right="1134" w:bottom="1134" w:left="1134" w:header="850" w:footer="850" w:gutter="0"/>
      <w:cols w:space="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A9C53">
    <w:pPr>
      <w:pStyle w:val="18"/>
      <w:pBdr>
        <w:between w:val="none" w:color="auto" w:sz="0" w:space="0"/>
      </w:pBdr>
      <w:rPr>
        <w:rFonts w:hint="eastAsia"/>
      </w:rPr>
    </w:pPr>
  </w:p>
  <w:p w14:paraId="13628137">
    <w:pPr>
      <w:pStyle w:val="18"/>
      <w:pBdr>
        <w:between w:val="none" w:color="auto" w:sz="0" w:space="0"/>
      </w:pBd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EC592">
    <w:pPr>
      <w:pStyle w:val="1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764A80">
                          <w:pPr>
                            <w:pStyle w:val="18"/>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wps:txbx>
                    <wps:bodyPr vert="horz" wrap="none" lIns="0" tIns="0" rIns="0" bIns="0" anchor="t" anchorCtr="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NospqfXAQAAsgMAAA4AAAAAAAAAAQAgAAAA&#10;HgEAAGRycy9lMm9Eb2MueG1sUEsFBgAAAAAGAAYAWQEAAGcFAAAAAA==&#10;">
              <v:fill on="f" focussize="0,0"/>
              <v:stroke on="f"/>
              <v:imagedata o:title=""/>
              <o:lock v:ext="edit" aspectratio="f"/>
              <v:textbox inset="0mm,0mm,0mm,0mm" style="mso-fit-shape-to-text:t;">
                <w:txbxContent>
                  <w:p w14:paraId="13764A80">
                    <w:pPr>
                      <w:pStyle w:val="18"/>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2E443">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3A2CFC">
                          <w:pPr>
                            <w:pStyle w:val="18"/>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5D3A2CFC">
                    <w:pPr>
                      <w:pStyle w:val="18"/>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C13A16"/>
    <w:multiLevelType w:val="singleLevel"/>
    <w:tmpl w:val="C2C13A1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xYjdiYjk2NmNhMjc5Y2RmYmEwMjBiMzdmMDNhMmEifQ=="/>
  </w:docVars>
  <w:rsids>
    <w:rsidRoot w:val="00172A27"/>
    <w:rsid w:val="00041C36"/>
    <w:rsid w:val="00050F86"/>
    <w:rsid w:val="000C1D2D"/>
    <w:rsid w:val="00153E0E"/>
    <w:rsid w:val="00172A27"/>
    <w:rsid w:val="001F053E"/>
    <w:rsid w:val="002543A6"/>
    <w:rsid w:val="002A3912"/>
    <w:rsid w:val="002A7E8D"/>
    <w:rsid w:val="00410516"/>
    <w:rsid w:val="00484F5E"/>
    <w:rsid w:val="004B70BA"/>
    <w:rsid w:val="004D7577"/>
    <w:rsid w:val="00567655"/>
    <w:rsid w:val="00590B05"/>
    <w:rsid w:val="005B2D42"/>
    <w:rsid w:val="00771397"/>
    <w:rsid w:val="00826BCD"/>
    <w:rsid w:val="008E4DA0"/>
    <w:rsid w:val="009329EC"/>
    <w:rsid w:val="00932BB8"/>
    <w:rsid w:val="00964E9C"/>
    <w:rsid w:val="00990279"/>
    <w:rsid w:val="00A110EA"/>
    <w:rsid w:val="00A32A2E"/>
    <w:rsid w:val="00A77565"/>
    <w:rsid w:val="00B5203F"/>
    <w:rsid w:val="00B640AC"/>
    <w:rsid w:val="00C04E46"/>
    <w:rsid w:val="00C621A8"/>
    <w:rsid w:val="00C933CE"/>
    <w:rsid w:val="00C970D2"/>
    <w:rsid w:val="00CB4415"/>
    <w:rsid w:val="00D52B05"/>
    <w:rsid w:val="00DA2408"/>
    <w:rsid w:val="00DC1846"/>
    <w:rsid w:val="00E40A50"/>
    <w:rsid w:val="00EF7950"/>
    <w:rsid w:val="00F214A7"/>
    <w:rsid w:val="00F679B3"/>
    <w:rsid w:val="0158531E"/>
    <w:rsid w:val="01AC7678"/>
    <w:rsid w:val="01AF70E0"/>
    <w:rsid w:val="01C427EB"/>
    <w:rsid w:val="01D07479"/>
    <w:rsid w:val="01D22CED"/>
    <w:rsid w:val="01DA01AC"/>
    <w:rsid w:val="01F86CD9"/>
    <w:rsid w:val="02647AB9"/>
    <w:rsid w:val="027C0AD0"/>
    <w:rsid w:val="02BB47BA"/>
    <w:rsid w:val="02BE191A"/>
    <w:rsid w:val="02D320E0"/>
    <w:rsid w:val="02E6644C"/>
    <w:rsid w:val="03280EF8"/>
    <w:rsid w:val="032B3195"/>
    <w:rsid w:val="03353615"/>
    <w:rsid w:val="03606DA8"/>
    <w:rsid w:val="03727922"/>
    <w:rsid w:val="03826431"/>
    <w:rsid w:val="03AA0611"/>
    <w:rsid w:val="03AE02E8"/>
    <w:rsid w:val="03B83805"/>
    <w:rsid w:val="0455083C"/>
    <w:rsid w:val="04780182"/>
    <w:rsid w:val="04841E6C"/>
    <w:rsid w:val="048707A2"/>
    <w:rsid w:val="04D81F7C"/>
    <w:rsid w:val="0540319E"/>
    <w:rsid w:val="05D37647"/>
    <w:rsid w:val="06096CBB"/>
    <w:rsid w:val="06336531"/>
    <w:rsid w:val="0636289C"/>
    <w:rsid w:val="06372B69"/>
    <w:rsid w:val="06403908"/>
    <w:rsid w:val="06437A4D"/>
    <w:rsid w:val="064E157F"/>
    <w:rsid w:val="06685A39"/>
    <w:rsid w:val="066863D5"/>
    <w:rsid w:val="0680104B"/>
    <w:rsid w:val="069B30D5"/>
    <w:rsid w:val="06B12BCD"/>
    <w:rsid w:val="06BD5A5C"/>
    <w:rsid w:val="06CE69E4"/>
    <w:rsid w:val="06F44232"/>
    <w:rsid w:val="071A4FFB"/>
    <w:rsid w:val="072F60EA"/>
    <w:rsid w:val="073003F6"/>
    <w:rsid w:val="073C1416"/>
    <w:rsid w:val="07626CD1"/>
    <w:rsid w:val="076349FE"/>
    <w:rsid w:val="07B23BD2"/>
    <w:rsid w:val="07D52779"/>
    <w:rsid w:val="07F654CB"/>
    <w:rsid w:val="07F90245"/>
    <w:rsid w:val="08077FE9"/>
    <w:rsid w:val="08432B8E"/>
    <w:rsid w:val="085D1A1C"/>
    <w:rsid w:val="0872069D"/>
    <w:rsid w:val="08767FD2"/>
    <w:rsid w:val="087D7F38"/>
    <w:rsid w:val="08970A40"/>
    <w:rsid w:val="08A4162E"/>
    <w:rsid w:val="09702125"/>
    <w:rsid w:val="09B41737"/>
    <w:rsid w:val="09CA2D09"/>
    <w:rsid w:val="09E65669"/>
    <w:rsid w:val="09EA5159"/>
    <w:rsid w:val="09F5235C"/>
    <w:rsid w:val="0A0E69FD"/>
    <w:rsid w:val="0A3E54A5"/>
    <w:rsid w:val="0A570314"/>
    <w:rsid w:val="0A6523F4"/>
    <w:rsid w:val="0A685FB5"/>
    <w:rsid w:val="0A740EC6"/>
    <w:rsid w:val="0A9F6084"/>
    <w:rsid w:val="0B4006EB"/>
    <w:rsid w:val="0B914627"/>
    <w:rsid w:val="0B9B6EF0"/>
    <w:rsid w:val="0B9E10B5"/>
    <w:rsid w:val="0B9E1CB0"/>
    <w:rsid w:val="0BC47C2C"/>
    <w:rsid w:val="0BE65DF4"/>
    <w:rsid w:val="0BF24552"/>
    <w:rsid w:val="0C0D7AE6"/>
    <w:rsid w:val="0C227F1F"/>
    <w:rsid w:val="0C85560D"/>
    <w:rsid w:val="0CA02447"/>
    <w:rsid w:val="0CA20070"/>
    <w:rsid w:val="0CC7733C"/>
    <w:rsid w:val="0CC80FED"/>
    <w:rsid w:val="0CD32A34"/>
    <w:rsid w:val="0CF12128"/>
    <w:rsid w:val="0D140105"/>
    <w:rsid w:val="0D364445"/>
    <w:rsid w:val="0D710A31"/>
    <w:rsid w:val="0D7E1192"/>
    <w:rsid w:val="0DB82B2F"/>
    <w:rsid w:val="0E0322E5"/>
    <w:rsid w:val="0E650489"/>
    <w:rsid w:val="0E8273DD"/>
    <w:rsid w:val="0E954BA0"/>
    <w:rsid w:val="0EAF2288"/>
    <w:rsid w:val="0EC544EB"/>
    <w:rsid w:val="0F177F3C"/>
    <w:rsid w:val="0F287BA3"/>
    <w:rsid w:val="0F3B1552"/>
    <w:rsid w:val="0F823F1F"/>
    <w:rsid w:val="0FA01990"/>
    <w:rsid w:val="0FA1224B"/>
    <w:rsid w:val="0FAB1B4B"/>
    <w:rsid w:val="0FC147F0"/>
    <w:rsid w:val="0FC83017"/>
    <w:rsid w:val="0FCF62FB"/>
    <w:rsid w:val="0FDE143F"/>
    <w:rsid w:val="0FED49BA"/>
    <w:rsid w:val="0FEF717F"/>
    <w:rsid w:val="106F6EDC"/>
    <w:rsid w:val="10BB100E"/>
    <w:rsid w:val="10CF5BBB"/>
    <w:rsid w:val="10E072B6"/>
    <w:rsid w:val="10FB5335"/>
    <w:rsid w:val="10FD39C4"/>
    <w:rsid w:val="11160F29"/>
    <w:rsid w:val="112D1D65"/>
    <w:rsid w:val="11303196"/>
    <w:rsid w:val="11360437"/>
    <w:rsid w:val="113B11BA"/>
    <w:rsid w:val="11515ABE"/>
    <w:rsid w:val="116021A5"/>
    <w:rsid w:val="11613355"/>
    <w:rsid w:val="11A42091"/>
    <w:rsid w:val="11A827C1"/>
    <w:rsid w:val="11D67B34"/>
    <w:rsid w:val="11F70077"/>
    <w:rsid w:val="11FE6FE0"/>
    <w:rsid w:val="121459A3"/>
    <w:rsid w:val="127C2803"/>
    <w:rsid w:val="127E10FD"/>
    <w:rsid w:val="12851648"/>
    <w:rsid w:val="128819B3"/>
    <w:rsid w:val="12884038"/>
    <w:rsid w:val="12C13398"/>
    <w:rsid w:val="12F876BF"/>
    <w:rsid w:val="13114669"/>
    <w:rsid w:val="132029E9"/>
    <w:rsid w:val="132F1E2E"/>
    <w:rsid w:val="13351019"/>
    <w:rsid w:val="135B72ED"/>
    <w:rsid w:val="136C6CCA"/>
    <w:rsid w:val="13841C28"/>
    <w:rsid w:val="139A08A3"/>
    <w:rsid w:val="13B3480E"/>
    <w:rsid w:val="13BE434A"/>
    <w:rsid w:val="13C925E9"/>
    <w:rsid w:val="13D87533"/>
    <w:rsid w:val="13E2760C"/>
    <w:rsid w:val="13E55A7C"/>
    <w:rsid w:val="13ED238A"/>
    <w:rsid w:val="144D28BE"/>
    <w:rsid w:val="14A11363"/>
    <w:rsid w:val="14AD3C82"/>
    <w:rsid w:val="14AD638E"/>
    <w:rsid w:val="14D507B4"/>
    <w:rsid w:val="14E82BDD"/>
    <w:rsid w:val="150717C8"/>
    <w:rsid w:val="1530421B"/>
    <w:rsid w:val="15335E3C"/>
    <w:rsid w:val="15585425"/>
    <w:rsid w:val="15632821"/>
    <w:rsid w:val="156E0438"/>
    <w:rsid w:val="159710CE"/>
    <w:rsid w:val="1613202A"/>
    <w:rsid w:val="161D4E95"/>
    <w:rsid w:val="162C017A"/>
    <w:rsid w:val="16435C60"/>
    <w:rsid w:val="165B50B5"/>
    <w:rsid w:val="16715F6C"/>
    <w:rsid w:val="16744260"/>
    <w:rsid w:val="168C342C"/>
    <w:rsid w:val="16921052"/>
    <w:rsid w:val="16991967"/>
    <w:rsid w:val="16A92C1F"/>
    <w:rsid w:val="16AB4918"/>
    <w:rsid w:val="16DF3B6C"/>
    <w:rsid w:val="16E216B8"/>
    <w:rsid w:val="17292082"/>
    <w:rsid w:val="17394FF8"/>
    <w:rsid w:val="17A50E24"/>
    <w:rsid w:val="17DE305B"/>
    <w:rsid w:val="17EB6EF9"/>
    <w:rsid w:val="17EF123E"/>
    <w:rsid w:val="181E2472"/>
    <w:rsid w:val="186F67C2"/>
    <w:rsid w:val="18AC5722"/>
    <w:rsid w:val="18BA750B"/>
    <w:rsid w:val="18C03544"/>
    <w:rsid w:val="18D45DFC"/>
    <w:rsid w:val="18DD6311"/>
    <w:rsid w:val="19000928"/>
    <w:rsid w:val="192856B3"/>
    <w:rsid w:val="193A2057"/>
    <w:rsid w:val="19506374"/>
    <w:rsid w:val="19AB63C4"/>
    <w:rsid w:val="19B45EB3"/>
    <w:rsid w:val="1A0D6313"/>
    <w:rsid w:val="1A3810FE"/>
    <w:rsid w:val="1A3D0F0C"/>
    <w:rsid w:val="1A4A48FF"/>
    <w:rsid w:val="1A501F1B"/>
    <w:rsid w:val="1A7C0E8F"/>
    <w:rsid w:val="1A9A0468"/>
    <w:rsid w:val="1ABE60EB"/>
    <w:rsid w:val="1AFB4481"/>
    <w:rsid w:val="1B3626B5"/>
    <w:rsid w:val="1B544E28"/>
    <w:rsid w:val="1B587162"/>
    <w:rsid w:val="1B5938A5"/>
    <w:rsid w:val="1B5D1E9E"/>
    <w:rsid w:val="1B6323E0"/>
    <w:rsid w:val="1B776451"/>
    <w:rsid w:val="1BAE4064"/>
    <w:rsid w:val="1BD16179"/>
    <w:rsid w:val="1BD712B5"/>
    <w:rsid w:val="1BDB2B53"/>
    <w:rsid w:val="1C0D795C"/>
    <w:rsid w:val="1C0F788B"/>
    <w:rsid w:val="1C141501"/>
    <w:rsid w:val="1C3D55BC"/>
    <w:rsid w:val="1C7726C5"/>
    <w:rsid w:val="1C814C75"/>
    <w:rsid w:val="1C8F2794"/>
    <w:rsid w:val="1CAE7812"/>
    <w:rsid w:val="1CB20AFB"/>
    <w:rsid w:val="1CB751D0"/>
    <w:rsid w:val="1CB919A4"/>
    <w:rsid w:val="1CD83537"/>
    <w:rsid w:val="1CFC0D17"/>
    <w:rsid w:val="1CFC2D19"/>
    <w:rsid w:val="1D105D93"/>
    <w:rsid w:val="1D1E0445"/>
    <w:rsid w:val="1D270AE4"/>
    <w:rsid w:val="1D44283A"/>
    <w:rsid w:val="1D60342F"/>
    <w:rsid w:val="1D78009C"/>
    <w:rsid w:val="1D796AC8"/>
    <w:rsid w:val="1D871C03"/>
    <w:rsid w:val="1D884CF0"/>
    <w:rsid w:val="1D8E0177"/>
    <w:rsid w:val="1DA3413D"/>
    <w:rsid w:val="1E545B64"/>
    <w:rsid w:val="1E7B6870"/>
    <w:rsid w:val="1EC73280"/>
    <w:rsid w:val="1EFF124F"/>
    <w:rsid w:val="1F114792"/>
    <w:rsid w:val="1F1E1F01"/>
    <w:rsid w:val="1F444EB4"/>
    <w:rsid w:val="1F503858"/>
    <w:rsid w:val="1F8E7284"/>
    <w:rsid w:val="1FB360E7"/>
    <w:rsid w:val="1FB873A4"/>
    <w:rsid w:val="1FF232DB"/>
    <w:rsid w:val="1FF45850"/>
    <w:rsid w:val="202D1235"/>
    <w:rsid w:val="203013AA"/>
    <w:rsid w:val="20327A15"/>
    <w:rsid w:val="206E565F"/>
    <w:rsid w:val="20D364EF"/>
    <w:rsid w:val="20E97676"/>
    <w:rsid w:val="21295B5E"/>
    <w:rsid w:val="212C04F0"/>
    <w:rsid w:val="212D27FA"/>
    <w:rsid w:val="219E373C"/>
    <w:rsid w:val="21AF599B"/>
    <w:rsid w:val="21D0774F"/>
    <w:rsid w:val="223713D9"/>
    <w:rsid w:val="227B2B13"/>
    <w:rsid w:val="22A461F0"/>
    <w:rsid w:val="22B12CDA"/>
    <w:rsid w:val="22C92E53"/>
    <w:rsid w:val="22FC4CE3"/>
    <w:rsid w:val="23187739"/>
    <w:rsid w:val="23291E8B"/>
    <w:rsid w:val="23437531"/>
    <w:rsid w:val="23596042"/>
    <w:rsid w:val="236457F5"/>
    <w:rsid w:val="236E081B"/>
    <w:rsid w:val="2387194A"/>
    <w:rsid w:val="238C2DA9"/>
    <w:rsid w:val="23E85901"/>
    <w:rsid w:val="241E63E6"/>
    <w:rsid w:val="24213A15"/>
    <w:rsid w:val="24372BE7"/>
    <w:rsid w:val="245105A4"/>
    <w:rsid w:val="245A0AF2"/>
    <w:rsid w:val="245C2F8D"/>
    <w:rsid w:val="249066DD"/>
    <w:rsid w:val="24D7792D"/>
    <w:rsid w:val="24E707BB"/>
    <w:rsid w:val="251C369C"/>
    <w:rsid w:val="25536401"/>
    <w:rsid w:val="2566287E"/>
    <w:rsid w:val="25FD1164"/>
    <w:rsid w:val="2612287C"/>
    <w:rsid w:val="26196704"/>
    <w:rsid w:val="26217CFD"/>
    <w:rsid w:val="26440673"/>
    <w:rsid w:val="265840DB"/>
    <w:rsid w:val="26623C6C"/>
    <w:rsid w:val="26C86BA7"/>
    <w:rsid w:val="26E06C71"/>
    <w:rsid w:val="26EA0CB5"/>
    <w:rsid w:val="26FD55DC"/>
    <w:rsid w:val="27017996"/>
    <w:rsid w:val="273C36E8"/>
    <w:rsid w:val="2744740D"/>
    <w:rsid w:val="274B251F"/>
    <w:rsid w:val="274B5F1C"/>
    <w:rsid w:val="274C5507"/>
    <w:rsid w:val="274E67F3"/>
    <w:rsid w:val="275B14B6"/>
    <w:rsid w:val="27725362"/>
    <w:rsid w:val="27C923FA"/>
    <w:rsid w:val="27D6747B"/>
    <w:rsid w:val="281250A7"/>
    <w:rsid w:val="28131DB1"/>
    <w:rsid w:val="28251659"/>
    <w:rsid w:val="283C7070"/>
    <w:rsid w:val="284618DF"/>
    <w:rsid w:val="286F2FA1"/>
    <w:rsid w:val="289531DE"/>
    <w:rsid w:val="28E47B36"/>
    <w:rsid w:val="291C1B2F"/>
    <w:rsid w:val="29234F87"/>
    <w:rsid w:val="29554B1B"/>
    <w:rsid w:val="29671ECA"/>
    <w:rsid w:val="298A6B2C"/>
    <w:rsid w:val="29B66A0D"/>
    <w:rsid w:val="29F05B24"/>
    <w:rsid w:val="29F179E6"/>
    <w:rsid w:val="2A350D3C"/>
    <w:rsid w:val="2A4D7E90"/>
    <w:rsid w:val="2A532071"/>
    <w:rsid w:val="2A771831"/>
    <w:rsid w:val="2A87033E"/>
    <w:rsid w:val="2A960744"/>
    <w:rsid w:val="2AB51533"/>
    <w:rsid w:val="2AC60E73"/>
    <w:rsid w:val="2ADA3A0F"/>
    <w:rsid w:val="2AFF2BF3"/>
    <w:rsid w:val="2B037A34"/>
    <w:rsid w:val="2B2100D0"/>
    <w:rsid w:val="2B376FD2"/>
    <w:rsid w:val="2B593377"/>
    <w:rsid w:val="2B7C1908"/>
    <w:rsid w:val="2BC1086B"/>
    <w:rsid w:val="2BDC351D"/>
    <w:rsid w:val="2BE13AE1"/>
    <w:rsid w:val="2BEF2275"/>
    <w:rsid w:val="2C230203"/>
    <w:rsid w:val="2C8D32F9"/>
    <w:rsid w:val="2CEB0040"/>
    <w:rsid w:val="2D08614C"/>
    <w:rsid w:val="2D0A4DD2"/>
    <w:rsid w:val="2D427EAD"/>
    <w:rsid w:val="2D9515C6"/>
    <w:rsid w:val="2DA42251"/>
    <w:rsid w:val="2DC826D3"/>
    <w:rsid w:val="2DEF1607"/>
    <w:rsid w:val="2DF27D49"/>
    <w:rsid w:val="2DF803FC"/>
    <w:rsid w:val="2E0C16EA"/>
    <w:rsid w:val="2E910CDC"/>
    <w:rsid w:val="2EBD1EFD"/>
    <w:rsid w:val="2EC715D4"/>
    <w:rsid w:val="2F0B092E"/>
    <w:rsid w:val="2F1B3C50"/>
    <w:rsid w:val="2F1D4D98"/>
    <w:rsid w:val="2F4228EE"/>
    <w:rsid w:val="2F4E3303"/>
    <w:rsid w:val="2F625641"/>
    <w:rsid w:val="2FAC2F79"/>
    <w:rsid w:val="2FBF699C"/>
    <w:rsid w:val="2FF139C9"/>
    <w:rsid w:val="301C3E1D"/>
    <w:rsid w:val="303C6E79"/>
    <w:rsid w:val="304479DC"/>
    <w:rsid w:val="306B0278"/>
    <w:rsid w:val="308E63ED"/>
    <w:rsid w:val="30BF65F3"/>
    <w:rsid w:val="30C47C02"/>
    <w:rsid w:val="315F570D"/>
    <w:rsid w:val="31615422"/>
    <w:rsid w:val="3163741B"/>
    <w:rsid w:val="31E0281A"/>
    <w:rsid w:val="31FE12D4"/>
    <w:rsid w:val="32364B30"/>
    <w:rsid w:val="32973753"/>
    <w:rsid w:val="32B271D3"/>
    <w:rsid w:val="32BA0022"/>
    <w:rsid w:val="331F7245"/>
    <w:rsid w:val="332643F5"/>
    <w:rsid w:val="33791178"/>
    <w:rsid w:val="3398526F"/>
    <w:rsid w:val="33CB12A8"/>
    <w:rsid w:val="33D267D7"/>
    <w:rsid w:val="33D66E83"/>
    <w:rsid w:val="33E82ECD"/>
    <w:rsid w:val="33F7209D"/>
    <w:rsid w:val="34022441"/>
    <w:rsid w:val="340D366E"/>
    <w:rsid w:val="3428064F"/>
    <w:rsid w:val="34414EE8"/>
    <w:rsid w:val="3460329E"/>
    <w:rsid w:val="34675E29"/>
    <w:rsid w:val="34E70363"/>
    <w:rsid w:val="34E76031"/>
    <w:rsid w:val="350C3E26"/>
    <w:rsid w:val="3511371C"/>
    <w:rsid w:val="352178D8"/>
    <w:rsid w:val="352251C2"/>
    <w:rsid w:val="353F2CB2"/>
    <w:rsid w:val="35435F75"/>
    <w:rsid w:val="357F2541"/>
    <w:rsid w:val="35827B62"/>
    <w:rsid w:val="358562B5"/>
    <w:rsid w:val="35AD5109"/>
    <w:rsid w:val="35B84990"/>
    <w:rsid w:val="35BA3E5B"/>
    <w:rsid w:val="35F21282"/>
    <w:rsid w:val="362F5B1E"/>
    <w:rsid w:val="36395EE4"/>
    <w:rsid w:val="36493477"/>
    <w:rsid w:val="364D6ED6"/>
    <w:rsid w:val="36673031"/>
    <w:rsid w:val="36721236"/>
    <w:rsid w:val="36B726AE"/>
    <w:rsid w:val="36C3101C"/>
    <w:rsid w:val="36C4060B"/>
    <w:rsid w:val="36F3211B"/>
    <w:rsid w:val="373525CE"/>
    <w:rsid w:val="374F73CF"/>
    <w:rsid w:val="375873B1"/>
    <w:rsid w:val="375A09AF"/>
    <w:rsid w:val="3766112D"/>
    <w:rsid w:val="37A20289"/>
    <w:rsid w:val="37B46FED"/>
    <w:rsid w:val="37CF580A"/>
    <w:rsid w:val="37D1291E"/>
    <w:rsid w:val="37D4026E"/>
    <w:rsid w:val="37DA5E90"/>
    <w:rsid w:val="383A4B00"/>
    <w:rsid w:val="38A019C9"/>
    <w:rsid w:val="38A61F0C"/>
    <w:rsid w:val="38B03362"/>
    <w:rsid w:val="38B67EB0"/>
    <w:rsid w:val="38D26C34"/>
    <w:rsid w:val="38E01244"/>
    <w:rsid w:val="392A60A6"/>
    <w:rsid w:val="393110B2"/>
    <w:rsid w:val="393A310B"/>
    <w:rsid w:val="39471031"/>
    <w:rsid w:val="39684A29"/>
    <w:rsid w:val="3971644D"/>
    <w:rsid w:val="397C551E"/>
    <w:rsid w:val="3994602B"/>
    <w:rsid w:val="39A92D27"/>
    <w:rsid w:val="39B953E3"/>
    <w:rsid w:val="3A081ED6"/>
    <w:rsid w:val="3A0B3E46"/>
    <w:rsid w:val="3A2C5B75"/>
    <w:rsid w:val="3A483652"/>
    <w:rsid w:val="3A5024DC"/>
    <w:rsid w:val="3A6366DE"/>
    <w:rsid w:val="3AE13585"/>
    <w:rsid w:val="3AE34FC0"/>
    <w:rsid w:val="3AE500CF"/>
    <w:rsid w:val="3B051543"/>
    <w:rsid w:val="3B071DE4"/>
    <w:rsid w:val="3B1F5DC1"/>
    <w:rsid w:val="3B3A4AB6"/>
    <w:rsid w:val="3B43221E"/>
    <w:rsid w:val="3B732D74"/>
    <w:rsid w:val="3B8B7F8C"/>
    <w:rsid w:val="3B9A46DD"/>
    <w:rsid w:val="3BA174BE"/>
    <w:rsid w:val="3BA34FDA"/>
    <w:rsid w:val="3BBB7C7B"/>
    <w:rsid w:val="3BBD0245"/>
    <w:rsid w:val="3BC5576C"/>
    <w:rsid w:val="3C35213B"/>
    <w:rsid w:val="3C5067EE"/>
    <w:rsid w:val="3C581218"/>
    <w:rsid w:val="3CD218F9"/>
    <w:rsid w:val="3CD704BD"/>
    <w:rsid w:val="3CE75849"/>
    <w:rsid w:val="3D1A6A65"/>
    <w:rsid w:val="3D4B689C"/>
    <w:rsid w:val="3D6C74FD"/>
    <w:rsid w:val="3D8F7C9A"/>
    <w:rsid w:val="3E88226F"/>
    <w:rsid w:val="3EBC63BD"/>
    <w:rsid w:val="3EDB4A95"/>
    <w:rsid w:val="3EE057E6"/>
    <w:rsid w:val="3F18690D"/>
    <w:rsid w:val="3F1B285B"/>
    <w:rsid w:val="3F2A3743"/>
    <w:rsid w:val="3F310B59"/>
    <w:rsid w:val="3F43243B"/>
    <w:rsid w:val="3F47212A"/>
    <w:rsid w:val="3F6A3CD5"/>
    <w:rsid w:val="3FCB19D9"/>
    <w:rsid w:val="3FCB2D5B"/>
    <w:rsid w:val="3FE57C96"/>
    <w:rsid w:val="3FF5259B"/>
    <w:rsid w:val="3FF81D2D"/>
    <w:rsid w:val="402847E9"/>
    <w:rsid w:val="40302BBE"/>
    <w:rsid w:val="405E34A3"/>
    <w:rsid w:val="407C7161"/>
    <w:rsid w:val="407D5E86"/>
    <w:rsid w:val="40807762"/>
    <w:rsid w:val="409A44DC"/>
    <w:rsid w:val="40A92971"/>
    <w:rsid w:val="40BC08F6"/>
    <w:rsid w:val="40BE0F76"/>
    <w:rsid w:val="40CB718C"/>
    <w:rsid w:val="40DD59C2"/>
    <w:rsid w:val="41610361"/>
    <w:rsid w:val="41A8307D"/>
    <w:rsid w:val="41C06995"/>
    <w:rsid w:val="41DB1250"/>
    <w:rsid w:val="41E2613A"/>
    <w:rsid w:val="421B6FDC"/>
    <w:rsid w:val="42595C18"/>
    <w:rsid w:val="429E14C7"/>
    <w:rsid w:val="429F2762"/>
    <w:rsid w:val="42AB17FE"/>
    <w:rsid w:val="42B11DCD"/>
    <w:rsid w:val="42FF5094"/>
    <w:rsid w:val="436C03B1"/>
    <w:rsid w:val="43A85A50"/>
    <w:rsid w:val="43C7528C"/>
    <w:rsid w:val="43CB220C"/>
    <w:rsid w:val="441D1BE7"/>
    <w:rsid w:val="445415FA"/>
    <w:rsid w:val="445B3984"/>
    <w:rsid w:val="445B5455"/>
    <w:rsid w:val="44943A7F"/>
    <w:rsid w:val="44DF70BA"/>
    <w:rsid w:val="450F631C"/>
    <w:rsid w:val="453971E4"/>
    <w:rsid w:val="453C54BE"/>
    <w:rsid w:val="45476363"/>
    <w:rsid w:val="456D040C"/>
    <w:rsid w:val="458938E1"/>
    <w:rsid w:val="45F82B0D"/>
    <w:rsid w:val="463F7FFF"/>
    <w:rsid w:val="46484BFF"/>
    <w:rsid w:val="46512233"/>
    <w:rsid w:val="46540D24"/>
    <w:rsid w:val="46A737E8"/>
    <w:rsid w:val="46C14018"/>
    <w:rsid w:val="46C73076"/>
    <w:rsid w:val="46D07EE5"/>
    <w:rsid w:val="46E465A3"/>
    <w:rsid w:val="46F806BD"/>
    <w:rsid w:val="47043CAB"/>
    <w:rsid w:val="472705CE"/>
    <w:rsid w:val="479A2C46"/>
    <w:rsid w:val="479C5136"/>
    <w:rsid w:val="47E06018"/>
    <w:rsid w:val="47FA3CDB"/>
    <w:rsid w:val="48197D96"/>
    <w:rsid w:val="48653A64"/>
    <w:rsid w:val="48811B8A"/>
    <w:rsid w:val="48C40B78"/>
    <w:rsid w:val="48C43988"/>
    <w:rsid w:val="48E83E36"/>
    <w:rsid w:val="49345B93"/>
    <w:rsid w:val="494C4B08"/>
    <w:rsid w:val="49951EFC"/>
    <w:rsid w:val="499A26FB"/>
    <w:rsid w:val="49B026D9"/>
    <w:rsid w:val="49B722B7"/>
    <w:rsid w:val="49C15E4A"/>
    <w:rsid w:val="49D955C3"/>
    <w:rsid w:val="49ED65A4"/>
    <w:rsid w:val="4A307756"/>
    <w:rsid w:val="4A6D7DCA"/>
    <w:rsid w:val="4A9910AB"/>
    <w:rsid w:val="4A992597"/>
    <w:rsid w:val="4A9B332A"/>
    <w:rsid w:val="4AD625B4"/>
    <w:rsid w:val="4AFF509B"/>
    <w:rsid w:val="4B04672A"/>
    <w:rsid w:val="4B4014D1"/>
    <w:rsid w:val="4B5E2E2F"/>
    <w:rsid w:val="4B664567"/>
    <w:rsid w:val="4B675E1C"/>
    <w:rsid w:val="4B9F7C0E"/>
    <w:rsid w:val="4BC73F17"/>
    <w:rsid w:val="4BEB73D9"/>
    <w:rsid w:val="4C166235"/>
    <w:rsid w:val="4C1C544C"/>
    <w:rsid w:val="4C313219"/>
    <w:rsid w:val="4C5D1828"/>
    <w:rsid w:val="4C6C738D"/>
    <w:rsid w:val="4C6D0CF6"/>
    <w:rsid w:val="4C6D1DE5"/>
    <w:rsid w:val="4C7E6A54"/>
    <w:rsid w:val="4C865C08"/>
    <w:rsid w:val="4D014489"/>
    <w:rsid w:val="4D317F76"/>
    <w:rsid w:val="4D7E2A50"/>
    <w:rsid w:val="4DA23565"/>
    <w:rsid w:val="4DA9629F"/>
    <w:rsid w:val="4DB7491F"/>
    <w:rsid w:val="4DD038A9"/>
    <w:rsid w:val="4DE1199C"/>
    <w:rsid w:val="4E49490E"/>
    <w:rsid w:val="4E551A8D"/>
    <w:rsid w:val="4EB250E6"/>
    <w:rsid w:val="4EE207BB"/>
    <w:rsid w:val="4EF75916"/>
    <w:rsid w:val="4F0F53A9"/>
    <w:rsid w:val="4F1720D5"/>
    <w:rsid w:val="4F1D51EC"/>
    <w:rsid w:val="4F1F0C9F"/>
    <w:rsid w:val="4F244C6A"/>
    <w:rsid w:val="4FB00148"/>
    <w:rsid w:val="4FE12F08"/>
    <w:rsid w:val="4FF63972"/>
    <w:rsid w:val="500B4BE0"/>
    <w:rsid w:val="504A7CCC"/>
    <w:rsid w:val="504B329A"/>
    <w:rsid w:val="50580297"/>
    <w:rsid w:val="505E67AA"/>
    <w:rsid w:val="50697817"/>
    <w:rsid w:val="506F6B37"/>
    <w:rsid w:val="5086682B"/>
    <w:rsid w:val="5090365A"/>
    <w:rsid w:val="50B93BFE"/>
    <w:rsid w:val="51096E4A"/>
    <w:rsid w:val="51106525"/>
    <w:rsid w:val="511A6C71"/>
    <w:rsid w:val="512567F5"/>
    <w:rsid w:val="513C4D1D"/>
    <w:rsid w:val="514C3DAD"/>
    <w:rsid w:val="515047BA"/>
    <w:rsid w:val="5157430C"/>
    <w:rsid w:val="516A7F37"/>
    <w:rsid w:val="516D2E7D"/>
    <w:rsid w:val="51916F53"/>
    <w:rsid w:val="51AA4C59"/>
    <w:rsid w:val="51B24E4A"/>
    <w:rsid w:val="51CB4CC2"/>
    <w:rsid w:val="51D829D5"/>
    <w:rsid w:val="51ED0D38"/>
    <w:rsid w:val="51F31FFB"/>
    <w:rsid w:val="51FA103F"/>
    <w:rsid w:val="520170B1"/>
    <w:rsid w:val="524428F4"/>
    <w:rsid w:val="5257047F"/>
    <w:rsid w:val="525B5D4E"/>
    <w:rsid w:val="52693AF2"/>
    <w:rsid w:val="52765BD3"/>
    <w:rsid w:val="52851E0F"/>
    <w:rsid w:val="529B0943"/>
    <w:rsid w:val="52A35A01"/>
    <w:rsid w:val="52F44E38"/>
    <w:rsid w:val="52FE3AEF"/>
    <w:rsid w:val="53284056"/>
    <w:rsid w:val="537038AC"/>
    <w:rsid w:val="537540CD"/>
    <w:rsid w:val="53911E0A"/>
    <w:rsid w:val="53E13EC3"/>
    <w:rsid w:val="53E415EA"/>
    <w:rsid w:val="53FA7768"/>
    <w:rsid w:val="54140409"/>
    <w:rsid w:val="546837CB"/>
    <w:rsid w:val="54723DA3"/>
    <w:rsid w:val="547A0454"/>
    <w:rsid w:val="548C2969"/>
    <w:rsid w:val="54934AA7"/>
    <w:rsid w:val="549624AE"/>
    <w:rsid w:val="54CF254E"/>
    <w:rsid w:val="550B7745"/>
    <w:rsid w:val="554A42CB"/>
    <w:rsid w:val="55607267"/>
    <w:rsid w:val="556421BF"/>
    <w:rsid w:val="55676BB4"/>
    <w:rsid w:val="55835251"/>
    <w:rsid w:val="55913CA7"/>
    <w:rsid w:val="55CC6A83"/>
    <w:rsid w:val="55EA5046"/>
    <w:rsid w:val="560E3249"/>
    <w:rsid w:val="56186177"/>
    <w:rsid w:val="561B7A15"/>
    <w:rsid w:val="56532D14"/>
    <w:rsid w:val="56643F7B"/>
    <w:rsid w:val="56821842"/>
    <w:rsid w:val="569F0646"/>
    <w:rsid w:val="56B45E9F"/>
    <w:rsid w:val="56D3302D"/>
    <w:rsid w:val="56D973CF"/>
    <w:rsid w:val="56FC0E17"/>
    <w:rsid w:val="56FC63ED"/>
    <w:rsid w:val="57035F7F"/>
    <w:rsid w:val="570E4942"/>
    <w:rsid w:val="573222F5"/>
    <w:rsid w:val="5737262D"/>
    <w:rsid w:val="57517B92"/>
    <w:rsid w:val="579A0B0F"/>
    <w:rsid w:val="57BA102C"/>
    <w:rsid w:val="57D61931"/>
    <w:rsid w:val="57DD6DD0"/>
    <w:rsid w:val="582A366D"/>
    <w:rsid w:val="583542C0"/>
    <w:rsid w:val="584D2ADC"/>
    <w:rsid w:val="58510CFB"/>
    <w:rsid w:val="585169D2"/>
    <w:rsid w:val="58861256"/>
    <w:rsid w:val="58906680"/>
    <w:rsid w:val="58D03F93"/>
    <w:rsid w:val="59016B9E"/>
    <w:rsid w:val="595963DC"/>
    <w:rsid w:val="595A456A"/>
    <w:rsid w:val="59607A95"/>
    <w:rsid w:val="59964FFE"/>
    <w:rsid w:val="59D32AE1"/>
    <w:rsid w:val="59DB6FF7"/>
    <w:rsid w:val="59E20C6B"/>
    <w:rsid w:val="5A2515C6"/>
    <w:rsid w:val="5A2E66EC"/>
    <w:rsid w:val="5A395940"/>
    <w:rsid w:val="5A4028B1"/>
    <w:rsid w:val="5A513553"/>
    <w:rsid w:val="5A7F7348"/>
    <w:rsid w:val="5A8329E1"/>
    <w:rsid w:val="5A8D4028"/>
    <w:rsid w:val="5A976D2B"/>
    <w:rsid w:val="5A9B5D67"/>
    <w:rsid w:val="5AD059E8"/>
    <w:rsid w:val="5AE92B8E"/>
    <w:rsid w:val="5AFD0924"/>
    <w:rsid w:val="5B075A06"/>
    <w:rsid w:val="5B153530"/>
    <w:rsid w:val="5B3168E5"/>
    <w:rsid w:val="5B4C3B08"/>
    <w:rsid w:val="5B6D574D"/>
    <w:rsid w:val="5B8338B0"/>
    <w:rsid w:val="5B885B4D"/>
    <w:rsid w:val="5BB879AB"/>
    <w:rsid w:val="5BDB7A2A"/>
    <w:rsid w:val="5BFB6474"/>
    <w:rsid w:val="5C0D7037"/>
    <w:rsid w:val="5C2A7DE1"/>
    <w:rsid w:val="5C6829AF"/>
    <w:rsid w:val="5C6D1843"/>
    <w:rsid w:val="5C806B92"/>
    <w:rsid w:val="5C8F1D6F"/>
    <w:rsid w:val="5C9F5B4C"/>
    <w:rsid w:val="5CDC1F44"/>
    <w:rsid w:val="5CF26970"/>
    <w:rsid w:val="5CF41316"/>
    <w:rsid w:val="5D1860EA"/>
    <w:rsid w:val="5D352289"/>
    <w:rsid w:val="5D5B375C"/>
    <w:rsid w:val="5D5D1495"/>
    <w:rsid w:val="5D634689"/>
    <w:rsid w:val="5D6D26E9"/>
    <w:rsid w:val="5D703886"/>
    <w:rsid w:val="5D9A4716"/>
    <w:rsid w:val="5E0733DA"/>
    <w:rsid w:val="5E1406C1"/>
    <w:rsid w:val="5E1A1D20"/>
    <w:rsid w:val="5E2F7E48"/>
    <w:rsid w:val="5E602469"/>
    <w:rsid w:val="5E677E67"/>
    <w:rsid w:val="5E717821"/>
    <w:rsid w:val="5EAB5584"/>
    <w:rsid w:val="5EC52DEA"/>
    <w:rsid w:val="5ECB3D0A"/>
    <w:rsid w:val="5ED510A9"/>
    <w:rsid w:val="5EF263E7"/>
    <w:rsid w:val="5EF75F46"/>
    <w:rsid w:val="5F21609C"/>
    <w:rsid w:val="5F230BEF"/>
    <w:rsid w:val="5F622ECF"/>
    <w:rsid w:val="5FA665A1"/>
    <w:rsid w:val="5FAB7FB5"/>
    <w:rsid w:val="5FAD2544"/>
    <w:rsid w:val="5FB66017"/>
    <w:rsid w:val="5FFE29B9"/>
    <w:rsid w:val="600578D1"/>
    <w:rsid w:val="602415E7"/>
    <w:rsid w:val="60424709"/>
    <w:rsid w:val="60786190"/>
    <w:rsid w:val="608E7761"/>
    <w:rsid w:val="60915473"/>
    <w:rsid w:val="6092153B"/>
    <w:rsid w:val="609B683C"/>
    <w:rsid w:val="60A00576"/>
    <w:rsid w:val="60AF2097"/>
    <w:rsid w:val="60B34A44"/>
    <w:rsid w:val="60B753A8"/>
    <w:rsid w:val="60BB7E2A"/>
    <w:rsid w:val="60C870C1"/>
    <w:rsid w:val="60DD300E"/>
    <w:rsid w:val="60F51603"/>
    <w:rsid w:val="61572349"/>
    <w:rsid w:val="615D7134"/>
    <w:rsid w:val="618F268C"/>
    <w:rsid w:val="61EA23B0"/>
    <w:rsid w:val="620A72BB"/>
    <w:rsid w:val="62287615"/>
    <w:rsid w:val="622F67B3"/>
    <w:rsid w:val="627D4254"/>
    <w:rsid w:val="62897466"/>
    <w:rsid w:val="62AD3683"/>
    <w:rsid w:val="62B261AF"/>
    <w:rsid w:val="62F57B08"/>
    <w:rsid w:val="6303429D"/>
    <w:rsid w:val="63205356"/>
    <w:rsid w:val="63424833"/>
    <w:rsid w:val="63464D73"/>
    <w:rsid w:val="635822A8"/>
    <w:rsid w:val="63583AEB"/>
    <w:rsid w:val="637177A0"/>
    <w:rsid w:val="63737FC7"/>
    <w:rsid w:val="63A252D2"/>
    <w:rsid w:val="63C656BB"/>
    <w:rsid w:val="63CE3380"/>
    <w:rsid w:val="63E36016"/>
    <w:rsid w:val="63F21DB5"/>
    <w:rsid w:val="63FF6480"/>
    <w:rsid w:val="640A1EA8"/>
    <w:rsid w:val="642900E6"/>
    <w:rsid w:val="64302590"/>
    <w:rsid w:val="6439089B"/>
    <w:rsid w:val="64495DD6"/>
    <w:rsid w:val="64623809"/>
    <w:rsid w:val="64746C6E"/>
    <w:rsid w:val="647C3D75"/>
    <w:rsid w:val="64A216CA"/>
    <w:rsid w:val="64AA2657"/>
    <w:rsid w:val="65080F89"/>
    <w:rsid w:val="651E4E2C"/>
    <w:rsid w:val="655A76A7"/>
    <w:rsid w:val="655C6589"/>
    <w:rsid w:val="66047425"/>
    <w:rsid w:val="661052EF"/>
    <w:rsid w:val="66207331"/>
    <w:rsid w:val="662830CF"/>
    <w:rsid w:val="66747DFB"/>
    <w:rsid w:val="66767F83"/>
    <w:rsid w:val="66D54C1C"/>
    <w:rsid w:val="66F41F1E"/>
    <w:rsid w:val="6701113C"/>
    <w:rsid w:val="671C40AC"/>
    <w:rsid w:val="672D4EE4"/>
    <w:rsid w:val="677658C0"/>
    <w:rsid w:val="6797113A"/>
    <w:rsid w:val="67AF1F51"/>
    <w:rsid w:val="67BC1DD1"/>
    <w:rsid w:val="67C86935"/>
    <w:rsid w:val="67D14F07"/>
    <w:rsid w:val="67E07000"/>
    <w:rsid w:val="67E77C07"/>
    <w:rsid w:val="67EA3883"/>
    <w:rsid w:val="67EC51A3"/>
    <w:rsid w:val="680F17C8"/>
    <w:rsid w:val="681C04AD"/>
    <w:rsid w:val="683A6B4A"/>
    <w:rsid w:val="68444162"/>
    <w:rsid w:val="686A6F2B"/>
    <w:rsid w:val="68825416"/>
    <w:rsid w:val="68AA0B6B"/>
    <w:rsid w:val="68AC217A"/>
    <w:rsid w:val="68C77ED2"/>
    <w:rsid w:val="68E24AEE"/>
    <w:rsid w:val="68E331BF"/>
    <w:rsid w:val="6922138F"/>
    <w:rsid w:val="69F85C86"/>
    <w:rsid w:val="6A09523D"/>
    <w:rsid w:val="6A1B26B7"/>
    <w:rsid w:val="6A244C92"/>
    <w:rsid w:val="6A2809FC"/>
    <w:rsid w:val="6A883CBC"/>
    <w:rsid w:val="6A902328"/>
    <w:rsid w:val="6B19056F"/>
    <w:rsid w:val="6B340F05"/>
    <w:rsid w:val="6B345E30"/>
    <w:rsid w:val="6B3A216D"/>
    <w:rsid w:val="6B455119"/>
    <w:rsid w:val="6B505357"/>
    <w:rsid w:val="6B726C8B"/>
    <w:rsid w:val="6B874EAB"/>
    <w:rsid w:val="6B985938"/>
    <w:rsid w:val="6BAC4A1E"/>
    <w:rsid w:val="6BFB3E5A"/>
    <w:rsid w:val="6BFD3458"/>
    <w:rsid w:val="6C423778"/>
    <w:rsid w:val="6CAF118B"/>
    <w:rsid w:val="6CBB7E1F"/>
    <w:rsid w:val="6CC01E51"/>
    <w:rsid w:val="6CC025A1"/>
    <w:rsid w:val="6CF372CA"/>
    <w:rsid w:val="6D027F59"/>
    <w:rsid w:val="6D2D1C64"/>
    <w:rsid w:val="6D475F5F"/>
    <w:rsid w:val="6D600E21"/>
    <w:rsid w:val="6D68133A"/>
    <w:rsid w:val="6DA82289"/>
    <w:rsid w:val="6DE915B6"/>
    <w:rsid w:val="6E061A11"/>
    <w:rsid w:val="6E345B45"/>
    <w:rsid w:val="6E63668A"/>
    <w:rsid w:val="6E671CA5"/>
    <w:rsid w:val="6E741E30"/>
    <w:rsid w:val="6E851E19"/>
    <w:rsid w:val="6E9A5352"/>
    <w:rsid w:val="6EA04641"/>
    <w:rsid w:val="6EA0733B"/>
    <w:rsid w:val="6EBB122E"/>
    <w:rsid w:val="6EBB2C83"/>
    <w:rsid w:val="6EC77A48"/>
    <w:rsid w:val="6EC77E06"/>
    <w:rsid w:val="6EC97030"/>
    <w:rsid w:val="6EF6175D"/>
    <w:rsid w:val="6EFE0B8E"/>
    <w:rsid w:val="6EFF49CF"/>
    <w:rsid w:val="6F125A01"/>
    <w:rsid w:val="6F2B35AD"/>
    <w:rsid w:val="6F332F4A"/>
    <w:rsid w:val="6F3C2DD2"/>
    <w:rsid w:val="6F8063CA"/>
    <w:rsid w:val="6FB66044"/>
    <w:rsid w:val="6FE8588F"/>
    <w:rsid w:val="700A492A"/>
    <w:rsid w:val="703F6602"/>
    <w:rsid w:val="705E2709"/>
    <w:rsid w:val="70F34F86"/>
    <w:rsid w:val="70F759D2"/>
    <w:rsid w:val="70FA674D"/>
    <w:rsid w:val="71211F2C"/>
    <w:rsid w:val="713E329A"/>
    <w:rsid w:val="7146159B"/>
    <w:rsid w:val="714D0321"/>
    <w:rsid w:val="715C7211"/>
    <w:rsid w:val="718D73C3"/>
    <w:rsid w:val="71900A0A"/>
    <w:rsid w:val="719A4E18"/>
    <w:rsid w:val="71BC787F"/>
    <w:rsid w:val="71BE3E19"/>
    <w:rsid w:val="72011EEA"/>
    <w:rsid w:val="720A0C12"/>
    <w:rsid w:val="727517BE"/>
    <w:rsid w:val="72BB53F2"/>
    <w:rsid w:val="73004C22"/>
    <w:rsid w:val="73555EBD"/>
    <w:rsid w:val="7386317F"/>
    <w:rsid w:val="7395781C"/>
    <w:rsid w:val="73A53748"/>
    <w:rsid w:val="73B01345"/>
    <w:rsid w:val="73F00452"/>
    <w:rsid w:val="73F97D41"/>
    <w:rsid w:val="745612A8"/>
    <w:rsid w:val="74A353FC"/>
    <w:rsid w:val="74B55FCA"/>
    <w:rsid w:val="75116700"/>
    <w:rsid w:val="751E6462"/>
    <w:rsid w:val="7547670C"/>
    <w:rsid w:val="754B5EDD"/>
    <w:rsid w:val="756D7FC7"/>
    <w:rsid w:val="75B626CC"/>
    <w:rsid w:val="75D86956"/>
    <w:rsid w:val="75EE1EAC"/>
    <w:rsid w:val="761205FE"/>
    <w:rsid w:val="761518EF"/>
    <w:rsid w:val="761D11FC"/>
    <w:rsid w:val="76393874"/>
    <w:rsid w:val="76753CC2"/>
    <w:rsid w:val="768947FB"/>
    <w:rsid w:val="768A49A6"/>
    <w:rsid w:val="76BA279A"/>
    <w:rsid w:val="76BD3140"/>
    <w:rsid w:val="76C4526D"/>
    <w:rsid w:val="76D75E34"/>
    <w:rsid w:val="76DB2A57"/>
    <w:rsid w:val="76DD04DF"/>
    <w:rsid w:val="76EE5BC6"/>
    <w:rsid w:val="76F1318D"/>
    <w:rsid w:val="76F226CA"/>
    <w:rsid w:val="770245AD"/>
    <w:rsid w:val="77360703"/>
    <w:rsid w:val="773B1F42"/>
    <w:rsid w:val="77492189"/>
    <w:rsid w:val="776E61EE"/>
    <w:rsid w:val="777D019A"/>
    <w:rsid w:val="779C230C"/>
    <w:rsid w:val="779D0C3B"/>
    <w:rsid w:val="77BA27C4"/>
    <w:rsid w:val="77C16217"/>
    <w:rsid w:val="781E6439"/>
    <w:rsid w:val="78214A6B"/>
    <w:rsid w:val="7824041B"/>
    <w:rsid w:val="78897474"/>
    <w:rsid w:val="78A64B86"/>
    <w:rsid w:val="78BD078C"/>
    <w:rsid w:val="78DE3D6C"/>
    <w:rsid w:val="78E33867"/>
    <w:rsid w:val="78E52BDC"/>
    <w:rsid w:val="78F93EFF"/>
    <w:rsid w:val="790776EC"/>
    <w:rsid w:val="798701EE"/>
    <w:rsid w:val="798720C7"/>
    <w:rsid w:val="798B75C8"/>
    <w:rsid w:val="798D230A"/>
    <w:rsid w:val="79A30038"/>
    <w:rsid w:val="79A3081B"/>
    <w:rsid w:val="79A8143C"/>
    <w:rsid w:val="7A071D78"/>
    <w:rsid w:val="7A2D742D"/>
    <w:rsid w:val="7A5600FC"/>
    <w:rsid w:val="7A5C06AF"/>
    <w:rsid w:val="7A6447EC"/>
    <w:rsid w:val="7A6E489C"/>
    <w:rsid w:val="7A716D06"/>
    <w:rsid w:val="7AC662B5"/>
    <w:rsid w:val="7B347D8A"/>
    <w:rsid w:val="7B8F4980"/>
    <w:rsid w:val="7B972CB9"/>
    <w:rsid w:val="7BA61501"/>
    <w:rsid w:val="7BAC3598"/>
    <w:rsid w:val="7BAF14B0"/>
    <w:rsid w:val="7BD06448"/>
    <w:rsid w:val="7BE85AB6"/>
    <w:rsid w:val="7C3074C7"/>
    <w:rsid w:val="7CA103C5"/>
    <w:rsid w:val="7CA420D7"/>
    <w:rsid w:val="7CC52305"/>
    <w:rsid w:val="7CD54E02"/>
    <w:rsid w:val="7CE922B5"/>
    <w:rsid w:val="7CF0056D"/>
    <w:rsid w:val="7CF808CE"/>
    <w:rsid w:val="7CFD4359"/>
    <w:rsid w:val="7D196F8A"/>
    <w:rsid w:val="7D324E38"/>
    <w:rsid w:val="7D376D09"/>
    <w:rsid w:val="7D3A16E9"/>
    <w:rsid w:val="7D4A2A43"/>
    <w:rsid w:val="7D7B5294"/>
    <w:rsid w:val="7D9D74DD"/>
    <w:rsid w:val="7DA92784"/>
    <w:rsid w:val="7DB37D69"/>
    <w:rsid w:val="7DCA019C"/>
    <w:rsid w:val="7DCA17AE"/>
    <w:rsid w:val="7DE55723"/>
    <w:rsid w:val="7DED451A"/>
    <w:rsid w:val="7E2214CE"/>
    <w:rsid w:val="7E2F24BC"/>
    <w:rsid w:val="7E560813"/>
    <w:rsid w:val="7E564EE1"/>
    <w:rsid w:val="7E6D3957"/>
    <w:rsid w:val="7E6D67B0"/>
    <w:rsid w:val="7E8D7C7B"/>
    <w:rsid w:val="7EA83077"/>
    <w:rsid w:val="7ECD0B10"/>
    <w:rsid w:val="7ED53E1B"/>
    <w:rsid w:val="7F1D6A6D"/>
    <w:rsid w:val="7F2554A7"/>
    <w:rsid w:val="7F2A34D9"/>
    <w:rsid w:val="7F3156BC"/>
    <w:rsid w:val="7F4D44C9"/>
    <w:rsid w:val="7F7A3881"/>
    <w:rsid w:val="7FA60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2">
    <w:name w:val="heading 1"/>
    <w:basedOn w:val="1"/>
    <w:next w:val="1"/>
    <w:autoRedefine/>
    <w:qFormat/>
    <w:uiPriority w:val="0"/>
    <w:pPr>
      <w:autoSpaceDE w:val="0"/>
      <w:autoSpaceDN w:val="0"/>
      <w:adjustRightInd w:val="0"/>
      <w:jc w:val="left"/>
      <w:outlineLvl w:val="0"/>
    </w:pPr>
    <w:rPr>
      <w:kern w:val="0"/>
      <w:sz w:val="30"/>
    </w:rPr>
  </w:style>
  <w:style w:type="paragraph" w:styleId="3">
    <w:name w:val="heading 2"/>
    <w:basedOn w:val="1"/>
    <w:next w:val="1"/>
    <w:autoRedefine/>
    <w:qFormat/>
    <w:uiPriority w:val="0"/>
    <w:pPr>
      <w:autoSpaceDE w:val="0"/>
      <w:autoSpaceDN w:val="0"/>
      <w:adjustRightInd w:val="0"/>
      <w:jc w:val="left"/>
      <w:outlineLvl w:val="1"/>
    </w:pPr>
    <w:rPr>
      <w:kern w:val="0"/>
    </w:rPr>
  </w:style>
  <w:style w:type="paragraph" w:styleId="4">
    <w:name w:val="heading 3"/>
    <w:basedOn w:val="1"/>
    <w:next w:val="1"/>
    <w:autoRedefine/>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styleId="5">
    <w:name w:val="heading 4"/>
    <w:basedOn w:val="1"/>
    <w:next w:val="1"/>
    <w:autoRedefine/>
    <w:qFormat/>
    <w:uiPriority w:val="0"/>
    <w:pPr>
      <w:keepNext/>
      <w:keepLines/>
      <w:spacing w:before="280" w:after="290" w:line="374" w:lineRule="auto"/>
      <w:outlineLvl w:val="3"/>
    </w:pPr>
    <w:rPr>
      <w:rFonts w:ascii="Arial" w:hAnsi="Arial"/>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680"/>
      <w:jc w:val="left"/>
    </w:pPr>
  </w:style>
  <w:style w:type="paragraph" w:styleId="7">
    <w:name w:val="table of authorities"/>
    <w:basedOn w:val="1"/>
    <w:next w:val="1"/>
    <w:autoRedefine/>
    <w:qFormat/>
    <w:uiPriority w:val="0"/>
    <w:pPr>
      <w:ind w:left="420" w:leftChars="200"/>
    </w:pPr>
  </w:style>
  <w:style w:type="paragraph" w:styleId="8">
    <w:name w:val="Document Map"/>
    <w:basedOn w:val="1"/>
    <w:autoRedefine/>
    <w:qFormat/>
    <w:uiPriority w:val="0"/>
    <w:pPr>
      <w:shd w:val="clear" w:color="auto" w:fill="000080"/>
    </w:pPr>
  </w:style>
  <w:style w:type="paragraph" w:styleId="9">
    <w:name w:val="annotation text"/>
    <w:basedOn w:val="1"/>
    <w:autoRedefine/>
    <w:qFormat/>
    <w:uiPriority w:val="0"/>
    <w:pPr>
      <w:adjustRightInd w:val="0"/>
      <w:spacing w:line="360" w:lineRule="atLeast"/>
      <w:jc w:val="left"/>
      <w:textAlignment w:val="baseline"/>
    </w:pPr>
    <w:rPr>
      <w:kern w:val="0"/>
    </w:rPr>
  </w:style>
  <w:style w:type="paragraph" w:styleId="10">
    <w:name w:val="Body Text"/>
    <w:basedOn w:val="1"/>
    <w:autoRedefine/>
    <w:qFormat/>
    <w:uiPriority w:val="0"/>
    <w:pPr>
      <w:spacing w:after="120"/>
    </w:pPr>
  </w:style>
  <w:style w:type="paragraph" w:styleId="11">
    <w:name w:val="Body Text Indent"/>
    <w:basedOn w:val="1"/>
    <w:link w:val="45"/>
    <w:autoRedefine/>
    <w:qFormat/>
    <w:uiPriority w:val="0"/>
    <w:pPr>
      <w:ind w:firstLine="560" w:firstLineChars="200"/>
    </w:pPr>
  </w:style>
  <w:style w:type="paragraph" w:styleId="12">
    <w:name w:val="toc 5"/>
    <w:basedOn w:val="1"/>
    <w:next w:val="1"/>
    <w:autoRedefine/>
    <w:qFormat/>
    <w:uiPriority w:val="0"/>
    <w:pPr>
      <w:ind w:left="1120"/>
      <w:jc w:val="left"/>
    </w:pPr>
  </w:style>
  <w:style w:type="paragraph" w:styleId="13">
    <w:name w:val="toc 3"/>
    <w:basedOn w:val="1"/>
    <w:next w:val="1"/>
    <w:autoRedefine/>
    <w:qFormat/>
    <w:uiPriority w:val="0"/>
    <w:pPr>
      <w:ind w:left="561"/>
      <w:jc w:val="left"/>
    </w:pPr>
  </w:style>
  <w:style w:type="paragraph" w:styleId="14">
    <w:name w:val="Plain Text"/>
    <w:basedOn w:val="1"/>
    <w:qFormat/>
    <w:uiPriority w:val="0"/>
    <w:rPr>
      <w:rFonts w:ascii="宋体" w:hAnsi="Courier New" w:eastAsia="宋体" w:cs="Courier New"/>
      <w:szCs w:val="21"/>
    </w:rPr>
  </w:style>
  <w:style w:type="paragraph" w:styleId="15">
    <w:name w:val="toc 8"/>
    <w:basedOn w:val="1"/>
    <w:next w:val="1"/>
    <w:autoRedefine/>
    <w:qFormat/>
    <w:uiPriority w:val="0"/>
    <w:pPr>
      <w:ind w:left="1960"/>
      <w:jc w:val="left"/>
    </w:pPr>
  </w:style>
  <w:style w:type="paragraph" w:styleId="16">
    <w:name w:val="Body Text Indent 2"/>
    <w:basedOn w:val="1"/>
    <w:autoRedefine/>
    <w:qFormat/>
    <w:uiPriority w:val="0"/>
    <w:pPr>
      <w:spacing w:line="480" w:lineRule="auto"/>
      <w:ind w:firstLine="561"/>
    </w:pPr>
  </w:style>
  <w:style w:type="paragraph" w:styleId="17">
    <w:name w:val="Balloon Text"/>
    <w:basedOn w:val="1"/>
    <w:autoRedefine/>
    <w:qFormat/>
    <w:uiPriority w:val="0"/>
    <w:rPr>
      <w:sz w:val="18"/>
      <w:szCs w:val="18"/>
    </w:rPr>
  </w:style>
  <w:style w:type="paragraph" w:styleId="18">
    <w:name w:val="footer"/>
    <w:basedOn w:val="1"/>
    <w:autoRedefine/>
    <w:qFormat/>
    <w:uiPriority w:val="0"/>
    <w:pPr>
      <w:widowControl/>
      <w:tabs>
        <w:tab w:val="center" w:pos="4153"/>
        <w:tab w:val="right" w:pos="8306"/>
      </w:tabs>
      <w:snapToGrid w:val="0"/>
      <w:jc w:val="left"/>
    </w:pPr>
    <w:rPr>
      <w:kern w:val="0"/>
      <w:sz w:val="18"/>
    </w:rPr>
  </w:style>
  <w:style w:type="paragraph" w:styleId="19">
    <w:name w:val="header"/>
    <w:basedOn w:val="1"/>
    <w:autoRedefine/>
    <w:qFormat/>
    <w:uiPriority w:val="0"/>
    <w:pPr>
      <w:widowControl/>
      <w:pBdr>
        <w:bottom w:val="single" w:color="auto" w:sz="6" w:space="1"/>
      </w:pBdr>
      <w:tabs>
        <w:tab w:val="center" w:pos="4153"/>
        <w:tab w:val="right" w:pos="8306"/>
      </w:tabs>
      <w:snapToGrid w:val="0"/>
      <w:jc w:val="center"/>
    </w:pPr>
    <w:rPr>
      <w:kern w:val="0"/>
      <w:sz w:val="18"/>
    </w:rPr>
  </w:style>
  <w:style w:type="paragraph" w:styleId="20">
    <w:name w:val="toc 1"/>
    <w:basedOn w:val="1"/>
    <w:next w:val="1"/>
    <w:autoRedefine/>
    <w:qFormat/>
    <w:uiPriority w:val="0"/>
    <w:pPr>
      <w:spacing w:before="120" w:after="120"/>
      <w:jc w:val="left"/>
    </w:pPr>
    <w:rPr>
      <w:caps/>
    </w:rPr>
  </w:style>
  <w:style w:type="paragraph" w:styleId="21">
    <w:name w:val="toc 4"/>
    <w:basedOn w:val="1"/>
    <w:next w:val="1"/>
    <w:autoRedefine/>
    <w:qFormat/>
    <w:uiPriority w:val="0"/>
    <w:pPr>
      <w:ind w:left="840"/>
      <w:jc w:val="left"/>
    </w:pPr>
  </w:style>
  <w:style w:type="paragraph" w:styleId="22">
    <w:name w:val="toc 6"/>
    <w:basedOn w:val="1"/>
    <w:next w:val="1"/>
    <w:autoRedefine/>
    <w:qFormat/>
    <w:uiPriority w:val="0"/>
    <w:pPr>
      <w:ind w:left="1400"/>
      <w:jc w:val="left"/>
    </w:pPr>
  </w:style>
  <w:style w:type="paragraph" w:styleId="23">
    <w:name w:val="Body Text Indent 3"/>
    <w:basedOn w:val="1"/>
    <w:link w:val="46"/>
    <w:autoRedefine/>
    <w:qFormat/>
    <w:uiPriority w:val="0"/>
    <w:pPr>
      <w:ind w:firstLine="560"/>
    </w:pPr>
    <w:rPr>
      <w:color w:val="FF0000"/>
    </w:rPr>
  </w:style>
  <w:style w:type="paragraph" w:styleId="24">
    <w:name w:val="toc 2"/>
    <w:basedOn w:val="1"/>
    <w:next w:val="1"/>
    <w:autoRedefine/>
    <w:qFormat/>
    <w:uiPriority w:val="0"/>
    <w:pPr>
      <w:ind w:left="278"/>
      <w:jc w:val="left"/>
    </w:pPr>
    <w:rPr>
      <w:smallCaps/>
    </w:rPr>
  </w:style>
  <w:style w:type="paragraph" w:styleId="25">
    <w:name w:val="toc 9"/>
    <w:basedOn w:val="1"/>
    <w:next w:val="1"/>
    <w:autoRedefine/>
    <w:qFormat/>
    <w:uiPriority w:val="0"/>
    <w:pPr>
      <w:ind w:left="2240"/>
      <w:jc w:val="left"/>
    </w:pPr>
  </w:style>
  <w:style w:type="paragraph" w:styleId="26">
    <w:name w:val="Body Text 2"/>
    <w:basedOn w:val="1"/>
    <w:next w:val="10"/>
    <w:autoRedefine/>
    <w:qFormat/>
    <w:uiPriority w:val="0"/>
    <w:pPr>
      <w:spacing w:line="500" w:lineRule="exact"/>
    </w:pPr>
  </w:style>
  <w:style w:type="paragraph" w:styleId="27">
    <w:name w:val="Normal (Web)"/>
    <w:basedOn w:val="1"/>
    <w:autoRedefine/>
    <w:qFormat/>
    <w:uiPriority w:val="0"/>
    <w:pPr>
      <w:widowControl/>
      <w:spacing w:before="100" w:beforeAutospacing="1" w:after="100" w:afterAutospacing="1" w:line="240" w:lineRule="auto"/>
      <w:jc w:val="left"/>
    </w:pPr>
    <w:rPr>
      <w:rFonts w:hAnsi="宋体" w:cs="宋体"/>
      <w:color w:val="000000"/>
      <w:kern w:val="0"/>
      <w:szCs w:val="24"/>
    </w:rPr>
  </w:style>
  <w:style w:type="paragraph" w:styleId="28">
    <w:name w:val="annotation subject"/>
    <w:basedOn w:val="9"/>
    <w:next w:val="9"/>
    <w:autoRedefine/>
    <w:qFormat/>
    <w:uiPriority w:val="0"/>
    <w:pPr>
      <w:adjustRightInd/>
      <w:spacing w:line="360" w:lineRule="auto"/>
      <w:textAlignment w:val="auto"/>
    </w:pPr>
    <w:rPr>
      <w:b/>
      <w:bCs/>
      <w:kern w:val="2"/>
    </w:rPr>
  </w:style>
  <w:style w:type="paragraph" w:styleId="29">
    <w:name w:val="Body Text First Indent"/>
    <w:basedOn w:val="10"/>
    <w:qFormat/>
    <w:uiPriority w:val="0"/>
    <w:pPr>
      <w:ind w:firstLine="420"/>
    </w:pPr>
  </w:style>
  <w:style w:type="paragraph" w:styleId="30">
    <w:name w:val="Body Text First Indent 2"/>
    <w:next w:val="31"/>
    <w:autoRedefine/>
    <w:qFormat/>
    <w:uiPriority w:val="0"/>
    <w:pPr>
      <w:widowControl w:val="0"/>
      <w:spacing w:line="360" w:lineRule="auto"/>
      <w:ind w:firstLine="420"/>
      <w:jc w:val="both"/>
    </w:pPr>
    <w:rPr>
      <w:rFonts w:ascii="宋体" w:hAnsi="宋体" w:eastAsia="宋体" w:cs="Times New Roman"/>
      <w:kern w:val="1"/>
      <w:sz w:val="24"/>
      <w:lang w:val="en-US" w:eastAsia="zh-CN" w:bidi="ar-SA"/>
    </w:rPr>
  </w:style>
  <w:style w:type="paragraph" w:customStyle="1" w:styleId="31">
    <w:name w:val="章标题"/>
    <w:next w:val="1"/>
    <w:qFormat/>
    <w:uiPriority w:val="0"/>
    <w:pPr>
      <w:spacing w:before="50" w:after="50"/>
      <w:jc w:val="both"/>
      <w:outlineLvl w:val="1"/>
    </w:pPr>
    <w:rPr>
      <w:rFonts w:ascii="黑体" w:hAnsi="Calibri" w:eastAsia="黑体" w:cs="Times New Roman"/>
      <w:kern w:val="0"/>
      <w:sz w:val="21"/>
      <w:szCs w:val="20"/>
      <w:lang w:val="en-US" w:eastAsia="zh-CN" w:bidi="ar-SA"/>
    </w:rPr>
  </w:style>
  <w:style w:type="table" w:styleId="33">
    <w:name w:val="Table Grid"/>
    <w:basedOn w:val="3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autoRedefine/>
    <w:qFormat/>
    <w:uiPriority w:val="0"/>
    <w:rPr>
      <w:b/>
      <w:bCs/>
    </w:rPr>
  </w:style>
  <w:style w:type="character" w:styleId="36">
    <w:name w:val="page number"/>
    <w:basedOn w:val="34"/>
    <w:autoRedefine/>
    <w:qFormat/>
    <w:uiPriority w:val="0"/>
  </w:style>
  <w:style w:type="character" w:styleId="37">
    <w:name w:val="FollowedHyperlink"/>
    <w:autoRedefine/>
    <w:qFormat/>
    <w:uiPriority w:val="0"/>
    <w:rPr>
      <w:color w:val="800080"/>
      <w:u w:val="single"/>
    </w:rPr>
  </w:style>
  <w:style w:type="character" w:styleId="38">
    <w:name w:val="Hyperlink"/>
    <w:autoRedefine/>
    <w:qFormat/>
    <w:uiPriority w:val="0"/>
    <w:rPr>
      <w:color w:val="0000FF"/>
      <w:u w:val="single"/>
    </w:rPr>
  </w:style>
  <w:style w:type="character" w:styleId="39">
    <w:name w:val="annotation reference"/>
    <w:autoRedefine/>
    <w:qFormat/>
    <w:uiPriority w:val="0"/>
    <w:rPr>
      <w:sz w:val="21"/>
    </w:rPr>
  </w:style>
  <w:style w:type="paragraph" w:customStyle="1" w:styleId="40">
    <w:name w:val="Normal Indent1"/>
    <w:basedOn w:val="1"/>
    <w:autoRedefine/>
    <w:qFormat/>
    <w:uiPriority w:val="0"/>
    <w:pPr>
      <w:widowControl/>
      <w:ind w:firstLine="420"/>
      <w:jc w:val="left"/>
    </w:pPr>
    <w:rPr>
      <w:rFonts w:ascii="Times New Roman"/>
      <w:kern w:val="0"/>
    </w:rPr>
  </w:style>
  <w:style w:type="paragraph" w:customStyle="1" w:styleId="41">
    <w:name w:val="样式 宋体 行距: 1.5 倍行距"/>
    <w:basedOn w:val="42"/>
    <w:next w:val="1"/>
    <w:autoRedefine/>
    <w:qFormat/>
    <w:uiPriority w:val="0"/>
    <w:pPr>
      <w:jc w:val="center"/>
    </w:pPr>
    <w:rPr>
      <w:rFonts w:ascii="Times New Roman"/>
      <w:b/>
    </w:rPr>
  </w:style>
  <w:style w:type="paragraph" w:customStyle="1" w:styleId="4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41"/>
    <w:autoRedefine/>
    <w:qFormat/>
    <w:uiPriority w:val="0"/>
    <w:pPr>
      <w:widowControl w:val="0"/>
      <w:jc w:val="both"/>
    </w:pPr>
    <w:rPr>
      <w:rFonts w:ascii="Calibri" w:hAnsi="Calibri" w:eastAsia="宋体" w:cs="黑体"/>
      <w:kern w:val="2"/>
      <w:sz w:val="21"/>
      <w:szCs w:val="24"/>
      <w:lang w:val="en-US" w:eastAsia="zh-CN" w:bidi="ar-SA"/>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1"/>
    <w:autoRedefine/>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Char Char2"/>
    <w:basedOn w:val="8"/>
    <w:autoRedefine/>
    <w:qFormat/>
    <w:uiPriority w:val="0"/>
    <w:pPr>
      <w:spacing w:line="240" w:lineRule="auto"/>
    </w:pPr>
  </w:style>
  <w:style w:type="character" w:customStyle="1" w:styleId="45">
    <w:name w:val="正文文本缩进 字符"/>
    <w:link w:val="11"/>
    <w:autoRedefine/>
    <w:qFormat/>
    <w:uiPriority w:val="0"/>
    <w:rPr>
      <w:rFonts w:ascii="宋体"/>
      <w:kern w:val="2"/>
      <w:sz w:val="24"/>
    </w:rPr>
  </w:style>
  <w:style w:type="character" w:customStyle="1" w:styleId="46">
    <w:name w:val="正文文本缩进 3 字符"/>
    <w:link w:val="23"/>
    <w:autoRedefine/>
    <w:qFormat/>
    <w:uiPriority w:val="0"/>
    <w:rPr>
      <w:rFonts w:ascii="宋体" w:eastAsia="宋体"/>
      <w:color w:val="FF0000"/>
      <w:kern w:val="2"/>
      <w:sz w:val="24"/>
      <w:lang w:val="en-US" w:eastAsia="zh-CN" w:bidi="ar-SA"/>
    </w:rPr>
  </w:style>
  <w:style w:type="character" w:customStyle="1" w:styleId="47">
    <w:name w:val="超链接 New New"/>
    <w:autoRedefine/>
    <w:qFormat/>
    <w:uiPriority w:val="0"/>
    <w:rPr>
      <w:color w:val="000000"/>
      <w:sz w:val="18"/>
      <w:szCs w:val="18"/>
      <w:u w:val="none"/>
    </w:rPr>
  </w:style>
  <w:style w:type="character" w:customStyle="1" w:styleId="48">
    <w:name w:val="超链接 New"/>
    <w:autoRedefine/>
    <w:qFormat/>
    <w:uiPriority w:val="0"/>
    <w:rPr>
      <w:color w:val="000000"/>
      <w:sz w:val="18"/>
      <w:szCs w:val="18"/>
      <w:u w:val="none"/>
    </w:rPr>
  </w:style>
  <w:style w:type="character" w:customStyle="1" w:styleId="49">
    <w:name w:val="默认段落字体1"/>
    <w:autoRedefine/>
    <w:qFormat/>
    <w:uiPriority w:val="0"/>
    <w:rPr>
      <w:rFonts w:hint="default"/>
    </w:rPr>
  </w:style>
  <w:style w:type="character" w:customStyle="1" w:styleId="50">
    <w:name w:val="默认段落字体 New New"/>
    <w:link w:val="51"/>
    <w:autoRedefine/>
    <w:qFormat/>
    <w:uiPriority w:val="0"/>
    <w:rPr>
      <w:rFonts w:ascii="Tahoma" w:hAnsi="Tahoma"/>
      <w:szCs w:val="24"/>
    </w:rPr>
  </w:style>
  <w:style w:type="paragraph" w:customStyle="1" w:styleId="51">
    <w:name w:val="Char New New"/>
    <w:basedOn w:val="1"/>
    <w:link w:val="50"/>
    <w:autoRedefine/>
    <w:qFormat/>
    <w:uiPriority w:val="0"/>
    <w:pPr>
      <w:spacing w:line="240" w:lineRule="auto"/>
    </w:pPr>
    <w:rPr>
      <w:rFonts w:ascii="Tahoma" w:hAnsi="Tahoma"/>
      <w:szCs w:val="24"/>
    </w:rPr>
  </w:style>
  <w:style w:type="character" w:customStyle="1" w:styleId="52">
    <w:name w:val="默认段落字体 New"/>
    <w:link w:val="53"/>
    <w:autoRedefine/>
    <w:qFormat/>
    <w:uiPriority w:val="0"/>
    <w:rPr>
      <w:rFonts w:ascii="Tahoma" w:hAnsi="Tahoma"/>
      <w:szCs w:val="24"/>
    </w:rPr>
  </w:style>
  <w:style w:type="paragraph" w:customStyle="1" w:styleId="53">
    <w:name w:val="Char New"/>
    <w:basedOn w:val="1"/>
    <w:link w:val="52"/>
    <w:autoRedefine/>
    <w:qFormat/>
    <w:uiPriority w:val="0"/>
    <w:pPr>
      <w:spacing w:line="240" w:lineRule="auto"/>
    </w:pPr>
    <w:rPr>
      <w:rFonts w:ascii="Tahoma" w:hAnsi="Tahoma"/>
      <w:szCs w:val="24"/>
    </w:rPr>
  </w:style>
  <w:style w:type="character" w:customStyle="1" w:styleId="54">
    <w:name w:val="页码 New New New"/>
    <w:autoRedefine/>
    <w:qFormat/>
    <w:uiPriority w:val="0"/>
    <w:rPr>
      <w:rFonts w:eastAsia="宋体"/>
      <w:kern w:val="2"/>
      <w:sz w:val="24"/>
      <w:szCs w:val="24"/>
      <w:lang w:val="en-US" w:eastAsia="zh-CN" w:bidi="ar-SA"/>
    </w:rPr>
  </w:style>
  <w:style w:type="character" w:customStyle="1" w:styleId="55">
    <w:name w:val="页码 New New"/>
    <w:autoRedefine/>
    <w:qFormat/>
    <w:uiPriority w:val="0"/>
    <w:rPr>
      <w:rFonts w:eastAsia="宋体"/>
      <w:kern w:val="2"/>
      <w:sz w:val="24"/>
      <w:szCs w:val="24"/>
      <w:lang w:val="en-US" w:eastAsia="zh-CN" w:bidi="ar-SA"/>
    </w:rPr>
  </w:style>
  <w:style w:type="character" w:customStyle="1" w:styleId="56">
    <w:name w:val="Char Char1"/>
    <w:autoRedefine/>
    <w:qFormat/>
    <w:uiPriority w:val="0"/>
    <w:rPr>
      <w:rFonts w:ascii="宋体" w:eastAsia="宋体"/>
      <w:color w:val="FF0000"/>
      <w:kern w:val="2"/>
      <w:sz w:val="24"/>
      <w:lang w:val="en-US" w:eastAsia="zh-CN" w:bidi="ar-SA"/>
    </w:rPr>
  </w:style>
  <w:style w:type="character" w:customStyle="1" w:styleId="57">
    <w:name w:val="页码 New"/>
    <w:autoRedefine/>
    <w:qFormat/>
    <w:uiPriority w:val="0"/>
    <w:rPr>
      <w:rFonts w:eastAsia="宋体"/>
      <w:kern w:val="2"/>
      <w:sz w:val="24"/>
      <w:szCs w:val="24"/>
      <w:lang w:val="en-US" w:eastAsia="zh-CN" w:bidi="ar-SA"/>
    </w:rPr>
  </w:style>
  <w:style w:type="paragraph" w:customStyle="1" w:styleId="58">
    <w:name w:val="标题 3 New"/>
    <w:autoRedefine/>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customStyle="1" w:styleId="59">
    <w:name w:val="正文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0">
    <w:name w:val="页脚 New New New New New New New New New New New New New"/>
    <w:basedOn w:val="61"/>
    <w:autoRedefine/>
    <w:qFormat/>
    <w:uiPriority w:val="0"/>
    <w:pPr>
      <w:widowControl/>
      <w:tabs>
        <w:tab w:val="center" w:pos="4153"/>
        <w:tab w:val="right" w:pos="8306"/>
      </w:tabs>
      <w:snapToGrid w:val="0"/>
      <w:jc w:val="left"/>
    </w:pPr>
    <w:rPr>
      <w:sz w:val="18"/>
    </w:rPr>
  </w:style>
  <w:style w:type="paragraph" w:customStyle="1" w:styleId="61">
    <w:name w:val="正文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
    <w:name w:val="正文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4">
    <w:name w:val="正文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5">
    <w:name w:val="页脚 New New New New New"/>
    <w:basedOn w:val="66"/>
    <w:autoRedefine/>
    <w:qFormat/>
    <w:uiPriority w:val="0"/>
    <w:pPr>
      <w:tabs>
        <w:tab w:val="center" w:pos="4153"/>
        <w:tab w:val="right" w:pos="8306"/>
      </w:tabs>
      <w:snapToGrid w:val="0"/>
      <w:jc w:val="left"/>
    </w:pPr>
    <w:rPr>
      <w:sz w:val="18"/>
    </w:rPr>
  </w:style>
  <w:style w:type="paragraph" w:customStyle="1" w:styleId="66">
    <w:name w:val="正文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7">
    <w:name w:val="纯文本 New New"/>
    <w:basedOn w:val="68"/>
    <w:autoRedefine/>
    <w:qFormat/>
    <w:uiPriority w:val="0"/>
    <w:rPr>
      <w:rFonts w:ascii="宋体" w:hAnsi="Courier New"/>
      <w:szCs w:val="24"/>
    </w:rPr>
  </w:style>
  <w:style w:type="paragraph" w:customStyle="1" w:styleId="68">
    <w:name w:val="正文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9">
    <w:name w:val="正文1"/>
    <w:autoRedefine/>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70">
    <w:name w:val="页脚1"/>
    <w:basedOn w:val="69"/>
    <w:autoRedefine/>
    <w:qFormat/>
    <w:uiPriority w:val="0"/>
    <w:pPr>
      <w:widowControl/>
      <w:tabs>
        <w:tab w:val="center" w:pos="4153"/>
        <w:tab w:val="right" w:pos="8306"/>
      </w:tabs>
      <w:snapToGrid w:val="0"/>
      <w:jc w:val="left"/>
    </w:pPr>
    <w:rPr>
      <w:kern w:val="0"/>
      <w:sz w:val="18"/>
    </w:rPr>
  </w:style>
  <w:style w:type="paragraph" w:customStyle="1" w:styleId="71">
    <w:name w:val="正文 New New New New New New New New New New New New New New New New New New New New New New New New"/>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2">
    <w:name w:val="标题 3 New New"/>
    <w:basedOn w:val="73"/>
    <w:next w:val="73"/>
    <w:autoRedefine/>
    <w:qFormat/>
    <w:uiPriority w:val="0"/>
    <w:pPr>
      <w:keepNext/>
      <w:keepLines/>
      <w:spacing w:before="120" w:after="120"/>
      <w:jc w:val="center"/>
      <w:outlineLvl w:val="2"/>
    </w:pPr>
    <w:rPr>
      <w:sz w:val="24"/>
    </w:rPr>
  </w:style>
  <w:style w:type="paragraph" w:customStyle="1" w:styleId="73">
    <w:name w:val="正文缩进 New"/>
    <w:basedOn w:val="74"/>
    <w:autoRedefine/>
    <w:qFormat/>
    <w:uiPriority w:val="0"/>
    <w:pPr>
      <w:widowControl/>
      <w:ind w:firstLine="420"/>
      <w:jc w:val="left"/>
    </w:pPr>
    <w:rPr>
      <w:kern w:val="0"/>
      <w:sz w:val="20"/>
    </w:rPr>
  </w:style>
  <w:style w:type="paragraph" w:customStyle="1" w:styleId="74">
    <w:name w:val="正文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5">
    <w:name w:val="普通(网站) New"/>
    <w:basedOn w:val="76"/>
    <w:autoRedefine/>
    <w:qFormat/>
    <w:uiPriority w:val="0"/>
    <w:rPr>
      <w:sz w:val="24"/>
    </w:rPr>
  </w:style>
  <w:style w:type="paragraph" w:customStyle="1" w:styleId="76">
    <w:name w:val="正文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7">
    <w:name w:val="正文文本缩进 New"/>
    <w:basedOn w:val="74"/>
    <w:autoRedefine/>
    <w:qFormat/>
    <w:uiPriority w:val="0"/>
    <w:pPr>
      <w:ind w:firstLine="560" w:firstLineChars="200"/>
    </w:pPr>
  </w:style>
  <w:style w:type="paragraph" w:customStyle="1" w:styleId="78">
    <w:name w:val="Char"/>
    <w:basedOn w:val="8"/>
    <w:autoRedefine/>
    <w:qFormat/>
    <w:uiPriority w:val="0"/>
    <w:pPr>
      <w:spacing w:line="240" w:lineRule="auto"/>
    </w:pPr>
  </w:style>
  <w:style w:type="paragraph" w:customStyle="1" w:styleId="79">
    <w:name w:val="正文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0">
    <w:name w:val="页脚 New New New New"/>
    <w:basedOn w:val="81"/>
    <w:autoRedefine/>
    <w:qFormat/>
    <w:uiPriority w:val="0"/>
    <w:pPr>
      <w:tabs>
        <w:tab w:val="center" w:pos="4153"/>
        <w:tab w:val="right" w:pos="8306"/>
      </w:tabs>
      <w:snapToGrid w:val="0"/>
      <w:jc w:val="left"/>
    </w:pPr>
    <w:rPr>
      <w:sz w:val="18"/>
      <w:szCs w:val="18"/>
    </w:rPr>
  </w:style>
  <w:style w:type="paragraph" w:customStyle="1" w:styleId="81">
    <w:name w:val="正文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
    <w:name w:val="正文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正文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4">
    <w:name w:val="页眉 New New New New New New New New New"/>
    <w:basedOn w:val="61"/>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85">
    <w:name w:val="正文 New New New New New New New New New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6">
    <w:name w:val="页眉 New New New New New New New New"/>
    <w:basedOn w:val="87"/>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87">
    <w:name w:val="正文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8">
    <w:name w:val="正文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9">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p18"/>
    <w:autoRedefine/>
    <w:qFormat/>
    <w:uiPriority w:val="0"/>
    <w:pPr>
      <w:spacing w:after="120" w:line="360" w:lineRule="auto"/>
    </w:pPr>
    <w:rPr>
      <w:rFonts w:ascii="宋体" w:hAnsi="宋体" w:eastAsia="宋体" w:cs="宋体"/>
      <w:sz w:val="24"/>
      <w:szCs w:val="24"/>
      <w:lang w:val="en-US" w:eastAsia="zh-CN" w:bidi="ar-SA"/>
    </w:rPr>
  </w:style>
  <w:style w:type="paragraph" w:customStyle="1" w:styleId="91">
    <w:name w:val="正文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2">
    <w:name w:val="样式2"/>
    <w:basedOn w:val="20"/>
    <w:autoRedefine/>
    <w:qFormat/>
    <w:uiPriority w:val="0"/>
    <w:pPr>
      <w:tabs>
        <w:tab w:val="right" w:leader="dot" w:pos="9345"/>
      </w:tabs>
    </w:pPr>
    <w:rPr>
      <w:rFonts w:hAnsi="宋体"/>
      <w:b/>
      <w:color w:val="0000FF"/>
      <w:u w:val="single"/>
    </w:rPr>
  </w:style>
  <w:style w:type="paragraph" w:customStyle="1" w:styleId="93">
    <w:name w:val="页脚 New New New New New New New New"/>
    <w:basedOn w:val="94"/>
    <w:autoRedefine/>
    <w:qFormat/>
    <w:uiPriority w:val="0"/>
    <w:pPr>
      <w:tabs>
        <w:tab w:val="center" w:pos="4153"/>
        <w:tab w:val="right" w:pos="8306"/>
      </w:tabs>
      <w:snapToGrid w:val="0"/>
      <w:jc w:val="left"/>
    </w:pPr>
    <w:rPr>
      <w:sz w:val="18"/>
      <w:szCs w:val="18"/>
    </w:rPr>
  </w:style>
  <w:style w:type="paragraph" w:customStyle="1" w:styleId="94">
    <w:name w:val="正文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
    <w:name w:val="正文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6">
    <w:name w:val="页脚 New New New New New New New New New New"/>
    <w:basedOn w:val="91"/>
    <w:autoRedefine/>
    <w:qFormat/>
    <w:uiPriority w:val="0"/>
    <w:pPr>
      <w:widowControl/>
      <w:tabs>
        <w:tab w:val="center" w:pos="4153"/>
        <w:tab w:val="right" w:pos="8306"/>
      </w:tabs>
      <w:snapToGrid w:val="0"/>
      <w:jc w:val="left"/>
    </w:pPr>
    <w:rPr>
      <w:sz w:val="18"/>
    </w:rPr>
  </w:style>
  <w:style w:type="paragraph" w:customStyle="1" w:styleId="97">
    <w:name w:val="正文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8">
    <w:name w:val="页脚 New New New New New New"/>
    <w:basedOn w:val="76"/>
    <w:autoRedefine/>
    <w:qFormat/>
    <w:uiPriority w:val="0"/>
    <w:pPr>
      <w:tabs>
        <w:tab w:val="center" w:pos="4153"/>
        <w:tab w:val="right" w:pos="8306"/>
      </w:tabs>
      <w:snapToGrid w:val="0"/>
      <w:jc w:val="left"/>
    </w:pPr>
    <w:rPr>
      <w:sz w:val="18"/>
    </w:rPr>
  </w:style>
  <w:style w:type="paragraph" w:customStyle="1" w:styleId="99">
    <w:name w:val="正文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0">
    <w:name w:val="正文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1">
    <w:name w:val="正文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2">
    <w:name w:val="页眉 New New New New New"/>
    <w:basedOn w:val="76"/>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3">
    <w:name w:val="页脚 New New New New New New New New New New New"/>
    <w:basedOn w:val="87"/>
    <w:autoRedefine/>
    <w:qFormat/>
    <w:uiPriority w:val="0"/>
    <w:pPr>
      <w:widowControl/>
      <w:tabs>
        <w:tab w:val="center" w:pos="4153"/>
        <w:tab w:val="right" w:pos="8306"/>
      </w:tabs>
      <w:snapToGrid w:val="0"/>
      <w:jc w:val="left"/>
    </w:pPr>
    <w:rPr>
      <w:sz w:val="18"/>
    </w:rPr>
  </w:style>
  <w:style w:type="paragraph" w:customStyle="1" w:styleId="104">
    <w:name w:val="页眉 New New New New New New"/>
    <w:basedOn w:val="83"/>
    <w:autoRedefine/>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05">
    <w:name w:val="正文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6">
    <w:name w:val="页眉 New New"/>
    <w:basedOn w:val="63"/>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07">
    <w:name w:val="页眉 New"/>
    <w:basedOn w:val="10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08">
    <w:name w:val="正文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9">
    <w:name w:val="正文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0">
    <w:name w:val="页脚 New"/>
    <w:basedOn w:val="108"/>
    <w:autoRedefine/>
    <w:qFormat/>
    <w:uiPriority w:val="0"/>
    <w:pPr>
      <w:tabs>
        <w:tab w:val="center" w:pos="4153"/>
        <w:tab w:val="right" w:pos="8306"/>
      </w:tabs>
      <w:snapToGrid w:val="0"/>
      <w:jc w:val="left"/>
    </w:pPr>
    <w:rPr>
      <w:sz w:val="18"/>
      <w:szCs w:val="18"/>
    </w:rPr>
  </w:style>
  <w:style w:type="paragraph" w:customStyle="1" w:styleId="111">
    <w:name w:val="正文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2">
    <w:name w:val="正文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3">
    <w:name w:val="正文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4">
    <w:name w:val="页脚 New New New"/>
    <w:basedOn w:val="68"/>
    <w:autoRedefine/>
    <w:qFormat/>
    <w:uiPriority w:val="0"/>
    <w:pPr>
      <w:tabs>
        <w:tab w:val="center" w:pos="4153"/>
        <w:tab w:val="right" w:pos="8306"/>
      </w:tabs>
      <w:snapToGrid w:val="0"/>
      <w:jc w:val="left"/>
    </w:pPr>
    <w:rPr>
      <w:sz w:val="18"/>
      <w:szCs w:val="18"/>
    </w:rPr>
  </w:style>
  <w:style w:type="paragraph" w:customStyle="1" w:styleId="115">
    <w:name w:val="页眉 New New New New"/>
    <w:basedOn w:val="66"/>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6">
    <w:name w:val="纯文本 New"/>
    <w:basedOn w:val="63"/>
    <w:autoRedefine/>
    <w:qFormat/>
    <w:uiPriority w:val="0"/>
    <w:rPr>
      <w:rFonts w:ascii="宋体" w:hAnsi="Courier New"/>
      <w:szCs w:val="24"/>
    </w:rPr>
  </w:style>
  <w:style w:type="paragraph" w:customStyle="1" w:styleId="117">
    <w:name w:val="正文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8">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正文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0">
    <w:name w:val="正文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1">
    <w:name w:val="正文 New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2">
    <w:name w:val="页脚 New New New New New New New New New New New New"/>
    <w:basedOn w:val="123"/>
    <w:autoRedefine/>
    <w:qFormat/>
    <w:uiPriority w:val="0"/>
    <w:pPr>
      <w:tabs>
        <w:tab w:val="center" w:pos="4153"/>
        <w:tab w:val="right" w:pos="8306"/>
      </w:tabs>
      <w:snapToGrid w:val="0"/>
      <w:jc w:val="left"/>
    </w:pPr>
    <w:rPr>
      <w:sz w:val="18"/>
      <w:szCs w:val="18"/>
    </w:rPr>
  </w:style>
  <w:style w:type="paragraph" w:customStyle="1" w:styleId="123">
    <w:name w:val="正文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4">
    <w:name w:val="目录 31"/>
    <w:basedOn w:val="69"/>
    <w:next w:val="69"/>
    <w:autoRedefine/>
    <w:qFormat/>
    <w:uiPriority w:val="0"/>
    <w:pPr>
      <w:ind w:left="561"/>
      <w:jc w:val="left"/>
    </w:pPr>
  </w:style>
  <w:style w:type="paragraph" w:customStyle="1" w:styleId="125">
    <w:name w:val="p0"/>
    <w:basedOn w:val="62"/>
    <w:autoRedefine/>
    <w:qFormat/>
    <w:uiPriority w:val="0"/>
    <w:pPr>
      <w:widowControl/>
      <w:spacing w:line="360" w:lineRule="auto"/>
    </w:pPr>
    <w:rPr>
      <w:rFonts w:ascii="宋体" w:hAnsi="宋体" w:cs="宋体"/>
      <w:kern w:val="0"/>
      <w:sz w:val="24"/>
      <w:szCs w:val="24"/>
    </w:rPr>
  </w:style>
  <w:style w:type="paragraph" w:customStyle="1" w:styleId="126">
    <w:name w:val="页眉 New New New New New New New"/>
    <w:basedOn w:val="91"/>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127">
    <w:name w:val="正文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8">
    <w:name w:val="正文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29">
    <w:name w:val="正文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0">
    <w:name w:val="标题 2 New"/>
    <w:basedOn w:val="89"/>
    <w:autoRedefine/>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customStyle="1" w:styleId="131">
    <w:name w:val="正文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2">
    <w:name w:val="blockquote"/>
    <w:basedOn w:val="1"/>
    <w:autoRedefine/>
    <w:qFormat/>
    <w:uiPriority w:val="0"/>
    <w:pPr>
      <w:widowControl/>
      <w:spacing w:before="100" w:beforeAutospacing="1" w:after="100" w:afterAutospacing="1" w:line="240" w:lineRule="auto"/>
      <w:jc w:val="left"/>
    </w:pPr>
    <w:rPr>
      <w:rFonts w:hAnsi="宋体"/>
      <w:kern w:val="0"/>
    </w:rPr>
  </w:style>
  <w:style w:type="paragraph" w:customStyle="1" w:styleId="133">
    <w:name w:val="正文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4">
    <w:name w:val="Normal New"/>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35">
    <w:name w:val="正文文本缩进 New New New New"/>
    <w:basedOn w:val="128"/>
    <w:autoRedefine/>
    <w:qFormat/>
    <w:uiPriority w:val="0"/>
    <w:pPr>
      <w:ind w:firstLine="560" w:firstLineChars="200"/>
    </w:pPr>
    <w:rPr>
      <w:szCs w:val="28"/>
    </w:rPr>
  </w:style>
  <w:style w:type="paragraph" w:customStyle="1" w:styleId="136">
    <w:name w:val="页脚 New New New New New New New"/>
    <w:basedOn w:val="83"/>
    <w:autoRedefine/>
    <w:qFormat/>
    <w:uiPriority w:val="0"/>
    <w:pPr>
      <w:widowControl/>
      <w:tabs>
        <w:tab w:val="center" w:pos="4153"/>
        <w:tab w:val="right" w:pos="8306"/>
      </w:tabs>
      <w:snapToGrid w:val="0"/>
      <w:jc w:val="left"/>
    </w:pPr>
    <w:rPr>
      <w:kern w:val="0"/>
      <w:sz w:val="18"/>
      <w:szCs w:val="20"/>
    </w:rPr>
  </w:style>
  <w:style w:type="paragraph" w:customStyle="1" w:styleId="137">
    <w:name w:val="正文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页脚 New New New New New New New New New"/>
    <w:basedOn w:val="82"/>
    <w:autoRedefine/>
    <w:qFormat/>
    <w:uiPriority w:val="0"/>
    <w:pPr>
      <w:tabs>
        <w:tab w:val="center" w:pos="4153"/>
        <w:tab w:val="right" w:pos="8306"/>
      </w:tabs>
      <w:snapToGrid w:val="0"/>
      <w:jc w:val="left"/>
    </w:pPr>
    <w:rPr>
      <w:sz w:val="18"/>
      <w:szCs w:val="18"/>
    </w:rPr>
  </w:style>
  <w:style w:type="paragraph" w:customStyle="1" w:styleId="139">
    <w:name w:val="页脚 New New"/>
    <w:basedOn w:val="63"/>
    <w:autoRedefine/>
    <w:qFormat/>
    <w:uiPriority w:val="0"/>
    <w:pPr>
      <w:tabs>
        <w:tab w:val="center" w:pos="4153"/>
        <w:tab w:val="right" w:pos="8306"/>
      </w:tabs>
      <w:snapToGrid w:val="0"/>
      <w:jc w:val="left"/>
    </w:pPr>
    <w:rPr>
      <w:sz w:val="18"/>
      <w:szCs w:val="18"/>
    </w:rPr>
  </w:style>
  <w:style w:type="paragraph" w:customStyle="1" w:styleId="140">
    <w:name w:val="正文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1">
    <w:name w:val="正文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2">
    <w:name w:val="正文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3">
    <w:name w:val="样式1"/>
    <w:basedOn w:val="5"/>
    <w:autoRedefine/>
    <w:qFormat/>
    <w:uiPriority w:val="0"/>
    <w:pPr>
      <w:tabs>
        <w:tab w:val="right" w:leader="dot" w:pos="9345"/>
      </w:tabs>
    </w:pPr>
    <w:rPr>
      <w:rFonts w:ascii="宋体" w:hAnsi="宋体"/>
      <w:b/>
      <w:caps/>
      <w:u w:val="single"/>
    </w:rPr>
  </w:style>
  <w:style w:type="paragraph" w:customStyle="1" w:styleId="144">
    <w:name w:val="页眉 New New New"/>
    <w:basedOn w:val="6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45">
    <w:name w:val="正文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46">
    <w:name w:val="正文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7">
    <w:name w:val="正文正"/>
    <w:basedOn w:val="1"/>
    <w:autoRedefine/>
    <w:qFormat/>
    <w:uiPriority w:val="0"/>
    <w:pPr>
      <w:spacing w:line="560" w:lineRule="exact"/>
      <w:ind w:firstLine="561"/>
    </w:pPr>
    <w:rPr>
      <w:rFonts w:ascii="Calibri" w:hAnsi="Calibri"/>
      <w:sz w:val="28"/>
      <w:szCs w:val="28"/>
    </w:rPr>
  </w:style>
  <w:style w:type="paragraph" w:customStyle="1" w:styleId="148">
    <w:name w:val="正文 New New New New New New New New New New New New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9">
    <w:name w:val="标题 2 New New"/>
    <w:basedOn w:val="118"/>
    <w:next w:val="118"/>
    <w:autoRedefine/>
    <w:qFormat/>
    <w:uiPriority w:val="0"/>
    <w:pPr>
      <w:autoSpaceDE w:val="0"/>
      <w:autoSpaceDN w:val="0"/>
      <w:adjustRightInd w:val="0"/>
      <w:jc w:val="left"/>
      <w:outlineLvl w:val="1"/>
    </w:pPr>
    <w:rPr>
      <w:kern w:val="0"/>
      <w:sz w:val="24"/>
    </w:rPr>
  </w:style>
  <w:style w:type="paragraph" w:customStyle="1" w:styleId="150">
    <w:name w:val="标题 1 New"/>
    <w:basedOn w:val="118"/>
    <w:next w:val="118"/>
    <w:autoRedefine/>
    <w:qFormat/>
    <w:uiPriority w:val="0"/>
    <w:pPr>
      <w:autoSpaceDE w:val="0"/>
      <w:autoSpaceDN w:val="0"/>
      <w:adjustRightInd w:val="0"/>
      <w:jc w:val="left"/>
      <w:outlineLvl w:val="0"/>
    </w:pPr>
    <w:rPr>
      <w:kern w:val="0"/>
      <w:sz w:val="30"/>
    </w:rPr>
  </w:style>
  <w:style w:type="paragraph" w:customStyle="1" w:styleId="151">
    <w:name w:val="WPSOffice手动目录 1"/>
    <w:autoRedefine/>
    <w:qFormat/>
    <w:uiPriority w:val="0"/>
    <w:rPr>
      <w:rFonts w:ascii="Times New Roman" w:hAnsi="Times New Roman" w:eastAsia="宋体" w:cs="Times New Roman"/>
      <w:lang w:val="en-US" w:eastAsia="zh-CN" w:bidi="ar-SA"/>
    </w:rPr>
  </w:style>
  <w:style w:type="paragraph" w:customStyle="1" w:styleId="152">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53">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54">
    <w:name w:val="正文缩进1"/>
    <w:basedOn w:val="1"/>
    <w:autoRedefine/>
    <w:qFormat/>
    <w:uiPriority w:val="0"/>
    <w:pPr>
      <w:widowControl/>
      <w:ind w:firstLine="420"/>
      <w:jc w:val="left"/>
    </w:pPr>
    <w:rPr>
      <w:kern w:val="0"/>
    </w:rPr>
  </w:style>
  <w:style w:type="character" w:styleId="155">
    <w:name w:val="Placeholder Text"/>
    <w:basedOn w:val="34"/>
    <w:semiHidden/>
    <w:qFormat/>
    <w:uiPriority w:val="99"/>
    <w:rPr>
      <w:color w:val="808080"/>
    </w:rPr>
  </w:style>
  <w:style w:type="paragraph" w:customStyle="1" w:styleId="156">
    <w:name w:val="正文文本1"/>
    <w:basedOn w:val="1"/>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80</Pages>
  <Words>43353</Words>
  <Characters>46137</Characters>
  <Lines>292</Lines>
  <Paragraphs>82</Paragraphs>
  <TotalTime>1</TotalTime>
  <ScaleCrop>false</ScaleCrop>
  <LinksUpToDate>false</LinksUpToDate>
  <CharactersWithSpaces>48306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2014-03-11T01:35:00Z</dcterms:created>
  <dc:creator>kingsons</dc:creator>
  <cp:lastModifiedBy>onion</cp:lastModifiedBy>
  <cp:lastPrinted>2026-09-21T08:57:00Z</cp:lastPrinted>
  <dcterms:modified xsi:type="dcterms:W3CDTF">2026-09-28T07:38:23Z</dcterms:modified>
  <dc:title>广东省韶关学院第三期学生公寓第一、二组团工程施工</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1B501801416B4B6D8CE7912B6711C930</vt:lpwstr>
  </property>
  <property fmtid="{D5CDD505-2E9C-101B-9397-08002B2CF9AE}" pid="5" name="KSOTemplateDocerSaveRecord">
    <vt:lpwstr>eyJoZGlkIjoiNjAyZjdkOTdjMTljODljZGNlNGVkODdkZmRmMTRjNmEiLCJ1c2VySWQiOiI3ODA3MzU4ODYifQ==</vt:lpwstr>
  </property>
</Properties>
</file>