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val="0"/>
        <w:overflowPunct/>
        <w:bidi w:val="0"/>
        <w:spacing w:line="800" w:lineRule="exact"/>
        <w:jc w:val="center"/>
        <w:rPr>
          <w:rFonts w:hint="eastAsia" w:asciiTheme="minorEastAsia" w:hAnsiTheme="minorEastAsia" w:eastAsiaTheme="minorEastAsia" w:cstheme="minorEastAsia"/>
          <w:b/>
          <w:color w:val="000000" w:themeColor="text1"/>
          <w:sz w:val="48"/>
          <w:szCs w:val="48"/>
          <w:highlight w:val="none"/>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48"/>
          <w:szCs w:val="48"/>
          <w:highlight w:val="none"/>
          <w:lang w:eastAsia="zh-CN"/>
          <w14:textFill>
            <w14:solidFill>
              <w14:schemeClr w14:val="tx1"/>
            </w14:solidFill>
          </w14:textFill>
        </w:rPr>
        <w:t>南雄市“银杏染秋”乡村振兴示范带建设项目-水口镇典型村建设项目施工图设计和施工总承包</w:t>
      </w:r>
    </w:p>
    <w:p>
      <w:pPr>
        <w:pageBreakBefore w:val="0"/>
        <w:kinsoku/>
        <w:wordWrap w:val="0"/>
        <w:overflowPunct/>
        <w:bidi w:val="0"/>
        <w:spacing w:line="360" w:lineRule="auto"/>
        <w:rPr>
          <w:rFonts w:hint="eastAsia" w:asciiTheme="minorEastAsia" w:hAnsiTheme="minorEastAsia" w:eastAsiaTheme="minorEastAsia" w:cstheme="minorEastAsia"/>
          <w:b/>
          <w:color w:val="000000" w:themeColor="text1"/>
          <w:highlight w:val="none"/>
          <w14:textFill>
            <w14:solidFill>
              <w14:schemeClr w14:val="tx1"/>
            </w14:solidFill>
          </w14:textFill>
        </w:rPr>
      </w:pPr>
    </w:p>
    <w:p>
      <w:pPr>
        <w:pageBreakBefore w:val="0"/>
        <w:kinsoku/>
        <w:wordWrap w:val="0"/>
        <w:overflowPunct/>
        <w:bidi w:val="0"/>
        <w:spacing w:line="360" w:lineRule="auto"/>
        <w:rPr>
          <w:rFonts w:hint="eastAsia" w:asciiTheme="minorEastAsia" w:hAnsiTheme="minorEastAsia" w:eastAsiaTheme="minorEastAsia" w:cstheme="minorEastAsia"/>
          <w:b/>
          <w:color w:val="000000" w:themeColor="text1"/>
          <w:highlight w:val="none"/>
          <w14:textFill>
            <w14:solidFill>
              <w14:schemeClr w14:val="tx1"/>
            </w14:solidFill>
          </w14:textFill>
        </w:rPr>
      </w:pPr>
    </w:p>
    <w:p>
      <w:pPr>
        <w:pageBreakBefore w:val="0"/>
        <w:kinsoku/>
        <w:wordWrap w:val="0"/>
        <w:overflowPunct/>
        <w:bidi w:val="0"/>
        <w:spacing w:line="360" w:lineRule="auto"/>
        <w:rPr>
          <w:rFonts w:hint="eastAsia" w:asciiTheme="minorEastAsia" w:hAnsiTheme="minorEastAsia" w:eastAsiaTheme="minorEastAsia" w:cstheme="minorEastAsia"/>
          <w:b/>
          <w:color w:val="000000" w:themeColor="text1"/>
          <w:highlight w:val="none"/>
          <w14:textFill>
            <w14:solidFill>
              <w14:schemeClr w14:val="tx1"/>
            </w14:solidFill>
          </w14:textFill>
        </w:rPr>
      </w:pPr>
    </w:p>
    <w:p>
      <w:pPr>
        <w:pStyle w:val="8"/>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p>
    <w:p>
      <w:pPr>
        <w:pStyle w:val="19"/>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p>
    <w:p>
      <w:pPr>
        <w:pStyle w:val="35"/>
        <w:pageBreakBefore w:val="0"/>
        <w:kinsoku/>
        <w:wordWrap w:val="0"/>
        <w:overflowPunct/>
        <w:bidi w:val="0"/>
        <w:spacing w:line="360" w:lineRule="auto"/>
        <w:jc w:val="center"/>
        <w:rPr>
          <w:rFonts w:hint="eastAsia" w:asciiTheme="minorEastAsia" w:hAnsiTheme="minorEastAsia" w:eastAsiaTheme="minorEastAsia" w:cstheme="minorEastAsia"/>
          <w:b/>
          <w:bCs/>
          <w:color w:val="000000" w:themeColor="text1"/>
          <w:spacing w:val="26"/>
          <w:sz w:val="84"/>
          <w:szCs w:val="84"/>
          <w:highlight w:val="none"/>
          <w:lang w:eastAsia="zh-CN"/>
          <w14:textFill>
            <w14:solidFill>
              <w14:schemeClr w14:val="tx1"/>
            </w14:solidFill>
          </w14:textFill>
        </w:rPr>
      </w:pPr>
      <w:r>
        <w:rPr>
          <w:rFonts w:hint="eastAsia" w:asciiTheme="minorEastAsia" w:hAnsiTheme="minorEastAsia" w:eastAsiaTheme="minorEastAsia" w:cstheme="minorEastAsia"/>
          <w:b/>
          <w:bCs/>
          <w:color w:val="000000" w:themeColor="text1"/>
          <w:spacing w:val="26"/>
          <w:sz w:val="84"/>
          <w:szCs w:val="84"/>
          <w:highlight w:val="none"/>
          <w14:textFill>
            <w14:solidFill>
              <w14:schemeClr w14:val="tx1"/>
            </w14:solidFill>
          </w14:textFill>
        </w:rPr>
        <w:t>招标文件</w:t>
      </w:r>
    </w:p>
    <w:p>
      <w:pPr>
        <w:pageBreakBefore w:val="0"/>
        <w:kinsoku/>
        <w:wordWrap w:val="0"/>
        <w:overflowPunct/>
        <w:bidi w:val="0"/>
        <w:spacing w:line="360" w:lineRule="auto"/>
        <w:ind w:left="240" w:leftChars="100"/>
        <w:jc w:val="center"/>
        <w:rPr>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pPr>
    </w:p>
    <w:tbl>
      <w:tblPr>
        <w:tblStyle w:val="22"/>
        <w:tblpPr w:leftFromText="180" w:rightFromText="180" w:vertAnchor="text" w:horzAnchor="page" w:tblpX="1372" w:tblpY="753"/>
        <w:tblW w:w="9799" w:type="dxa"/>
        <w:tblInd w:w="0" w:type="dxa"/>
        <w:tblLayout w:type="fixed"/>
        <w:tblCellMar>
          <w:top w:w="0" w:type="dxa"/>
          <w:left w:w="0" w:type="dxa"/>
          <w:bottom w:w="0" w:type="dxa"/>
          <w:right w:w="0" w:type="dxa"/>
        </w:tblCellMar>
      </w:tblPr>
      <w:tblGrid>
        <w:gridCol w:w="4671"/>
        <w:gridCol w:w="5128"/>
      </w:tblGrid>
      <w:tr>
        <w:tblPrEx>
          <w:tblCellMar>
            <w:top w:w="0" w:type="dxa"/>
            <w:left w:w="0" w:type="dxa"/>
            <w:bottom w:w="0" w:type="dxa"/>
            <w:right w:w="0" w:type="dxa"/>
          </w:tblCellMar>
        </w:tblPrEx>
        <w:trPr>
          <w:trHeight w:val="935" w:hRule="atLeast"/>
        </w:trPr>
        <w:tc>
          <w:tcPr>
            <w:tcW w:w="4671" w:type="dxa"/>
            <w:noWrap/>
            <w:vAlign w:val="center"/>
          </w:tcPr>
          <w:p>
            <w:pPr>
              <w:pStyle w:val="36"/>
              <w:pageBreakBefore w:val="0"/>
              <w:kinsoku/>
              <w:wordWrap w:val="0"/>
              <w:overflowPunct/>
              <w:bidi w:val="0"/>
              <w:jc w:val="distribute"/>
              <w:rPr>
                <w:rFonts w:hint="eastAsia" w:asciiTheme="minorEastAsia" w:hAnsiTheme="minorEastAsia" w:eastAsiaTheme="minorEastAsia" w:cstheme="minorEastAsia"/>
                <w:color w:val="000000" w:themeColor="text1"/>
                <w:sz w:val="28"/>
                <w:highlight w:val="none"/>
                <w14:textFill>
                  <w14:solidFill>
                    <w14:schemeClr w14:val="tx1"/>
                  </w14:solidFill>
                </w14:textFill>
              </w:rPr>
            </w:pPr>
            <w:r>
              <w:rPr>
                <w:rFonts w:hint="eastAsia" w:asciiTheme="minorEastAsia" w:hAnsiTheme="minorEastAsia" w:eastAsiaTheme="minorEastAsia" w:cstheme="minorEastAsia"/>
                <w:color w:val="000000" w:themeColor="text1"/>
                <w:sz w:val="28"/>
                <w:highlight w:val="none"/>
                <w14:textFill>
                  <w14:solidFill>
                    <w14:schemeClr w14:val="tx1"/>
                  </w14:solidFill>
                </w14:textFill>
              </w:rPr>
              <w:t>招   标   人（盖单位章）：</w:t>
            </w:r>
          </w:p>
        </w:tc>
        <w:tc>
          <w:tcPr>
            <w:tcW w:w="5128" w:type="dxa"/>
            <w:noWrap/>
            <w:vAlign w:val="center"/>
          </w:tcPr>
          <w:p>
            <w:pPr>
              <w:pStyle w:val="36"/>
              <w:pageBreakBefore w:val="0"/>
              <w:kinsoku/>
              <w:wordWrap w:val="0"/>
              <w:overflowPunct/>
              <w:bidi w:val="0"/>
              <w:rPr>
                <w:rFonts w:hint="eastAsia" w:asciiTheme="minorEastAsia" w:hAnsiTheme="minorEastAsia" w:eastAsiaTheme="minorEastAsia" w:cstheme="minorEastAsia"/>
                <w:color w:val="000000" w:themeColor="text1"/>
                <w:sz w:val="28"/>
                <w:szCs w:val="28"/>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highlight w:val="none"/>
                <w:lang w:eastAsia="zh-CN"/>
                <w14:textFill>
                  <w14:solidFill>
                    <w14:schemeClr w14:val="tx1"/>
                  </w14:solidFill>
                </w14:textFill>
              </w:rPr>
              <w:t>南雄市水口镇人民政府</w:t>
            </w:r>
          </w:p>
        </w:tc>
      </w:tr>
      <w:tr>
        <w:tblPrEx>
          <w:tblCellMar>
            <w:top w:w="0" w:type="dxa"/>
            <w:left w:w="0" w:type="dxa"/>
            <w:bottom w:w="0" w:type="dxa"/>
            <w:right w:w="0" w:type="dxa"/>
          </w:tblCellMar>
        </w:tblPrEx>
        <w:trPr>
          <w:trHeight w:val="1059" w:hRule="atLeast"/>
        </w:trPr>
        <w:tc>
          <w:tcPr>
            <w:tcW w:w="4671" w:type="dxa"/>
            <w:noWrap/>
            <w:vAlign w:val="center"/>
          </w:tcPr>
          <w:p>
            <w:pPr>
              <w:pStyle w:val="36"/>
              <w:pageBreakBefore w:val="0"/>
              <w:kinsoku/>
              <w:wordWrap w:val="0"/>
              <w:overflowPunct/>
              <w:bidi w:val="0"/>
              <w:jc w:val="distribute"/>
              <w:rPr>
                <w:rFonts w:hint="eastAsia" w:asciiTheme="minorEastAsia" w:hAnsiTheme="minorEastAsia" w:eastAsiaTheme="minorEastAsia" w:cstheme="minorEastAsia"/>
                <w:color w:val="000000" w:themeColor="text1"/>
                <w:sz w:val="28"/>
                <w:highlight w:val="none"/>
                <w14:textFill>
                  <w14:solidFill>
                    <w14:schemeClr w14:val="tx1"/>
                  </w14:solidFill>
                </w14:textFill>
              </w:rPr>
            </w:pPr>
            <w:r>
              <w:rPr>
                <w:rFonts w:hint="eastAsia" w:asciiTheme="minorEastAsia" w:hAnsiTheme="minorEastAsia" w:eastAsiaTheme="minorEastAsia" w:cstheme="minorEastAsia"/>
                <w:color w:val="000000" w:themeColor="text1"/>
                <w:sz w:val="28"/>
                <w:highlight w:val="none"/>
                <w14:textFill>
                  <w14:solidFill>
                    <w14:schemeClr w14:val="tx1"/>
                  </w14:solidFill>
                </w14:textFill>
              </w:rPr>
              <w:t>招标人工作领导小组负责人（签字）：</w:t>
            </w:r>
          </w:p>
        </w:tc>
        <w:tc>
          <w:tcPr>
            <w:tcW w:w="5128" w:type="dxa"/>
            <w:noWrap/>
            <w:vAlign w:val="center"/>
          </w:tcPr>
          <w:p>
            <w:pPr>
              <w:pStyle w:val="36"/>
              <w:pageBreakBefore w:val="0"/>
              <w:kinsoku/>
              <w:wordWrap w:val="0"/>
              <w:overflowPunct/>
              <w:bidi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p>
        </w:tc>
      </w:tr>
      <w:tr>
        <w:tblPrEx>
          <w:tblCellMar>
            <w:top w:w="0" w:type="dxa"/>
            <w:left w:w="0" w:type="dxa"/>
            <w:bottom w:w="0" w:type="dxa"/>
            <w:right w:w="0" w:type="dxa"/>
          </w:tblCellMar>
        </w:tblPrEx>
        <w:trPr>
          <w:trHeight w:val="1031" w:hRule="atLeast"/>
        </w:trPr>
        <w:tc>
          <w:tcPr>
            <w:tcW w:w="4671" w:type="dxa"/>
            <w:noWrap/>
            <w:vAlign w:val="center"/>
          </w:tcPr>
          <w:p>
            <w:pPr>
              <w:pStyle w:val="36"/>
              <w:pageBreakBefore w:val="0"/>
              <w:kinsoku/>
              <w:wordWrap w:val="0"/>
              <w:overflowPunct/>
              <w:bidi w:val="0"/>
              <w:jc w:val="distribute"/>
              <w:rPr>
                <w:rFonts w:hint="eastAsia" w:asciiTheme="minorEastAsia" w:hAnsiTheme="minorEastAsia" w:eastAsiaTheme="minorEastAsia" w:cstheme="minorEastAsia"/>
                <w:color w:val="000000" w:themeColor="text1"/>
                <w:sz w:val="28"/>
                <w:highlight w:val="none"/>
                <w14:textFill>
                  <w14:solidFill>
                    <w14:schemeClr w14:val="tx1"/>
                  </w14:solidFill>
                </w14:textFill>
              </w:rPr>
            </w:pPr>
            <w:r>
              <w:rPr>
                <w:rFonts w:hint="eastAsia" w:asciiTheme="minorEastAsia" w:hAnsiTheme="minorEastAsia" w:eastAsiaTheme="minorEastAsia" w:cstheme="minorEastAsia"/>
                <w:color w:val="000000" w:themeColor="text1"/>
                <w:sz w:val="28"/>
                <w:highlight w:val="none"/>
                <w14:textFill>
                  <w14:solidFill>
                    <w14:schemeClr w14:val="tx1"/>
                  </w14:solidFill>
                </w14:textFill>
              </w:rPr>
              <w:t>招 标 代 理 机 构 （盖章）：</w:t>
            </w:r>
          </w:p>
        </w:tc>
        <w:tc>
          <w:tcPr>
            <w:tcW w:w="5128" w:type="dxa"/>
            <w:noWrap/>
            <w:vAlign w:val="center"/>
          </w:tcPr>
          <w:p>
            <w:pPr>
              <w:pStyle w:val="36"/>
              <w:pageBreakBefore w:val="0"/>
              <w:kinsoku/>
              <w:wordWrap w:val="0"/>
              <w:overflowPunct/>
              <w:bidi w:val="0"/>
              <w:rPr>
                <w:rFonts w:hint="eastAsia" w:asciiTheme="minorEastAsia" w:hAnsiTheme="minorEastAsia" w:eastAsiaTheme="minorEastAsia" w:cstheme="minorEastAsia"/>
                <w:color w:val="000000" w:themeColor="text1"/>
                <w:sz w:val="28"/>
                <w:szCs w:val="28"/>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8"/>
                <w:szCs w:val="28"/>
                <w:highlight w:val="none"/>
                <w:lang w:eastAsia="zh-CN"/>
                <w14:textFill>
                  <w14:solidFill>
                    <w14:schemeClr w14:val="tx1"/>
                  </w14:solidFill>
                </w14:textFill>
              </w:rPr>
              <w:t>中晋工程项目管理有限公司</w:t>
            </w:r>
          </w:p>
        </w:tc>
      </w:tr>
      <w:tr>
        <w:tblPrEx>
          <w:tblCellMar>
            <w:top w:w="0" w:type="dxa"/>
            <w:left w:w="0" w:type="dxa"/>
            <w:bottom w:w="0" w:type="dxa"/>
            <w:right w:w="0" w:type="dxa"/>
          </w:tblCellMar>
        </w:tblPrEx>
        <w:trPr>
          <w:trHeight w:val="809" w:hRule="atLeast"/>
        </w:trPr>
        <w:tc>
          <w:tcPr>
            <w:tcW w:w="4671" w:type="dxa"/>
            <w:noWrap/>
            <w:vAlign w:val="center"/>
          </w:tcPr>
          <w:p>
            <w:pPr>
              <w:pStyle w:val="36"/>
              <w:pageBreakBefore w:val="0"/>
              <w:kinsoku/>
              <w:wordWrap w:val="0"/>
              <w:overflowPunct/>
              <w:bidi w:val="0"/>
              <w:jc w:val="distribute"/>
              <w:rPr>
                <w:rFonts w:hint="eastAsia" w:asciiTheme="minorEastAsia" w:hAnsiTheme="minorEastAsia" w:eastAsiaTheme="minorEastAsia" w:cstheme="minorEastAsia"/>
                <w:color w:val="000000" w:themeColor="text1"/>
                <w:sz w:val="28"/>
                <w:highlight w:val="none"/>
                <w14:textFill>
                  <w14:solidFill>
                    <w14:schemeClr w14:val="tx1"/>
                  </w14:solidFill>
                </w14:textFill>
              </w:rPr>
            </w:pPr>
            <w:r>
              <w:rPr>
                <w:rFonts w:hint="eastAsia" w:asciiTheme="minorEastAsia" w:hAnsiTheme="minorEastAsia" w:eastAsiaTheme="minorEastAsia" w:cstheme="minorEastAsia"/>
                <w:color w:val="000000" w:themeColor="text1"/>
                <w:sz w:val="28"/>
                <w:highlight w:val="none"/>
                <w14:textFill>
                  <w14:solidFill>
                    <w14:schemeClr w14:val="tx1"/>
                  </w14:solidFill>
                </w14:textFill>
              </w:rPr>
              <w:t>招标文件编制人（签字）：</w:t>
            </w:r>
          </w:p>
        </w:tc>
        <w:tc>
          <w:tcPr>
            <w:tcW w:w="5128" w:type="dxa"/>
            <w:noWrap/>
            <w:vAlign w:val="center"/>
          </w:tcPr>
          <w:p>
            <w:pPr>
              <w:pStyle w:val="36"/>
              <w:pageBreakBefore w:val="0"/>
              <w:kinsoku/>
              <w:wordWrap w:val="0"/>
              <w:overflowPunct/>
              <w:bidi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p>
        </w:tc>
      </w:tr>
      <w:tr>
        <w:tblPrEx>
          <w:tblCellMar>
            <w:top w:w="0" w:type="dxa"/>
            <w:left w:w="0" w:type="dxa"/>
            <w:bottom w:w="0" w:type="dxa"/>
            <w:right w:w="0" w:type="dxa"/>
          </w:tblCellMar>
        </w:tblPrEx>
        <w:trPr>
          <w:trHeight w:val="863" w:hRule="atLeast"/>
        </w:trPr>
        <w:tc>
          <w:tcPr>
            <w:tcW w:w="4671" w:type="dxa"/>
            <w:noWrap/>
            <w:vAlign w:val="center"/>
          </w:tcPr>
          <w:p>
            <w:pPr>
              <w:pStyle w:val="36"/>
              <w:pageBreakBefore w:val="0"/>
              <w:kinsoku/>
              <w:wordWrap w:val="0"/>
              <w:overflowPunct/>
              <w:bidi w:val="0"/>
              <w:jc w:val="distribute"/>
              <w:rPr>
                <w:rFonts w:hint="eastAsia" w:asciiTheme="minorEastAsia" w:hAnsiTheme="minorEastAsia" w:eastAsiaTheme="minorEastAsia" w:cstheme="minorEastAsia"/>
                <w:color w:val="000000" w:themeColor="text1"/>
                <w:sz w:val="28"/>
                <w:highlight w:val="none"/>
                <w14:textFill>
                  <w14:solidFill>
                    <w14:schemeClr w14:val="tx1"/>
                  </w14:solidFill>
                </w14:textFill>
              </w:rPr>
            </w:pPr>
            <w:r>
              <w:rPr>
                <w:rFonts w:hint="eastAsia" w:asciiTheme="minorEastAsia" w:hAnsiTheme="minorEastAsia" w:eastAsiaTheme="minorEastAsia" w:cstheme="minorEastAsia"/>
                <w:color w:val="000000" w:themeColor="text1"/>
                <w:sz w:val="28"/>
                <w:highlight w:val="none"/>
                <w14:textFill>
                  <w14:solidFill>
                    <w14:schemeClr w14:val="tx1"/>
                  </w14:solidFill>
                </w14:textFill>
              </w:rPr>
              <w:t>招标代理机构项目负责人（签字）：</w:t>
            </w:r>
          </w:p>
        </w:tc>
        <w:tc>
          <w:tcPr>
            <w:tcW w:w="5128" w:type="dxa"/>
            <w:noWrap/>
            <w:vAlign w:val="center"/>
          </w:tcPr>
          <w:p>
            <w:pPr>
              <w:pStyle w:val="36"/>
              <w:pageBreakBefore w:val="0"/>
              <w:kinsoku/>
              <w:wordWrap w:val="0"/>
              <w:overflowPunct/>
              <w:bidi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p>
        </w:tc>
      </w:tr>
      <w:tr>
        <w:tblPrEx>
          <w:tblCellMar>
            <w:top w:w="0" w:type="dxa"/>
            <w:left w:w="0" w:type="dxa"/>
            <w:bottom w:w="0" w:type="dxa"/>
            <w:right w:w="0" w:type="dxa"/>
          </w:tblCellMar>
        </w:tblPrEx>
        <w:trPr>
          <w:trHeight w:val="1047" w:hRule="atLeast"/>
        </w:trPr>
        <w:tc>
          <w:tcPr>
            <w:tcW w:w="4671" w:type="dxa"/>
            <w:noWrap/>
            <w:vAlign w:val="center"/>
          </w:tcPr>
          <w:p>
            <w:pPr>
              <w:pStyle w:val="36"/>
              <w:pageBreakBefore w:val="0"/>
              <w:kinsoku/>
              <w:wordWrap w:val="0"/>
              <w:overflowPunct/>
              <w:bidi w:val="0"/>
              <w:jc w:val="distribute"/>
              <w:rPr>
                <w:rFonts w:hint="eastAsia" w:asciiTheme="minorEastAsia" w:hAnsiTheme="minorEastAsia" w:eastAsiaTheme="minorEastAsia" w:cstheme="minorEastAsia"/>
                <w:color w:val="000000" w:themeColor="text1"/>
                <w:sz w:val="28"/>
                <w:highlight w:val="none"/>
                <w14:textFill>
                  <w14:solidFill>
                    <w14:schemeClr w14:val="tx1"/>
                  </w14:solidFill>
                </w14:textFill>
              </w:rPr>
            </w:pPr>
            <w:r>
              <w:rPr>
                <w:rFonts w:hint="eastAsia" w:asciiTheme="minorEastAsia" w:hAnsiTheme="minorEastAsia" w:eastAsiaTheme="minorEastAsia" w:cstheme="minorEastAsia"/>
                <w:color w:val="000000" w:themeColor="text1"/>
                <w:sz w:val="28"/>
                <w:highlight w:val="none"/>
                <w14:textFill>
                  <w14:solidFill>
                    <w14:schemeClr w14:val="tx1"/>
                  </w14:solidFill>
                </w14:textFill>
              </w:rPr>
              <w:t>招标文件编制日期：</w:t>
            </w:r>
          </w:p>
        </w:tc>
        <w:tc>
          <w:tcPr>
            <w:tcW w:w="5128" w:type="dxa"/>
            <w:noWrap/>
            <w:vAlign w:val="center"/>
          </w:tcPr>
          <w:p>
            <w:pPr>
              <w:pStyle w:val="36"/>
              <w:pageBreakBefore w:val="0"/>
              <w:kinsoku/>
              <w:wordWrap w:val="0"/>
              <w:overflowPunct/>
              <w:bidi w:val="0"/>
              <w:rPr>
                <w:rFonts w:hint="eastAsia" w:asciiTheme="minorEastAsia" w:hAnsiTheme="minorEastAsia" w:eastAsiaTheme="minorEastAsia" w:cstheme="minorEastAsia"/>
                <w:color w:val="000000" w:themeColor="text1"/>
                <w:sz w:val="28"/>
                <w:highlight w:val="none"/>
                <w14:textFill>
                  <w14:solidFill>
                    <w14:schemeClr w14:val="tx1"/>
                  </w14:solidFill>
                </w14:textFill>
              </w:rPr>
            </w:pPr>
            <w:r>
              <w:rPr>
                <w:rFonts w:hint="eastAsia" w:asciiTheme="minorEastAsia" w:hAnsiTheme="minorEastAsia" w:eastAsiaTheme="minorEastAsia" w:cstheme="minorEastAsia"/>
                <w:color w:val="000000" w:themeColor="text1"/>
                <w:sz w:val="28"/>
                <w:highlight w:val="none"/>
                <w14:textFill>
                  <w14:solidFill>
                    <w14:schemeClr w14:val="tx1"/>
                  </w14:solidFill>
                </w14:textFill>
              </w:rPr>
              <w:t>202</w:t>
            </w:r>
            <w:r>
              <w:rPr>
                <w:rFonts w:hint="eastAsia" w:asciiTheme="minorEastAsia" w:hAnsiTheme="minorEastAsia" w:eastAsiaTheme="minorEastAsia" w:cstheme="minorEastAsia"/>
                <w:color w:val="000000" w:themeColor="text1"/>
                <w:sz w:val="28"/>
                <w:highlight w:val="non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highlight w:val="none"/>
                <w14:textFill>
                  <w14:solidFill>
                    <w14:schemeClr w14:val="tx1"/>
                  </w14:solidFill>
                </w14:textFill>
              </w:rPr>
              <w:t>年</w:t>
            </w:r>
            <w:r>
              <w:rPr>
                <w:rFonts w:hint="eastAsia" w:asciiTheme="minorEastAsia" w:hAnsiTheme="minorEastAsia" w:eastAsiaTheme="minorEastAsia" w:cstheme="minorEastAsia"/>
                <w:color w:val="000000" w:themeColor="text1"/>
                <w:sz w:val="28"/>
                <w:highlight w:val="none"/>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sz w:val="28"/>
                <w:highlight w:val="none"/>
                <w14:textFill>
                  <w14:solidFill>
                    <w14:schemeClr w14:val="tx1"/>
                  </w14:solidFill>
                </w14:textFill>
              </w:rPr>
              <w:t>月</w:t>
            </w:r>
          </w:p>
        </w:tc>
      </w:tr>
    </w:tbl>
    <w:p>
      <w:pPr>
        <w:pageBreakBefore w:val="0"/>
        <w:kinsoku/>
        <w:wordWrap w:val="0"/>
        <w:overflowPunct/>
        <w:bidi w:val="0"/>
        <w:outlineLvl w:val="9"/>
        <w:rPr>
          <w:rFonts w:hint="eastAsia" w:asciiTheme="minorEastAsia" w:hAnsiTheme="minorEastAsia" w:eastAsiaTheme="minorEastAsia" w:cstheme="minorEastAsia"/>
          <w:color w:val="000000" w:themeColor="text1"/>
          <w:highlight w:val="none"/>
          <w14:textFill>
            <w14:solidFill>
              <w14:schemeClr w14:val="tx1"/>
            </w14:solidFill>
          </w14:textFill>
        </w:rPr>
      </w:pPr>
    </w:p>
    <w:p>
      <w:pPr>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p>
    <w:p>
      <w:pPr>
        <w:pStyle w:val="8"/>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sectPr>
          <w:footerReference r:id="rId3" w:type="default"/>
          <w:endnotePr>
            <w:numFmt w:val="decimal"/>
          </w:endnotePr>
          <w:pgSz w:w="11906" w:h="16838"/>
          <w:pgMar w:top="1440" w:right="1463" w:bottom="1440" w:left="1463" w:header="851" w:footer="992" w:gutter="0"/>
          <w:pgNumType w:start="1"/>
          <w:cols w:space="720" w:num="1"/>
          <w:docGrid w:type="lines" w:linePitch="312" w:charSpace="0"/>
        </w:sect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目    录</w:t>
      </w:r>
    </w:p>
    <w:p>
      <w:pPr>
        <w:pStyle w:val="15"/>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TOC \o "1-4" \h \z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_Toc29865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44"/>
          <w:szCs w:val="36"/>
          <w:highlight w:val="none"/>
        </w:rPr>
        <w:t>第一章</w:t>
      </w:r>
      <w:r>
        <w:rPr>
          <w:rFonts w:hint="eastAsia" w:asciiTheme="minorEastAsia" w:hAnsiTheme="minorEastAsia" w:eastAsiaTheme="minorEastAsia" w:cstheme="minorEastAsia"/>
          <w:kern w:val="44"/>
          <w:szCs w:val="36"/>
          <w:highlight w:val="none"/>
          <w:lang w:val="en-US" w:eastAsia="zh-CN"/>
        </w:rPr>
        <w:t xml:space="preserve"> </w:t>
      </w:r>
      <w:r>
        <w:rPr>
          <w:rFonts w:hint="eastAsia" w:asciiTheme="minorEastAsia" w:hAnsiTheme="minorEastAsia" w:eastAsiaTheme="minorEastAsia" w:cstheme="minorEastAsia"/>
          <w:kern w:val="44"/>
          <w:szCs w:val="36"/>
          <w:highlight w:val="none"/>
          <w:lang w:eastAsia="zh-CN"/>
        </w:rPr>
        <w:t>投标人须知</w:t>
      </w:r>
      <w:r>
        <w:tab/>
      </w:r>
      <w:r>
        <w:fldChar w:fldCharType="begin"/>
      </w:r>
      <w:r>
        <w:instrText xml:space="preserve"> PAGEREF _Toc29865 \h </w:instrText>
      </w:r>
      <w:r>
        <w:fldChar w:fldCharType="separate"/>
      </w:r>
      <w:r>
        <w:t>1</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_Toc1946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第一节</w:t>
      </w:r>
      <w:r>
        <w:rPr>
          <w:rFonts w:hint="eastAsia" w:asciiTheme="minorEastAsia" w:hAnsiTheme="minorEastAsia" w:eastAsiaTheme="minorEastAsia" w:cstheme="minorEastAsia"/>
          <w:kern w:val="2"/>
          <w:highlight w:val="none"/>
          <w:lang w:val="en-US" w:eastAsia="zh-CN"/>
        </w:rPr>
        <w:t xml:space="preserve"> </w:t>
      </w:r>
      <w:r>
        <w:rPr>
          <w:rFonts w:hint="eastAsia" w:asciiTheme="minorEastAsia" w:hAnsiTheme="minorEastAsia" w:eastAsiaTheme="minorEastAsia" w:cstheme="minorEastAsia"/>
          <w:kern w:val="2"/>
          <w:highlight w:val="none"/>
          <w:lang w:eastAsia="zh-CN"/>
        </w:rPr>
        <w:t>投标人须知</w:t>
      </w:r>
      <w:r>
        <w:rPr>
          <w:rFonts w:hint="eastAsia" w:asciiTheme="minorEastAsia" w:hAnsiTheme="minorEastAsia" w:eastAsiaTheme="minorEastAsia" w:cstheme="minorEastAsia"/>
          <w:kern w:val="2"/>
          <w:highlight w:val="none"/>
        </w:rPr>
        <w:t>前附表</w:t>
      </w:r>
      <w:r>
        <w:tab/>
      </w:r>
      <w:r>
        <w:fldChar w:fldCharType="begin"/>
      </w:r>
      <w:r>
        <w:instrText xml:space="preserve"> PAGEREF _Toc1946 \h </w:instrText>
      </w:r>
      <w:r>
        <w:fldChar w:fldCharType="separate"/>
      </w:r>
      <w:r>
        <w:t>1</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_Toc14029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szCs w:val="24"/>
          <w:highlight w:val="none"/>
        </w:rPr>
        <w:t>第二节</w:t>
      </w:r>
      <w:r>
        <w:rPr>
          <w:rFonts w:hint="eastAsia" w:asciiTheme="minorEastAsia" w:hAnsiTheme="minorEastAsia" w:eastAsiaTheme="minorEastAsia" w:cstheme="minorEastAsia"/>
          <w:kern w:val="2"/>
          <w:szCs w:val="24"/>
          <w:highlight w:val="none"/>
          <w:lang w:val="en-US" w:eastAsia="zh-CN"/>
        </w:rPr>
        <w:t xml:space="preserve"> </w:t>
      </w:r>
      <w:r>
        <w:rPr>
          <w:rFonts w:hint="eastAsia" w:asciiTheme="minorEastAsia" w:hAnsiTheme="minorEastAsia" w:eastAsiaTheme="minorEastAsia" w:cstheme="minorEastAsia"/>
          <w:kern w:val="2"/>
          <w:szCs w:val="24"/>
          <w:highlight w:val="none"/>
        </w:rPr>
        <w:t>重要事项时间地点一览表.</w:t>
      </w:r>
      <w:r>
        <w:tab/>
      </w:r>
      <w:r>
        <w:fldChar w:fldCharType="begin"/>
      </w:r>
      <w:r>
        <w:instrText xml:space="preserve"> PAGEREF _Toc14029 \h </w:instrText>
      </w:r>
      <w:r>
        <w:fldChar w:fldCharType="separate"/>
      </w:r>
      <w:r>
        <w:t>9</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_Toc7695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szCs w:val="24"/>
          <w:highlight w:val="none"/>
        </w:rPr>
        <w:t xml:space="preserve">第三节 </w:t>
      </w:r>
      <w:r>
        <w:rPr>
          <w:rFonts w:hint="eastAsia" w:asciiTheme="minorEastAsia" w:hAnsiTheme="minorEastAsia" w:eastAsiaTheme="minorEastAsia" w:cstheme="minorEastAsia"/>
          <w:kern w:val="2"/>
          <w:szCs w:val="24"/>
          <w:highlight w:val="none"/>
          <w:lang w:eastAsia="zh-CN"/>
        </w:rPr>
        <w:t>投标人须知</w:t>
      </w:r>
      <w:r>
        <w:rPr>
          <w:rFonts w:hint="eastAsia" w:asciiTheme="minorEastAsia" w:hAnsiTheme="minorEastAsia" w:eastAsiaTheme="minorEastAsia" w:cstheme="minorEastAsia"/>
          <w:kern w:val="2"/>
          <w:szCs w:val="24"/>
          <w:highlight w:val="none"/>
        </w:rPr>
        <w:t>正文</w:t>
      </w:r>
      <w:r>
        <w:tab/>
      </w:r>
      <w:r>
        <w:fldChar w:fldCharType="begin"/>
      </w:r>
      <w:r>
        <w:instrText xml:space="preserve"> PAGEREF _Toc7695 \h </w:instrText>
      </w:r>
      <w:r>
        <w:fldChar w:fldCharType="separate"/>
      </w:r>
      <w:r>
        <w:t>10</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_Toc17124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1、工程概况</w:t>
      </w:r>
      <w:r>
        <w:tab/>
      </w:r>
      <w:r>
        <w:fldChar w:fldCharType="begin"/>
      </w:r>
      <w:r>
        <w:instrText xml:space="preserve"> PAGEREF _Toc17124 \h </w:instrText>
      </w:r>
      <w:r>
        <w:fldChar w:fldCharType="separate"/>
      </w:r>
      <w:r>
        <w:t>10</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_Toc22790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2、招标范围</w:t>
      </w:r>
      <w:r>
        <w:tab/>
      </w:r>
      <w:r>
        <w:fldChar w:fldCharType="begin"/>
      </w:r>
      <w:r>
        <w:instrText xml:space="preserve"> PAGEREF _Toc22790 \h </w:instrText>
      </w:r>
      <w:r>
        <w:fldChar w:fldCharType="separate"/>
      </w:r>
      <w:r>
        <w:t>11</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_Toc2925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napToGrid w:val="0"/>
          <w:kern w:val="2"/>
          <w:highlight w:val="none"/>
        </w:rPr>
        <w:t>3、</w:t>
      </w:r>
      <w:r>
        <w:rPr>
          <w:rFonts w:hint="eastAsia" w:asciiTheme="minorEastAsia" w:hAnsiTheme="minorEastAsia" w:eastAsiaTheme="minorEastAsia" w:cstheme="minorEastAsia"/>
          <w:kern w:val="2"/>
          <w:highlight w:val="none"/>
        </w:rPr>
        <w:t>工期</w:t>
      </w:r>
      <w:r>
        <w:tab/>
      </w:r>
      <w:r>
        <w:fldChar w:fldCharType="begin"/>
      </w:r>
      <w:r>
        <w:instrText xml:space="preserve"> PAGEREF _Toc2925 \h </w:instrText>
      </w:r>
      <w:r>
        <w:fldChar w:fldCharType="separate"/>
      </w:r>
      <w:r>
        <w:t>11</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_Toc19904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4、投标人资质及条件要求</w:t>
      </w:r>
      <w:r>
        <w:tab/>
      </w:r>
      <w:r>
        <w:fldChar w:fldCharType="begin"/>
      </w:r>
      <w:r>
        <w:instrText xml:space="preserve"> PAGEREF _Toc19904 \h </w:instrText>
      </w:r>
      <w:r>
        <w:fldChar w:fldCharType="separate"/>
      </w:r>
      <w:r>
        <w:t>11</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_Toc4704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5、工程招标内容及要求</w:t>
      </w:r>
      <w:r>
        <w:tab/>
      </w:r>
      <w:r>
        <w:fldChar w:fldCharType="begin"/>
      </w:r>
      <w:r>
        <w:instrText xml:space="preserve"> PAGEREF _Toc4704 \h </w:instrText>
      </w:r>
      <w:r>
        <w:fldChar w:fldCharType="separate"/>
      </w:r>
      <w:r>
        <w:t>14</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_Toc6443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6、招标工程施工条件及现场踏勘</w:t>
      </w:r>
      <w:r>
        <w:tab/>
      </w:r>
      <w:r>
        <w:fldChar w:fldCharType="begin"/>
      </w:r>
      <w:r>
        <w:instrText xml:space="preserve"> PAGEREF _Toc6443 \h </w:instrText>
      </w:r>
      <w:r>
        <w:fldChar w:fldCharType="separate"/>
      </w:r>
      <w:r>
        <w:t>17</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_Toc24698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7、其他招标说明</w:t>
      </w:r>
      <w:r>
        <w:tab/>
      </w:r>
      <w:r>
        <w:fldChar w:fldCharType="begin"/>
      </w:r>
      <w:r>
        <w:instrText xml:space="preserve"> PAGEREF _Toc24698 \h </w:instrText>
      </w:r>
      <w:r>
        <w:fldChar w:fldCharType="separate"/>
      </w:r>
      <w:r>
        <w:t>18</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_Toc10860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8、招标答疑</w:t>
      </w:r>
      <w:r>
        <w:tab/>
      </w:r>
      <w:r>
        <w:fldChar w:fldCharType="begin"/>
      </w:r>
      <w:r>
        <w:instrText xml:space="preserve"> PAGEREF _Toc10860 \h </w:instrText>
      </w:r>
      <w:r>
        <w:fldChar w:fldCharType="separate"/>
      </w:r>
      <w:r>
        <w:t>20</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_Toc5159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9、投标报价的编制</w:t>
      </w:r>
      <w:r>
        <w:tab/>
      </w:r>
      <w:r>
        <w:fldChar w:fldCharType="begin"/>
      </w:r>
      <w:r>
        <w:instrText xml:space="preserve"> PAGEREF _Toc5159 \h </w:instrText>
      </w:r>
      <w:r>
        <w:fldChar w:fldCharType="separate"/>
      </w:r>
      <w:r>
        <w:t>21</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_Toc19126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zCs w:val="24"/>
          <w:highlight w:val="none"/>
        </w:rPr>
        <w:t>10、最高</w:t>
      </w:r>
      <w:r>
        <w:rPr>
          <w:rFonts w:hint="eastAsia" w:asciiTheme="minorEastAsia" w:hAnsiTheme="minorEastAsia" w:eastAsiaTheme="minorEastAsia" w:cstheme="minorEastAsia"/>
          <w:kern w:val="2"/>
          <w:highlight w:val="none"/>
        </w:rPr>
        <w:t>投标</w:t>
      </w:r>
      <w:r>
        <w:rPr>
          <w:rFonts w:hint="eastAsia" w:asciiTheme="minorEastAsia" w:hAnsiTheme="minorEastAsia" w:eastAsiaTheme="minorEastAsia" w:cstheme="minorEastAsia"/>
          <w:szCs w:val="24"/>
          <w:highlight w:val="none"/>
        </w:rPr>
        <w:t>限价</w:t>
      </w:r>
      <w:r>
        <w:tab/>
      </w:r>
      <w:r>
        <w:fldChar w:fldCharType="begin"/>
      </w:r>
      <w:r>
        <w:instrText xml:space="preserve"> PAGEREF _Toc19126 \h </w:instrText>
      </w:r>
      <w:r>
        <w:fldChar w:fldCharType="separate"/>
      </w:r>
      <w:r>
        <w:t>23</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_Toc11384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zCs w:val="22"/>
          <w:highlight w:val="none"/>
        </w:rPr>
        <w:t>11</w:t>
      </w:r>
      <w:r>
        <w:rPr>
          <w:rFonts w:hint="eastAsia" w:asciiTheme="minorEastAsia" w:hAnsiTheme="minorEastAsia" w:eastAsiaTheme="minorEastAsia" w:cstheme="minorEastAsia"/>
          <w:szCs w:val="22"/>
          <w:highlight w:val="none"/>
          <w:lang w:eastAsia="zh-CN"/>
        </w:rPr>
        <w:t>、</w:t>
      </w:r>
      <w:r>
        <w:rPr>
          <w:rFonts w:hint="eastAsia" w:asciiTheme="minorEastAsia" w:hAnsiTheme="minorEastAsia" w:eastAsiaTheme="minorEastAsia" w:cstheme="minorEastAsia"/>
          <w:kern w:val="2"/>
          <w:highlight w:val="none"/>
        </w:rPr>
        <w:t>投标</w:t>
      </w:r>
      <w:r>
        <w:rPr>
          <w:rFonts w:hint="eastAsia" w:asciiTheme="minorEastAsia" w:hAnsiTheme="minorEastAsia" w:eastAsiaTheme="minorEastAsia" w:cstheme="minorEastAsia"/>
          <w:szCs w:val="22"/>
          <w:highlight w:val="none"/>
        </w:rPr>
        <w:t>文件的编制要求</w:t>
      </w:r>
      <w:r>
        <w:tab/>
      </w:r>
      <w:r>
        <w:fldChar w:fldCharType="begin"/>
      </w:r>
      <w:r>
        <w:instrText xml:space="preserve"> PAGEREF _Toc11384 \h </w:instrText>
      </w:r>
      <w:r>
        <w:fldChar w:fldCharType="separate"/>
      </w:r>
      <w:r>
        <w:t>23</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_Toc7599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12、投标有效期及对投标人的其他要求</w:t>
      </w:r>
      <w:r>
        <w:tab/>
      </w:r>
      <w:r>
        <w:fldChar w:fldCharType="begin"/>
      </w:r>
      <w:r>
        <w:instrText xml:space="preserve"> PAGEREF _Toc7599 \h </w:instrText>
      </w:r>
      <w:r>
        <w:fldChar w:fldCharType="separate"/>
      </w:r>
      <w:r>
        <w:t>27</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_Toc8052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13</w:t>
      </w:r>
      <w:r>
        <w:rPr>
          <w:rFonts w:hint="eastAsia" w:asciiTheme="minorEastAsia" w:hAnsiTheme="minorEastAsia" w:eastAsiaTheme="minorEastAsia" w:cstheme="minorEastAsia"/>
          <w:kern w:val="2"/>
          <w:highlight w:val="none"/>
          <w:lang w:eastAsia="zh-CN"/>
        </w:rPr>
        <w:t>、</w:t>
      </w:r>
      <w:r>
        <w:rPr>
          <w:rFonts w:hint="eastAsia" w:asciiTheme="minorEastAsia" w:hAnsiTheme="minorEastAsia" w:eastAsiaTheme="minorEastAsia" w:cstheme="minorEastAsia"/>
          <w:kern w:val="2"/>
          <w:highlight w:val="none"/>
        </w:rPr>
        <w:t>开标</w:t>
      </w:r>
      <w:r>
        <w:tab/>
      </w:r>
      <w:r>
        <w:fldChar w:fldCharType="begin"/>
      </w:r>
      <w:r>
        <w:instrText xml:space="preserve"> PAGEREF _Toc8052 \h </w:instrText>
      </w:r>
      <w:r>
        <w:fldChar w:fldCharType="separate"/>
      </w:r>
      <w:r>
        <w:t>27</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_Toc20890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14</w:t>
      </w:r>
      <w:r>
        <w:rPr>
          <w:rFonts w:hint="eastAsia" w:asciiTheme="minorEastAsia" w:hAnsiTheme="minorEastAsia" w:eastAsiaTheme="minorEastAsia" w:cstheme="minorEastAsia"/>
          <w:kern w:val="2"/>
          <w:highlight w:val="none"/>
          <w:lang w:eastAsia="zh-CN"/>
        </w:rPr>
        <w:t>、</w:t>
      </w:r>
      <w:r>
        <w:rPr>
          <w:rFonts w:hint="eastAsia" w:asciiTheme="minorEastAsia" w:hAnsiTheme="minorEastAsia" w:eastAsiaTheme="minorEastAsia" w:cstheme="minorEastAsia"/>
          <w:kern w:val="2"/>
          <w:highlight w:val="none"/>
        </w:rPr>
        <w:t>评标的方法和标准</w:t>
      </w:r>
      <w:r>
        <w:tab/>
      </w:r>
      <w:r>
        <w:fldChar w:fldCharType="begin"/>
      </w:r>
      <w:r>
        <w:instrText xml:space="preserve"> PAGEREF _Toc20890 \h </w:instrText>
      </w:r>
      <w:r>
        <w:fldChar w:fldCharType="separate"/>
      </w:r>
      <w:r>
        <w:t>28</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_Toc21817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highlight w:val="none"/>
          <w:lang w:val="en-US" w:eastAsia="zh-CN"/>
        </w:rPr>
        <w:t>15、</w:t>
      </w:r>
      <w:r>
        <w:rPr>
          <w:rFonts w:hint="eastAsia" w:ascii="宋体" w:hAnsi="宋体" w:eastAsia="宋体" w:cs="宋体"/>
          <w:bCs/>
          <w:highlight w:val="none"/>
          <w:lang w:val="en-US" w:eastAsia="zh-CN"/>
        </w:rPr>
        <w:t>评</w:t>
      </w:r>
      <w:r>
        <w:rPr>
          <w:rFonts w:hint="eastAsia" w:ascii="宋体" w:hAnsi="宋体" w:eastAsia="宋体" w:cs="宋体"/>
          <w:bCs/>
          <w:highlight w:val="none"/>
        </w:rPr>
        <w:t>标</w:t>
      </w:r>
      <w:r>
        <w:rPr>
          <w:rFonts w:hint="eastAsia" w:asciiTheme="minorEastAsia" w:hAnsiTheme="minorEastAsia" w:eastAsiaTheme="minorEastAsia" w:cstheme="minorEastAsia"/>
          <w:kern w:val="2"/>
          <w:highlight w:val="none"/>
        </w:rPr>
        <w:t>结果</w:t>
      </w:r>
      <w:r>
        <w:rPr>
          <w:rFonts w:hint="eastAsia" w:ascii="宋体" w:hAnsi="宋体" w:eastAsia="宋体" w:cs="宋体"/>
          <w:bCs/>
          <w:highlight w:val="none"/>
        </w:rPr>
        <w:t>公示</w:t>
      </w:r>
      <w:r>
        <w:tab/>
      </w:r>
      <w:r>
        <w:fldChar w:fldCharType="begin"/>
      </w:r>
      <w:r>
        <w:instrText xml:space="preserve"> PAGEREF _Toc21817 \h </w:instrText>
      </w:r>
      <w:r>
        <w:fldChar w:fldCharType="separate"/>
      </w:r>
      <w:r>
        <w:t>37</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_Toc31451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bCs/>
          <w:spacing w:val="0"/>
          <w:szCs w:val="24"/>
          <w:highlight w:val="none"/>
        </w:rPr>
        <w:t>16</w:t>
      </w:r>
      <w:r>
        <w:rPr>
          <w:rFonts w:hint="eastAsia" w:ascii="宋体" w:hAnsi="宋体" w:eastAsia="宋体" w:cs="宋体"/>
          <w:bCs/>
          <w:spacing w:val="0"/>
          <w:szCs w:val="24"/>
          <w:highlight w:val="none"/>
          <w:lang w:eastAsia="zh-CN"/>
        </w:rPr>
        <w:t>、</w:t>
      </w:r>
      <w:r>
        <w:rPr>
          <w:rFonts w:hint="eastAsia" w:asciiTheme="minorEastAsia" w:hAnsiTheme="minorEastAsia" w:eastAsiaTheme="minorEastAsia" w:cstheme="minorEastAsia"/>
          <w:kern w:val="2"/>
          <w:highlight w:val="none"/>
          <w:lang w:val="en-US" w:eastAsia="zh-CN"/>
        </w:rPr>
        <w:t>定</w:t>
      </w:r>
      <w:r>
        <w:rPr>
          <w:rFonts w:hint="eastAsia" w:asciiTheme="minorEastAsia" w:hAnsiTheme="minorEastAsia" w:eastAsiaTheme="minorEastAsia" w:cstheme="minorEastAsia"/>
          <w:kern w:val="2"/>
          <w:highlight w:val="none"/>
        </w:rPr>
        <w:t>标</w:t>
      </w:r>
      <w:r>
        <w:tab/>
      </w:r>
      <w:r>
        <w:fldChar w:fldCharType="begin"/>
      </w:r>
      <w:r>
        <w:instrText xml:space="preserve"> PAGEREF _Toc31451 \h </w:instrText>
      </w:r>
      <w:r>
        <w:fldChar w:fldCharType="separate"/>
      </w:r>
      <w:r>
        <w:t>38</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_Toc15459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bCs/>
          <w:spacing w:val="0"/>
          <w:szCs w:val="24"/>
          <w:highlight w:val="none"/>
          <w:lang w:val="en-US" w:eastAsia="zh-CN"/>
        </w:rPr>
        <w:t>17</w:t>
      </w:r>
      <w:r>
        <w:rPr>
          <w:rFonts w:hint="eastAsia" w:ascii="宋体" w:hAnsi="宋体" w:eastAsia="宋体" w:cs="宋体"/>
          <w:bCs/>
          <w:spacing w:val="0"/>
          <w:szCs w:val="24"/>
          <w:highlight w:val="none"/>
          <w:lang w:eastAsia="zh-CN"/>
        </w:rPr>
        <w:t>、</w:t>
      </w:r>
      <w:r>
        <w:rPr>
          <w:rFonts w:hint="eastAsia" w:ascii="宋体" w:hAnsi="宋体" w:eastAsia="宋体" w:cs="宋体"/>
          <w:bCs/>
          <w:spacing w:val="0"/>
          <w:szCs w:val="24"/>
          <w:highlight w:val="none"/>
          <w:lang w:val="en-US" w:eastAsia="zh-CN"/>
        </w:rPr>
        <w:t>定</w:t>
      </w:r>
      <w:r>
        <w:rPr>
          <w:rFonts w:hint="eastAsia" w:ascii="宋体" w:hAnsi="宋体" w:eastAsia="宋体" w:cs="宋体"/>
          <w:bCs/>
          <w:spacing w:val="0"/>
          <w:szCs w:val="24"/>
          <w:highlight w:val="none"/>
        </w:rPr>
        <w:t>标</w:t>
      </w:r>
      <w:r>
        <w:rPr>
          <w:rFonts w:hint="eastAsia" w:asciiTheme="minorEastAsia" w:hAnsiTheme="minorEastAsia" w:eastAsiaTheme="minorEastAsia" w:cstheme="minorEastAsia"/>
          <w:kern w:val="2"/>
          <w:highlight w:val="none"/>
          <w:lang w:val="en-US" w:eastAsia="zh-CN"/>
        </w:rPr>
        <w:t>结果</w:t>
      </w:r>
      <w:r>
        <w:rPr>
          <w:rFonts w:hint="eastAsia" w:ascii="宋体" w:hAnsi="宋体" w:eastAsia="宋体" w:cs="宋体"/>
          <w:bCs/>
          <w:spacing w:val="0"/>
          <w:szCs w:val="24"/>
          <w:highlight w:val="none"/>
        </w:rPr>
        <w:t>公示</w:t>
      </w:r>
      <w:r>
        <w:tab/>
      </w:r>
      <w:r>
        <w:fldChar w:fldCharType="begin"/>
      </w:r>
      <w:r>
        <w:instrText xml:space="preserve"> PAGEREF _Toc15459 \h </w:instrText>
      </w:r>
      <w:r>
        <w:fldChar w:fldCharType="separate"/>
      </w:r>
      <w:r>
        <w:t>40</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5"/>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_Toc21677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44"/>
          <w:szCs w:val="36"/>
          <w:highlight w:val="none"/>
        </w:rPr>
        <w:t>第二章 拟签订合同的主要条款</w:t>
      </w:r>
      <w:r>
        <w:tab/>
      </w:r>
      <w:r>
        <w:fldChar w:fldCharType="begin"/>
      </w:r>
      <w:r>
        <w:instrText xml:space="preserve"> PAGEREF _Toc21677 \h </w:instrText>
      </w:r>
      <w:r>
        <w:fldChar w:fldCharType="separate"/>
      </w:r>
      <w:r>
        <w:t>44</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_Toc22682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1</w:t>
      </w:r>
      <w:r>
        <w:rPr>
          <w:rFonts w:hint="eastAsia" w:asciiTheme="minorEastAsia" w:hAnsiTheme="minorEastAsia" w:eastAsiaTheme="minorEastAsia" w:cstheme="minorEastAsia"/>
          <w:kern w:val="2"/>
          <w:highlight w:val="none"/>
          <w:lang w:eastAsia="zh-CN"/>
        </w:rPr>
        <w:t>、</w:t>
      </w:r>
      <w:r>
        <w:rPr>
          <w:rFonts w:hint="eastAsia" w:asciiTheme="minorEastAsia" w:hAnsiTheme="minorEastAsia" w:eastAsiaTheme="minorEastAsia" w:cstheme="minorEastAsia"/>
          <w:kern w:val="2"/>
          <w:highlight w:val="none"/>
        </w:rPr>
        <w:t>工程承包方式</w:t>
      </w:r>
      <w:r>
        <w:tab/>
      </w:r>
      <w:r>
        <w:fldChar w:fldCharType="begin"/>
      </w:r>
      <w:r>
        <w:instrText xml:space="preserve"> PAGEREF _Toc22682 \h </w:instrText>
      </w:r>
      <w:r>
        <w:fldChar w:fldCharType="separate"/>
      </w:r>
      <w:r>
        <w:t>44</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_Toc31781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szCs w:val="24"/>
          <w:highlight w:val="none"/>
          <w:lang w:val="en-US" w:eastAsia="zh-CN"/>
        </w:rPr>
        <w:t>2</w:t>
      </w:r>
      <w:r>
        <w:rPr>
          <w:rFonts w:hint="eastAsia" w:asciiTheme="minorEastAsia" w:hAnsiTheme="minorEastAsia" w:eastAsiaTheme="minorEastAsia" w:cstheme="minorEastAsia"/>
          <w:kern w:val="2"/>
          <w:szCs w:val="24"/>
          <w:highlight w:val="none"/>
          <w:lang w:eastAsia="zh-CN"/>
        </w:rPr>
        <w:t>、</w:t>
      </w:r>
      <w:r>
        <w:rPr>
          <w:rFonts w:hint="eastAsia" w:asciiTheme="minorEastAsia" w:hAnsiTheme="minorEastAsia" w:eastAsiaTheme="minorEastAsia" w:cstheme="minorEastAsia"/>
          <w:kern w:val="2"/>
          <w:szCs w:val="24"/>
          <w:highlight w:val="none"/>
        </w:rPr>
        <w:t>工程结算原则</w:t>
      </w:r>
      <w:r>
        <w:tab/>
      </w:r>
      <w:r>
        <w:fldChar w:fldCharType="begin"/>
      </w:r>
      <w:r>
        <w:instrText xml:space="preserve"> PAGEREF _Toc31781 \h </w:instrText>
      </w:r>
      <w:r>
        <w:fldChar w:fldCharType="separate"/>
      </w:r>
      <w:r>
        <w:t>44</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_Toc636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szCs w:val="24"/>
          <w:highlight w:val="none"/>
          <w:lang w:val="en-US" w:eastAsia="zh-CN"/>
        </w:rPr>
        <w:t>3</w:t>
      </w:r>
      <w:r>
        <w:rPr>
          <w:rFonts w:hint="eastAsia" w:asciiTheme="minorEastAsia" w:hAnsiTheme="minorEastAsia" w:eastAsiaTheme="minorEastAsia" w:cstheme="minorEastAsia"/>
          <w:kern w:val="2"/>
          <w:szCs w:val="24"/>
          <w:highlight w:val="none"/>
          <w:lang w:eastAsia="zh-CN"/>
        </w:rPr>
        <w:t>、</w:t>
      </w:r>
      <w:r>
        <w:rPr>
          <w:rFonts w:hint="eastAsia" w:asciiTheme="minorEastAsia" w:hAnsiTheme="minorEastAsia" w:eastAsiaTheme="minorEastAsia" w:cstheme="minorEastAsia"/>
          <w:kern w:val="2"/>
          <w:szCs w:val="24"/>
          <w:highlight w:val="none"/>
        </w:rPr>
        <w:t>工程付款办法</w:t>
      </w:r>
      <w:r>
        <w:tab/>
      </w:r>
      <w:r>
        <w:fldChar w:fldCharType="begin"/>
      </w:r>
      <w:r>
        <w:instrText xml:space="preserve"> PAGEREF _Toc636 \h </w:instrText>
      </w:r>
      <w:r>
        <w:fldChar w:fldCharType="separate"/>
      </w:r>
      <w:r>
        <w:t>48</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5"/>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_Toc24515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44"/>
          <w:szCs w:val="36"/>
          <w:highlight w:val="none"/>
        </w:rPr>
        <w:t>第三章 中标人须知</w:t>
      </w:r>
      <w:r>
        <w:tab/>
      </w:r>
      <w:r>
        <w:fldChar w:fldCharType="begin"/>
      </w:r>
      <w:r>
        <w:instrText xml:space="preserve"> PAGEREF _Toc24515 \h </w:instrText>
      </w:r>
      <w:r>
        <w:fldChar w:fldCharType="separate"/>
      </w:r>
      <w:r>
        <w:t>73</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5"/>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_Toc28028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44"/>
          <w:szCs w:val="36"/>
          <w:highlight w:val="none"/>
        </w:rPr>
        <w:t>第四章 投标人提交的其他材料</w:t>
      </w:r>
      <w:r>
        <w:tab/>
      </w:r>
      <w:r>
        <w:fldChar w:fldCharType="begin"/>
      </w:r>
      <w:r>
        <w:instrText xml:space="preserve"> PAGEREF _Toc28028 \h </w:instrText>
      </w:r>
      <w:r>
        <w:fldChar w:fldCharType="separate"/>
      </w:r>
      <w:r>
        <w:t>80</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_Toc12370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1</w:t>
      </w:r>
      <w:r>
        <w:rPr>
          <w:rFonts w:hint="eastAsia" w:asciiTheme="minorEastAsia" w:hAnsiTheme="minorEastAsia" w:eastAsiaTheme="minorEastAsia" w:cstheme="minorEastAsia"/>
          <w:bCs/>
          <w:szCs w:val="24"/>
          <w:highlight w:val="none"/>
          <w:lang w:eastAsia="zh-CN"/>
        </w:rPr>
        <w:t>、</w:t>
      </w:r>
      <w:r>
        <w:rPr>
          <w:rFonts w:hint="eastAsia" w:asciiTheme="minorEastAsia" w:hAnsiTheme="minorEastAsia" w:eastAsiaTheme="minorEastAsia" w:cstheme="minorEastAsia"/>
          <w:bCs/>
          <w:szCs w:val="24"/>
          <w:highlight w:val="none"/>
        </w:rPr>
        <w:t>投标保证</w:t>
      </w:r>
      <w:r>
        <w:tab/>
      </w:r>
      <w:r>
        <w:fldChar w:fldCharType="begin"/>
      </w:r>
      <w:r>
        <w:instrText xml:space="preserve"> PAGEREF _Toc12370 \h </w:instrText>
      </w:r>
      <w:r>
        <w:fldChar w:fldCharType="separate"/>
      </w:r>
      <w:r>
        <w:t>80</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_Toc19899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2</w:t>
      </w:r>
      <w:r>
        <w:rPr>
          <w:rFonts w:hint="eastAsia" w:asciiTheme="minorEastAsia" w:hAnsiTheme="minorEastAsia" w:eastAsiaTheme="minorEastAsia" w:cstheme="minorEastAsia"/>
          <w:bCs/>
          <w:szCs w:val="24"/>
          <w:highlight w:val="none"/>
          <w:lang w:eastAsia="zh-CN"/>
        </w:rPr>
        <w:t>、</w:t>
      </w:r>
      <w:r>
        <w:rPr>
          <w:rFonts w:hint="eastAsia" w:asciiTheme="minorEastAsia" w:hAnsiTheme="minorEastAsia" w:eastAsiaTheme="minorEastAsia" w:cstheme="minorEastAsia"/>
          <w:bCs/>
          <w:szCs w:val="24"/>
          <w:highlight w:val="none"/>
        </w:rPr>
        <w:t>履约保证金</w:t>
      </w:r>
      <w:r>
        <w:tab/>
      </w:r>
      <w:r>
        <w:fldChar w:fldCharType="begin"/>
      </w:r>
      <w:r>
        <w:instrText xml:space="preserve"> PAGEREF _Toc19899 \h </w:instrText>
      </w:r>
      <w:r>
        <w:fldChar w:fldCharType="separate"/>
      </w:r>
      <w:r>
        <w:t>81</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_Toc1520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3</w:t>
      </w:r>
      <w:r>
        <w:rPr>
          <w:rFonts w:hint="eastAsia" w:asciiTheme="minorEastAsia" w:hAnsiTheme="minorEastAsia" w:eastAsiaTheme="minorEastAsia" w:cstheme="minorEastAsia"/>
          <w:bCs/>
          <w:szCs w:val="24"/>
          <w:highlight w:val="none"/>
          <w:lang w:eastAsia="zh-CN"/>
        </w:rPr>
        <w:t>、</w:t>
      </w:r>
      <w:r>
        <w:rPr>
          <w:rFonts w:hint="eastAsia" w:asciiTheme="minorEastAsia" w:hAnsiTheme="minorEastAsia" w:eastAsiaTheme="minorEastAsia" w:cstheme="minorEastAsia"/>
          <w:bCs/>
          <w:szCs w:val="24"/>
          <w:highlight w:val="none"/>
        </w:rPr>
        <w:t>质量保证</w:t>
      </w:r>
      <w:r>
        <w:tab/>
      </w:r>
      <w:r>
        <w:fldChar w:fldCharType="begin"/>
      </w:r>
      <w:r>
        <w:instrText xml:space="preserve"> PAGEREF _Toc1520 \h </w:instrText>
      </w:r>
      <w:r>
        <w:fldChar w:fldCharType="separate"/>
      </w:r>
      <w:r>
        <w:t>82</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5"/>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_Toc9585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44"/>
          <w:szCs w:val="36"/>
          <w:highlight w:val="none"/>
        </w:rPr>
        <w:t>第五章 招标工程的技术要求</w:t>
      </w:r>
      <w:r>
        <w:tab/>
      </w:r>
      <w:r>
        <w:fldChar w:fldCharType="begin"/>
      </w:r>
      <w:r>
        <w:instrText xml:space="preserve"> PAGEREF _Toc9585 \h </w:instrText>
      </w:r>
      <w:r>
        <w:fldChar w:fldCharType="separate"/>
      </w:r>
      <w:r>
        <w:t>83</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_Toc16955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2"/>
          <w:highlight w:val="none"/>
          <w:lang w:val="en-US" w:eastAsia="zh-CN"/>
        </w:rPr>
        <w:t>一</w:t>
      </w:r>
      <w:r>
        <w:rPr>
          <w:rFonts w:hint="eastAsia" w:asciiTheme="minorEastAsia" w:hAnsiTheme="minorEastAsia" w:eastAsiaTheme="minorEastAsia" w:cstheme="minorEastAsia"/>
          <w:bCs/>
          <w:szCs w:val="22"/>
          <w:highlight w:val="none"/>
          <w:lang w:eastAsia="zh-CN"/>
        </w:rPr>
        <w:t>、</w:t>
      </w:r>
      <w:r>
        <w:rPr>
          <w:rFonts w:hint="eastAsia" w:asciiTheme="minorEastAsia" w:hAnsiTheme="minorEastAsia" w:eastAsiaTheme="minorEastAsia" w:cstheme="minorEastAsia"/>
          <w:bCs/>
          <w:szCs w:val="24"/>
          <w:highlight w:val="none"/>
        </w:rPr>
        <w:t>工程的技术要求</w:t>
      </w:r>
      <w:r>
        <w:tab/>
      </w:r>
      <w:r>
        <w:fldChar w:fldCharType="begin"/>
      </w:r>
      <w:r>
        <w:instrText xml:space="preserve"> PAGEREF _Toc16955 \h </w:instrText>
      </w:r>
      <w:r>
        <w:fldChar w:fldCharType="separate"/>
      </w:r>
      <w:r>
        <w:t>83</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_Toc16105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kern w:val="0"/>
          <w:szCs w:val="24"/>
          <w:highlight w:val="none"/>
          <w:lang w:val="en-US" w:eastAsia="zh-CN"/>
        </w:rPr>
        <w:t>1.</w:t>
      </w:r>
      <w:r>
        <w:rPr>
          <w:rFonts w:hint="eastAsia" w:ascii="宋体" w:hAnsi="宋体" w:eastAsia="宋体" w:cs="宋体"/>
          <w:kern w:val="0"/>
          <w:szCs w:val="24"/>
          <w:highlight w:val="none"/>
        </w:rPr>
        <w:t>工程设计标准规范</w:t>
      </w:r>
      <w:r>
        <w:tab/>
      </w:r>
      <w:r>
        <w:fldChar w:fldCharType="begin"/>
      </w:r>
      <w:r>
        <w:instrText xml:space="preserve"> PAGEREF _Toc16105 \h </w:instrText>
      </w:r>
      <w:r>
        <w:fldChar w:fldCharType="separate"/>
      </w:r>
      <w:r>
        <w:t>83</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_Toc16622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bCs/>
          <w:szCs w:val="24"/>
          <w:highlight w:val="none"/>
        </w:rPr>
        <w:t>2.施工</w:t>
      </w:r>
      <w:r>
        <w:rPr>
          <w:rFonts w:hint="eastAsia" w:ascii="宋体" w:hAnsi="宋体" w:eastAsia="宋体" w:cs="宋体"/>
          <w:snapToGrid w:val="0"/>
          <w:szCs w:val="24"/>
          <w:highlight w:val="none"/>
        </w:rPr>
        <w:t>规范</w:t>
      </w:r>
      <w:r>
        <w:tab/>
      </w:r>
      <w:r>
        <w:fldChar w:fldCharType="begin"/>
      </w:r>
      <w:r>
        <w:instrText xml:space="preserve"> PAGEREF _Toc16622 \h </w:instrText>
      </w:r>
      <w:r>
        <w:fldChar w:fldCharType="separate"/>
      </w:r>
      <w:r>
        <w:t>83</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_Toc16160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snapToGrid w:val="0"/>
          <w:szCs w:val="24"/>
          <w:highlight w:val="none"/>
        </w:rPr>
        <w:t>3</w:t>
      </w:r>
      <w:r>
        <w:rPr>
          <w:rFonts w:hint="eastAsia" w:hAnsi="宋体" w:eastAsia="宋体" w:cs="宋体"/>
          <w:snapToGrid w:val="0"/>
          <w:szCs w:val="24"/>
          <w:highlight w:val="none"/>
          <w:lang w:val="en-US" w:eastAsia="zh-CN"/>
        </w:rPr>
        <w:t>.</w:t>
      </w:r>
      <w:r>
        <w:rPr>
          <w:rFonts w:hint="eastAsia" w:ascii="宋体" w:hAnsi="宋体" w:eastAsia="宋体" w:cs="宋体"/>
          <w:snapToGrid w:val="0"/>
          <w:szCs w:val="24"/>
          <w:highlight w:val="none"/>
        </w:rPr>
        <w:t>备查要求</w:t>
      </w:r>
      <w:r>
        <w:tab/>
      </w:r>
      <w:r>
        <w:fldChar w:fldCharType="begin"/>
      </w:r>
      <w:r>
        <w:instrText xml:space="preserve"> PAGEREF _Toc16160 \h </w:instrText>
      </w:r>
      <w:r>
        <w:fldChar w:fldCharType="separate"/>
      </w:r>
      <w:r>
        <w:t>84</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5"/>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_Toc12925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44"/>
          <w:szCs w:val="36"/>
          <w:highlight w:val="none"/>
          <w:lang w:val="en-US" w:eastAsia="zh-CN"/>
        </w:rPr>
        <w:t xml:space="preserve">第六章  </w:t>
      </w:r>
      <w:r>
        <w:rPr>
          <w:rFonts w:hint="eastAsia" w:asciiTheme="minorEastAsia" w:hAnsiTheme="minorEastAsia" w:eastAsiaTheme="minorEastAsia" w:cstheme="minorEastAsia"/>
          <w:kern w:val="44"/>
          <w:szCs w:val="36"/>
          <w:highlight w:val="none"/>
          <w:lang w:eastAsia="zh-CN"/>
        </w:rPr>
        <w:t>投标文件格式</w:t>
      </w:r>
      <w:r>
        <w:tab/>
      </w:r>
      <w:r>
        <w:fldChar w:fldCharType="begin"/>
      </w:r>
      <w:r>
        <w:instrText xml:space="preserve"> PAGEREF _Toc12925 \h </w:instrText>
      </w:r>
      <w:r>
        <w:fldChar w:fldCharType="separate"/>
      </w:r>
      <w:r>
        <w:t>85</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_Toc24188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napToGrid w:val="0"/>
          <w:szCs w:val="24"/>
          <w:highlight w:val="none"/>
        </w:rPr>
        <w:t>格式一 封面</w:t>
      </w:r>
      <w:r>
        <w:tab/>
      </w:r>
      <w:r>
        <w:fldChar w:fldCharType="begin"/>
      </w:r>
      <w:r>
        <w:instrText xml:space="preserve"> PAGEREF _Toc24188 \h </w:instrText>
      </w:r>
      <w:r>
        <w:fldChar w:fldCharType="separate"/>
      </w:r>
      <w:r>
        <w:t>85</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_Toc6252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格式二 投标函</w:t>
      </w:r>
      <w:r>
        <w:tab/>
      </w:r>
      <w:r>
        <w:fldChar w:fldCharType="begin"/>
      </w:r>
      <w:r>
        <w:instrText xml:space="preserve"> PAGEREF _Toc6252 \h </w:instrText>
      </w:r>
      <w:r>
        <w:fldChar w:fldCharType="separate"/>
      </w:r>
      <w:r>
        <w:t>86</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_Toc68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zCs w:val="24"/>
          <w:highlight w:val="none"/>
        </w:rPr>
        <w:t>格式三 工程项目总价表</w:t>
      </w:r>
      <w:r>
        <w:tab/>
      </w:r>
      <w:r>
        <w:fldChar w:fldCharType="begin"/>
      </w:r>
      <w:r>
        <w:instrText xml:space="preserve"> PAGEREF _Toc68 \h </w:instrText>
      </w:r>
      <w:r>
        <w:fldChar w:fldCharType="separate"/>
      </w:r>
      <w:r>
        <w:t>87</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_Toc22897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zCs w:val="24"/>
          <w:highlight w:val="none"/>
        </w:rPr>
        <w:t>格式</w:t>
      </w:r>
      <w:r>
        <w:rPr>
          <w:rFonts w:hint="eastAsia" w:asciiTheme="minorEastAsia" w:hAnsiTheme="minorEastAsia" w:eastAsiaTheme="minorEastAsia" w:cstheme="minorEastAsia"/>
          <w:szCs w:val="24"/>
          <w:highlight w:val="none"/>
          <w:lang w:val="en-US" w:eastAsia="zh-CN"/>
        </w:rPr>
        <w:t>四</w:t>
      </w:r>
      <w:r>
        <w:rPr>
          <w:rFonts w:hint="eastAsia" w:asciiTheme="minorEastAsia" w:hAnsiTheme="minorEastAsia" w:eastAsiaTheme="minorEastAsia" w:cstheme="minorEastAsia"/>
          <w:szCs w:val="24"/>
          <w:highlight w:val="none"/>
        </w:rPr>
        <w:t xml:space="preserve"> 各项</w:t>
      </w:r>
      <w:r>
        <w:rPr>
          <w:rFonts w:hint="eastAsia" w:asciiTheme="minorEastAsia" w:hAnsiTheme="minorEastAsia" w:eastAsiaTheme="minorEastAsia" w:cstheme="minorEastAsia"/>
          <w:bCs/>
          <w:szCs w:val="24"/>
          <w:highlight w:val="none"/>
        </w:rPr>
        <w:t>承诺</w:t>
      </w:r>
      <w:r>
        <w:rPr>
          <w:rFonts w:hint="eastAsia" w:asciiTheme="minorEastAsia" w:hAnsiTheme="minorEastAsia" w:eastAsiaTheme="minorEastAsia" w:cstheme="minorEastAsia"/>
          <w:szCs w:val="24"/>
          <w:highlight w:val="none"/>
        </w:rPr>
        <w:t>一览表</w:t>
      </w:r>
      <w:r>
        <w:tab/>
      </w:r>
      <w:r>
        <w:fldChar w:fldCharType="begin"/>
      </w:r>
      <w:r>
        <w:instrText xml:space="preserve"> PAGEREF _Toc22897 \h </w:instrText>
      </w:r>
      <w:r>
        <w:fldChar w:fldCharType="separate"/>
      </w:r>
      <w:r>
        <w:t>88</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_Toc26297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格式</w:t>
      </w:r>
      <w:r>
        <w:rPr>
          <w:rFonts w:hint="eastAsia" w:asciiTheme="minorEastAsia" w:hAnsiTheme="minorEastAsia" w:eastAsiaTheme="minorEastAsia" w:cstheme="minorEastAsia"/>
          <w:bCs/>
          <w:szCs w:val="24"/>
          <w:highlight w:val="none"/>
          <w:lang w:val="en-US" w:eastAsia="zh-CN"/>
        </w:rPr>
        <w:t>五</w:t>
      </w:r>
      <w:r>
        <w:rPr>
          <w:rFonts w:hint="eastAsia" w:asciiTheme="minorEastAsia" w:hAnsiTheme="minorEastAsia" w:eastAsiaTheme="minorEastAsia" w:cstheme="minorEastAsia"/>
          <w:bCs/>
          <w:szCs w:val="24"/>
          <w:highlight w:val="none"/>
        </w:rPr>
        <w:t xml:space="preserve"> 授权委托书</w:t>
      </w:r>
      <w:r>
        <w:tab/>
      </w:r>
      <w:r>
        <w:fldChar w:fldCharType="begin"/>
      </w:r>
      <w:r>
        <w:instrText xml:space="preserve"> PAGEREF _Toc26297 \h </w:instrText>
      </w:r>
      <w:r>
        <w:fldChar w:fldCharType="separate"/>
      </w:r>
      <w:r>
        <w:t>93</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_Toc21416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格式</w:t>
      </w:r>
      <w:r>
        <w:rPr>
          <w:rFonts w:hint="eastAsia" w:asciiTheme="minorEastAsia" w:hAnsiTheme="minorEastAsia" w:eastAsiaTheme="minorEastAsia" w:cstheme="minorEastAsia"/>
          <w:bCs/>
          <w:szCs w:val="24"/>
          <w:highlight w:val="none"/>
          <w:lang w:val="en-US" w:eastAsia="zh-CN"/>
        </w:rPr>
        <w:t>六</w:t>
      </w:r>
      <w:r>
        <w:rPr>
          <w:rFonts w:hint="eastAsia" w:asciiTheme="minorEastAsia" w:hAnsiTheme="minorEastAsia" w:eastAsiaTheme="minorEastAsia" w:cstheme="minorEastAsia"/>
          <w:bCs/>
          <w:szCs w:val="24"/>
          <w:highlight w:val="none"/>
        </w:rPr>
        <w:t xml:space="preserve"> 法定代表人身份证明</w:t>
      </w:r>
      <w:r>
        <w:tab/>
      </w:r>
      <w:r>
        <w:fldChar w:fldCharType="begin"/>
      </w:r>
      <w:r>
        <w:instrText xml:space="preserve"> PAGEREF _Toc21416 \h </w:instrText>
      </w:r>
      <w:r>
        <w:fldChar w:fldCharType="separate"/>
      </w:r>
      <w:r>
        <w:t>94</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_Toc28920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格式</w:t>
      </w:r>
      <w:r>
        <w:rPr>
          <w:rFonts w:hint="eastAsia" w:asciiTheme="minorEastAsia" w:hAnsiTheme="minorEastAsia" w:eastAsiaTheme="minorEastAsia" w:cstheme="minorEastAsia"/>
          <w:bCs/>
          <w:szCs w:val="24"/>
          <w:highlight w:val="none"/>
          <w:lang w:val="en-US" w:eastAsia="zh-CN"/>
        </w:rPr>
        <w:t>七</w:t>
      </w:r>
      <w:r>
        <w:rPr>
          <w:rFonts w:hint="eastAsia" w:asciiTheme="minorEastAsia" w:hAnsiTheme="minorEastAsia" w:eastAsiaTheme="minorEastAsia" w:cstheme="minorEastAsia"/>
          <w:bCs/>
          <w:szCs w:val="24"/>
          <w:highlight w:val="none"/>
        </w:rPr>
        <w:t xml:space="preserve"> 联合体协议书</w:t>
      </w:r>
      <w:r>
        <w:tab/>
      </w:r>
      <w:r>
        <w:fldChar w:fldCharType="begin"/>
      </w:r>
      <w:r>
        <w:instrText xml:space="preserve"> PAGEREF _Toc28920 \h </w:instrText>
      </w:r>
      <w:r>
        <w:fldChar w:fldCharType="separate"/>
      </w:r>
      <w:r>
        <w:t>95</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_Toc17759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格式</w:t>
      </w:r>
      <w:r>
        <w:rPr>
          <w:rFonts w:hint="eastAsia" w:asciiTheme="minorEastAsia" w:hAnsiTheme="minorEastAsia" w:eastAsiaTheme="minorEastAsia" w:cstheme="minorEastAsia"/>
          <w:bCs/>
          <w:szCs w:val="24"/>
          <w:highlight w:val="none"/>
          <w:lang w:val="en-US" w:eastAsia="zh-CN"/>
        </w:rPr>
        <w:t>八</w:t>
      </w:r>
      <w:r>
        <w:rPr>
          <w:rFonts w:hint="eastAsia" w:asciiTheme="minorEastAsia" w:hAnsiTheme="minorEastAsia" w:eastAsiaTheme="minorEastAsia" w:cstheme="minorEastAsia"/>
          <w:bCs/>
          <w:szCs w:val="24"/>
          <w:highlight w:val="none"/>
        </w:rPr>
        <w:t xml:space="preserve"> 投标人基本情况表</w:t>
      </w:r>
      <w:r>
        <w:tab/>
      </w:r>
      <w:r>
        <w:fldChar w:fldCharType="begin"/>
      </w:r>
      <w:r>
        <w:instrText xml:space="preserve"> PAGEREF _Toc17759 \h </w:instrText>
      </w:r>
      <w:r>
        <w:fldChar w:fldCharType="separate"/>
      </w:r>
      <w:r>
        <w:t>97</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_Toc31003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格式</w:t>
      </w:r>
      <w:r>
        <w:rPr>
          <w:rFonts w:hint="eastAsia" w:asciiTheme="minorEastAsia" w:hAnsiTheme="minorEastAsia" w:eastAsiaTheme="minorEastAsia" w:cstheme="minorEastAsia"/>
          <w:bCs/>
          <w:szCs w:val="24"/>
          <w:highlight w:val="none"/>
          <w:lang w:val="en-US" w:eastAsia="zh-CN"/>
        </w:rPr>
        <w:t>九</w:t>
      </w:r>
      <w:r>
        <w:rPr>
          <w:rFonts w:hint="eastAsia" w:asciiTheme="minorEastAsia" w:hAnsiTheme="minorEastAsia" w:eastAsiaTheme="minorEastAsia" w:cstheme="minorEastAsia"/>
          <w:bCs/>
          <w:szCs w:val="24"/>
          <w:highlight w:val="none"/>
        </w:rPr>
        <w:t xml:space="preserve"> 项目经理简历表</w:t>
      </w:r>
      <w:r>
        <w:tab/>
      </w:r>
      <w:r>
        <w:fldChar w:fldCharType="begin"/>
      </w:r>
      <w:r>
        <w:instrText xml:space="preserve"> PAGEREF _Toc31003 \h </w:instrText>
      </w:r>
      <w:r>
        <w:fldChar w:fldCharType="separate"/>
      </w:r>
      <w:r>
        <w:t>98</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_Toc26944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格式</w:t>
      </w:r>
      <w:r>
        <w:rPr>
          <w:rFonts w:hint="eastAsia" w:asciiTheme="minorEastAsia" w:hAnsiTheme="minorEastAsia" w:eastAsiaTheme="minorEastAsia" w:cstheme="minorEastAsia"/>
          <w:bCs/>
          <w:szCs w:val="24"/>
          <w:highlight w:val="none"/>
          <w:lang w:val="en-US" w:eastAsia="zh-CN"/>
        </w:rPr>
        <w:t>十</w:t>
      </w:r>
      <w:r>
        <w:rPr>
          <w:rFonts w:hint="eastAsia" w:asciiTheme="minorEastAsia" w:hAnsiTheme="minorEastAsia" w:eastAsiaTheme="minorEastAsia" w:cstheme="minorEastAsia"/>
          <w:bCs/>
          <w:szCs w:val="24"/>
          <w:highlight w:val="none"/>
        </w:rPr>
        <w:t xml:space="preserve"> 项目经理任职声明</w:t>
      </w:r>
      <w:r>
        <w:tab/>
      </w:r>
      <w:r>
        <w:fldChar w:fldCharType="begin"/>
      </w:r>
      <w:r>
        <w:instrText xml:space="preserve"> PAGEREF _Toc26944 \h </w:instrText>
      </w:r>
      <w:r>
        <w:fldChar w:fldCharType="separate"/>
      </w:r>
      <w:r>
        <w:t>99</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_Toc23601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格式十</w:t>
      </w:r>
      <w:r>
        <w:rPr>
          <w:rFonts w:hint="eastAsia" w:asciiTheme="minorEastAsia" w:hAnsiTheme="minorEastAsia" w:eastAsiaTheme="minorEastAsia" w:cstheme="minorEastAsia"/>
          <w:bCs/>
          <w:szCs w:val="24"/>
          <w:highlight w:val="none"/>
          <w:lang w:val="en-US" w:eastAsia="zh-CN"/>
        </w:rPr>
        <w:t>一</w:t>
      </w:r>
      <w:r>
        <w:rPr>
          <w:rFonts w:hint="eastAsia" w:asciiTheme="minorEastAsia" w:hAnsiTheme="minorEastAsia" w:eastAsiaTheme="minorEastAsia" w:cstheme="minorEastAsia"/>
          <w:bCs/>
          <w:szCs w:val="24"/>
          <w:highlight w:val="none"/>
        </w:rPr>
        <w:t xml:space="preserve"> 项目技术负责人简历表</w:t>
      </w:r>
      <w:r>
        <w:tab/>
      </w:r>
      <w:r>
        <w:fldChar w:fldCharType="begin"/>
      </w:r>
      <w:r>
        <w:instrText xml:space="preserve"> PAGEREF _Toc23601 \h </w:instrText>
      </w:r>
      <w:r>
        <w:fldChar w:fldCharType="separate"/>
      </w:r>
      <w:r>
        <w:t>100</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_Toc17144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格式十</w:t>
      </w:r>
      <w:r>
        <w:rPr>
          <w:rFonts w:hint="eastAsia" w:asciiTheme="minorEastAsia" w:hAnsiTheme="minorEastAsia" w:eastAsiaTheme="minorEastAsia" w:cstheme="minorEastAsia"/>
          <w:bCs/>
          <w:szCs w:val="24"/>
          <w:highlight w:val="none"/>
          <w:lang w:val="en-US" w:eastAsia="zh-CN"/>
        </w:rPr>
        <w:t>二</w:t>
      </w:r>
      <w:r>
        <w:rPr>
          <w:rFonts w:hint="eastAsia" w:asciiTheme="minorEastAsia" w:hAnsiTheme="minorEastAsia" w:eastAsiaTheme="minorEastAsia" w:cstheme="minorEastAsia"/>
          <w:bCs/>
          <w:szCs w:val="24"/>
          <w:highlight w:val="none"/>
        </w:rPr>
        <w:t xml:space="preserve"> 项目设计负责人简历表</w:t>
      </w:r>
      <w:r>
        <w:tab/>
      </w:r>
      <w:r>
        <w:fldChar w:fldCharType="begin"/>
      </w:r>
      <w:r>
        <w:instrText xml:space="preserve"> PAGEREF _Toc17144 \h </w:instrText>
      </w:r>
      <w:r>
        <w:fldChar w:fldCharType="separate"/>
      </w:r>
      <w:r>
        <w:t>101</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_Toc14732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napToGrid w:val="0"/>
          <w:szCs w:val="24"/>
          <w:highlight w:val="none"/>
        </w:rPr>
        <w:t>格式十</w:t>
      </w:r>
      <w:r>
        <w:rPr>
          <w:rFonts w:hint="eastAsia" w:asciiTheme="minorEastAsia" w:hAnsiTheme="minorEastAsia" w:eastAsiaTheme="minorEastAsia" w:cstheme="minorEastAsia"/>
          <w:snapToGrid w:val="0"/>
          <w:szCs w:val="24"/>
          <w:highlight w:val="none"/>
          <w:lang w:val="en-US" w:eastAsia="zh-CN"/>
        </w:rPr>
        <w:t>三</w:t>
      </w:r>
      <w:r>
        <w:rPr>
          <w:rFonts w:hint="eastAsia" w:asciiTheme="minorEastAsia" w:hAnsiTheme="minorEastAsia" w:eastAsiaTheme="minorEastAsia" w:cstheme="minorEastAsia"/>
          <w:snapToGrid w:val="0"/>
          <w:szCs w:val="24"/>
          <w:highlight w:val="none"/>
        </w:rPr>
        <w:t xml:space="preserve"> 项目管理机构组成表</w:t>
      </w:r>
      <w:r>
        <w:tab/>
      </w:r>
      <w:r>
        <w:fldChar w:fldCharType="begin"/>
      </w:r>
      <w:r>
        <w:instrText xml:space="preserve"> PAGEREF _Toc14732 \h </w:instrText>
      </w:r>
      <w:r>
        <w:fldChar w:fldCharType="separate"/>
      </w:r>
      <w:r>
        <w:t>102</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_Toc19935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napToGrid w:val="0"/>
          <w:szCs w:val="24"/>
          <w:highlight w:val="none"/>
          <w:lang w:val="en-US" w:eastAsia="zh-CN"/>
        </w:rPr>
        <w:t>格式十四 定标文件封面</w:t>
      </w:r>
      <w:r>
        <w:tab/>
      </w:r>
      <w:r>
        <w:fldChar w:fldCharType="begin"/>
      </w:r>
      <w:r>
        <w:instrText xml:space="preserve"> PAGEREF _Toc19935 \h </w:instrText>
      </w:r>
      <w:r>
        <w:fldChar w:fldCharType="separate"/>
      </w:r>
      <w:r>
        <w:t>103</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_Toc21858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napToGrid w:val="0"/>
          <w:szCs w:val="24"/>
          <w:highlight w:val="none"/>
          <w:lang w:val="en-US" w:eastAsia="zh-CN"/>
        </w:rPr>
        <w:t>格式十五 定标因素评审资料</w:t>
      </w:r>
      <w:r>
        <w:tab/>
      </w:r>
      <w:r>
        <w:fldChar w:fldCharType="begin"/>
      </w:r>
      <w:r>
        <w:instrText xml:space="preserve"> PAGEREF _Toc21858 \h </w:instrText>
      </w:r>
      <w:r>
        <w:fldChar w:fldCharType="separate"/>
      </w:r>
      <w:r>
        <w:t>104</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5"/>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_Toc7570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44"/>
          <w:szCs w:val="36"/>
          <w:highlight w:val="none"/>
        </w:rPr>
        <w:t>第</w:t>
      </w:r>
      <w:r>
        <w:rPr>
          <w:rFonts w:hint="eastAsia" w:asciiTheme="minorEastAsia" w:hAnsiTheme="minorEastAsia" w:eastAsiaTheme="minorEastAsia" w:cstheme="minorEastAsia"/>
          <w:kern w:val="44"/>
          <w:szCs w:val="36"/>
          <w:highlight w:val="none"/>
          <w:lang w:val="en-US" w:eastAsia="zh-CN"/>
        </w:rPr>
        <w:t>七</w:t>
      </w:r>
      <w:r>
        <w:rPr>
          <w:rFonts w:hint="eastAsia" w:asciiTheme="minorEastAsia" w:hAnsiTheme="minorEastAsia" w:eastAsiaTheme="minorEastAsia" w:cstheme="minorEastAsia"/>
          <w:kern w:val="44"/>
          <w:szCs w:val="36"/>
          <w:highlight w:val="none"/>
        </w:rPr>
        <w:t>章  建设工程合同</w:t>
      </w:r>
      <w:r>
        <w:tab/>
      </w:r>
      <w:r>
        <w:fldChar w:fldCharType="begin"/>
      </w:r>
      <w:r>
        <w:instrText xml:space="preserve"> PAGEREF _Toc7570 \h </w:instrText>
      </w:r>
      <w:r>
        <w:fldChar w:fldCharType="separate"/>
      </w:r>
      <w:r>
        <w:t>105</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0"/>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_Toc25674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32"/>
          <w:highlight w:val="none"/>
        </w:rPr>
        <w:t>廉政合同</w:t>
      </w:r>
      <w:r>
        <w:rPr>
          <w:rFonts w:hint="eastAsia" w:asciiTheme="minorEastAsia" w:hAnsiTheme="minorEastAsia" w:eastAsiaTheme="minorEastAsia" w:cstheme="minorEastAsia"/>
          <w:bCs/>
          <w:szCs w:val="32"/>
          <w:highlight w:val="none"/>
          <w:lang w:val="en-US" w:eastAsia="zh-CN"/>
        </w:rPr>
        <w:t>格式</w:t>
      </w:r>
      <w:r>
        <w:tab/>
      </w:r>
      <w:r>
        <w:fldChar w:fldCharType="begin"/>
      </w:r>
      <w:r>
        <w:instrText xml:space="preserve"> PAGEREF _Toc25674 \h </w:instrText>
      </w:r>
      <w:r>
        <w:fldChar w:fldCharType="separate"/>
      </w:r>
      <w:r>
        <w:t>105</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sectPr>
          <w:footerReference r:id="rId4" w:type="default"/>
          <w:endnotePr>
            <w:numFmt w:val="decimal"/>
          </w:endnotePr>
          <w:pgSz w:w="11906" w:h="16838"/>
          <w:pgMar w:top="1440" w:right="1800" w:bottom="1440" w:left="1800" w:header="851" w:footer="992" w:gutter="0"/>
          <w:pgNumType w:start="1"/>
          <w:cols w:space="720" w:num="1"/>
          <w:docGrid w:type="lines" w:linePitch="312" w:charSpace="0"/>
        </w:sect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38"/>
        <w:keepNext/>
        <w:keepLines/>
        <w:pageBreakBefore w:val="0"/>
        <w:kinsoku/>
        <w:wordWrap w:val="0"/>
        <w:overflowPunct/>
        <w:bidi w:val="0"/>
        <w:jc w:val="center"/>
        <w:rPr>
          <w:rFonts w:hint="eastAsia" w:asciiTheme="minorEastAsia" w:hAnsiTheme="minorEastAsia" w:eastAsiaTheme="minorEastAsia" w:cstheme="minorEastAsia"/>
          <w:b/>
          <w:color w:val="000000" w:themeColor="text1"/>
          <w:kern w:val="44"/>
          <w:sz w:val="36"/>
          <w:szCs w:val="36"/>
          <w:highlight w:val="none"/>
          <w:lang w:eastAsia="zh-CN"/>
          <w14:textFill>
            <w14:solidFill>
              <w14:schemeClr w14:val="tx1"/>
            </w14:solidFill>
          </w14:textFill>
        </w:rPr>
      </w:pPr>
      <w:bookmarkStart w:id="0" w:name="_Toc29865"/>
      <w:bookmarkStart w:id="1" w:name="_Hlt111690251"/>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第一章</w:t>
      </w:r>
      <w:r>
        <w:rPr>
          <w:rFonts w:hint="eastAsia" w:asciiTheme="minorEastAsia" w:hAnsiTheme="minorEastAsia" w:eastAsiaTheme="minorEastAsia" w:cstheme="minorEastAsia"/>
          <w:b/>
          <w:color w:val="000000" w:themeColor="text1"/>
          <w:kern w:val="44"/>
          <w:sz w:val="36"/>
          <w:szCs w:val="36"/>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kern w:val="44"/>
          <w:sz w:val="36"/>
          <w:szCs w:val="36"/>
          <w:highlight w:val="none"/>
          <w:lang w:eastAsia="zh-CN"/>
          <w14:textFill>
            <w14:solidFill>
              <w14:schemeClr w14:val="tx1"/>
            </w14:solidFill>
          </w14:textFill>
        </w:rPr>
        <w:t>投标人须知</w:t>
      </w:r>
      <w:bookmarkEnd w:id="0"/>
    </w:p>
    <w:p>
      <w:pPr>
        <w:pStyle w:val="39"/>
        <w:keepNext/>
        <w:keepLines/>
        <w:pageBreakBefore w:val="0"/>
        <w:kinsoku/>
        <w:wordWrap w:val="0"/>
        <w:overflowPunct/>
        <w:autoSpaceDE/>
        <w:autoSpaceDN/>
        <w:bidi w:val="0"/>
        <w:adjustRightInd/>
        <w:spacing w:before="260" w:after="260" w:line="360" w:lineRule="exact"/>
        <w:ind w:firstLine="482" w:firstLineChars="20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2" w:name="_Hlt127175444"/>
      <w:bookmarkEnd w:id="2"/>
      <w:bookmarkStart w:id="3" w:name="_Toc1946"/>
      <w:bookmarkStart w:id="4" w:name="_Hlt120077520"/>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第一节</w:t>
      </w:r>
      <w:r>
        <w:rPr>
          <w:rFonts w:hint="eastAsia" w:asciiTheme="minorEastAsia" w:hAnsiTheme="minorEastAsia" w:eastAsiaTheme="minorEastAsia" w:cstheme="minorEastAsia"/>
          <w:b/>
          <w:color w:val="000000" w:themeColor="text1"/>
          <w:kern w:val="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kern w:val="2"/>
          <w:highlight w:val="none"/>
          <w:lang w:eastAsia="zh-CN"/>
          <w14:textFill>
            <w14:solidFill>
              <w14:schemeClr w14:val="tx1"/>
            </w14:solidFill>
          </w14:textFill>
        </w:rPr>
        <w:t>投标人须知</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前附表</w:t>
      </w:r>
      <w:bookmarkEnd w:id="3"/>
    </w:p>
    <w:tbl>
      <w:tblPr>
        <w:tblStyle w:val="22"/>
        <w:tblW w:w="1006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810"/>
        <w:gridCol w:w="1709"/>
        <w:gridCol w:w="754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6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序</w:t>
            </w:r>
          </w:p>
          <w:p>
            <w:pPr>
              <w:pStyle w:val="37"/>
              <w:pageBreakBefore w:val="0"/>
              <w:kinsoku/>
              <w:wordWrap w:val="0"/>
              <w:overflowPunct/>
              <w:bidi w:val="0"/>
              <w:jc w:val="cente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号</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内容</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tabs>
                <w:tab w:val="left" w:pos="1180"/>
              </w:tabs>
              <w:kinsoku/>
              <w:wordWrap w:val="0"/>
              <w:overflowPunct/>
              <w:bidi w:val="0"/>
              <w:jc w:val="cente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说明与要求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7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项目</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名称</w:t>
            </w:r>
          </w:p>
        </w:tc>
        <w:tc>
          <w:tcPr>
            <w:tcW w:w="7544" w:type="dxa"/>
            <w:tcBorders>
              <w:top w:val="single" w:color="auto" w:sz="4" w:space="0"/>
              <w:left w:val="single" w:color="auto" w:sz="4" w:space="0"/>
              <w:bottom w:val="single" w:color="auto" w:sz="4" w:space="0"/>
              <w:right w:val="single" w:color="auto" w:sz="4" w:space="0"/>
            </w:tcBorders>
            <w:noWrap/>
            <w:vAlign w:val="top"/>
          </w:tcPr>
          <w:p>
            <w:pPr>
              <w:pStyle w:val="40"/>
              <w:pageBreakBefore w:val="0"/>
              <w:kinsoku/>
              <w:wordWrap w:val="0"/>
              <w:overflowPunct/>
              <w:bidi w:val="0"/>
              <w:adjustRightInd w:val="0"/>
              <w:snapToGrid w:val="0"/>
              <w:spacing w:line="360" w:lineRule="auto"/>
              <w:jc w:val="both"/>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南雄市“银杏染秋”乡村振兴示范带建设项目-水口镇典型村建设项目施工图设计和施工总承包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项目业主</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auto"/>
                <w:kern w:val="0"/>
                <w:sz w:val="24"/>
                <w:szCs w:val="24"/>
                <w:highlight w:val="none"/>
                <w:lang w:val="en-US" w:eastAsia="zh-CN"/>
              </w:rPr>
              <w:t>南雄市乡村振兴服务中心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3</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项目批准部门</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t>南雄市发展和改革局</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4</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项目批准文号</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雄发改投审[2024]106号、雄发改投审[2026]95号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5</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项目代码</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2407-440282-20-01-288869</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6</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资金来源</w:t>
            </w:r>
          </w:p>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及出资比例</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tabs>
                <w:tab w:val="left" w:pos="1180"/>
              </w:tabs>
              <w:kinsoku/>
              <w:wordWrap w:val="0"/>
              <w:overflowPunct/>
              <w:bidi w:val="0"/>
              <w:jc w:val="left"/>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市财政统筹，100%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7</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招标人</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rPr>
                <w:rFonts w:hint="eastAsia" w:asciiTheme="minorEastAsia" w:hAnsiTheme="minorEastAsia" w:eastAsiaTheme="minorEastAsia" w:cstheme="minorEastAsia"/>
                <w:bCs/>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t>南雄市水口镇人民政府</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68"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8</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招标代理机构</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left"/>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中晋工程项目管理有限公司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9</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项目总投资</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left"/>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本次招标概算总投资577.34万元，其中建安工程费约483.57万元，施工图设计费约11.10万元。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10</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建设地点</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rPr>
                <w:rFonts w:hint="default"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水口镇水口村、石庄村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014"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11</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项目建设内容</w:t>
            </w:r>
          </w:p>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和规模</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8"/>
              <w:pageBreakBefore w:val="0"/>
              <w:kinsoku/>
              <w:wordWrap w:val="0"/>
              <w:overflowPunct/>
              <w:bidi w:val="0"/>
              <w:spacing w:before="64" w:line="360" w:lineRule="auto"/>
              <w:ind w:right="96"/>
              <w:jc w:val="both"/>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石庄村卷头、正刘段建设四小园10个约13000平方米，建设矮墙、清水墙380米；2.在村委会路口旁空地、卷头、正刘祠堂路口进行整治，建设花池150米；3.提升硬化路面1000平方米用于制作篮球广场及停车坪；4.各大节点，打造5户美丽庭院，其中重点打造2户美丽庭院；5.进行绿化提升，种植红叶石楠、柳树等乔木约200棵，合理搭配灌木和地被花卉。相关建设内容。目的在于提升石庄村的整体风貌，建设宜居的村环境。水口村，涉及水口村的整体改造与提升，包括道路两侧的美化、水渠的美化、路面的提升等。主要建设内容：1.营地建设面积6500m2,排水沟850m,园路3500m2,建设塑木平台6处米,2.搭设塑木栈道250m打造美丽田园,3.打造休闲公园500m2,4.进行绿化提升，种植红叶石楠、柳树等乔木约160棵，合理搭配灌木和地被花卉。相关建设内容。目的在于提升水口村的整体风貌，建设宜居的村环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54"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12</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招标范围</w:t>
            </w:r>
          </w:p>
          <w:p>
            <w:pPr>
              <w:pStyle w:val="37"/>
              <w:pageBreakBefore w:val="0"/>
              <w:kinsoku/>
              <w:wordWrap w:val="0"/>
              <w:overflowPunct/>
              <w:bidi w:val="0"/>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ind w:firstLine="240" w:firstLineChars="100"/>
              <w:jc w:val="lef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本工程所涉及的内容包括但不限于以下（1）</w:t>
            </w:r>
            <w:r>
              <w:rPr>
                <w:rFonts w:hint="eastAsia" w:ascii="宋体" w:hAnsi="宋体" w:eastAsia="宋体" w:cs="宋体"/>
                <w:snapToGrid w:val="0"/>
                <w:color w:val="000000" w:themeColor="text1"/>
                <w:kern w:val="0"/>
                <w:sz w:val="24"/>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p>
          <w:p>
            <w:pPr>
              <w:pStyle w:val="37"/>
              <w:pageBreakBefore w:val="0"/>
              <w:numPr>
                <w:ilvl w:val="0"/>
                <w:numId w:val="0"/>
              </w:numPr>
              <w:kinsoku/>
              <w:wordWrap w:val="0"/>
              <w:overflowPunct/>
              <w:bidi w:val="0"/>
              <w:ind w:leftChars="0" w:firstLine="240" w:firstLineChars="100"/>
              <w:jc w:val="lef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1）</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设计部分：</w:t>
            </w:r>
            <w:r>
              <w:rPr>
                <w:rFonts w:hint="eastAsia" w:asciiTheme="minorEastAsia" w:hAnsiTheme="minorEastAsia" w:eastAsiaTheme="minorEastAsia" w:cstheme="minorEastAsia"/>
                <w:snapToGrid w:val="0"/>
                <w:color w:val="000000" w:themeColor="text1"/>
                <w:kern w:val="0"/>
                <w:sz w:val="24"/>
                <w:szCs w:val="24"/>
                <w:highlight w:val="none"/>
                <w:lang w:val="zh-CN"/>
                <w14:textFill>
                  <w14:solidFill>
                    <w14:schemeClr w14:val="tx1"/>
                  </w14:solidFill>
                </w14:textFill>
              </w:rPr>
              <w:t>确保项目顺利实施的报建、报批、施工等所需的所有建安工程等设计文件。包括但不限于：施工图设计、</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提供项目所需相关检测项的明细表和危险性较大的分部分项工程清单及保障安全相关说明、</w:t>
            </w:r>
            <w:r>
              <w:rPr>
                <w:rFonts w:hint="eastAsia" w:asciiTheme="minorEastAsia" w:hAnsiTheme="minorEastAsia" w:eastAsiaTheme="minorEastAsia" w:cstheme="minorEastAsia"/>
                <w:snapToGrid w:val="0"/>
                <w:color w:val="000000" w:themeColor="text1"/>
                <w:kern w:val="0"/>
                <w:sz w:val="24"/>
                <w:szCs w:val="24"/>
                <w:highlight w:val="none"/>
                <w:lang w:val="zh-CN"/>
                <w14:textFill>
                  <w14:solidFill>
                    <w14:schemeClr w14:val="tx1"/>
                  </w14:solidFill>
                </w14:textFill>
              </w:rPr>
              <w:t>工地现场服务、验收过程中的设计指导及配合阶段验收及档案整理、协助施工单位编制竣工图及后续设计服务工作</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p>
          <w:p>
            <w:pPr>
              <w:pStyle w:val="37"/>
              <w:pageBreakBefore w:val="0"/>
              <w:kinsoku/>
              <w:wordWrap w:val="0"/>
              <w:overflowPunct/>
              <w:bidi w:val="0"/>
              <w:ind w:firstLine="241" w:firstLineChars="100"/>
              <w:jc w:val="lef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 w:val="24"/>
                <w:szCs w:val="24"/>
                <w:highlight w:val="none"/>
                <w14:textFill>
                  <w14:solidFill>
                    <w14:schemeClr w14:val="tx1"/>
                  </w14:solidFill>
                </w14:textFill>
              </w:rPr>
              <w:t>注：设计文件深度要求必须满足</w:t>
            </w:r>
            <w:r>
              <w:rPr>
                <w:rFonts w:hint="eastAsia" w:asciiTheme="minorEastAsia" w:hAnsiTheme="minorEastAsia" w:eastAsiaTheme="minorEastAsia" w:cstheme="minorEastAsia"/>
                <w:b/>
                <w:bCs/>
                <w:snapToGrid w:val="0"/>
                <w:color w:val="000000" w:themeColor="text1"/>
                <w:kern w:val="0"/>
                <w:sz w:val="24"/>
                <w:szCs w:val="24"/>
                <w:highlight w:val="none"/>
                <w:lang w:eastAsia="zh-CN"/>
                <w14:textFill>
                  <w14:solidFill>
                    <w14:schemeClr w14:val="tx1"/>
                  </w14:solidFill>
                </w14:textFill>
              </w:rPr>
              <w:t>住房和城乡建设部</w:t>
            </w:r>
            <w:r>
              <w:rPr>
                <w:rFonts w:hint="eastAsia" w:asciiTheme="minorEastAsia" w:hAnsiTheme="minorEastAsia" w:eastAsiaTheme="minorEastAsia" w:cstheme="minorEastAsia"/>
                <w:b/>
                <w:bCs/>
                <w:snapToGrid w:val="0"/>
                <w:color w:val="000000" w:themeColor="text1"/>
                <w:kern w:val="0"/>
                <w:sz w:val="24"/>
                <w:szCs w:val="24"/>
                <w:highlight w:val="none"/>
                <w14:textFill>
                  <w14:solidFill>
                    <w14:schemeClr w14:val="tx1"/>
                  </w14:solidFill>
                </w14:textFill>
              </w:rPr>
              <w:t>《建筑工程设计文件编制深度规定（20</w:t>
            </w:r>
            <w:r>
              <w:rPr>
                <w:rFonts w:hint="eastAsia" w:asciiTheme="minorEastAsia" w:hAnsiTheme="minorEastAsia" w:eastAsiaTheme="minorEastAsia" w:cstheme="minorEastAsia"/>
                <w:b/>
                <w:bCs/>
                <w:snapToGrid w:val="0"/>
                <w:color w:val="000000" w:themeColor="text1"/>
                <w:kern w:val="0"/>
                <w:sz w:val="24"/>
                <w:szCs w:val="24"/>
                <w:highlight w:val="none"/>
                <w:lang w:val="en-US" w:eastAsia="zh-CN"/>
                <w14:textFill>
                  <w14:solidFill>
                    <w14:schemeClr w14:val="tx1"/>
                  </w14:solidFill>
                </w14:textFill>
              </w:rPr>
              <w:t>23</w:t>
            </w:r>
            <w:r>
              <w:rPr>
                <w:rFonts w:hint="eastAsia" w:asciiTheme="minorEastAsia" w:hAnsiTheme="minorEastAsia" w:eastAsiaTheme="minorEastAsia" w:cstheme="minorEastAsia"/>
                <w:b/>
                <w:bCs/>
                <w:snapToGrid w:val="0"/>
                <w:color w:val="000000" w:themeColor="text1"/>
                <w:kern w:val="0"/>
                <w:sz w:val="24"/>
                <w:szCs w:val="24"/>
                <w:highlight w:val="none"/>
                <w14:textFill>
                  <w14:solidFill>
                    <w14:schemeClr w14:val="tx1"/>
                  </w14:solidFill>
                </w14:textFill>
              </w:rPr>
              <w:t>版）》的要求，各专业还应该满足各专业工程设计文件编制深度规范或规定的要求</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p>
          <w:p>
            <w:pPr>
              <w:pStyle w:val="37"/>
              <w:pageBreakBefore w:val="0"/>
              <w:kinsoku/>
              <w:wordWrap w:val="0"/>
              <w:overflowPunct/>
              <w:bidi w:val="0"/>
              <w:ind w:firstLine="240" w:firstLineChars="1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）施工部分：设计文件及工程量清单范围内的所有工程及配套工程、设施等的施工</w:t>
            </w:r>
            <w:r>
              <w:rPr>
                <w:rFonts w:hint="eastAsia" w:hAnsi="宋体" w:cs="Calibri"/>
                <w:bCs/>
                <w:color w:val="000000" w:themeColor="text1"/>
                <w:sz w:val="24"/>
                <w:szCs w:val="24"/>
                <w:highlight w:val="none"/>
                <w:lang w:val="zh-CN"/>
                <w14:textFill>
                  <w14:solidFill>
                    <w14:schemeClr w14:val="tx1"/>
                  </w14:solidFill>
                </w14:textFill>
              </w:rPr>
              <w:t>（含竣工验收资料编制整理、备案等），完成并配合发包人结算、负责工程缺陷保修以及发包人要求由施工单位完成的其他工作（发包人另行委托其他单位负责实施的工作内容除外，但需提供一系列协调及配合服务）等</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13</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标段划分</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本招标项目不划分标段。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14</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工期</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jc w:val="lef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本项目设计、施工总工期</w:t>
            </w:r>
            <w:r>
              <w:rPr>
                <w:rFonts w:hint="eastAsia" w:asciiTheme="minorEastAsia" w:hAnsiTheme="minorEastAsia" w:eastAsiaTheme="minorEastAsia" w:cstheme="minorEastAsia"/>
                <w:snapToGrid w:val="0"/>
                <w:color w:val="000000" w:themeColor="text1"/>
                <w:kern w:val="0"/>
                <w:sz w:val="24"/>
                <w:szCs w:val="24"/>
                <w:highlight w:val="none"/>
                <w:u w:val="single"/>
                <w:lang w:val="en-US" w:eastAsia="zh-CN"/>
                <w14:textFill>
                  <w14:solidFill>
                    <w14:schemeClr w14:val="tx1"/>
                  </w14:solidFill>
                </w14:textFill>
              </w:rPr>
              <w:t>210</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日历天，其中：设计工期为</w:t>
            </w:r>
            <w:r>
              <w:rPr>
                <w:rFonts w:hint="eastAsia" w:asciiTheme="minorEastAsia" w:hAnsiTheme="minorEastAsia" w:eastAsiaTheme="minorEastAsia" w:cstheme="minorEastAsia"/>
                <w:snapToGrid w:val="0"/>
                <w:color w:val="000000" w:themeColor="text1"/>
                <w:kern w:val="0"/>
                <w:sz w:val="24"/>
                <w:szCs w:val="24"/>
                <w:highlight w:val="none"/>
                <w:u w:val="single"/>
                <w:lang w:val="en-US" w:eastAsia="zh-CN"/>
                <w14:textFill>
                  <w14:solidFill>
                    <w14:schemeClr w14:val="tx1"/>
                  </w14:solidFill>
                </w14:textFill>
              </w:rPr>
              <w:t>60</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日历天</w:t>
            </w: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施工工期为</w:t>
            </w:r>
            <w:r>
              <w:rPr>
                <w:rFonts w:hint="eastAsia" w:asciiTheme="minorEastAsia" w:hAnsiTheme="minorEastAsia" w:eastAsiaTheme="minorEastAsia" w:cstheme="minorEastAsia"/>
                <w:snapToGrid w:val="0"/>
                <w:color w:val="000000" w:themeColor="text1"/>
                <w:kern w:val="0"/>
                <w:sz w:val="24"/>
                <w:szCs w:val="24"/>
                <w:highlight w:val="none"/>
                <w:u w:val="single"/>
                <w:lang w:val="en-US" w:eastAsia="zh-CN"/>
                <w14:textFill>
                  <w14:solidFill>
                    <w14:schemeClr w14:val="tx1"/>
                  </w14:solidFill>
                </w14:textFill>
              </w:rPr>
              <w:t>150</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日历天。</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459"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15</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质量标准</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ind w:firstLine="240" w:firstLineChars="100"/>
              <w:jc w:val="lef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hAnsi="宋体" w:cs="Calibri"/>
                <w:bCs/>
                <w:color w:val="000000" w:themeColor="text1"/>
                <w:sz w:val="24"/>
                <w:szCs w:val="24"/>
                <w:highlight w:val="none"/>
                <w:lang w:val="zh-CN"/>
                <w14:textFill>
                  <w14:solidFill>
                    <w14:schemeClr w14:val="tx1"/>
                  </w14:solidFill>
                </w14:textFill>
              </w:rPr>
              <w:t>（</w:t>
            </w:r>
            <w:r>
              <w:rPr>
                <w:rFonts w:hint="eastAsia" w:hAnsi="宋体" w:cs="Calibri"/>
                <w:bCs/>
                <w:color w:val="000000" w:themeColor="text1"/>
                <w:sz w:val="24"/>
                <w:szCs w:val="24"/>
                <w:highlight w:val="none"/>
                <w:lang w:val="en-US" w:eastAsia="zh-CN"/>
                <w14:textFill>
                  <w14:solidFill>
                    <w14:schemeClr w14:val="tx1"/>
                  </w14:solidFill>
                </w14:textFill>
              </w:rPr>
              <w:t>1）</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设计要求：符合国家或行业颁布的现行有效的有关设计的规范要求，符合设计任务书的相关要求，并必须通过有关部门的审查及经有资质的审图机构审查合格。</w:t>
            </w:r>
          </w:p>
          <w:p>
            <w:pPr>
              <w:pStyle w:val="37"/>
              <w:pageBreakBefore w:val="0"/>
              <w:kinsoku/>
              <w:wordWrap w:val="0"/>
              <w:overflowPunct/>
              <w:bidi w:val="0"/>
              <w:ind w:firstLine="240" w:firstLineChars="100"/>
              <w:jc w:val="left"/>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hAnsi="宋体" w:cs="Calibri"/>
                <w:bCs/>
                <w:color w:val="000000" w:themeColor="text1"/>
                <w:sz w:val="24"/>
                <w:szCs w:val="24"/>
                <w:highlight w:val="none"/>
                <w:lang w:val="zh-CN"/>
                <w14:textFill>
                  <w14:solidFill>
                    <w14:schemeClr w14:val="tx1"/>
                  </w14:solidFill>
                </w14:textFill>
              </w:rPr>
              <w:t>（</w:t>
            </w:r>
            <w:r>
              <w:rPr>
                <w:rFonts w:hint="eastAsia" w:hAnsi="宋体" w:cs="Calibri"/>
                <w:bCs/>
                <w:color w:val="000000" w:themeColor="text1"/>
                <w:sz w:val="24"/>
                <w:szCs w:val="24"/>
                <w:highlight w:val="none"/>
                <w:lang w:val="en-US" w:eastAsia="zh-CN"/>
                <w14:textFill>
                  <w14:solidFill>
                    <w14:schemeClr w14:val="tx1"/>
                  </w14:solidFill>
                </w14:textFill>
              </w:rPr>
              <w:t>2）施工</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要求：施工质量必须达到合格标准</w:t>
            </w: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符合现行国家有关工程施工质量验收规范和标准的要求。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16</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最高投标限价</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napToGrid w:val="0"/>
                <w:color w:val="FF0000"/>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本招标项目最高投标限价在开标前7天另行发布于全国公共资源交易平台（广东省·韶关市）（https://ygp.gdzwfw.gov..cn/ggzy-portal/#/440200/index）、广东省招标投标监管网（https://www.gdzwfw.gov.cn/ztbjg-portal/#/index）网站。</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386"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17</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投标人资格要求</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本次招标接受联合体投标，联合体以一个投标人的身份共同投标。</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1.1．联合体成员数量不超过</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个。</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1.2．联合体各方应按招标文件提供的格式签订联合体协议书，明确联合体牵头人和各方权利义务，并承诺就中标项目向招标人承担连带责任。《联合体协议书》作为投标文件的组成部分向招标人提交。</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1.3．联合体成员单位均应具备拟承担的工作内容（以《联合体协议书》的约定为准）所规定的资格条件。若同一工作内容由两个或两个以上单位共同承担，该项工作内容按照资质等级较低的单位确定联合体资质等级。</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1.4．联合体各方不得再以自己名义单独或参加其他联合体在本招标项目中投标，否则各相关投标均无效。</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2．资格资质要求</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2.1 投标人须具备独立法人资格，按国家法律经营。</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2.2 投标人须持有建设行政主管部门颁发的企业资质证书。</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2.1</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xml:space="preserve"> 投标人须具备以下资质：参加投标的投标人可以是单一独立法人或由不超过</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家独立法人组成的联合体（必须注明其中一家为牵头人），单一独立法人必须至少同时具备以下①～</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③</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资质，组成联合体投标的，联合后必须至少具备以下①～</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③</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资质，联合体牵头人必须为施工单位，由同一专业的单位组成的联合体，按照资质等级较低的单位确定资质等级：</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①施工资质1：建设行政主管部门颁发的市政公用工程施工总承包叁级或以上(含叁级)资质，并持有有效安全生产许可证。</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②施工资质2：建设行政主管部门颁发的建筑工程施工总承包叁级或以上(含叁级)资质，并持有有效安全生产许可证。</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③设计资质必须具备建设行政主管部门颁发的工程设计综合甲级资质或同时具备（1）（2）资质：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（1）市政行业资质之一：</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1、工程设计市政行业乙级以上（含乙级）资质；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2、工程设计市政行业乙级（燃气工程、轨道交通工程除外）以上（含乙级）资质；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3、工程设计市政行业（道路工程、排水）专业设计乙级以上（含乙级）资质。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（2）建筑行业资质之一：</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1、工程设计建筑行业乙级以上（含乙级）资质；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2、工程设计建筑行业（建筑工程）专业乙级以上（含乙级）资质；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highlight w:val="none"/>
                <w14:textFill>
                  <w14:solidFill>
                    <w14:schemeClr w14:val="tx1"/>
                  </w14:solidFill>
                </w14:textFill>
              </w:rPr>
              <w:t>2.</w:t>
            </w:r>
            <w:r>
              <w:rPr>
                <w:rFonts w:hint="eastAsia" w:asciiTheme="minorEastAsia" w:hAnsiTheme="minorEastAsia" w:eastAsiaTheme="minorEastAsia" w:cstheme="minorEastAsia"/>
                <w:b w:val="0"/>
                <w:bCs w:val="0"/>
                <w:color w:val="000000" w:themeColor="text1"/>
                <w:sz w:val="24"/>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3．相关人员要求</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3.1 拟派项目经理为具有</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建筑工程或市政公用工程</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专业一级或二级注册建造师，其中一级注册建造师应持有国家住建部印发的有效注册证书，二级注册建造师应持有考试取得执业资格的省、自治区、直辖市住建部门核准的有效电子注册证书（二级注册建造师应持有住建部门核准的、在使用有效期内的有效电子证书）。同时均须具备有效安全生产考核合格证明（B证，安全生产考核合格证书或“广东省建筑施工企业管理人员安全生产考核信息系统”考核合格信息打印页），且未担任其他在施（包括已中标未开工、已建成未竣工）建设工程项目的项目经理。</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（若为联合体投标，则联合体成员任意一方提供即可）</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3.2投标人拟派项目技术负责人须具备</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建筑工程或市政公用工程相关</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专业</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中</w:t>
            </w:r>
            <w:r>
              <w:rPr>
                <w:rFonts w:hint="eastAsia"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t>级（或以上）</w:t>
            </w:r>
            <w:r>
              <w:rPr>
                <w:rFonts w:hint="eastAsia" w:asciiTheme="minorEastAsia" w:hAnsiTheme="minorEastAsia" w:eastAsiaTheme="minorEastAsia" w:cstheme="minorEastAsia"/>
                <w:color w:val="000000" w:themeColor="text1"/>
                <w:sz w:val="24"/>
                <w:szCs w:val="24"/>
                <w:highlight w:val="none"/>
                <w:lang w:val="zh-CN"/>
                <w14:textFill>
                  <w14:solidFill>
                    <w14:schemeClr w14:val="tx1"/>
                  </w14:solidFill>
                </w14:textFill>
              </w:rPr>
              <w:t>技术</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职称。（若为联合体投标，则联合体成员任意一方提供即可）</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投标人拟派专职安全生产管理人员须具备有效安全生产考核合格证明（C证，安全生产考核合格证书或“广东省建筑施工企业管理人员安全生产考核系统”考核合格信息打印页）</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且不少于</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1人</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。（若为联合体投标，则联合体成员任意一方提供即可）</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投标人拟派项目设计负责人须具备</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二级以上(含二级)注册建筑师注册证书或工程师或以上职称。</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3.5</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投标人与其拟派往本项目管理机构的所有人员之间必须具备合法、唯一的劳动聘用关系。拟派人员中具备注册执业资格的，其注册单位须与投标人保持一致。</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4．禁止投标条款：</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4.1．投标人不得存在下列情形之一：</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（1）为招标人不具有独立法人资格的附属机构（单位）；</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（2）为本招标项目前期准备提供咨询服务的；</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（3）与本招标项目的其他投标人为同一个单位负责人；</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（4）与本招标项目的其他投标人存在控股、管理关系；</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（5）为本招标项目的监理人；</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（6）为本招标项目的代建人；</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（7）为本招标项目的招标代理机构；</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（8）与本招标项目的监理人或代建人或招标代理机构同为一个法定代表人；</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（9）与本招标项目的监理人或代建人或招标代理机构存在控股或参股关系；</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（10）与本招标项目的监理人或代建人或招标代理机构存在相互任职或工作关系；</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（11）被依法暂停或者取消投标资格；</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（12）被责令停产停业、暂扣或者吊销许可证、暂扣或者吊销执照；</w:t>
            </w:r>
          </w:p>
          <w:p>
            <w:pPr>
              <w:pageBreakBefore w:val="0"/>
              <w:kinsoku/>
              <w:wordWrap w:val="0"/>
              <w:overflowPunct/>
              <w:bidi w:val="0"/>
              <w:adjustRightInd w:val="0"/>
              <w:snapToGrid w:val="0"/>
              <w:spacing w:line="360" w:lineRule="auto"/>
              <w:ind w:left="240" w:left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（13）进入清算程序，或被宣告破产，或其他丧失履约能力的情形；</w:t>
            </w:r>
          </w:p>
          <w:p>
            <w:pPr>
              <w:pageBreakBefore w:val="0"/>
              <w:kinsoku/>
              <w:wordWrap w:val="0"/>
              <w:overflowPunct/>
              <w:bidi w:val="0"/>
              <w:adjustRightInd w:val="0"/>
              <w:snapToGrid w:val="0"/>
              <w:spacing w:line="360" w:lineRule="auto"/>
              <w:ind w:left="240" w:left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（14）在最近三年内发生重大工程质量或安全问题（以相关行业主管部门的行政处罚决定或司法机关出具的有关法律文书为准）；</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（15）被“信用中国”网站（https://www.creditchina.gov.cn）发布的《法人和非法人组织公共信用信息报告》列入严重失信主体名单的。</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4.2．招标人拒绝以下名单中的单位参加本次投标：</w:t>
            </w:r>
          </w:p>
          <w:tbl>
            <w:tblPr>
              <w:tblStyle w:val="22"/>
              <w:tblW w:w="0" w:type="auto"/>
              <w:tblInd w:w="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3277"/>
              <w:gridCol w:w="28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788" w:type="dxa"/>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序号</w:t>
                  </w:r>
                </w:p>
              </w:tc>
              <w:tc>
                <w:tcPr>
                  <w:tcW w:w="3277" w:type="dxa"/>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单位名称</w:t>
                  </w:r>
                </w:p>
              </w:tc>
              <w:tc>
                <w:tcPr>
                  <w:tcW w:w="2895" w:type="dxa"/>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拒绝原因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7" w:hRule="atLeast"/>
              </w:trPr>
              <w:tc>
                <w:tcPr>
                  <w:tcW w:w="788"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w:t>
                  </w:r>
                </w:p>
              </w:tc>
              <w:tc>
                <w:tcPr>
                  <w:tcW w:w="3277"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南雄市水口镇人民政府</w:t>
                  </w:r>
                </w:p>
              </w:tc>
              <w:tc>
                <w:tcPr>
                  <w:tcW w:w="2895" w:type="dxa"/>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为本招标项目的招标人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88"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w:t>
                  </w:r>
                </w:p>
              </w:tc>
              <w:tc>
                <w:tcPr>
                  <w:tcW w:w="3277" w:type="dxa"/>
                  <w:noWrap/>
                  <w:vAlign w:val="center"/>
                </w:tcPr>
                <w:p>
                  <w:pPr>
                    <w:pageBreakBefore w:val="0"/>
                    <w:kinsoku/>
                    <w:wordWrap w:val="0"/>
                    <w:overflowPunct/>
                    <w:bidi w:val="0"/>
                    <w:adjustRightInd w:val="0"/>
                    <w:snapToGrid w:val="0"/>
                    <w:spacing w:line="360" w:lineRule="auto"/>
                    <w:jc w:val="center"/>
                    <w:rPr>
                      <w:rFonts w:hint="default" w:asciiTheme="minorEastAsia" w:hAnsiTheme="minorEastAsia" w:eastAsiaTheme="minorEastAsia" w:cstheme="minorEastAsia"/>
                      <w:color w:val="000000" w:themeColor="text1"/>
                      <w:sz w:val="24"/>
                      <w:szCs w:val="24"/>
                      <w:highlight w:val="none"/>
                      <w:lang w:val="en-US"/>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南雄市乡村振兴服务中心</w:t>
                  </w:r>
                </w:p>
              </w:tc>
              <w:tc>
                <w:tcPr>
                  <w:tcW w:w="2895" w:type="dxa"/>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为本招标项目的业主单位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88"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w:t>
                  </w:r>
                </w:p>
              </w:tc>
              <w:tc>
                <w:tcPr>
                  <w:tcW w:w="3277"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中咨管理顾问有限责任公司</w:t>
                  </w:r>
                </w:p>
              </w:tc>
              <w:tc>
                <w:tcPr>
                  <w:tcW w:w="2895" w:type="dxa"/>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为本招标项目的可行性研究报告编制单位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88"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4</w:t>
                  </w:r>
                </w:p>
              </w:tc>
              <w:tc>
                <w:tcPr>
                  <w:tcW w:w="3277"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中晋工程项目管理有限公司</w:t>
                  </w:r>
                </w:p>
              </w:tc>
              <w:tc>
                <w:tcPr>
                  <w:tcW w:w="2895" w:type="dxa"/>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为本招标项目的招标代理机构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788"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5</w:t>
                  </w:r>
                </w:p>
              </w:tc>
              <w:tc>
                <w:tcPr>
                  <w:tcW w:w="3277"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广咨国际工程咨询有限公司</w:t>
                  </w:r>
                </w:p>
              </w:tc>
              <w:tc>
                <w:tcPr>
                  <w:tcW w:w="2895" w:type="dxa"/>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为本招标项目的可行性研究报告修编单位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7" w:hRule="atLeast"/>
              </w:trPr>
              <w:tc>
                <w:tcPr>
                  <w:tcW w:w="788" w:type="dxa"/>
                  <w:noWrap/>
                  <w:vAlign w:val="center"/>
                </w:tcPr>
                <w:p>
                  <w:pPr>
                    <w:pageBreakBefore w:val="0"/>
                    <w:kinsoku/>
                    <w:wordWrap w:val="0"/>
                    <w:overflowPunct/>
                    <w:bidi w:val="0"/>
                    <w:adjustRightInd w:val="0"/>
                    <w:snapToGrid w:val="0"/>
                    <w:spacing w:line="360" w:lineRule="auto"/>
                    <w:jc w:val="center"/>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6</w:t>
                  </w:r>
                </w:p>
              </w:tc>
              <w:tc>
                <w:tcPr>
                  <w:tcW w:w="3277" w:type="dxa"/>
                  <w:noWrap/>
                  <w:vAlign w:val="center"/>
                </w:tcPr>
                <w:p>
                  <w:pPr>
                    <w:pageBreakBefore w:val="0"/>
                    <w:tabs>
                      <w:tab w:val="center" w:pos="941"/>
                    </w:tabs>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待定</w:t>
                  </w:r>
                </w:p>
              </w:tc>
              <w:tc>
                <w:tcPr>
                  <w:tcW w:w="2895" w:type="dxa"/>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为本招标项目的监理单位</w:t>
                  </w:r>
                </w:p>
              </w:tc>
            </w:tr>
          </w:tbl>
          <w:p>
            <w:pPr>
              <w:pStyle w:val="41"/>
              <w:pageBreakBefore w:val="0"/>
              <w:kinsoku/>
              <w:wordWrap w:val="0"/>
              <w:overflowPunct/>
              <w:bidi w:val="0"/>
              <w:ind w:firstLine="480" w:firstLineChars="2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5.省外企业（包括组成联合体的所有成员单位）</w:t>
            </w:r>
            <w:r>
              <w:rPr>
                <w:rFonts w:hint="eastAsia" w:ascii="宋体" w:hAnsi="宋体" w:eastAsia="宋体" w:cs="宋体"/>
                <w:snapToGrid w:val="0"/>
                <w:color w:val="000000" w:themeColor="text1"/>
                <w:kern w:val="0"/>
                <w:sz w:val="24"/>
                <w:szCs w:val="24"/>
                <w:highlight w:val="none"/>
                <w14:textFill>
                  <w14:solidFill>
                    <w14:schemeClr w14:val="tx1"/>
                  </w14:solidFill>
                </w14:textFill>
              </w:rPr>
              <w:t>及其拟派往本项目管理机构的所有人员</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须按照《广东省住房和城乡建设厅关于取消省外建筑企业和人员进粤信息备案有关工作的通知》（粤建市﹝2015﹞52号）规定在“进粤企业和人员诚信信息登记平台”录入相关信息并通过数据规范检查。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18</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snapToGrid w:val="0"/>
              <w:spacing w:beforeLines="50"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投标保证</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 xml:space="preserve">  1．投标人须缴纳金额为人民币</w:t>
            </w:r>
            <w:r>
              <w:rPr>
                <w:rFonts w:hint="eastAsia" w:asciiTheme="minorEastAsia" w:hAnsiTheme="minorEastAsia" w:eastAsiaTheme="minorEastAsia" w:cstheme="minorEastAsia"/>
                <w:b/>
                <w:bCs/>
                <w:snapToGrid w:val="0"/>
                <w:color w:val="000000" w:themeColor="text1"/>
                <w:kern w:val="0"/>
                <w:sz w:val="24"/>
                <w:szCs w:val="24"/>
                <w:highlight w:val="none"/>
                <w:u w:val="single"/>
                <w:lang w:val="en-US" w:eastAsia="zh-CN"/>
                <w14:textFill>
                  <w14:solidFill>
                    <w14:schemeClr w14:val="tx1"/>
                  </w14:solidFill>
                </w14:textFill>
              </w:rPr>
              <w:t>壹万元整</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的投标保证。联合体投标的，由联合体牵头人缴纳。</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2．投标保证的形式包括投标保证金、投标保证担保、投标保证保险三种，由投标人自主选择。</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1）采用投标保证金的，投标人在建设工程交易系统获取招标文件完毕后，即可在系统申请缴纳投标保证金，获取本次招标投标保证金缴纳账号。投标人必须于投标保证金到账截止时间（见本章“重要事项时间地点一览表”）前，从其基本账户将投标保证金转账到指定的缴纳账号。逾期到账的、从非投标人基本账户转出的，其投标无效。</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2）采用投标保证担保的，投标人应提交有效的银行保函，银行保函的有效期不得短于投标有效期。投标人必须在投标保证担保截止时间（见本章“重要事项时间地点一览表”）前，使用工程建设交易系统完成网上办理电子保函。</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3）采用投标保证保险的，投标人须在投标保证保险投保截止时间（见本章“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温馨提醒：投标人采用投标保证担保或投标保证保险的，为避免在评标过程中因有效期发生争议，建议投标人将银行保函或电子保单有效期设置为较招标文件规定的投标有效期延长不少于20个日历天。</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19</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投标有效期</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本次招标的投标有效期为</w:t>
            </w:r>
            <w:r>
              <w:rPr>
                <w:rFonts w:hint="eastAsia" w:asciiTheme="minorEastAsia" w:hAnsiTheme="minorEastAsia" w:eastAsiaTheme="minorEastAsia" w:cstheme="minorEastAsia"/>
                <w:snapToGrid w:val="0"/>
                <w:color w:val="000000" w:themeColor="text1"/>
                <w:kern w:val="0"/>
                <w:sz w:val="24"/>
                <w:szCs w:val="24"/>
                <w:highlight w:val="none"/>
                <w:u w:val="single"/>
                <w:lang w:val="en-US" w:eastAsia="zh-CN"/>
                <w14:textFill>
                  <w14:solidFill>
                    <w14:schemeClr w14:val="tx1"/>
                  </w14:solidFill>
                </w14:textFill>
              </w:rPr>
              <w:t>90</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个日历天。</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77"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20</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投标文件</w:t>
            </w:r>
          </w:p>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组成</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商务技术</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标书</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21</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评标委员会</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评标委员会由5人组成，其中招标人代表0人，专家5人。专家从广东省综合评标评审专家库中随机抽取，其中技术类专家3人，经济类专家2人。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22</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评标方法</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综合评估法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23</w:t>
            </w:r>
          </w:p>
        </w:tc>
        <w:tc>
          <w:tcPr>
            <w:tcW w:w="170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定</w:t>
            </w:r>
            <w:r>
              <w:rPr>
                <w:rFonts w:hint="eastAsia" w:ascii="宋体" w:hAnsi="宋体" w:eastAsia="宋体" w:cs="宋体"/>
                <w:snapToGrid w:val="0"/>
                <w:color w:val="auto"/>
                <w:kern w:val="0"/>
                <w:sz w:val="24"/>
                <w:szCs w:val="24"/>
                <w:highlight w:val="none"/>
                <w:lang w:eastAsia="zh-CN"/>
              </w:rPr>
              <w:t>标委员会</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rPr>
              <w:t>定标</w:t>
            </w: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委员会组成</w:t>
            </w:r>
            <w:r>
              <w:rPr>
                <w:rFonts w:hint="eastAsia" w:ascii="宋体" w:hAnsi="宋体" w:eastAsia="宋体" w:cs="宋体"/>
                <w:snapToGrid w:val="0"/>
                <w:color w:val="auto"/>
                <w:kern w:val="0"/>
                <w:sz w:val="24"/>
                <w:szCs w:val="24"/>
                <w:highlight w:val="none"/>
                <w:lang w:eastAsia="zh-CN"/>
              </w:rPr>
              <w:t xml:space="preserve">人员为 </w:t>
            </w:r>
            <w:r>
              <w:rPr>
                <w:rFonts w:hint="eastAsia" w:ascii="宋体" w:hAnsi="宋体" w:eastAsia="宋体" w:cs="宋体"/>
                <w:snapToGrid w:val="0"/>
                <w:color w:val="auto"/>
                <w:kern w:val="0"/>
                <w:sz w:val="24"/>
                <w:szCs w:val="24"/>
                <w:highlight w:val="none"/>
                <w:lang w:val="en-US" w:eastAsia="zh-CN"/>
              </w:rPr>
              <w:t xml:space="preserve">7 </w:t>
            </w:r>
            <w:r>
              <w:rPr>
                <w:rFonts w:hint="eastAsia" w:ascii="宋体" w:hAnsi="宋体" w:eastAsia="宋体" w:cs="宋体"/>
                <w:snapToGrid w:val="0"/>
                <w:color w:val="auto"/>
                <w:kern w:val="0"/>
                <w:sz w:val="24"/>
                <w:szCs w:val="24"/>
                <w:highlight w:val="none"/>
                <w:lang w:eastAsia="zh-CN"/>
              </w:rPr>
              <w:t>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24</w:t>
            </w:r>
          </w:p>
        </w:tc>
        <w:tc>
          <w:tcPr>
            <w:tcW w:w="170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宋体" w:hAnsi="宋体" w:eastAsia="宋体" w:cs="宋体"/>
                <w:snapToGrid w:val="0"/>
                <w:color w:val="auto"/>
                <w:kern w:val="0"/>
                <w:sz w:val="24"/>
                <w:szCs w:val="24"/>
                <w:highlight w:val="none"/>
                <w:lang w:val="en-US" w:eastAsia="zh-CN"/>
              </w:rPr>
              <w:t>定标办法</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宋体" w:hAnsi="宋体" w:eastAsia="宋体" w:cs="宋体"/>
                <w:snapToGrid w:val="0"/>
                <w:color w:val="auto"/>
                <w:kern w:val="0"/>
                <w:sz w:val="24"/>
                <w:szCs w:val="24"/>
                <w:highlight w:val="none"/>
                <w:lang w:eastAsia="zh-CN"/>
              </w:rPr>
              <w:t>☑票决定标法（</w:t>
            </w:r>
            <w:r>
              <w:rPr>
                <w:rFonts w:hint="eastAsia" w:ascii="宋体" w:hAnsi="宋体" w:eastAsia="宋体" w:cs="宋体"/>
                <w:snapToGrid w:val="0"/>
                <w:color w:val="auto"/>
                <w:kern w:val="0"/>
                <w:sz w:val="24"/>
                <w:szCs w:val="24"/>
                <w:highlight w:val="none"/>
                <w:lang w:val="en-US" w:eastAsia="zh-CN"/>
              </w:rPr>
              <w:t>票决数量法</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 xml:space="preserve">  </w:t>
            </w:r>
            <w:r>
              <w:rPr>
                <w:rFonts w:hint="eastAsia" w:ascii="宋体" w:hAnsi="宋体" w:eastAsia="宋体" w:cs="宋体"/>
                <w:snapToGrid w:val="0"/>
                <w:color w:val="auto"/>
                <w:kern w:val="0"/>
                <w:sz w:val="24"/>
                <w:szCs w:val="24"/>
                <w:highlight w:val="none"/>
                <w:lang w:eastAsia="zh-CN"/>
              </w:rPr>
              <w:t>□集体议事法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25</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安全文明施工</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达到国家、省、市有关标准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00"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26</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房屋建筑工程</w:t>
            </w:r>
          </w:p>
          <w:p>
            <w:pPr>
              <w:pStyle w:val="37"/>
              <w:pageBreakBefore w:val="0"/>
              <w:kinsoku/>
              <w:wordWrap w:val="0"/>
              <w:overflowPunct/>
              <w:bidi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绿色建筑标准</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本招标</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项目</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不纳入绿色建筑实施范围。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27</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履约保证金</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履约保证金为中标价的</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在领取中标通知书之日起</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5</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个工作日内、签订合同前缴纳</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组成联合体时，由联合体牵头人缴纳</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w:t>
            </w:r>
          </w:p>
          <w:p>
            <w:pPr>
              <w:pStyle w:val="37"/>
              <w:pageBreakBefore w:val="0"/>
              <w:kinsoku/>
              <w:wordWrap w:val="0"/>
              <w:overflowPunct/>
              <w:bidi w:val="0"/>
              <w:ind w:firstLine="240" w:firstLineChars="100"/>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履约保证的形式包括</w:t>
            </w:r>
            <w:r>
              <w:rPr>
                <w:rFonts w:hint="eastAsia" w:ascii="宋体" w:hAnsi="宋体" w:eastAsia="宋体" w:cs="宋体"/>
                <w:snapToGrid w:val="0"/>
                <w:color w:val="000000" w:themeColor="text1"/>
                <w:kern w:val="0"/>
                <w:sz w:val="24"/>
                <w:szCs w:val="24"/>
                <w:highlight w:val="none"/>
                <w14:textFill>
                  <w14:solidFill>
                    <w14:schemeClr w14:val="tx1"/>
                  </w14:solidFill>
                </w14:textFill>
              </w:rPr>
              <w:t>履约保证金、</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履约</w:t>
            </w:r>
            <w:r>
              <w:rPr>
                <w:rFonts w:hint="eastAsia" w:ascii="宋体" w:hAnsi="宋体" w:eastAsia="宋体" w:cs="宋体"/>
                <w:snapToGrid w:val="0"/>
                <w:color w:val="000000" w:themeColor="text1"/>
                <w:kern w:val="0"/>
                <w:sz w:val="24"/>
                <w:szCs w:val="24"/>
                <w:highlight w:val="none"/>
                <w14:textFill>
                  <w14:solidFill>
                    <w14:schemeClr w14:val="tx1"/>
                  </w14:solidFill>
                </w14:textFill>
              </w:rPr>
              <w:t>保证担保、履约保证保险三种</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，由中标人自主选择</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，保函有效期不得少于</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本工程总工期</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，如果采用银行转账方式则必须从中标人的法人开户银行的账号划出招标人指定的账户，并详细注明</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项目名称</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及用途。</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28</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工程款支付</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详见本招标文件“2-4、工程付款办法”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29</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工程质量保证金</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工程</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质量</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保证金总金额为结算价的3%，从工程竣工验收合格之日起计满</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30</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绿色施工安全防护措施费</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按《建设工程工程量清单计价规范》（</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GB/T50500～2024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）、《广东省建设工程计价依据（2018）》《关于明确建筑工程安全防护、文明施工措施费用具体管理办法的通知》（韶市建【2015】26号）等最新规定执行。</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31</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招标人</w:t>
            </w:r>
          </w:p>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联系方式</w:t>
            </w:r>
          </w:p>
        </w:tc>
        <w:tc>
          <w:tcPr>
            <w:tcW w:w="7544"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360" w:lineRule="auto"/>
              <w:jc w:val="left"/>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单位名称：</w:t>
            </w: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南雄市水口镇人民政府</w:t>
            </w:r>
          </w:p>
          <w:p>
            <w:pPr>
              <w:pageBreakBefore w:val="0"/>
              <w:tabs>
                <w:tab w:val="left" w:pos="1440"/>
              </w:tabs>
              <w:kinsoku/>
              <w:wordWrap w:val="0"/>
              <w:overflowPunct/>
              <w:bidi w:val="0"/>
              <w:adjustRightInd w:val="0"/>
              <w:snapToGrid w:val="0"/>
              <w:spacing w:line="360" w:lineRule="auto"/>
              <w:jc w:val="left"/>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办公地址：</w:t>
            </w: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南雄市水口镇人民政府</w:t>
            </w:r>
          </w:p>
          <w:p>
            <w:pPr>
              <w:pageBreakBefore w:val="0"/>
              <w:tabs>
                <w:tab w:val="left" w:pos="1440"/>
              </w:tabs>
              <w:kinsoku/>
              <w:wordWrap w:val="0"/>
              <w:overflowPunct/>
              <w:bidi w:val="0"/>
              <w:adjustRightInd w:val="0"/>
              <w:snapToGrid w:val="0"/>
              <w:spacing w:line="360" w:lineRule="auto"/>
              <w:jc w:val="left"/>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联系人（部门）：</w:t>
            </w: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李</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先生</w:t>
            </w:r>
          </w:p>
          <w:p>
            <w:pPr>
              <w:pageBreakBefore w:val="0"/>
              <w:tabs>
                <w:tab w:val="left" w:pos="1440"/>
              </w:tabs>
              <w:kinsoku/>
              <w:wordWrap w:val="0"/>
              <w:overflowPunct/>
              <w:bidi w:val="0"/>
              <w:adjustRightInd w:val="0"/>
              <w:snapToGrid w:val="0"/>
              <w:spacing w:line="360" w:lineRule="auto"/>
              <w:jc w:val="left"/>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联系电话：0751-3892001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32</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招标代理机构</w:t>
            </w:r>
          </w:p>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联系方式</w:t>
            </w:r>
          </w:p>
        </w:tc>
        <w:tc>
          <w:tcPr>
            <w:tcW w:w="7544"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360" w:lineRule="auto"/>
              <w:jc w:val="left"/>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单位名称：中晋工程项目管理有限公司</w:t>
            </w:r>
          </w:p>
          <w:p>
            <w:pPr>
              <w:pageBreakBefore w:val="0"/>
              <w:kinsoku/>
              <w:wordWrap w:val="0"/>
              <w:overflowPunct/>
              <w:bidi w:val="0"/>
              <w:adjustRightInd w:val="0"/>
              <w:snapToGrid w:val="0"/>
              <w:spacing w:line="360" w:lineRule="auto"/>
              <w:jc w:val="left"/>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办公地址：</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南雄市雄州街道浈江路21号</w:t>
            </w:r>
          </w:p>
          <w:p>
            <w:pPr>
              <w:pageBreakBefore w:val="0"/>
              <w:kinsoku/>
              <w:wordWrap w:val="0"/>
              <w:overflowPunct/>
              <w:bidi w:val="0"/>
              <w:adjustRightInd w:val="0"/>
              <w:snapToGrid w:val="0"/>
              <w:spacing w:line="360" w:lineRule="auto"/>
              <w:jc w:val="left"/>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联系人（部门）：</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韦工</w:t>
            </w:r>
          </w:p>
          <w:p>
            <w:pPr>
              <w:pageBreakBefore w:val="0"/>
              <w:kinsoku/>
              <w:wordWrap w:val="0"/>
              <w:overflowPunct/>
              <w:bidi w:val="0"/>
              <w:adjustRightInd w:val="0"/>
              <w:snapToGrid w:val="0"/>
              <w:spacing w:line="360" w:lineRule="auto"/>
              <w:jc w:val="left"/>
              <w:rPr>
                <w:rFonts w:hint="default"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联系电话：19266656888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360" w:lineRule="auto"/>
              <w:jc w:val="center"/>
              <w:rPr>
                <w:rFonts w:hint="default"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33</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交易场所</w:t>
            </w:r>
          </w:p>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联系方式</w:t>
            </w:r>
          </w:p>
        </w:tc>
        <w:tc>
          <w:tcPr>
            <w:tcW w:w="7544"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spacing w:line="40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单位名称：韶关市公共资源交易中心</w:t>
            </w:r>
          </w:p>
          <w:p>
            <w:pPr>
              <w:pageBreakBefore w:val="0"/>
              <w:kinsoku/>
              <w:wordWrap w:val="0"/>
              <w:overflowPunct/>
              <w:bidi w:val="0"/>
              <w:spacing w:line="40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办公地址：南雄市雄东路1号大润发四楼韶关市公共资源交易中心南雄分中心（公共服务中心内）</w:t>
            </w:r>
          </w:p>
          <w:p>
            <w:pPr>
              <w:pageBreakBefore w:val="0"/>
              <w:kinsoku/>
              <w:wordWrap w:val="0"/>
              <w:overflowPunct/>
              <w:bidi w:val="0"/>
              <w:spacing w:line="40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联系人：工程交易股</w:t>
            </w:r>
          </w:p>
          <w:p>
            <w:pPr>
              <w:pageBreakBefore w:val="0"/>
              <w:kinsoku/>
              <w:wordWrap w:val="0"/>
              <w:overflowPunct/>
              <w:bidi w:val="0"/>
              <w:spacing w:line="400" w:lineRule="exact"/>
              <w:jc w:val="left"/>
              <w:rPr>
                <w:rFonts w:hint="default"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 0751-3860729</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515"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360" w:lineRule="auto"/>
              <w:jc w:val="center"/>
              <w:rPr>
                <w:rFonts w:hint="default"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34</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spacing w:line="40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行政监督部门</w:t>
            </w:r>
          </w:p>
          <w:p>
            <w:pPr>
              <w:pageBreakBefore w:val="0"/>
              <w:kinsoku/>
              <w:wordWrap w:val="0"/>
              <w:overflowPunct/>
              <w:bidi w:val="0"/>
              <w:spacing w:line="400" w:lineRule="exact"/>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联系方式</w:t>
            </w:r>
          </w:p>
        </w:tc>
        <w:tc>
          <w:tcPr>
            <w:tcW w:w="7544"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spacing w:line="400" w:lineRule="exact"/>
              <w:jc w:val="left"/>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default" w:ascii="宋体" w:hAnsi="宋体" w:eastAsia="宋体" w:cs="宋体"/>
                <w:color w:val="000000" w:themeColor="text1"/>
                <w:sz w:val="24"/>
                <w:szCs w:val="24"/>
                <w:highlight w:val="none"/>
                <w:lang w:val="en-US" w:eastAsia="zh-CN"/>
                <w14:textFill>
                  <w14:solidFill>
                    <w14:schemeClr w14:val="tx1"/>
                  </w14:solidFill>
                </w14:textFill>
              </w:rPr>
              <w:t>单位名称：</w:t>
            </w:r>
            <w:r>
              <w:rPr>
                <w:rFonts w:hint="eastAsia" w:hAnsi="宋体" w:eastAsia="宋体" w:cs="宋体"/>
                <w:color w:val="000000" w:themeColor="text1"/>
                <w:sz w:val="24"/>
                <w:szCs w:val="24"/>
                <w:highlight w:val="none"/>
                <w:lang w:val="en-US" w:eastAsia="zh-CN"/>
                <w14:textFill>
                  <w14:solidFill>
                    <w14:schemeClr w14:val="tx1"/>
                  </w14:solidFill>
                </w14:textFill>
              </w:rPr>
              <w:t>南雄市农业农村局</w:t>
            </w:r>
          </w:p>
          <w:p>
            <w:pPr>
              <w:pageBreakBefore w:val="0"/>
              <w:kinsoku/>
              <w:wordWrap w:val="0"/>
              <w:overflowPunct/>
              <w:bidi w:val="0"/>
              <w:spacing w:line="400" w:lineRule="exact"/>
              <w:jc w:val="left"/>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default" w:ascii="宋体" w:hAnsi="宋体" w:eastAsia="宋体" w:cs="宋体"/>
                <w:color w:val="000000" w:themeColor="text1"/>
                <w:sz w:val="24"/>
                <w:szCs w:val="24"/>
                <w:highlight w:val="none"/>
                <w:lang w:val="en-US" w:eastAsia="zh-CN"/>
                <w14:textFill>
                  <w14:solidFill>
                    <w14:schemeClr w14:val="tx1"/>
                  </w14:solidFill>
                </w14:textFill>
              </w:rPr>
              <w:t>办公地址：南雄市沿江西路 98 号</w:t>
            </w:r>
          </w:p>
          <w:p>
            <w:pPr>
              <w:pageBreakBefore w:val="0"/>
              <w:kinsoku/>
              <w:wordWrap w:val="0"/>
              <w:overflowPunct/>
              <w:bidi w:val="0"/>
              <w:spacing w:line="400" w:lineRule="exact"/>
              <w:jc w:val="left"/>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default" w:ascii="宋体" w:hAnsi="宋体" w:eastAsia="宋体" w:cs="宋体"/>
                <w:color w:val="000000" w:themeColor="text1"/>
                <w:sz w:val="24"/>
                <w:szCs w:val="24"/>
                <w:highlight w:val="none"/>
                <w:lang w:val="en-US" w:eastAsia="zh-CN"/>
                <w14:textFill>
                  <w14:solidFill>
                    <w14:schemeClr w14:val="tx1"/>
                  </w14:solidFill>
                </w14:textFill>
              </w:rPr>
              <w:t>联系人（部门）：乡村建设与农村社会事业促进股</w:t>
            </w:r>
          </w:p>
          <w:p>
            <w:pPr>
              <w:pageBreakBefore w:val="0"/>
              <w:kinsoku/>
              <w:wordWrap w:val="0"/>
              <w:overflowPunct/>
              <w:bidi w:val="0"/>
              <w:spacing w:line="400" w:lineRule="exact"/>
              <w:jc w:val="left"/>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default" w:ascii="宋体" w:hAnsi="宋体" w:eastAsia="宋体" w:cs="宋体"/>
                <w:color w:val="000000" w:themeColor="text1"/>
                <w:sz w:val="24"/>
                <w:szCs w:val="24"/>
                <w:highlight w:val="none"/>
                <w:lang w:val="en-US" w:eastAsia="zh-CN"/>
                <w14:textFill>
                  <w14:solidFill>
                    <w14:schemeClr w14:val="tx1"/>
                  </w14:solidFill>
                </w14:textFill>
              </w:rPr>
              <w:t>联系电话：0751-3802620</w:t>
            </w:r>
          </w:p>
        </w:tc>
      </w:tr>
      <w:bookmarkEnd w:id="4"/>
    </w:tbl>
    <w:p>
      <w:pPr>
        <w:pStyle w:val="4"/>
        <w:pageBreakBefore w:val="0"/>
        <w:kinsoku/>
        <w:wordWrap w:val="0"/>
        <w:overflowPunct/>
        <w:autoSpaceDE/>
        <w:autoSpaceDN/>
        <w:bidi w:val="0"/>
        <w:snapToGrid w:val="0"/>
        <w:spacing w:after="260" w:line="440" w:lineRule="exact"/>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5" w:name="_Toc122769943"/>
      <w:bookmarkStart w:id="6" w:name="_Toc122671103"/>
      <w:bookmarkStart w:id="7" w:name="_Toc122859103"/>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br w:type="page"/>
      </w:r>
      <w:bookmarkEnd w:id="5"/>
      <w:bookmarkEnd w:id="6"/>
      <w:bookmarkEnd w:id="7"/>
      <w:bookmarkStart w:id="8" w:name="_Toc14029"/>
      <w:r>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t>第二节</w:t>
      </w:r>
      <w:r>
        <w:rPr>
          <w:rFonts w:hint="eastAsia" w:asciiTheme="minorEastAsia" w:hAnsiTheme="minorEastAsia" w:eastAsiaTheme="minorEastAsia" w:cstheme="minorEastAsia"/>
          <w:b/>
          <w:color w:val="000000" w:themeColor="text1"/>
          <w:kern w:val="2"/>
          <w:szCs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t>重要事项时间地点一览表.</w:t>
      </w:r>
      <w:bookmarkEnd w:id="8"/>
    </w:p>
    <w:tbl>
      <w:tblPr>
        <w:tblStyle w:val="22"/>
        <w:tblW w:w="9699" w:type="dxa"/>
        <w:tblInd w:w="-6"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504"/>
        <w:gridCol w:w="1610"/>
        <w:gridCol w:w="7585"/>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72" w:hRule="exact"/>
        </w:trPr>
        <w:tc>
          <w:tcPr>
            <w:tcW w:w="504"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auto"/>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1</w:t>
            </w:r>
          </w:p>
        </w:tc>
        <w:tc>
          <w:tcPr>
            <w:tcW w:w="1610"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招标公告</w:t>
            </w:r>
          </w:p>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 xml:space="preserve">发布时间 </w:t>
            </w:r>
          </w:p>
        </w:tc>
        <w:tc>
          <w:tcPr>
            <w:tcW w:w="7585"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400" w:lineRule="exact"/>
              <w:jc w:val="left"/>
              <w:rPr>
                <w:rFonts w:hint="eastAsia" w:ascii="宋体" w:hAnsi="宋体" w:eastAsia="宋体" w:cs="宋体"/>
                <w:snapToGrid w:val="0"/>
                <w:color w:val="000000"/>
                <w:kern w:val="0"/>
                <w:sz w:val="24"/>
                <w:highlight w:val="none"/>
              </w:rPr>
            </w:pPr>
            <w:r>
              <w:rPr>
                <w:rFonts w:hint="eastAsia" w:ascii="宋体" w:hAnsi="宋体" w:eastAsia="宋体" w:cs="宋体"/>
                <w:color w:val="000000"/>
                <w:sz w:val="24"/>
                <w:szCs w:val="24"/>
                <w:highlight w:val="none"/>
                <w:u w:val="single"/>
                <w:lang w:val="en-US" w:eastAsia="zh-CN"/>
              </w:rPr>
              <w:t>202</w:t>
            </w:r>
            <w:r>
              <w:rPr>
                <w:rFonts w:hint="eastAsia" w:ascii="宋体" w:hAnsi="宋体" w:cs="宋体"/>
                <w:color w:val="000000"/>
                <w:sz w:val="24"/>
                <w:szCs w:val="24"/>
                <w:highlight w:val="none"/>
                <w:u w:val="single"/>
                <w:lang w:val="en-US" w:eastAsia="zh-CN"/>
              </w:rPr>
              <w:t>6</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i w:val="0"/>
                <w:iCs w:val="0"/>
                <w:color w:val="000000"/>
                <w:sz w:val="24"/>
                <w:szCs w:val="24"/>
                <w:highlight w:val="none"/>
                <w:u w:val="none"/>
                <w:lang w:val="en-US" w:eastAsia="zh-CN"/>
              </w:rPr>
              <w:t>年</w:t>
            </w:r>
            <w:r>
              <w:rPr>
                <w:rFonts w:hint="eastAsia" w:ascii="宋体" w:hAnsi="宋体" w:eastAsia="宋体" w:cs="宋体"/>
                <w:color w:val="000000"/>
                <w:sz w:val="24"/>
                <w:szCs w:val="24"/>
                <w:highlight w:val="none"/>
                <w:u w:val="single"/>
                <w:lang w:val="en-US" w:eastAsia="zh-CN"/>
              </w:rPr>
              <w:t>9</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21</w:t>
            </w:r>
            <w:r>
              <w:rPr>
                <w:rFonts w:hint="eastAsia" w:ascii="宋体" w:hAnsi="宋体" w:eastAsia="宋体" w:cs="宋体"/>
                <w:color w:val="000000"/>
                <w:sz w:val="24"/>
                <w:szCs w:val="24"/>
                <w:highlight w:val="none"/>
              </w:rPr>
              <w:t>日</w:t>
            </w:r>
            <w:r>
              <w:rPr>
                <w:rFonts w:hint="eastAsia" w:ascii="宋体" w:hAnsi="宋体" w:eastAsia="宋体" w:cs="宋体"/>
                <w:color w:val="000000"/>
                <w:sz w:val="24"/>
                <w:szCs w:val="24"/>
                <w:highlight w:val="none"/>
                <w:u w:val="single"/>
                <w:lang w:val="en-US" w:eastAsia="zh-CN"/>
              </w:rPr>
              <w:t>20</w:t>
            </w:r>
            <w:r>
              <w:rPr>
                <w:rFonts w:hint="eastAsia" w:ascii="宋体" w:hAnsi="宋体" w:eastAsia="宋体" w:cs="宋体"/>
                <w:color w:val="000000"/>
                <w:sz w:val="24"/>
                <w:szCs w:val="24"/>
                <w:highlight w:val="none"/>
              </w:rPr>
              <w:t>时</w:t>
            </w:r>
            <w:r>
              <w:rPr>
                <w:rFonts w:hint="eastAsia" w:ascii="宋体" w:hAnsi="宋体" w:eastAsia="宋体" w:cs="宋体"/>
                <w:color w:val="000000"/>
                <w:sz w:val="24"/>
                <w:szCs w:val="24"/>
                <w:highlight w:val="none"/>
                <w:u w:val="single"/>
                <w:lang w:val="en-US" w:eastAsia="zh-CN"/>
              </w:rPr>
              <w:t>00</w:t>
            </w:r>
            <w:r>
              <w:rPr>
                <w:rFonts w:hint="eastAsia" w:ascii="宋体" w:hAnsi="宋体" w:eastAsia="宋体" w:cs="宋体"/>
                <w:color w:val="000000"/>
                <w:sz w:val="24"/>
                <w:szCs w:val="24"/>
                <w:highlight w:val="none"/>
              </w:rPr>
              <w:t>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1" w:hRule="exact"/>
        </w:trPr>
        <w:tc>
          <w:tcPr>
            <w:tcW w:w="504"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auto"/>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2</w:t>
            </w:r>
          </w:p>
        </w:tc>
        <w:tc>
          <w:tcPr>
            <w:tcW w:w="1610"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 xml:space="preserve">获取招标文件截止时间 </w:t>
            </w:r>
          </w:p>
        </w:tc>
        <w:tc>
          <w:tcPr>
            <w:tcW w:w="7585"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400" w:lineRule="exact"/>
              <w:jc w:val="left"/>
              <w:rPr>
                <w:rFonts w:hint="eastAsia" w:ascii="宋体" w:hAnsi="宋体" w:eastAsia="宋体" w:cs="宋体"/>
                <w:snapToGrid w:val="0"/>
                <w:color w:val="000000"/>
                <w:kern w:val="0"/>
                <w:sz w:val="24"/>
                <w:highlight w:val="none"/>
              </w:rPr>
            </w:pPr>
            <w:r>
              <w:rPr>
                <w:rFonts w:hint="eastAsia" w:ascii="宋体" w:hAnsi="宋体" w:eastAsia="宋体" w:cs="宋体"/>
                <w:color w:val="000000"/>
                <w:sz w:val="24"/>
                <w:szCs w:val="24"/>
                <w:highlight w:val="none"/>
                <w:u w:val="single"/>
                <w:lang w:val="en-US" w:eastAsia="zh-CN"/>
              </w:rPr>
              <w:t xml:space="preserve">2026 </w:t>
            </w:r>
            <w:r>
              <w:rPr>
                <w:rFonts w:hint="eastAsia" w:ascii="宋体" w:hAnsi="宋体" w:eastAsia="宋体" w:cs="宋体"/>
                <w:i w:val="0"/>
                <w:iCs w:val="0"/>
                <w:color w:val="000000"/>
                <w:sz w:val="24"/>
                <w:szCs w:val="24"/>
                <w:highlight w:val="none"/>
                <w:u w:val="none"/>
                <w:lang w:val="en-US" w:eastAsia="zh-CN"/>
              </w:rPr>
              <w:t>年</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22</w:t>
            </w:r>
            <w:r>
              <w:rPr>
                <w:rFonts w:hint="eastAsia" w:ascii="宋体" w:hAnsi="宋体" w:eastAsia="宋体" w:cs="宋体"/>
                <w:color w:val="000000"/>
                <w:sz w:val="24"/>
                <w:szCs w:val="24"/>
                <w:highlight w:val="none"/>
              </w:rPr>
              <w:t>日</w:t>
            </w:r>
            <w:r>
              <w:rPr>
                <w:rFonts w:hint="eastAsia" w:ascii="宋体" w:hAnsi="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时</w:t>
            </w:r>
            <w:r>
              <w:rPr>
                <w:rFonts w:hint="eastAsia" w:ascii="宋体" w:hAnsi="宋体" w:eastAsia="宋体" w:cs="宋体"/>
                <w:color w:val="000000"/>
                <w:sz w:val="24"/>
                <w:szCs w:val="24"/>
                <w:highlight w:val="none"/>
                <w:u w:val="single"/>
                <w:lang w:val="en-US" w:eastAsia="zh-CN"/>
              </w:rPr>
              <w:t>30</w:t>
            </w:r>
            <w:r>
              <w:rPr>
                <w:rFonts w:hint="eastAsia" w:ascii="宋体" w:hAnsi="宋体" w:eastAsia="宋体" w:cs="宋体"/>
                <w:color w:val="000000"/>
                <w:sz w:val="24"/>
                <w:szCs w:val="24"/>
                <w:highlight w:val="none"/>
              </w:rPr>
              <w:t>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0" w:hRule="exact"/>
        </w:trPr>
        <w:tc>
          <w:tcPr>
            <w:tcW w:w="504"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auto"/>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3</w:t>
            </w:r>
          </w:p>
        </w:tc>
        <w:tc>
          <w:tcPr>
            <w:tcW w:w="1610"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网上提问</w:t>
            </w:r>
          </w:p>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 xml:space="preserve">截止时间 </w:t>
            </w:r>
          </w:p>
        </w:tc>
        <w:tc>
          <w:tcPr>
            <w:tcW w:w="7585"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400" w:lineRule="exact"/>
              <w:jc w:val="left"/>
              <w:rPr>
                <w:rFonts w:hint="eastAsia" w:ascii="宋体" w:hAnsi="宋体" w:eastAsia="宋体" w:cs="宋体"/>
                <w:snapToGrid w:val="0"/>
                <w:color w:val="000000"/>
                <w:kern w:val="0"/>
                <w:sz w:val="24"/>
                <w:highlight w:val="none"/>
              </w:rPr>
            </w:pPr>
            <w:r>
              <w:rPr>
                <w:rFonts w:hint="eastAsia" w:ascii="宋体" w:hAnsi="宋体" w:eastAsia="宋体" w:cs="宋体"/>
                <w:color w:val="000000"/>
                <w:sz w:val="24"/>
                <w:szCs w:val="24"/>
                <w:highlight w:val="none"/>
                <w:u w:val="single"/>
                <w:lang w:val="en-US" w:eastAsia="zh-CN"/>
              </w:rPr>
              <w:t xml:space="preserve">2026 </w:t>
            </w:r>
            <w:r>
              <w:rPr>
                <w:rFonts w:hint="eastAsia" w:ascii="宋体" w:hAnsi="宋体" w:eastAsia="宋体" w:cs="宋体"/>
                <w:i w:val="0"/>
                <w:iCs w:val="0"/>
                <w:color w:val="000000"/>
                <w:sz w:val="24"/>
                <w:szCs w:val="24"/>
                <w:highlight w:val="none"/>
                <w:u w:val="none"/>
                <w:lang w:val="en-US" w:eastAsia="zh-CN"/>
              </w:rPr>
              <w:t>年</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12</w:t>
            </w:r>
            <w:r>
              <w:rPr>
                <w:rFonts w:hint="eastAsia" w:ascii="宋体" w:hAnsi="宋体" w:eastAsia="宋体" w:cs="宋体"/>
                <w:color w:val="000000"/>
                <w:sz w:val="24"/>
                <w:szCs w:val="24"/>
                <w:highlight w:val="none"/>
              </w:rPr>
              <w:t>日</w:t>
            </w:r>
            <w:r>
              <w:rPr>
                <w:rFonts w:hint="eastAsia" w:ascii="宋体" w:hAnsi="宋体" w:eastAsia="宋体" w:cs="宋体"/>
                <w:color w:val="000000"/>
                <w:sz w:val="24"/>
                <w:szCs w:val="24"/>
                <w:highlight w:val="none"/>
                <w:lang w:val="en-US" w:eastAsia="zh-CN"/>
              </w:rPr>
              <w:t>1</w:t>
            </w:r>
            <w:r>
              <w:rPr>
                <w:rFonts w:hint="eastAsia" w:ascii="宋体" w:hAnsi="宋体" w:eastAsia="宋体" w:cs="宋体"/>
                <w:color w:val="000000"/>
                <w:sz w:val="24"/>
                <w:szCs w:val="24"/>
                <w:highlight w:val="none"/>
                <w:u w:val="single"/>
                <w:lang w:val="en-US" w:eastAsia="zh-CN"/>
              </w:rPr>
              <w:t>6</w:t>
            </w:r>
            <w:r>
              <w:rPr>
                <w:rFonts w:hint="eastAsia" w:ascii="宋体" w:hAnsi="宋体" w:eastAsia="宋体" w:cs="宋体"/>
                <w:color w:val="000000"/>
                <w:sz w:val="24"/>
                <w:szCs w:val="24"/>
                <w:highlight w:val="none"/>
              </w:rPr>
              <w:t>时</w:t>
            </w:r>
            <w:r>
              <w:rPr>
                <w:rFonts w:hint="eastAsia" w:ascii="宋体" w:hAnsi="宋体" w:eastAsia="宋体" w:cs="宋体"/>
                <w:color w:val="000000"/>
                <w:sz w:val="24"/>
                <w:szCs w:val="24"/>
                <w:highlight w:val="none"/>
                <w:u w:val="single"/>
                <w:lang w:val="en-US" w:eastAsia="zh-CN"/>
              </w:rPr>
              <w:t>00</w:t>
            </w:r>
            <w:r>
              <w:rPr>
                <w:rFonts w:hint="eastAsia" w:ascii="宋体" w:hAnsi="宋体" w:eastAsia="宋体" w:cs="宋体"/>
                <w:color w:val="000000"/>
                <w:sz w:val="24"/>
                <w:szCs w:val="24"/>
                <w:highlight w:val="none"/>
              </w:rPr>
              <w:t>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70" w:hRule="exact"/>
        </w:trPr>
        <w:tc>
          <w:tcPr>
            <w:tcW w:w="504"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auto"/>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4</w:t>
            </w:r>
          </w:p>
        </w:tc>
        <w:tc>
          <w:tcPr>
            <w:tcW w:w="1610"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网上答疑</w:t>
            </w:r>
          </w:p>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时间</w:t>
            </w:r>
          </w:p>
        </w:tc>
        <w:tc>
          <w:tcPr>
            <w:tcW w:w="7585"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400" w:lineRule="exact"/>
              <w:jc w:val="left"/>
              <w:rPr>
                <w:rFonts w:hint="eastAsia" w:ascii="宋体" w:hAnsi="宋体" w:eastAsia="宋体" w:cs="宋体"/>
                <w:snapToGrid w:val="0"/>
                <w:color w:val="000000"/>
                <w:kern w:val="0"/>
                <w:sz w:val="24"/>
                <w:highlight w:val="none"/>
              </w:rPr>
            </w:pPr>
            <w:r>
              <w:rPr>
                <w:rFonts w:hint="eastAsia" w:ascii="宋体" w:hAnsi="宋体" w:eastAsia="宋体" w:cs="宋体"/>
                <w:color w:val="000000"/>
                <w:sz w:val="24"/>
                <w:szCs w:val="24"/>
                <w:highlight w:val="none"/>
                <w:u w:val="single"/>
                <w:lang w:val="en-US" w:eastAsia="zh-CN"/>
              </w:rPr>
              <w:t>202</w:t>
            </w:r>
            <w:r>
              <w:rPr>
                <w:rFonts w:hint="eastAsia" w:ascii="宋体" w:hAnsi="宋体" w:cs="宋体"/>
                <w:color w:val="000000"/>
                <w:sz w:val="24"/>
                <w:szCs w:val="24"/>
                <w:highlight w:val="none"/>
                <w:u w:val="single"/>
                <w:lang w:val="en-US" w:eastAsia="zh-CN"/>
              </w:rPr>
              <w:t>6</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i w:val="0"/>
                <w:iCs w:val="0"/>
                <w:color w:val="000000"/>
                <w:sz w:val="24"/>
                <w:szCs w:val="24"/>
                <w:highlight w:val="none"/>
                <w:u w:val="none"/>
                <w:lang w:val="en-US" w:eastAsia="zh-CN"/>
              </w:rPr>
              <w:t>年</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12</w:t>
            </w:r>
            <w:r>
              <w:rPr>
                <w:rFonts w:hint="eastAsia" w:ascii="宋体" w:hAnsi="宋体" w:eastAsia="宋体" w:cs="宋体"/>
                <w:color w:val="000000"/>
                <w:sz w:val="24"/>
                <w:szCs w:val="24"/>
                <w:highlight w:val="none"/>
              </w:rPr>
              <w:t>日</w:t>
            </w:r>
            <w:r>
              <w:rPr>
                <w:rFonts w:hint="eastAsia" w:ascii="宋体" w:hAnsi="宋体" w:eastAsia="宋体" w:cs="宋体"/>
                <w:color w:val="000000"/>
                <w:sz w:val="24"/>
                <w:szCs w:val="24"/>
                <w:highlight w:val="none"/>
                <w:u w:val="single"/>
                <w:lang w:val="en-US" w:eastAsia="zh-CN"/>
              </w:rPr>
              <w:t>16</w:t>
            </w:r>
            <w:r>
              <w:rPr>
                <w:rFonts w:hint="eastAsia" w:ascii="宋体" w:hAnsi="宋体" w:eastAsia="宋体" w:cs="宋体"/>
                <w:color w:val="000000"/>
                <w:sz w:val="24"/>
                <w:szCs w:val="24"/>
                <w:highlight w:val="none"/>
              </w:rPr>
              <w:t>时</w:t>
            </w:r>
            <w:r>
              <w:rPr>
                <w:rFonts w:hint="eastAsia" w:ascii="宋体" w:hAnsi="宋体" w:eastAsia="宋体" w:cs="宋体"/>
                <w:color w:val="000000"/>
                <w:sz w:val="24"/>
                <w:szCs w:val="24"/>
                <w:highlight w:val="none"/>
                <w:u w:val="single"/>
                <w:lang w:val="en-US" w:eastAsia="zh-CN"/>
              </w:rPr>
              <w:t>30</w:t>
            </w:r>
            <w:r>
              <w:rPr>
                <w:rFonts w:hint="eastAsia" w:ascii="宋体" w:hAnsi="宋体" w:eastAsia="宋体" w:cs="宋体"/>
                <w:color w:val="000000"/>
                <w:sz w:val="24"/>
                <w:szCs w:val="24"/>
                <w:highlight w:val="none"/>
              </w:rPr>
              <w:t>分</w:t>
            </w:r>
            <w:r>
              <w:rPr>
                <w:rFonts w:hint="eastAsia" w:ascii="宋体" w:hAnsi="宋体" w:eastAsia="宋体" w:cs="宋体"/>
                <w:snapToGrid w:val="0"/>
                <w:color w:val="000000"/>
                <w:kern w:val="0"/>
                <w:sz w:val="24"/>
                <w:highlight w:val="none"/>
              </w:rPr>
              <w:t>至</w:t>
            </w:r>
            <w:r>
              <w:rPr>
                <w:rFonts w:hint="eastAsia" w:ascii="宋体" w:hAnsi="宋体" w:eastAsia="宋体" w:cs="宋体"/>
                <w:color w:val="000000"/>
                <w:sz w:val="24"/>
                <w:szCs w:val="24"/>
                <w:highlight w:val="none"/>
                <w:u w:val="single"/>
                <w:lang w:val="en-US" w:eastAsia="zh-CN"/>
              </w:rPr>
              <w:t>202</w:t>
            </w:r>
            <w:r>
              <w:rPr>
                <w:rFonts w:hint="eastAsia" w:ascii="宋体" w:hAnsi="宋体" w:cs="宋体"/>
                <w:color w:val="000000"/>
                <w:sz w:val="24"/>
                <w:szCs w:val="24"/>
                <w:highlight w:val="none"/>
                <w:u w:val="single"/>
                <w:lang w:val="en-US" w:eastAsia="zh-CN"/>
              </w:rPr>
              <w:t>6</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i w:val="0"/>
                <w:iCs w:val="0"/>
                <w:color w:val="000000"/>
                <w:sz w:val="24"/>
                <w:szCs w:val="24"/>
                <w:highlight w:val="none"/>
                <w:u w:val="none"/>
                <w:lang w:val="en-US" w:eastAsia="zh-CN"/>
              </w:rPr>
              <w:t>年</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15</w:t>
            </w:r>
            <w:r>
              <w:rPr>
                <w:rFonts w:hint="eastAsia" w:ascii="宋体" w:hAnsi="宋体" w:eastAsia="宋体" w:cs="宋体"/>
                <w:color w:val="000000"/>
                <w:sz w:val="24"/>
                <w:szCs w:val="24"/>
                <w:highlight w:val="none"/>
              </w:rPr>
              <w:t>日</w:t>
            </w:r>
            <w:r>
              <w:rPr>
                <w:rFonts w:hint="eastAsia" w:ascii="宋体" w:hAnsi="宋体" w:eastAsia="宋体" w:cs="宋体"/>
                <w:color w:val="000000"/>
                <w:sz w:val="24"/>
                <w:szCs w:val="24"/>
                <w:highlight w:val="none"/>
                <w:u w:val="single"/>
                <w:lang w:val="en-US" w:eastAsia="zh-CN"/>
              </w:rPr>
              <w:t>16</w:t>
            </w:r>
            <w:r>
              <w:rPr>
                <w:rFonts w:hint="eastAsia" w:ascii="宋体" w:hAnsi="宋体" w:eastAsia="宋体" w:cs="宋体"/>
                <w:color w:val="000000"/>
                <w:sz w:val="24"/>
                <w:szCs w:val="24"/>
                <w:highlight w:val="none"/>
              </w:rPr>
              <w:t>时</w:t>
            </w:r>
            <w:r>
              <w:rPr>
                <w:rFonts w:hint="eastAsia" w:ascii="宋体" w:hAnsi="宋体" w:eastAsia="宋体" w:cs="宋体"/>
                <w:color w:val="000000"/>
                <w:sz w:val="24"/>
                <w:szCs w:val="24"/>
                <w:highlight w:val="none"/>
                <w:u w:val="single"/>
                <w:lang w:val="en-US" w:eastAsia="zh-CN"/>
              </w:rPr>
              <w:t>00</w:t>
            </w:r>
            <w:r>
              <w:rPr>
                <w:rFonts w:hint="eastAsia" w:ascii="宋体" w:hAnsi="宋体" w:eastAsia="宋体" w:cs="宋体"/>
                <w:color w:val="000000"/>
                <w:sz w:val="24"/>
                <w:szCs w:val="24"/>
                <w:highlight w:val="none"/>
              </w:rPr>
              <w:t>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94" w:hRule="exact"/>
        </w:trPr>
        <w:tc>
          <w:tcPr>
            <w:tcW w:w="504"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auto"/>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5</w:t>
            </w:r>
          </w:p>
        </w:tc>
        <w:tc>
          <w:tcPr>
            <w:tcW w:w="1610"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投标保证缴</w:t>
            </w:r>
          </w:p>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纳截止时间</w:t>
            </w:r>
          </w:p>
        </w:tc>
        <w:tc>
          <w:tcPr>
            <w:tcW w:w="7585"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400" w:lineRule="exact"/>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投标保证金到账截止时间：</w:t>
            </w:r>
            <w:r>
              <w:rPr>
                <w:rFonts w:hint="eastAsia" w:ascii="宋体" w:hAnsi="宋体" w:eastAsia="宋体" w:cs="宋体"/>
                <w:color w:val="000000"/>
                <w:sz w:val="24"/>
                <w:szCs w:val="24"/>
                <w:highlight w:val="none"/>
                <w:u w:val="single"/>
                <w:lang w:val="en-US" w:eastAsia="zh-CN"/>
              </w:rPr>
              <w:t>202</w:t>
            </w:r>
            <w:r>
              <w:rPr>
                <w:rFonts w:hint="eastAsia" w:ascii="宋体" w:hAnsi="宋体" w:cs="宋体"/>
                <w:color w:val="000000"/>
                <w:sz w:val="24"/>
                <w:szCs w:val="24"/>
                <w:highlight w:val="none"/>
                <w:u w:val="single"/>
                <w:lang w:val="en-US" w:eastAsia="zh-CN"/>
              </w:rPr>
              <w:t>6</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i w:val="0"/>
                <w:iCs w:val="0"/>
                <w:color w:val="000000"/>
                <w:sz w:val="24"/>
                <w:szCs w:val="24"/>
                <w:highlight w:val="none"/>
                <w:u w:val="none"/>
                <w:lang w:val="en-US" w:eastAsia="zh-CN"/>
              </w:rPr>
              <w:t>年</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21</w:t>
            </w:r>
            <w:r>
              <w:rPr>
                <w:rFonts w:hint="eastAsia" w:ascii="宋体" w:hAnsi="宋体" w:eastAsia="宋体" w:cs="宋体"/>
                <w:color w:val="000000"/>
                <w:sz w:val="24"/>
                <w:szCs w:val="24"/>
                <w:highlight w:val="none"/>
              </w:rPr>
              <w:t>日</w:t>
            </w:r>
            <w:r>
              <w:rPr>
                <w:rFonts w:hint="eastAsia" w:ascii="宋体" w:hAnsi="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时</w:t>
            </w:r>
            <w:r>
              <w:rPr>
                <w:rFonts w:hint="eastAsia" w:ascii="宋体" w:hAnsi="宋体" w:eastAsia="宋体" w:cs="宋体"/>
                <w:color w:val="000000"/>
                <w:sz w:val="24"/>
                <w:szCs w:val="24"/>
                <w:highlight w:val="none"/>
                <w:u w:val="single"/>
                <w:lang w:val="en-US" w:eastAsia="zh-CN"/>
              </w:rPr>
              <w:t>30</w:t>
            </w:r>
            <w:r>
              <w:rPr>
                <w:rFonts w:hint="eastAsia" w:ascii="宋体" w:hAnsi="宋体" w:eastAsia="宋体" w:cs="宋体"/>
                <w:color w:val="000000"/>
                <w:sz w:val="24"/>
                <w:szCs w:val="24"/>
                <w:highlight w:val="none"/>
              </w:rPr>
              <w:t>分</w:t>
            </w:r>
            <w:r>
              <w:rPr>
                <w:rFonts w:hint="eastAsia" w:ascii="宋体" w:hAnsi="宋体" w:eastAsia="宋体" w:cs="宋体"/>
                <w:snapToGrid w:val="0"/>
                <w:color w:val="000000"/>
                <w:kern w:val="0"/>
                <w:sz w:val="24"/>
                <w:highlight w:val="none"/>
              </w:rPr>
              <w:t>；</w:t>
            </w:r>
          </w:p>
          <w:p>
            <w:pPr>
              <w:pStyle w:val="40"/>
              <w:pageBreakBefore w:val="0"/>
              <w:kinsoku/>
              <w:wordWrap w:val="0"/>
              <w:overflowPunct/>
              <w:bidi w:val="0"/>
              <w:adjustRightInd w:val="0"/>
              <w:snapToGrid w:val="0"/>
              <w:spacing w:line="400" w:lineRule="exact"/>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投标保证担保上传截止时间：</w:t>
            </w:r>
            <w:r>
              <w:rPr>
                <w:rFonts w:hint="eastAsia" w:ascii="宋体" w:hAnsi="宋体" w:eastAsia="宋体" w:cs="宋体"/>
                <w:color w:val="000000"/>
                <w:sz w:val="24"/>
                <w:szCs w:val="24"/>
                <w:highlight w:val="none"/>
                <w:u w:val="single"/>
                <w:lang w:val="en-US" w:eastAsia="zh-CN"/>
              </w:rPr>
              <w:t>202</w:t>
            </w:r>
            <w:r>
              <w:rPr>
                <w:rFonts w:hint="eastAsia" w:ascii="宋体" w:hAnsi="宋体" w:cs="宋体"/>
                <w:color w:val="000000"/>
                <w:sz w:val="24"/>
                <w:szCs w:val="24"/>
                <w:highlight w:val="none"/>
                <w:u w:val="single"/>
                <w:lang w:val="en-US" w:eastAsia="zh-CN"/>
              </w:rPr>
              <w:t>6</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i w:val="0"/>
                <w:iCs w:val="0"/>
                <w:color w:val="000000"/>
                <w:sz w:val="24"/>
                <w:szCs w:val="24"/>
                <w:highlight w:val="none"/>
                <w:u w:val="none"/>
                <w:lang w:val="en-US" w:eastAsia="zh-CN"/>
              </w:rPr>
              <w:t>年</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21</w:t>
            </w:r>
            <w:r>
              <w:rPr>
                <w:rFonts w:hint="eastAsia" w:ascii="宋体" w:hAnsi="宋体" w:eastAsia="宋体" w:cs="宋体"/>
                <w:color w:val="000000"/>
                <w:sz w:val="24"/>
                <w:szCs w:val="24"/>
                <w:highlight w:val="none"/>
              </w:rPr>
              <w:t>日</w:t>
            </w:r>
            <w:r>
              <w:rPr>
                <w:rFonts w:hint="eastAsia" w:ascii="宋体" w:hAnsi="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时</w:t>
            </w:r>
            <w:r>
              <w:rPr>
                <w:rFonts w:hint="eastAsia" w:ascii="宋体" w:hAnsi="宋体" w:eastAsia="宋体" w:cs="宋体"/>
                <w:color w:val="000000"/>
                <w:sz w:val="24"/>
                <w:szCs w:val="24"/>
                <w:highlight w:val="none"/>
                <w:u w:val="single"/>
                <w:lang w:val="en-US" w:eastAsia="zh-CN"/>
              </w:rPr>
              <w:t>30</w:t>
            </w:r>
            <w:r>
              <w:rPr>
                <w:rFonts w:hint="eastAsia" w:ascii="宋体" w:hAnsi="宋体" w:eastAsia="宋体" w:cs="宋体"/>
                <w:color w:val="000000"/>
                <w:sz w:val="24"/>
                <w:szCs w:val="24"/>
                <w:highlight w:val="none"/>
              </w:rPr>
              <w:t>分</w:t>
            </w:r>
            <w:r>
              <w:rPr>
                <w:rFonts w:hint="eastAsia" w:ascii="宋体" w:hAnsi="宋体" w:eastAsia="宋体" w:cs="宋体"/>
                <w:snapToGrid w:val="0"/>
                <w:color w:val="000000"/>
                <w:kern w:val="0"/>
                <w:sz w:val="24"/>
                <w:highlight w:val="none"/>
              </w:rPr>
              <w:t>；</w:t>
            </w:r>
          </w:p>
          <w:p>
            <w:pPr>
              <w:pStyle w:val="19"/>
              <w:pageBreakBefore w:val="0"/>
              <w:kinsoku/>
              <w:wordWrap w:val="0"/>
              <w:overflowPunct/>
              <w:bidi w:val="0"/>
              <w:adjustRightInd w:val="0"/>
              <w:snapToGrid w:val="0"/>
              <w:spacing w:line="400" w:lineRule="exact"/>
              <w:rPr>
                <w:rFonts w:hint="eastAsia" w:ascii="宋体" w:hAnsi="宋体" w:eastAsia="宋体" w:cs="宋体"/>
                <w:snapToGrid w:val="0"/>
                <w:color w:val="000000"/>
                <w:kern w:val="0"/>
                <w:szCs w:val="24"/>
                <w:highlight w:val="none"/>
              </w:rPr>
            </w:pPr>
            <w:r>
              <w:rPr>
                <w:rFonts w:hint="eastAsia" w:ascii="宋体" w:hAnsi="宋体" w:eastAsia="宋体" w:cs="宋体"/>
                <w:snapToGrid w:val="0"/>
                <w:color w:val="000000"/>
                <w:kern w:val="0"/>
                <w:szCs w:val="24"/>
                <w:highlight w:val="none"/>
              </w:rPr>
              <w:t>投标保证保险投保截止时间：</w:t>
            </w:r>
            <w:r>
              <w:rPr>
                <w:rFonts w:hint="eastAsia" w:ascii="宋体" w:hAnsi="宋体" w:eastAsia="宋体" w:cs="宋体"/>
                <w:color w:val="000000"/>
                <w:sz w:val="24"/>
                <w:szCs w:val="24"/>
                <w:highlight w:val="none"/>
                <w:u w:val="single"/>
                <w:lang w:val="en-US" w:eastAsia="zh-CN"/>
              </w:rPr>
              <w:t>202</w:t>
            </w:r>
            <w:r>
              <w:rPr>
                <w:rFonts w:hint="eastAsia" w:ascii="宋体" w:hAnsi="宋体" w:cs="宋体"/>
                <w:color w:val="000000"/>
                <w:sz w:val="24"/>
                <w:szCs w:val="24"/>
                <w:highlight w:val="none"/>
                <w:u w:val="single"/>
                <w:lang w:val="en-US" w:eastAsia="zh-CN"/>
              </w:rPr>
              <w:t>6</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i w:val="0"/>
                <w:iCs w:val="0"/>
                <w:color w:val="000000"/>
                <w:sz w:val="24"/>
                <w:szCs w:val="24"/>
                <w:highlight w:val="none"/>
                <w:u w:val="none"/>
                <w:lang w:val="en-US" w:eastAsia="zh-CN"/>
              </w:rPr>
              <w:t>年</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21</w:t>
            </w:r>
            <w:r>
              <w:rPr>
                <w:rFonts w:hint="eastAsia" w:ascii="宋体" w:hAnsi="宋体" w:eastAsia="宋体" w:cs="宋体"/>
                <w:color w:val="000000"/>
                <w:sz w:val="24"/>
                <w:szCs w:val="24"/>
                <w:highlight w:val="none"/>
              </w:rPr>
              <w:t>日</w:t>
            </w:r>
            <w:r>
              <w:rPr>
                <w:rFonts w:hint="eastAsia"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时</w:t>
            </w:r>
            <w:r>
              <w:rPr>
                <w:rFonts w:hint="eastAsia" w:ascii="宋体" w:hAnsi="宋体" w:eastAsia="宋体" w:cs="宋体"/>
                <w:color w:val="000000"/>
                <w:sz w:val="24"/>
                <w:szCs w:val="24"/>
                <w:highlight w:val="none"/>
                <w:u w:val="single"/>
                <w:lang w:val="en-US" w:eastAsia="zh-CN"/>
              </w:rPr>
              <w:t>30</w:t>
            </w:r>
            <w:r>
              <w:rPr>
                <w:rFonts w:hint="eastAsia" w:ascii="宋体" w:hAnsi="宋体" w:eastAsia="宋体" w:cs="宋体"/>
                <w:color w:val="000000"/>
                <w:sz w:val="24"/>
                <w:szCs w:val="24"/>
                <w:highlight w:val="none"/>
              </w:rPr>
              <w:t>分</w:t>
            </w:r>
            <w:r>
              <w:rPr>
                <w:rFonts w:hint="eastAsia" w:ascii="宋体" w:hAnsi="宋体" w:eastAsia="宋体" w:cs="宋体"/>
                <w:snapToGrid w:val="0"/>
                <w:color w:val="000000"/>
                <w:kern w:val="0"/>
                <w:szCs w:val="24"/>
                <w:highlight w:val="none"/>
              </w:rPr>
              <w:t>。</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38" w:hRule="exact"/>
        </w:trPr>
        <w:tc>
          <w:tcPr>
            <w:tcW w:w="504"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auto"/>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6</w:t>
            </w:r>
          </w:p>
        </w:tc>
        <w:tc>
          <w:tcPr>
            <w:tcW w:w="1610"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电子投标</w:t>
            </w:r>
          </w:p>
          <w:p>
            <w:pPr>
              <w:pStyle w:val="40"/>
              <w:pageBreakBefore w:val="0"/>
              <w:kinsoku/>
              <w:wordWrap w:val="0"/>
              <w:overflowPunct/>
              <w:bidi w:val="0"/>
              <w:adjustRightInd w:val="0"/>
              <w:snapToGrid w:val="0"/>
              <w:spacing w:line="360" w:lineRule="exact"/>
              <w:jc w:val="center"/>
              <w:rPr>
                <w:rFonts w:hint="eastAsia" w:ascii="宋体" w:hAnsi="宋体" w:eastAsia="宋体" w:cs="宋体"/>
                <w:strike/>
                <w:snapToGrid w:val="0"/>
                <w:color w:val="000000"/>
                <w:kern w:val="0"/>
                <w:sz w:val="24"/>
                <w:highlight w:val="none"/>
              </w:rPr>
            </w:pPr>
            <w:r>
              <w:rPr>
                <w:rFonts w:hint="eastAsia" w:ascii="宋体" w:hAnsi="宋体" w:eastAsia="宋体" w:cs="宋体"/>
                <w:snapToGrid w:val="0"/>
                <w:color w:val="000000"/>
                <w:kern w:val="0"/>
                <w:sz w:val="24"/>
                <w:highlight w:val="none"/>
              </w:rPr>
              <w:t>截止时间</w:t>
            </w:r>
          </w:p>
        </w:tc>
        <w:tc>
          <w:tcPr>
            <w:tcW w:w="7585" w:type="dxa"/>
            <w:tcBorders>
              <w:top w:val="single" w:color="080000" w:sz="4" w:space="0"/>
              <w:left w:val="single" w:color="080000" w:sz="4" w:space="0"/>
              <w:bottom w:val="single" w:color="080000" w:sz="4" w:space="0"/>
              <w:right w:val="single" w:color="080000" w:sz="4" w:space="0"/>
            </w:tcBorders>
            <w:noWrap w:val="0"/>
            <w:vAlign w:val="center"/>
          </w:tcPr>
          <w:p>
            <w:pPr>
              <w:pStyle w:val="19"/>
              <w:pageBreakBefore w:val="0"/>
              <w:kinsoku/>
              <w:wordWrap w:val="0"/>
              <w:overflowPunct/>
              <w:bidi w:val="0"/>
              <w:adjustRightInd w:val="0"/>
              <w:snapToGrid w:val="0"/>
              <w:spacing w:line="400" w:lineRule="exact"/>
              <w:ind w:firstLine="120" w:firstLineChars="50"/>
              <w:jc w:val="left"/>
              <w:rPr>
                <w:rFonts w:hint="eastAsia" w:ascii="宋体" w:hAnsi="宋体" w:eastAsia="宋体" w:cs="宋体"/>
                <w:snapToGrid w:val="0"/>
                <w:color w:val="000000"/>
                <w:kern w:val="0"/>
                <w:szCs w:val="24"/>
                <w:highlight w:val="none"/>
              </w:rPr>
            </w:pPr>
            <w:r>
              <w:rPr>
                <w:rFonts w:hint="eastAsia" w:ascii="宋体" w:hAnsi="宋体" w:eastAsia="宋体" w:cs="宋体"/>
                <w:color w:val="000000"/>
                <w:sz w:val="24"/>
                <w:szCs w:val="24"/>
                <w:highlight w:val="none"/>
                <w:u w:val="single"/>
                <w:lang w:val="en-US" w:eastAsia="zh-CN"/>
              </w:rPr>
              <w:t xml:space="preserve">2026 </w:t>
            </w:r>
            <w:r>
              <w:rPr>
                <w:rFonts w:hint="eastAsia" w:ascii="宋体" w:hAnsi="宋体" w:eastAsia="宋体" w:cs="宋体"/>
                <w:i w:val="0"/>
                <w:iCs w:val="0"/>
                <w:color w:val="000000"/>
                <w:sz w:val="24"/>
                <w:szCs w:val="24"/>
                <w:highlight w:val="none"/>
                <w:u w:val="none"/>
                <w:lang w:val="en-US" w:eastAsia="zh-CN"/>
              </w:rPr>
              <w:t>年</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22</w:t>
            </w:r>
            <w:r>
              <w:rPr>
                <w:rFonts w:hint="eastAsia" w:ascii="宋体" w:hAnsi="宋体" w:eastAsia="宋体" w:cs="宋体"/>
                <w:color w:val="000000"/>
                <w:sz w:val="24"/>
                <w:szCs w:val="24"/>
                <w:highlight w:val="none"/>
              </w:rPr>
              <w:t>日</w:t>
            </w:r>
            <w:r>
              <w:rPr>
                <w:rFonts w:hint="eastAsia"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时</w:t>
            </w:r>
            <w:r>
              <w:rPr>
                <w:rFonts w:hint="eastAsia" w:ascii="宋体" w:hAnsi="宋体" w:eastAsia="宋体" w:cs="宋体"/>
                <w:color w:val="000000"/>
                <w:sz w:val="24"/>
                <w:szCs w:val="24"/>
                <w:highlight w:val="none"/>
                <w:u w:val="single"/>
                <w:lang w:val="en-US" w:eastAsia="zh-CN"/>
              </w:rPr>
              <w:t>30</w:t>
            </w:r>
            <w:r>
              <w:rPr>
                <w:rFonts w:hint="eastAsia" w:ascii="宋体" w:hAnsi="宋体" w:eastAsia="宋体" w:cs="宋体"/>
                <w:color w:val="000000"/>
                <w:sz w:val="24"/>
                <w:szCs w:val="24"/>
                <w:highlight w:val="none"/>
              </w:rPr>
              <w:t>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10" w:hRule="exact"/>
        </w:trPr>
        <w:tc>
          <w:tcPr>
            <w:tcW w:w="504"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auto"/>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7</w:t>
            </w:r>
          </w:p>
        </w:tc>
        <w:tc>
          <w:tcPr>
            <w:tcW w:w="1610"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highlight w:val="none"/>
              </w:rPr>
              <w:t xml:space="preserve">开标时间 </w:t>
            </w:r>
          </w:p>
        </w:tc>
        <w:tc>
          <w:tcPr>
            <w:tcW w:w="7585" w:type="dxa"/>
            <w:tcBorders>
              <w:top w:val="single" w:color="080000" w:sz="4" w:space="0"/>
              <w:left w:val="single" w:color="080000" w:sz="4" w:space="0"/>
              <w:bottom w:val="single" w:color="080000" w:sz="4" w:space="0"/>
              <w:right w:val="single" w:color="080000" w:sz="4" w:space="0"/>
            </w:tcBorders>
            <w:noWrap w:val="0"/>
            <w:vAlign w:val="center"/>
          </w:tcPr>
          <w:p>
            <w:pPr>
              <w:pStyle w:val="19"/>
              <w:pageBreakBefore w:val="0"/>
              <w:kinsoku/>
              <w:wordWrap w:val="0"/>
              <w:overflowPunct/>
              <w:bidi w:val="0"/>
              <w:adjustRightInd w:val="0"/>
              <w:snapToGrid w:val="0"/>
              <w:spacing w:line="400" w:lineRule="exact"/>
              <w:jc w:val="left"/>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Cs w:val="24"/>
                <w:highlight w:val="none"/>
              </w:rPr>
              <w:t xml:space="preserve"> </w:t>
            </w:r>
            <w:r>
              <w:rPr>
                <w:rFonts w:hint="eastAsia" w:ascii="宋体" w:hAnsi="宋体" w:eastAsia="宋体" w:cs="宋体"/>
                <w:color w:val="000000"/>
                <w:sz w:val="24"/>
                <w:szCs w:val="24"/>
                <w:highlight w:val="none"/>
                <w:u w:val="single"/>
                <w:lang w:val="en-US" w:eastAsia="zh-CN"/>
              </w:rPr>
              <w:t xml:space="preserve">2026 </w:t>
            </w:r>
            <w:r>
              <w:rPr>
                <w:rFonts w:hint="eastAsia" w:ascii="宋体" w:hAnsi="宋体" w:eastAsia="宋体" w:cs="宋体"/>
                <w:i w:val="0"/>
                <w:iCs w:val="0"/>
                <w:color w:val="000000"/>
                <w:sz w:val="24"/>
                <w:szCs w:val="24"/>
                <w:highlight w:val="none"/>
                <w:u w:val="none"/>
                <w:lang w:val="en-US" w:eastAsia="zh-CN"/>
              </w:rPr>
              <w:t>年</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22</w:t>
            </w:r>
            <w:r>
              <w:rPr>
                <w:rFonts w:hint="eastAsia" w:ascii="宋体" w:hAnsi="宋体" w:eastAsia="宋体" w:cs="宋体"/>
                <w:color w:val="000000"/>
                <w:sz w:val="24"/>
                <w:szCs w:val="24"/>
                <w:highlight w:val="none"/>
              </w:rPr>
              <w:t>日</w:t>
            </w:r>
            <w:r>
              <w:rPr>
                <w:rFonts w:hint="eastAsia" w:hAnsi="宋体" w:eastAsia="宋体" w:cs="宋体"/>
                <w:color w:val="000000"/>
                <w:sz w:val="24"/>
                <w:szCs w:val="24"/>
                <w:highlight w:val="none"/>
                <w:u w:val="single"/>
                <w:lang w:val="en-US" w:eastAsia="zh-CN"/>
              </w:rPr>
              <w:t>10</w:t>
            </w:r>
            <w:bookmarkStart w:id="594" w:name="_GoBack"/>
            <w:bookmarkEnd w:id="594"/>
            <w:r>
              <w:rPr>
                <w:rFonts w:hint="eastAsia" w:ascii="宋体" w:hAnsi="宋体" w:eastAsia="宋体" w:cs="宋体"/>
                <w:color w:val="000000"/>
                <w:sz w:val="24"/>
                <w:szCs w:val="24"/>
                <w:highlight w:val="none"/>
              </w:rPr>
              <w:t>时</w:t>
            </w:r>
            <w:r>
              <w:rPr>
                <w:rFonts w:hint="eastAsia" w:ascii="宋体" w:hAnsi="宋体" w:eastAsia="宋体" w:cs="宋体"/>
                <w:color w:val="000000"/>
                <w:sz w:val="24"/>
                <w:szCs w:val="24"/>
                <w:highlight w:val="none"/>
                <w:u w:val="single"/>
                <w:lang w:val="en-US" w:eastAsia="zh-CN"/>
              </w:rPr>
              <w:t>30</w:t>
            </w:r>
            <w:r>
              <w:rPr>
                <w:rFonts w:hint="eastAsia" w:ascii="宋体" w:hAnsi="宋体" w:eastAsia="宋体" w:cs="宋体"/>
                <w:color w:val="000000"/>
                <w:sz w:val="24"/>
                <w:szCs w:val="24"/>
                <w:highlight w:val="none"/>
              </w:rPr>
              <w:t>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607" w:hRule="exact"/>
        </w:trPr>
        <w:tc>
          <w:tcPr>
            <w:tcW w:w="504"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auto"/>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8</w:t>
            </w:r>
          </w:p>
        </w:tc>
        <w:tc>
          <w:tcPr>
            <w:tcW w:w="1610"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highlight w:val="none"/>
              </w:rPr>
              <w:t xml:space="preserve">开标地点 </w:t>
            </w:r>
          </w:p>
        </w:tc>
        <w:tc>
          <w:tcPr>
            <w:tcW w:w="7585"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auto"/>
              <w:jc w:val="left"/>
              <w:rPr>
                <w:rFonts w:hint="eastAsia" w:ascii="宋体" w:hAnsi="宋体" w:eastAsia="宋体" w:cs="宋体"/>
                <w:snapToGrid w:val="0"/>
                <w:color w:val="000000"/>
                <w:kern w:val="0"/>
                <w:sz w:val="24"/>
                <w:szCs w:val="24"/>
                <w:highlight w:val="none"/>
                <w:lang w:val="en" w:eastAsia="zh-CN"/>
              </w:rPr>
            </w:pPr>
            <w:r>
              <w:rPr>
                <w:rFonts w:hint="eastAsia" w:ascii="宋体" w:hAnsi="宋体" w:eastAsia="宋体" w:cs="宋体"/>
                <w:snapToGrid w:val="0"/>
                <w:color w:val="000000"/>
                <w:kern w:val="0"/>
                <w:sz w:val="24"/>
                <w:szCs w:val="24"/>
                <w:highlight w:val="none"/>
              </w:rPr>
              <w:t>开标场所：</w:t>
            </w:r>
            <w:r>
              <w:rPr>
                <w:rFonts w:hint="eastAsia" w:ascii="宋体" w:hAnsi="宋体" w:eastAsia="宋体" w:cs="宋体"/>
                <w:snapToGrid w:val="0"/>
                <w:color w:val="000000"/>
                <w:kern w:val="0"/>
                <w:sz w:val="24"/>
                <w:szCs w:val="24"/>
                <w:highlight w:val="none"/>
                <w:lang w:val="en" w:eastAsia="zh-CN"/>
              </w:rPr>
              <w:t>韶关市公共资源交易中心南雄分中心</w:t>
            </w:r>
          </w:p>
          <w:p>
            <w:pPr>
              <w:pStyle w:val="40"/>
              <w:pageBreakBefore w:val="0"/>
              <w:kinsoku/>
              <w:wordWrap w:val="0"/>
              <w:overflowPunct/>
              <w:bidi w:val="0"/>
              <w:adjustRightInd w:val="0"/>
              <w:snapToGrid w:val="0"/>
              <w:spacing w:line="360" w:lineRule="auto"/>
              <w:jc w:val="left"/>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 w:eastAsia="zh-CN"/>
              </w:rPr>
              <w:t>地址：南雄市雄东路1号大润发四楼韶关市公共资源交易中心南雄分中心，具体房间号以当日现场通知为准。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569" w:hRule="exact"/>
        </w:trPr>
        <w:tc>
          <w:tcPr>
            <w:tcW w:w="504"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auto"/>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9</w:t>
            </w:r>
          </w:p>
        </w:tc>
        <w:tc>
          <w:tcPr>
            <w:tcW w:w="1610" w:type="dxa"/>
            <w:tcBorders>
              <w:top w:val="single" w:color="080000" w:sz="4" w:space="0"/>
              <w:left w:val="single" w:color="080000" w:sz="4" w:space="0"/>
              <w:bottom w:val="single" w:color="080000" w:sz="4" w:space="0"/>
              <w:right w:val="single" w:color="080000" w:sz="4" w:space="0"/>
            </w:tcBorders>
            <w:noWrap w:val="0"/>
            <w:vAlign w:val="center"/>
          </w:tcPr>
          <w:p>
            <w:pPr>
              <w:pageBreakBefore w:val="0"/>
              <w:kinsoku/>
              <w:wordWrap w:val="0"/>
              <w:overflowPunct/>
              <w:bidi w:val="0"/>
              <w:adjustRightInd w:val="0"/>
              <w:snapToGrid w:val="0"/>
              <w:spacing w:line="360" w:lineRule="auto"/>
              <w:jc w:val="center"/>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szCs w:val="24"/>
                <w:highlight w:val="none"/>
              </w:rPr>
              <w:t>备注</w:t>
            </w:r>
          </w:p>
        </w:tc>
        <w:tc>
          <w:tcPr>
            <w:tcW w:w="7585" w:type="dxa"/>
            <w:tcBorders>
              <w:top w:val="single" w:color="080000" w:sz="4" w:space="0"/>
              <w:left w:val="single" w:color="080000" w:sz="4" w:space="0"/>
              <w:bottom w:val="single" w:color="080000" w:sz="4" w:space="0"/>
              <w:right w:val="single" w:color="080000" w:sz="4" w:space="0"/>
            </w:tcBorders>
            <w:noWrap w:val="0"/>
            <w:vAlign w:val="center"/>
          </w:tcPr>
          <w:p>
            <w:pPr>
              <w:pageBreakBefore w:val="0"/>
              <w:kinsoku/>
              <w:wordWrap w:val="0"/>
              <w:overflowPunct/>
              <w:bidi w:val="0"/>
              <w:adjustRightInd w:val="0"/>
              <w:snapToGrid w:val="0"/>
              <w:spacing w:line="360" w:lineRule="auto"/>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szCs w:val="24"/>
                <w:highlight w:val="none"/>
              </w:rPr>
              <w:t>投标人应按有关要求办理数字证书（CA）和企业入库、获取招标文件、资料文件及招标答疑书等。若由于投标人自身原因未能及时取得上述资料的，由此发生的任何责任由投标人自行承担。</w:t>
            </w:r>
          </w:p>
        </w:tc>
      </w:tr>
    </w:tbl>
    <w:p>
      <w:pPr>
        <w:pStyle w:val="4"/>
        <w:pageBreakBefore w:val="0"/>
        <w:kinsoku/>
        <w:wordWrap w:val="0"/>
        <w:overflowPunct/>
        <w:autoSpaceDE/>
        <w:autoSpaceDN/>
        <w:bidi w:val="0"/>
        <w:snapToGrid w:val="0"/>
        <w:spacing w:after="260" w:line="440" w:lineRule="exact"/>
        <w:jc w:val="center"/>
        <w:rPr>
          <w:rFonts w:hint="eastAsia" w:asciiTheme="minorEastAsia" w:hAnsiTheme="minorEastAsia" w:eastAsiaTheme="minorEastAsia" w:cstheme="minorEastAsia"/>
          <w:color w:val="000000" w:themeColor="text1"/>
          <w:sz w:val="24"/>
          <w:szCs w:val="28"/>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br w:type="page"/>
      </w:r>
      <w:bookmarkStart w:id="9" w:name="_Hlt69669159"/>
      <w:bookmarkEnd w:id="9"/>
      <w:bookmarkStart w:id="10" w:name="_Toc7695"/>
      <w:bookmarkStart w:id="11" w:name="_Hlt69698705"/>
      <w:bookmarkStart w:id="12" w:name="_Hlt69698754"/>
      <w:r>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t>第三节</w:t>
      </w:r>
      <w:bookmarkStart w:id="13" w:name="_Hlt87793819"/>
      <w:bookmarkEnd w:id="13"/>
      <w:r>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t xml:space="preserve"> </w:t>
      </w:r>
      <w:r>
        <w:rPr>
          <w:rFonts w:hint="eastAsia" w:asciiTheme="minorEastAsia" w:hAnsiTheme="minorEastAsia" w:eastAsiaTheme="minorEastAsia" w:cstheme="minorEastAsia"/>
          <w:b/>
          <w:color w:val="000000" w:themeColor="text1"/>
          <w:kern w:val="2"/>
          <w:szCs w:val="24"/>
          <w:highlight w:val="none"/>
          <w:lang w:eastAsia="zh-CN"/>
          <w14:textFill>
            <w14:solidFill>
              <w14:schemeClr w14:val="tx1"/>
            </w14:solidFill>
          </w14:textFill>
        </w:rPr>
        <w:t>投标人须知</w:t>
      </w:r>
      <w:r>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t>正文</w:t>
      </w:r>
      <w:bookmarkEnd w:id="10"/>
      <w:bookmarkEnd w:id="11"/>
      <w:bookmarkEnd w:id="12"/>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u w:val="single"/>
          <w:lang w:eastAsia="zh-CN"/>
          <w14:textFill>
            <w14:solidFill>
              <w14:schemeClr w14:val="tx1"/>
            </w14:solidFill>
          </w14:textFill>
        </w:rPr>
        <w:t>南雄市“银杏染秋”乡村振兴示范带建设项目</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业经</w:t>
      </w:r>
      <w:r>
        <w:rPr>
          <w:rFonts w:hint="eastAsia" w:asciiTheme="minorEastAsia" w:hAnsiTheme="minorEastAsia" w:eastAsiaTheme="minorEastAsia" w:cstheme="minorEastAsia"/>
          <w:snapToGrid w:val="0"/>
          <w:color w:val="000000" w:themeColor="text1"/>
          <w:kern w:val="0"/>
          <w:highlight w:val="none"/>
          <w:u w:val="single"/>
          <w:lang w:eastAsia="zh-CN"/>
          <w14:textFill>
            <w14:solidFill>
              <w14:schemeClr w14:val="tx1"/>
            </w14:solidFill>
          </w14:textFill>
        </w:rPr>
        <w:t>南雄市发展和改革局</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以《</w:t>
      </w:r>
      <w:r>
        <w:rPr>
          <w:rFonts w:hint="eastAsia" w:asciiTheme="minorEastAsia" w:hAnsiTheme="minorEastAsia" w:eastAsiaTheme="minorEastAsia" w:cstheme="minorEastAsia"/>
          <w:snapToGrid w:val="0"/>
          <w:color w:val="000000" w:themeColor="text1"/>
          <w:kern w:val="0"/>
          <w:szCs w:val="24"/>
          <w:highlight w:val="none"/>
          <w:u w:val="single"/>
          <w:lang w:eastAsia="zh-CN"/>
          <w14:textFill>
            <w14:solidFill>
              <w14:schemeClr w14:val="tx1"/>
            </w14:solidFill>
          </w14:textFill>
        </w:rPr>
        <w:t>关于南雄市“银杏染秋”乡村振兴示范带建设项目可行性研究报告的批复</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u w:val="single"/>
          <w:lang w:eastAsia="zh-CN"/>
          <w14:textFill>
            <w14:solidFill>
              <w14:schemeClr w14:val="tx1"/>
            </w14:solidFill>
          </w14:textFill>
        </w:rPr>
        <w:t>雄发改投审[2024]106号、雄发改投审[2026]95号</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批准建设，项目代码为</w:t>
      </w:r>
      <w:r>
        <w:rPr>
          <w:rFonts w:hint="eastAsia" w:asciiTheme="minorEastAsia" w:hAnsiTheme="minorEastAsia" w:eastAsiaTheme="minorEastAsia" w:cstheme="minorEastAsia"/>
          <w:color w:val="000000" w:themeColor="text1"/>
          <w:szCs w:val="24"/>
          <w:highlight w:val="none"/>
          <w:u w:val="single"/>
          <w:lang w:eastAsia="zh-CN"/>
          <w14:textFill>
            <w14:solidFill>
              <w14:schemeClr w14:val="tx1"/>
            </w14:solidFill>
          </w14:textFill>
        </w:rPr>
        <w:t>2407-440282-20-01-288869</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项目</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业主为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南雄市乡村振兴服务中心</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，建设资金来自</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市财政统筹</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，出资比例</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100%</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，招标人为</w:t>
      </w:r>
      <w:r>
        <w:rPr>
          <w:rFonts w:hint="eastAsia" w:asciiTheme="minorEastAsia" w:hAnsiTheme="minorEastAsia" w:eastAsiaTheme="minorEastAsia" w:cstheme="minorEastAsia"/>
          <w:snapToGrid w:val="0"/>
          <w:color w:val="000000" w:themeColor="text1"/>
          <w:kern w:val="0"/>
          <w:highlight w:val="none"/>
          <w:u w:val="single"/>
          <w:lang w:eastAsia="zh-CN"/>
          <w14:textFill>
            <w14:solidFill>
              <w14:schemeClr w14:val="tx1"/>
            </w14:solidFill>
          </w14:textFill>
        </w:rPr>
        <w:t>南雄市水口镇人民政府</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，招标代理机构为</w:t>
      </w:r>
      <w:r>
        <w:rPr>
          <w:rFonts w:hint="eastAsia" w:asciiTheme="minorEastAsia" w:hAnsiTheme="minorEastAsia" w:eastAsiaTheme="minorEastAsia" w:cstheme="minorEastAsia"/>
          <w:color w:val="000000" w:themeColor="text1"/>
          <w:kern w:val="0"/>
          <w:highlight w:val="none"/>
          <w:u w:val="single"/>
          <w:lang w:eastAsia="zh-CN"/>
          <w14:textFill>
            <w14:solidFill>
              <w14:schemeClr w14:val="tx1"/>
            </w14:solidFill>
          </w14:textFill>
        </w:rPr>
        <w:t>中晋工程项目管理有限公司</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。项目已具备招标条件，现对该项目的</w:t>
      </w:r>
      <w:r>
        <w:rPr>
          <w:rFonts w:hint="eastAsia" w:asciiTheme="minorEastAsia" w:hAnsiTheme="minorEastAsia" w:eastAsiaTheme="minorEastAsia" w:cstheme="minorEastAsia"/>
          <w:snapToGrid w:val="0"/>
          <w:color w:val="000000" w:themeColor="text1"/>
          <w:kern w:val="0"/>
          <w:szCs w:val="24"/>
          <w:highlight w:val="none"/>
          <w:u w:val="single"/>
          <w:lang w:val="en-US" w:eastAsia="zh-CN"/>
          <w14:textFill>
            <w14:solidFill>
              <w14:schemeClr w14:val="tx1"/>
            </w14:solidFill>
          </w14:textFill>
        </w:rPr>
        <w:t>施工图设计和施工总承包</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进行公开招标。</w:t>
      </w:r>
      <w:bookmarkStart w:id="14" w:name="_Hlt119991399"/>
      <w:bookmarkEnd w:id="14"/>
      <w:bookmarkStart w:id="15" w:name="_Hlt109358474"/>
      <w:bookmarkEnd w:id="15"/>
      <w:bookmarkStart w:id="16" w:name="_Hlt87948285"/>
      <w:bookmarkEnd w:id="16"/>
      <w:bookmarkStart w:id="17" w:name="_Hlt78795222"/>
      <w:bookmarkEnd w:id="17"/>
      <w:bookmarkStart w:id="18" w:name="_Hlt74474735"/>
      <w:bookmarkEnd w:id="18"/>
      <w:bookmarkStart w:id="19" w:name="_Toc31976"/>
      <w:bookmarkStart w:id="20" w:name="_Toc30732"/>
      <w:bookmarkStart w:id="21" w:name="_Toc574"/>
      <w:bookmarkStart w:id="22" w:name="_Toc24563"/>
      <w:bookmarkStart w:id="23" w:name="_Toc25252"/>
      <w:bookmarkStart w:id="24" w:name="_Toc18453"/>
      <w:bookmarkStart w:id="25" w:name="_Toc4081"/>
      <w:bookmarkStart w:id="26" w:name="_Toc23054"/>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bCs/>
          <w:snapToGrid w:val="0"/>
          <w:color w:val="000000" w:themeColor="text1"/>
          <w:highlight w:val="none"/>
          <w14:textFill>
            <w14:solidFill>
              <w14:schemeClr w14:val="tx1"/>
            </w14:solidFill>
          </w14:textFill>
        </w:rPr>
      </w:pPr>
      <w:bookmarkStart w:id="27" w:name="_Toc17124"/>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1、工程概况</w:t>
      </w:r>
      <w:bookmarkEnd w:id="19"/>
      <w:bookmarkEnd w:id="20"/>
      <w:bookmarkEnd w:id="21"/>
      <w:bookmarkEnd w:id="22"/>
      <w:bookmarkEnd w:id="23"/>
      <w:bookmarkEnd w:id="24"/>
      <w:bookmarkEnd w:id="25"/>
      <w:bookmarkEnd w:id="26"/>
      <w:bookmarkEnd w:id="27"/>
    </w:p>
    <w:p>
      <w:pPr>
        <w:pStyle w:val="40"/>
        <w:pageBreakBefore w:val="0"/>
        <w:kinsoku/>
        <w:wordWrap w:val="0"/>
        <w:overflowPunct/>
        <w:bidi w:val="0"/>
        <w:adjustRightInd w:val="0"/>
        <w:snapToGrid w:val="0"/>
        <w:spacing w:line="360" w:lineRule="auto"/>
        <w:ind w:firstLine="480"/>
        <w:jc w:val="left"/>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1.1</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 xml:space="preserve"> 工程概况</w:t>
      </w:r>
    </w:p>
    <w:p>
      <w:pPr>
        <w:pStyle w:val="40"/>
        <w:pageBreakBefore w:val="0"/>
        <w:kinsoku/>
        <w:wordWrap w:val="0"/>
        <w:overflowPunct/>
        <w:bidi w:val="0"/>
        <w:adjustRightInd w:val="0"/>
        <w:snapToGrid w:val="0"/>
        <w:spacing w:line="360" w:lineRule="auto"/>
        <w:ind w:firstLine="480"/>
        <w:jc w:val="left"/>
        <w:rPr>
          <w:rFonts w:hint="eastAsia" w:asciiTheme="minorEastAsia" w:hAnsiTheme="minorEastAsia" w:eastAsiaTheme="minorEastAsia" w:cstheme="minorEastAsia"/>
          <w:color w:val="000000" w:themeColor="text1"/>
          <w:sz w:val="24"/>
          <w:szCs w:val="18"/>
          <w:highlight w:val="none"/>
          <w:u w:val="singl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1.1.1</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 xml:space="preserve"> 建设地点：</w:t>
      </w:r>
      <w:r>
        <w:rPr>
          <w:rFonts w:hint="eastAsia" w:asciiTheme="minorEastAsia" w:hAnsiTheme="minorEastAsia" w:eastAsiaTheme="minorEastAsia" w:cstheme="minorEastAsia"/>
          <w:color w:val="000000" w:themeColor="text1"/>
          <w:kern w:val="2"/>
          <w:sz w:val="24"/>
          <w:szCs w:val="24"/>
          <w:highlight w:val="none"/>
          <w:u w:val="single"/>
          <w:lang w:val="en-US" w:eastAsia="zh-CN" w:bidi="ar-SA"/>
          <w14:textFill>
            <w14:solidFill>
              <w14:schemeClr w14:val="tx1"/>
            </w14:solidFill>
          </w14:textFill>
        </w:rPr>
        <w:t>水口镇水口村、石庄村</w:t>
      </w:r>
    </w:p>
    <w:p>
      <w:pPr>
        <w:pStyle w:val="37"/>
        <w:pageBreakBefore w:val="0"/>
        <w:kinsoku/>
        <w:wordWrap w:val="0"/>
        <w:overflowPunct/>
        <w:bidi w:val="0"/>
        <w:ind w:firstLine="482" w:firstLineChars="200"/>
        <w:rPr>
          <w:rFonts w:hint="eastAsia" w:asciiTheme="minorEastAsia" w:hAnsiTheme="minorEastAsia" w:eastAsiaTheme="minorEastAsia" w:cstheme="minorEastAsia"/>
          <w:color w:val="000000" w:themeColor="text1"/>
          <w:szCs w:val="24"/>
          <w:highlight w:val="none"/>
          <w:u w:val="none"/>
          <w14:textFill>
            <w14:solidFill>
              <w14:schemeClr w14:val="tx1"/>
            </w14:solidFill>
          </w14:textFill>
        </w:rPr>
      </w:pPr>
      <w:r>
        <w:rPr>
          <w:rFonts w:hint="eastAsia" w:asciiTheme="minorEastAsia" w:hAnsiTheme="minorEastAsia" w:eastAsiaTheme="minorEastAsia" w:cstheme="minorEastAsia"/>
          <w:b/>
          <w:bCs/>
          <w:color w:val="000000" w:themeColor="text1"/>
          <w:kern w:val="2"/>
          <w:sz w:val="24"/>
          <w:szCs w:val="24"/>
          <w:highlight w:val="none"/>
          <w:lang w:val="en-US" w:eastAsia="zh-CN" w:bidi="ar-SA"/>
          <w14:textFill>
            <w14:solidFill>
              <w14:schemeClr w14:val="tx1"/>
            </w14:solidFill>
          </w14:textFill>
        </w:rPr>
        <w:t>1.1.2</w:t>
      </w:r>
      <w:r>
        <w:rPr>
          <w:rFonts w:hint="eastAsia" w:asciiTheme="minorEastAsia" w:hAnsiTheme="minorEastAsia" w:eastAsiaTheme="minorEastAsia" w:cstheme="minorEastAsia"/>
          <w:color w:val="000000" w:themeColor="text1"/>
          <w:szCs w:val="24"/>
          <w:highlight w:val="none"/>
          <w:u w:val="none"/>
          <w14:textFill>
            <w14:solidFill>
              <w14:schemeClr w14:val="tx1"/>
            </w14:solidFill>
          </w14:textFill>
        </w:rPr>
        <w:t xml:space="preserve"> 建设内容和规模：</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南雄市水口镇典型村建设项目一石庄村，涉及石庄村的整体改造与提升，包括道路两侧的美化、水渠的美化、路面的提升等。主要建设内容：1.石庄村卷头、正刘段建设四小园10个约13000平方米，建设矮墙、清水墙380米；2.在村委会路口旁空地、卷头、正刘祠堂路口进行整治，建设花池150米；3.提升硬化路面1000平方米用于制作篮球广场及停车坪；4.各大节点，打造5户美丽庭院，其中重点打造2户美丽庭院；5.进行绿化提升，种植红叶石楠、柳树等乔木约200棵，合理搭配灌木和地被花卉。相关建设内容。目的在于提升石庄村的整体风貌，建设宜居的村环境。水口村，涉及水口村的整体改造与提升，包括道路两侧的美化、水渠的美化、路面的提升等。主要建设内容：1.营地建设面积6500m2,排水沟850m,园路3500m2,建设塑木平台6处米,2.搭设塑木栈道250m打造美丽田园,3.打造休闲公园500m2,4.进行绿化提升，种植红叶石楠、柳树等乔木约160棵，合理搭配灌木和地被花卉。相关建设内容。目的在于提升水口村的整体风貌，建设宜居的村环境。</w:t>
      </w:r>
    </w:p>
    <w:p>
      <w:pPr>
        <w:pStyle w:val="37"/>
        <w:pageBreakBefore w:val="0"/>
        <w:kinsoku/>
        <w:wordWrap w:val="0"/>
        <w:overflowPunct/>
        <w:bidi w:val="0"/>
        <w:ind w:firstLine="482" w:firstLineChars="200"/>
        <w:rPr>
          <w:rFonts w:hint="eastAsia" w:asciiTheme="minorEastAsia" w:hAnsiTheme="minorEastAsia" w:eastAsiaTheme="minorEastAsia" w:cstheme="minorEastAsia"/>
          <w:color w:val="000000" w:themeColor="text1"/>
          <w:szCs w:val="24"/>
          <w:highlight w:val="none"/>
          <w:u w:val="single"/>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kern w:val="2"/>
          <w:sz w:val="24"/>
          <w:szCs w:val="24"/>
          <w:highlight w:val="none"/>
          <w:lang w:val="en-US" w:eastAsia="zh-CN" w:bidi="ar-SA"/>
          <w14:textFill>
            <w14:solidFill>
              <w14:schemeClr w14:val="tx1"/>
            </w14:solidFill>
          </w14:textFill>
        </w:rPr>
        <w:t>1.1.3</w:t>
      </w:r>
      <w:r>
        <w:rPr>
          <w:rFonts w:hint="eastAsia" w:asciiTheme="minorEastAsia" w:hAnsiTheme="minorEastAsia" w:eastAsiaTheme="minorEastAsia" w:cstheme="minorEastAsia"/>
          <w:b/>
          <w:bCs/>
          <w:color w:val="000000" w:themeColor="text1"/>
          <w:kern w:val="2"/>
          <w:sz w:val="24"/>
          <w:szCs w:val="24"/>
          <w:highlight w:val="none"/>
          <w:u w:val="none"/>
          <w:lang w:val="en-US" w:eastAsia="zh-CN" w:bidi="ar-SA"/>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u w:val="none"/>
          <w14:textFill>
            <w14:solidFill>
              <w14:schemeClr w14:val="tx1"/>
            </w14:solidFill>
          </w14:textFill>
        </w:rPr>
        <w:t>项目总投资：</w:t>
      </w:r>
      <w:bookmarkStart w:id="28" w:name="_Toc20999"/>
      <w:r>
        <w:rPr>
          <w:rFonts w:hint="eastAsia" w:asciiTheme="minorEastAsia" w:hAnsiTheme="minorEastAsia" w:eastAsiaTheme="minorEastAsia" w:cstheme="minorEastAsia"/>
          <w:color w:val="000000" w:themeColor="text1"/>
          <w:szCs w:val="24"/>
          <w:highlight w:val="none"/>
          <w:u w:val="single"/>
          <w:lang w:val="en-US" w:eastAsia="zh-CN"/>
          <w14:textFill>
            <w14:solidFill>
              <w14:schemeClr w14:val="tx1"/>
            </w14:solidFill>
          </w14:textFill>
        </w:rPr>
        <w:t>本次招标概算总投资577.34万元，其中建安工程费约483.57万元，施工图设计费约11.10万元。</w:t>
      </w:r>
    </w:p>
    <w:p>
      <w:pPr>
        <w:pageBreakBefore w:val="0"/>
        <w:widowControl/>
        <w:kinsoku/>
        <w:wordWrap w:val="0"/>
        <w:overflowPunct/>
        <w:bidi w:val="0"/>
        <w:spacing w:line="360" w:lineRule="auto"/>
        <w:ind w:left="511" w:leftChars="213"/>
        <w:rPr>
          <w:rFonts w:hint="eastAsia" w:asciiTheme="minorEastAsia" w:hAnsiTheme="minorEastAsia" w:eastAsiaTheme="minorEastAsia" w:cstheme="minorEastAsia"/>
          <w:snapToGrid w:val="0"/>
          <w:color w:val="000000" w:themeColor="text1"/>
          <w:kern w:val="0"/>
          <w:highlight w:val="none"/>
          <w:u w:val="singl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highlight w:val="none"/>
          <w14:textFill>
            <w14:solidFill>
              <w14:schemeClr w14:val="tx1"/>
            </w14:solidFill>
          </w14:textFill>
        </w:rPr>
        <w:t>1.2</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 xml:space="preserve"> 标段划分：</w:t>
      </w:r>
      <w:bookmarkEnd w:id="28"/>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本招标项目不划分标段。</w:t>
      </w:r>
    </w:p>
    <w:p>
      <w:pPr>
        <w:pStyle w:val="37"/>
        <w:pageBreakBefore w:val="0"/>
        <w:tabs>
          <w:tab w:val="left" w:pos="7020"/>
        </w:tabs>
        <w:kinsoku/>
        <w:wordWrap w:val="0"/>
        <w:overflowPunct/>
        <w:bidi w:val="0"/>
        <w:ind w:firstLine="482"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1.3</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监理单位：</w:t>
      </w:r>
      <w:r>
        <w:rPr>
          <w:rFonts w:hint="eastAsia" w:asciiTheme="minorEastAsia" w:hAnsiTheme="minorEastAsia" w:eastAsiaTheme="minorEastAsia" w:cstheme="minorEastAsia"/>
          <w:color w:val="000000" w:themeColor="text1"/>
          <w:szCs w:val="18"/>
          <w:highlight w:val="none"/>
          <w:u w:val="single"/>
          <w14:textFill>
            <w14:solidFill>
              <w14:schemeClr w14:val="tx1"/>
            </w14:solidFill>
          </w14:textFill>
        </w:rPr>
        <w:t>待定</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w:t>
      </w:r>
    </w:p>
    <w:p>
      <w:pPr>
        <w:pStyle w:val="37"/>
        <w:pageBreakBefore w:val="0"/>
        <w:kinsoku/>
        <w:wordWrap w:val="0"/>
        <w:overflowPunct/>
        <w:bidi w:val="0"/>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投标费用：</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投标人应承担所有准备和参加投标的相关费用，不论投标结果如何，招标人均无义务和责任承担这些费用</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w:t>
      </w:r>
      <w:bookmarkStart w:id="29" w:name="_Toc106184808"/>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30" w:name="_Toc12190"/>
      <w:bookmarkStart w:id="31" w:name="_Toc121"/>
      <w:bookmarkStart w:id="32" w:name="_Toc22790"/>
      <w:bookmarkStart w:id="33" w:name="_Toc17359"/>
      <w:bookmarkStart w:id="34" w:name="_Toc14958"/>
      <w:bookmarkStart w:id="35" w:name="_Toc18851"/>
      <w:bookmarkStart w:id="36" w:name="_Toc32400"/>
      <w:bookmarkStart w:id="37" w:name="_Toc7700"/>
      <w:bookmarkStart w:id="38" w:name="_Toc22550"/>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2、招标范围</w:t>
      </w:r>
      <w:bookmarkEnd w:id="29"/>
      <w:bookmarkEnd w:id="30"/>
      <w:bookmarkEnd w:id="31"/>
      <w:bookmarkEnd w:id="32"/>
      <w:bookmarkEnd w:id="33"/>
      <w:bookmarkEnd w:id="34"/>
      <w:bookmarkEnd w:id="35"/>
      <w:bookmarkEnd w:id="36"/>
      <w:bookmarkEnd w:id="37"/>
      <w:bookmarkEnd w:id="38"/>
    </w:p>
    <w:p>
      <w:pPr>
        <w:pStyle w:val="42"/>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bookmarkStart w:id="39" w:name="_Hlt91408212"/>
      <w:bookmarkEnd w:id="39"/>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2.1</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招标范围：</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本工程所涉及的内容包括但不限于以下（1）～（</w:t>
      </w:r>
      <w:r>
        <w:rPr>
          <w:rFonts w:hint="eastAsia" w:asciiTheme="minorEastAsia" w:hAnsiTheme="minorEastAsia" w:eastAsiaTheme="minorEastAsia" w:cstheme="minorEastAsia"/>
          <w:color w:val="000000" w:themeColor="text1"/>
          <w:sz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w:t>
      </w:r>
    </w:p>
    <w:p>
      <w:pPr>
        <w:pStyle w:val="37"/>
        <w:pageBreakBefore w:val="0"/>
        <w:numPr>
          <w:ilvl w:val="0"/>
          <w:numId w:val="0"/>
        </w:numPr>
        <w:kinsoku/>
        <w:wordWrap w:val="0"/>
        <w:overflowPunct/>
        <w:bidi w:val="0"/>
        <w:ind w:leftChars="0" w:firstLine="240" w:firstLineChars="100"/>
        <w:jc w:val="lef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bookmarkStart w:id="40" w:name="_Toc4645"/>
      <w:bookmarkStart w:id="41" w:name="_Toc7799"/>
      <w:bookmarkStart w:id="42" w:name="_Toc13988"/>
      <w:bookmarkStart w:id="43" w:name="_Toc2350"/>
      <w:bookmarkStart w:id="44" w:name="_Toc32739"/>
      <w:bookmarkStart w:id="45" w:name="_Toc26845"/>
      <w:bookmarkStart w:id="46" w:name="_Toc708"/>
      <w:bookmarkStart w:id="47" w:name="_Toc27886"/>
      <w:bookmarkStart w:id="48" w:name="_Toc1366"/>
      <w:bookmarkStart w:id="49" w:name="_Toc21803"/>
      <w:bookmarkStart w:id="50" w:name="_Toc2217"/>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1）</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设计部分：</w:t>
      </w:r>
      <w:r>
        <w:rPr>
          <w:rFonts w:hint="eastAsia" w:asciiTheme="minorEastAsia" w:hAnsiTheme="minorEastAsia" w:eastAsiaTheme="minorEastAsia" w:cstheme="minorEastAsia"/>
          <w:snapToGrid w:val="0"/>
          <w:color w:val="000000" w:themeColor="text1"/>
          <w:kern w:val="0"/>
          <w:sz w:val="24"/>
          <w:szCs w:val="24"/>
          <w:highlight w:val="none"/>
          <w:lang w:val="zh-CN"/>
          <w14:textFill>
            <w14:solidFill>
              <w14:schemeClr w14:val="tx1"/>
            </w14:solidFill>
          </w14:textFill>
        </w:rPr>
        <w:t>确保项目顺利实施的报建、报批、施工等所需的所有建安工程等设计文件。包括但不限于：施工图设计、</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提供项目所需相关检测项的明细表和危险性较大的分部分项工程清单及保障安全相关说明</w:t>
      </w: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lang w:val="zh-CN"/>
          <w14:textFill>
            <w14:solidFill>
              <w14:schemeClr w14:val="tx1"/>
            </w14:solidFill>
          </w14:textFill>
        </w:rPr>
        <w:t>工地现场服务、验收过程中的设计指导及配合阶段验收及档案整理、协助施工单位编制竣工图及后续设计服务工作</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p>
    <w:p>
      <w:pPr>
        <w:pStyle w:val="37"/>
        <w:pageBreakBefore w:val="0"/>
        <w:kinsoku/>
        <w:wordWrap w:val="0"/>
        <w:overflowPunct/>
        <w:bidi w:val="0"/>
        <w:ind w:firstLine="241" w:firstLineChars="100"/>
        <w:jc w:val="lef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 w:val="24"/>
          <w:szCs w:val="24"/>
          <w:highlight w:val="none"/>
          <w14:textFill>
            <w14:solidFill>
              <w14:schemeClr w14:val="tx1"/>
            </w14:solidFill>
          </w14:textFill>
        </w:rPr>
        <w:t>注：设计文件深度要求必须满足</w:t>
      </w:r>
      <w:r>
        <w:rPr>
          <w:rFonts w:hint="eastAsia" w:asciiTheme="minorEastAsia" w:hAnsiTheme="minorEastAsia" w:eastAsiaTheme="minorEastAsia" w:cstheme="minorEastAsia"/>
          <w:b/>
          <w:bCs/>
          <w:snapToGrid w:val="0"/>
          <w:color w:val="000000" w:themeColor="text1"/>
          <w:kern w:val="0"/>
          <w:sz w:val="24"/>
          <w:szCs w:val="24"/>
          <w:highlight w:val="none"/>
          <w:lang w:eastAsia="zh-CN"/>
          <w14:textFill>
            <w14:solidFill>
              <w14:schemeClr w14:val="tx1"/>
            </w14:solidFill>
          </w14:textFill>
        </w:rPr>
        <w:t>住房和城乡建设部</w:t>
      </w:r>
      <w:r>
        <w:rPr>
          <w:rFonts w:hint="eastAsia" w:asciiTheme="minorEastAsia" w:hAnsiTheme="minorEastAsia" w:eastAsiaTheme="minorEastAsia" w:cstheme="minorEastAsia"/>
          <w:b/>
          <w:bCs/>
          <w:snapToGrid w:val="0"/>
          <w:color w:val="000000" w:themeColor="text1"/>
          <w:kern w:val="0"/>
          <w:sz w:val="24"/>
          <w:szCs w:val="24"/>
          <w:highlight w:val="none"/>
          <w14:textFill>
            <w14:solidFill>
              <w14:schemeClr w14:val="tx1"/>
            </w14:solidFill>
          </w14:textFill>
        </w:rPr>
        <w:t>《建筑工程设计文件编制深度规定（20</w:t>
      </w:r>
      <w:r>
        <w:rPr>
          <w:rFonts w:hint="eastAsia" w:asciiTheme="minorEastAsia" w:hAnsiTheme="minorEastAsia" w:eastAsiaTheme="minorEastAsia" w:cstheme="minorEastAsia"/>
          <w:b/>
          <w:bCs/>
          <w:snapToGrid w:val="0"/>
          <w:color w:val="000000" w:themeColor="text1"/>
          <w:kern w:val="0"/>
          <w:sz w:val="24"/>
          <w:szCs w:val="24"/>
          <w:highlight w:val="none"/>
          <w:lang w:val="en-US" w:eastAsia="zh-CN"/>
          <w14:textFill>
            <w14:solidFill>
              <w14:schemeClr w14:val="tx1"/>
            </w14:solidFill>
          </w14:textFill>
        </w:rPr>
        <w:t>23</w:t>
      </w:r>
      <w:r>
        <w:rPr>
          <w:rFonts w:hint="eastAsia" w:asciiTheme="minorEastAsia" w:hAnsiTheme="minorEastAsia" w:eastAsiaTheme="minorEastAsia" w:cstheme="minorEastAsia"/>
          <w:b/>
          <w:bCs/>
          <w:snapToGrid w:val="0"/>
          <w:color w:val="000000" w:themeColor="text1"/>
          <w:kern w:val="0"/>
          <w:sz w:val="24"/>
          <w:szCs w:val="24"/>
          <w:highlight w:val="none"/>
          <w14:textFill>
            <w14:solidFill>
              <w14:schemeClr w14:val="tx1"/>
            </w14:solidFill>
          </w14:textFill>
        </w:rPr>
        <w:t>版）》的要求，各专业还应该满足各专业工程设计文件编制深度规范或规定的要求</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p>
    <w:p>
      <w:pPr>
        <w:pStyle w:val="37"/>
        <w:pageBreakBefore w:val="0"/>
        <w:kinsoku/>
        <w:wordWrap w:val="0"/>
        <w:overflowPunct/>
        <w:bidi w:val="0"/>
        <w:ind w:firstLine="240" w:firstLineChars="100"/>
        <w:jc w:val="left"/>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）施工部分：设计文件及工程量清单范围内的所有工程及配套工程、设施等的施工</w:t>
      </w:r>
      <w:r>
        <w:rPr>
          <w:rFonts w:hint="eastAsia" w:hAnsi="宋体" w:cs="Calibri"/>
          <w:bCs/>
          <w:color w:val="000000" w:themeColor="text1"/>
          <w:sz w:val="24"/>
          <w:szCs w:val="24"/>
          <w:highlight w:val="none"/>
          <w:lang w:val="zh-CN"/>
          <w14:textFill>
            <w14:solidFill>
              <w14:schemeClr w14:val="tx1"/>
            </w14:solidFill>
          </w14:textFill>
        </w:rPr>
        <w:t>（含竣工验收资料编制整理、备案等），完成并配合发包人结算、负责工程缺陷保修以及发包人要求由施工单位完成的其他工作（发包人另行委托其他单位负责实施的工作内容除外，但需提供一系列协调及配合服务）等</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bookmarkEnd w:id="40"/>
      <w:bookmarkEnd w:id="41"/>
      <w:bookmarkEnd w:id="42"/>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bCs/>
          <w:snapToGrid w:val="0"/>
          <w:color w:val="000000" w:themeColor="text1"/>
          <w:kern w:val="2"/>
          <w:highlight w:val="none"/>
          <w14:textFill>
            <w14:solidFill>
              <w14:schemeClr w14:val="tx1"/>
            </w14:solidFill>
          </w14:textFill>
        </w:rPr>
      </w:pPr>
      <w:bookmarkStart w:id="51" w:name="_Toc2925"/>
      <w:r>
        <w:rPr>
          <w:rFonts w:hint="eastAsia" w:asciiTheme="minorEastAsia" w:hAnsiTheme="minorEastAsia" w:eastAsiaTheme="minorEastAsia" w:cstheme="minorEastAsia"/>
          <w:b/>
          <w:bCs/>
          <w:snapToGrid w:val="0"/>
          <w:color w:val="000000" w:themeColor="text1"/>
          <w:kern w:val="2"/>
          <w:highlight w:val="none"/>
          <w14:textFill>
            <w14:solidFill>
              <w14:schemeClr w14:val="tx1"/>
            </w14:solidFill>
          </w14:textFill>
        </w:rPr>
        <w:t>3</w:t>
      </w:r>
      <w:bookmarkStart w:id="52" w:name="_Hlt66187826"/>
      <w:bookmarkEnd w:id="52"/>
      <w:r>
        <w:rPr>
          <w:rFonts w:hint="eastAsia" w:asciiTheme="minorEastAsia" w:hAnsiTheme="minorEastAsia" w:eastAsiaTheme="minorEastAsia" w:cstheme="minorEastAsia"/>
          <w:b/>
          <w:bCs/>
          <w:snapToGrid w:val="0"/>
          <w:color w:val="000000" w:themeColor="text1"/>
          <w:kern w:val="2"/>
          <w:highlight w:val="none"/>
          <w14:textFill>
            <w14:solidFill>
              <w14:schemeClr w14:val="tx1"/>
            </w14:solidFill>
          </w14:textFill>
        </w:rPr>
        <w:t>、</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工期</w:t>
      </w:r>
      <w:bookmarkEnd w:id="43"/>
      <w:bookmarkEnd w:id="44"/>
      <w:bookmarkEnd w:id="45"/>
      <w:bookmarkEnd w:id="46"/>
      <w:bookmarkEnd w:id="47"/>
      <w:bookmarkEnd w:id="48"/>
      <w:bookmarkEnd w:id="49"/>
      <w:bookmarkEnd w:id="50"/>
      <w:bookmarkEnd w:id="51"/>
    </w:p>
    <w:p>
      <w:pPr>
        <w:pStyle w:val="37"/>
        <w:pageBreakBefore w:val="0"/>
        <w:kinsoku/>
        <w:wordWrap w:val="0"/>
        <w:overflowPunct/>
        <w:bidi w:val="0"/>
        <w:ind w:firstLine="480" w:firstLineChars="200"/>
        <w:rPr>
          <w:rFonts w:hint="eastAsia" w:asciiTheme="minorEastAsia" w:hAnsiTheme="minorEastAsia" w:eastAsiaTheme="minorEastAsia" w:cstheme="minorEastAsia"/>
          <w:snapToGrid w:val="0"/>
          <w:color w:val="000000" w:themeColor="text1"/>
          <w:szCs w:val="20"/>
          <w:highlight w:val="none"/>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highlight w:val="none"/>
          <w14:textFill>
            <w14:solidFill>
              <w14:schemeClr w14:val="tx1"/>
            </w14:solidFill>
          </w14:textFill>
        </w:rPr>
        <w:t>3.1</w:t>
      </w:r>
      <w:r>
        <w:rPr>
          <w:rFonts w:hint="eastAsia" w:asciiTheme="minorEastAsia" w:hAnsiTheme="minorEastAsia" w:eastAsiaTheme="minorEastAsia" w:cstheme="minorEastAsia"/>
          <w:snapToGrid w:val="0"/>
          <w:color w:val="000000" w:themeColor="text1"/>
          <w:highlight w:val="none"/>
          <w14:textFill>
            <w14:solidFill>
              <w14:schemeClr w14:val="tx1"/>
            </w14:solidFill>
          </w14:textFill>
        </w:rPr>
        <w:t xml:space="preserve"> 本工程工期为：</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本项目设计、施工总工期</w:t>
      </w:r>
      <w:r>
        <w:rPr>
          <w:rFonts w:hint="eastAsia" w:asciiTheme="minorEastAsia" w:hAnsiTheme="minorEastAsia" w:eastAsiaTheme="minorEastAsia" w:cstheme="minorEastAsia"/>
          <w:snapToGrid w:val="0"/>
          <w:color w:val="000000" w:themeColor="text1"/>
          <w:kern w:val="0"/>
          <w:sz w:val="24"/>
          <w:szCs w:val="24"/>
          <w:highlight w:val="none"/>
          <w:u w:val="single"/>
          <w:lang w:val="en-US" w:eastAsia="zh-CN"/>
          <w14:textFill>
            <w14:solidFill>
              <w14:schemeClr w14:val="tx1"/>
            </w14:solidFill>
          </w14:textFill>
        </w:rPr>
        <w:t>210</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日历天，其中：设计工期为</w:t>
      </w:r>
      <w:r>
        <w:rPr>
          <w:rFonts w:hint="eastAsia" w:asciiTheme="minorEastAsia" w:hAnsiTheme="minorEastAsia" w:eastAsiaTheme="minorEastAsia" w:cstheme="minorEastAsia"/>
          <w:snapToGrid w:val="0"/>
          <w:color w:val="000000" w:themeColor="text1"/>
          <w:kern w:val="0"/>
          <w:sz w:val="24"/>
          <w:szCs w:val="24"/>
          <w:highlight w:val="none"/>
          <w:u w:val="single"/>
          <w:lang w:val="en-US" w:eastAsia="zh-CN"/>
          <w14:textFill>
            <w14:solidFill>
              <w14:schemeClr w14:val="tx1"/>
            </w14:solidFill>
          </w14:textFill>
        </w:rPr>
        <w:t>60</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日历天</w:t>
      </w: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施工工期为</w:t>
      </w:r>
      <w:r>
        <w:rPr>
          <w:rFonts w:hint="eastAsia" w:asciiTheme="minorEastAsia" w:hAnsiTheme="minorEastAsia" w:eastAsiaTheme="minorEastAsia" w:cstheme="minorEastAsia"/>
          <w:snapToGrid w:val="0"/>
          <w:color w:val="000000" w:themeColor="text1"/>
          <w:kern w:val="0"/>
          <w:sz w:val="24"/>
          <w:szCs w:val="24"/>
          <w:highlight w:val="none"/>
          <w:u w:val="single"/>
          <w:lang w:val="en-US" w:eastAsia="zh-CN"/>
          <w14:textFill>
            <w14:solidFill>
              <w14:schemeClr w14:val="tx1"/>
            </w14:solidFill>
          </w14:textFill>
        </w:rPr>
        <w:t>150</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日历天。</w:t>
      </w:r>
      <w:r>
        <w:rPr>
          <w:rFonts w:hint="eastAsia" w:asciiTheme="minorEastAsia" w:hAnsiTheme="minorEastAsia" w:eastAsiaTheme="minorEastAsia" w:cstheme="minorEastAsia"/>
          <w:snapToGrid w:val="0"/>
          <w:color w:val="000000" w:themeColor="text1"/>
          <w:kern w:val="2"/>
          <w:highlight w:val="none"/>
          <w14:textFill>
            <w14:solidFill>
              <w14:schemeClr w14:val="tx1"/>
            </w14:solidFill>
          </w14:textFill>
        </w:rPr>
        <w:t>中标人必须在所要求的工期内</w:t>
      </w:r>
      <w:r>
        <w:rPr>
          <w:rFonts w:hint="eastAsia" w:asciiTheme="minorEastAsia" w:hAnsiTheme="minorEastAsia" w:eastAsiaTheme="minorEastAsia" w:cstheme="minorEastAsia"/>
          <w:snapToGrid w:val="0"/>
          <w:color w:val="000000" w:themeColor="text1"/>
          <w:kern w:val="2"/>
          <w:highlight w:val="none"/>
          <w:lang w:eastAsia="zh-CN"/>
          <w14:textFill>
            <w14:solidFill>
              <w14:schemeClr w14:val="tx1"/>
            </w14:solidFill>
          </w14:textFill>
        </w:rPr>
        <w:t>完成招标范围内的全部内容</w:t>
      </w:r>
      <w:r>
        <w:rPr>
          <w:rFonts w:hint="eastAsia" w:asciiTheme="minorEastAsia" w:hAnsiTheme="minorEastAsia" w:eastAsiaTheme="minorEastAsia" w:cstheme="minorEastAsia"/>
          <w:snapToGrid w:val="0"/>
          <w:color w:val="000000" w:themeColor="text1"/>
          <w:kern w:val="2"/>
          <w:highlight w:val="none"/>
          <w14:textFill>
            <w14:solidFill>
              <w14:schemeClr w14:val="tx1"/>
            </w14:solidFill>
          </w14:textFill>
        </w:rPr>
        <w:t>。</w:t>
      </w:r>
    </w:p>
    <w:p>
      <w:pPr>
        <w:pStyle w:val="37"/>
        <w:pageBreakBefore w:val="0"/>
        <w:kinsoku/>
        <w:wordWrap w:val="0"/>
        <w:overflowPunct/>
        <w:bidi w:val="0"/>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highlight w:val="none"/>
          <w14:textFill>
            <w14:solidFill>
              <w14:schemeClr w14:val="tx1"/>
            </w14:solidFill>
          </w14:textFill>
        </w:rPr>
        <w:t>3.2</w:t>
      </w:r>
      <w:r>
        <w:rPr>
          <w:rFonts w:hint="eastAsia" w:asciiTheme="minorEastAsia" w:hAnsiTheme="minorEastAsia" w:eastAsiaTheme="minorEastAsia" w:cstheme="minorEastAsia"/>
          <w:color w:val="000000" w:themeColor="text1"/>
          <w:highlight w:val="none"/>
          <w14:textFill>
            <w14:solidFill>
              <w14:schemeClr w14:val="tx1"/>
            </w14:solidFill>
          </w14:textFill>
        </w:rPr>
        <w:t>因中标人原因，没有按期完成设计任务、工程没有按期竣工时，中标人须在逾期第壹天起每天分别按设计、施工合同价款的1.5</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‰向</w:t>
      </w:r>
      <w:r>
        <w:rPr>
          <w:rFonts w:hint="eastAsia" w:asciiTheme="minorEastAsia" w:hAnsiTheme="minorEastAsia" w:eastAsiaTheme="minorEastAsia" w:cstheme="minorEastAsia"/>
          <w:color w:val="000000" w:themeColor="text1"/>
          <w:highlight w:val="none"/>
          <w14:textFill>
            <w14:solidFill>
              <w14:schemeClr w14:val="tx1"/>
            </w14:solidFill>
          </w14:textFill>
        </w:rPr>
        <w:t>招标人缴纳逾期违约金，分别累计最高不超过设计、施工合同价款的10%向招标人缴纳逾期违约金。</w:t>
      </w:r>
    </w:p>
    <w:p>
      <w:pPr>
        <w:pStyle w:val="37"/>
        <w:pageBreakBefore w:val="0"/>
        <w:kinsoku/>
        <w:wordWrap w:val="0"/>
        <w:overflowPunct/>
        <w:bidi w:val="0"/>
        <w:ind w:firstLine="482" w:firstLineChars="200"/>
        <w:rPr>
          <w:rFonts w:hint="eastAsia" w:asciiTheme="minorEastAsia" w:hAnsiTheme="minorEastAsia" w:eastAsiaTheme="minorEastAsia" w:cstheme="minorEastAsia"/>
          <w:color w:val="000000" w:themeColor="text1"/>
          <w:highlight w:val="none"/>
          <w:lang w:val="zh-CN"/>
          <w14:textFill>
            <w14:solidFill>
              <w14:schemeClr w14:val="tx1"/>
            </w14:solidFill>
          </w14:textFill>
        </w:rPr>
      </w:pPr>
      <w:r>
        <w:rPr>
          <w:rFonts w:hint="eastAsia" w:asciiTheme="minorEastAsia" w:hAnsiTheme="minorEastAsia" w:eastAsiaTheme="minorEastAsia" w:cstheme="minorEastAsia"/>
          <w:b/>
          <w:color w:val="000000" w:themeColor="text1"/>
          <w:kern w:val="44"/>
          <w:highlight w:val="none"/>
          <w14:textFill>
            <w14:solidFill>
              <w14:schemeClr w14:val="tx1"/>
            </w14:solidFill>
          </w14:textFill>
        </w:rPr>
        <w:t>3.3</w:t>
      </w:r>
      <w:r>
        <w:rPr>
          <w:rFonts w:hint="eastAsia" w:asciiTheme="minorEastAsia" w:hAnsiTheme="minorEastAsia" w:eastAsiaTheme="minorEastAsia" w:cstheme="minorEastAsia"/>
          <w:color w:val="000000" w:themeColor="text1"/>
          <w:highlight w:val="none"/>
          <w14:textFill>
            <w14:solidFill>
              <w14:schemeClr w14:val="tx1"/>
            </w14:solidFill>
          </w14:textFill>
        </w:rPr>
        <w:t>设计工期自</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中标通知书发出之日</w:t>
      </w:r>
      <w:r>
        <w:rPr>
          <w:rFonts w:hint="eastAsia" w:asciiTheme="minorEastAsia" w:hAnsiTheme="minorEastAsia" w:eastAsiaTheme="minorEastAsia" w:cstheme="minorEastAsia"/>
          <w:color w:val="000000" w:themeColor="text1"/>
          <w:highlight w:val="none"/>
          <w14:textFill>
            <w14:solidFill>
              <w14:schemeClr w14:val="tx1"/>
            </w14:solidFill>
          </w14:textFill>
        </w:rPr>
        <w:t>起计算，至提交符合招标人及审图机构要求的施工图设计文件之日止（每一步设计工作，必须以招标人及有关部门审核批准后方可实施）</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w:t>
      </w:r>
    </w:p>
    <w:p>
      <w:pPr>
        <w:pStyle w:val="37"/>
        <w:pageBreakBefore w:val="0"/>
        <w:kinsoku/>
        <w:wordWrap w:val="0"/>
        <w:overflowPunct/>
        <w:bidi w:val="0"/>
        <w:ind w:firstLine="482" w:firstLineChars="200"/>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3</w:t>
      </w:r>
      <w:r>
        <w:rPr>
          <w:rFonts w:hint="eastAsia" w:asciiTheme="minorEastAsia" w:hAnsiTheme="minorEastAsia" w:eastAsiaTheme="minorEastAsia" w:cstheme="minorEastAsia"/>
          <w:b/>
          <w:bCs/>
          <w:color w:val="000000" w:themeColor="text1"/>
          <w:highlight w:val="none"/>
          <w:lang w:val="zh-CN"/>
          <w14:textFill>
            <w14:solidFill>
              <w14:schemeClr w14:val="tx1"/>
            </w14:solidFill>
          </w14:textFill>
        </w:rPr>
        <w:t>.</w:t>
      </w:r>
      <w:r>
        <w:rPr>
          <w:rFonts w:hint="eastAsia" w:asciiTheme="minorEastAsia" w:hAnsiTheme="minorEastAsia" w:eastAsiaTheme="minorEastAsia" w:cstheme="minorEastAsia"/>
          <w:b/>
          <w:bCs/>
          <w:color w:val="000000" w:themeColor="text1"/>
          <w:highlight w:val="none"/>
          <w14:textFill>
            <w14:solidFill>
              <w14:schemeClr w14:val="tx1"/>
            </w14:solidFill>
          </w14:textFill>
        </w:rPr>
        <w:t>4</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 xml:space="preserve"> 施工工期从开工令签发之日起计，至竣工验收之日止。</w:t>
      </w:r>
      <w:bookmarkStart w:id="53" w:name="_Toc11872"/>
    </w:p>
    <w:p>
      <w:pPr>
        <w:pStyle w:val="39"/>
        <w:keepNext/>
        <w:keepLines/>
        <w:pageBreakBefore w:val="0"/>
        <w:kinsoku/>
        <w:wordWrap w:val="0"/>
        <w:overflowPunct/>
        <w:bidi w:val="0"/>
        <w:ind w:firstLine="482" w:firstLineChars="200"/>
        <w:jc w:val="both"/>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pPr>
      <w:bookmarkStart w:id="54" w:name="_Toc30034"/>
      <w:bookmarkStart w:id="55" w:name="_Toc3312"/>
      <w:bookmarkStart w:id="56" w:name="_Toc1889"/>
      <w:bookmarkStart w:id="57" w:name="_Toc24539"/>
      <w:bookmarkStart w:id="58" w:name="_Toc13379"/>
      <w:bookmarkStart w:id="59" w:name="_Toc2499"/>
      <w:bookmarkStart w:id="60" w:name="_Toc19644"/>
      <w:bookmarkStart w:id="61" w:name="_Toc19904"/>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4、投标人资质及条件要求</w:t>
      </w:r>
      <w:bookmarkEnd w:id="53"/>
      <w:bookmarkEnd w:id="54"/>
      <w:bookmarkEnd w:id="55"/>
      <w:bookmarkEnd w:id="56"/>
      <w:bookmarkEnd w:id="57"/>
      <w:bookmarkEnd w:id="58"/>
      <w:bookmarkEnd w:id="59"/>
      <w:bookmarkEnd w:id="60"/>
      <w:bookmarkEnd w:id="61"/>
      <w:bookmarkStart w:id="62" w:name="_Hlt74496495"/>
      <w:bookmarkEnd w:id="62"/>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4.1．</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本次招标接受联合体投标，联合体以一个投标人的身份共同投标。</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1.1．联合体成员数量不超过</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个。</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1.2．联合体各方应按招标文件提供的格式签订联合体协议书，明确联合体牵头人和各方权利义务，并承诺就中标项目向招标人承担连带责任。《联合体协议书》作为投标文件的组成部分向招标人提交。</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1.3．联合体成员单位均应具备拟承担的工作内容（以《联合体协议书》的约定为准）所规定的资格条件。若同一工作内容由两个或两个以上单位共同承担，该项工作内容按照资质等级较低的单位确定联合体资质等级。</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1.4．联合体各方不得再以自己名义单独或参加其他联合体在本招标项目中投标，否则各相关投标均无效。</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2．资格资质要求</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2.1 投标人须具备独立法人资格，按国家法律经营。</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2.2 投标人须持有建设行政主管部门颁发的企业资质证书。</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2.1</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xml:space="preserve"> 投标人须具备以下资质：参加投标的投标人可以是单一独立法人或由不超过</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家独立法人组成的联合体（必须注明其中一家为牵头人），单一独立法人必须至少同时具备以下①～</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③</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资质，组成联合体投标的，联合后必须至少具备以下①～</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③</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资质，联合体牵头人必须为施工单位，由同一专业的单位组成的联合体，按照资质等级较低的单位确定资质等级：</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①施工资质1：建设行政主管部门颁发的市政公用工程施工总承包叁级或以上(含叁级)资质，并持有有效安全生产许可证。</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②施工资质2：建设行政主管部门颁发的建筑工程施工总承包叁级或以上(含叁级)资质，并持有有效安全生产许可证。</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③设计资质必须具备建设行政主管部门颁发的工程设计综合甲级资质或同时具备（1）（2）资质：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（1）市政行业资质之一：</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1、工程设计市政行业乙级以上（含乙级）资质；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2、工程设计市政行业乙级（燃气工程、轨道交通工程除外）以上（含乙级）资质；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3、工程设计市政行业（道路工程、排水）专业设计乙级以上（含乙级）资质。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（2）建筑行业资质之一：</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1、工程设计建筑行业乙级以上（含乙级）资质；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2、工程设计建筑行业（建筑工程）专业乙级以上（含乙级）资质；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val="0"/>
          <w:bCs w:val="0"/>
          <w:color w:val="000000" w:themeColor="text1"/>
          <w:sz w:val="24"/>
          <w:szCs w:val="24"/>
          <w:highlight w:val="none"/>
          <w14:textFill>
            <w14:solidFill>
              <w14:schemeClr w14:val="tx1"/>
            </w14:solidFill>
          </w14:textFill>
        </w:rPr>
        <w:t>2.</w:t>
      </w:r>
      <w:r>
        <w:rPr>
          <w:rFonts w:hint="eastAsia" w:asciiTheme="minorEastAsia" w:hAnsiTheme="minorEastAsia" w:eastAsiaTheme="minorEastAsia" w:cstheme="minorEastAsia"/>
          <w:b w:val="0"/>
          <w:bCs w:val="0"/>
          <w:color w:val="000000" w:themeColor="text1"/>
          <w:sz w:val="24"/>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4.3．相关人员要求</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3.1 拟派项目经理为具有</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建筑工程或市政公用工程</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专业一级或二级注册建造师，其中一级注册建造师应持有国家住建部印发的有效注册证书，二级注册建造师应持有考试取得执业资格的省、自治区、直辖市住建部门核准的有效电子注册证书（二级注册建造师应持有住建部门核准的、在使用有效期内的有效电子证书）。同时均须具备有效安全生产考核合格证明（B证，安全生产考核合格证书或“广东省建筑施工企业管理人员安全生产考核信息系统”考核合格信息打印页），且未担任其他在施（包括已中标未开工、已建成未竣工）建设工程项目的项目经理。</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（若为联合体投标，则联合体成员任意一方提供即可）</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3.2投标人拟派项目技术负责人须具备</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建筑工程或市政公用工程相关</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专业</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中</w:t>
      </w:r>
      <w:r>
        <w:rPr>
          <w:rFonts w:hint="eastAsia"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t>级（或以上）</w:t>
      </w:r>
      <w:r>
        <w:rPr>
          <w:rFonts w:hint="eastAsia" w:asciiTheme="minorEastAsia" w:hAnsiTheme="minorEastAsia" w:eastAsiaTheme="minorEastAsia" w:cstheme="minorEastAsia"/>
          <w:color w:val="000000" w:themeColor="text1"/>
          <w:sz w:val="24"/>
          <w:szCs w:val="24"/>
          <w:highlight w:val="none"/>
          <w:lang w:val="zh-CN"/>
          <w14:textFill>
            <w14:solidFill>
              <w14:schemeClr w14:val="tx1"/>
            </w14:solidFill>
          </w14:textFill>
        </w:rPr>
        <w:t>技术</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职称。（若为联合体投标，则联合体成员任意一方提供即可）</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投标人拟派专职安全生产管理人员须具备有效安全生产考核合格证明（C证，安全生产考核合格证书或“广东省建筑施工企业管理人员安全生产考核系统”考核合格信息打印页）</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且不少于</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1人</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。（若为联合体投标，则联合体成员任意一方提供即可）</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投标人拟派项目设计负责人须具备</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二级以上(含二级)注册建筑师注册证书或以上职称。</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4.3.5</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投标人与其拟派往本项目管理机构的所有人员之间必须具备合法、唯一的劳动聘用关系。拟派人员中具备注册执业资格的，其注册单位须与投标人保持一致。</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4"/>
          <w:highlight w:val="none"/>
          <w14:textFill>
            <w14:solidFill>
              <w14:schemeClr w14:val="tx1"/>
            </w14:solidFill>
          </w14:textFill>
        </w:rPr>
        <w:t>4.4</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禁止投标条款：</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4"/>
          <w:highlight w:val="none"/>
          <w14:textFill>
            <w14:solidFill>
              <w14:schemeClr w14:val="tx1"/>
            </w14:solidFill>
          </w14:textFill>
        </w:rPr>
        <w:t>4.4.1</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投标人不得存在下列情形之一：</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（1）为招标人不具有独立法人资格的附属机构（单位）；</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（2）为本招标项目前期准备提供咨询服务的；</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（3）与本招标项目的其他投标人为同一个单位负责人；</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（4）与本招标项目的其他投标人存在控股、管理关系；</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（5）为本招标项目的监理人；</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（6）为本招标项目的代建人；</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（7）为本招标项目的招标代理机构；</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（8）与本招标项目的监理人或代建人或招标代理机构同为一个法定代表人；</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（9）与本招标项目的监理人或代建人或招标代理机构存在控股或参股关系；</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（10）与本招标项目的监理人或代建人或招标代理机构存在相互任职或工作关系；</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（11）被依法暂停或者取消投标资格；</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（12）被责令停产停业、暂扣或者吊销许可证、暂扣或者吊销执照；</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（13）进入清算程序，或被宣告破产，或其他丧失履约能力的情形；</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（14）在最近三年内发生重大工程质量或安全问题（以相关行业主管部门的行政处罚决定或司法机关出具的有关法律文书为准）；</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（15）被“信用中国”网站（https://www.creditchina.gov.cn）发布的《法人和非法人组织公共信用信息报告》列入严重失信主体名单的。</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4.4.2</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招标人拒绝以下名单中的单位参加本次投标：</w:t>
      </w:r>
    </w:p>
    <w:tbl>
      <w:tblPr>
        <w:tblStyle w:val="22"/>
        <w:tblW w:w="9577" w:type="dxa"/>
        <w:tblInd w:w="-1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
        <w:gridCol w:w="4216"/>
        <w:gridCol w:w="4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87" w:type="dxa"/>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序号</w:t>
            </w:r>
          </w:p>
        </w:tc>
        <w:tc>
          <w:tcPr>
            <w:tcW w:w="4216" w:type="dxa"/>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单位名称</w:t>
            </w:r>
          </w:p>
        </w:tc>
        <w:tc>
          <w:tcPr>
            <w:tcW w:w="4574" w:type="dxa"/>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拒绝原因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787"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p>
        </w:tc>
        <w:tc>
          <w:tcPr>
            <w:tcW w:w="4216"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南雄市水口镇人民政府</w:t>
            </w:r>
          </w:p>
        </w:tc>
        <w:tc>
          <w:tcPr>
            <w:tcW w:w="4574"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为本招标项目的招标人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787"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w:t>
            </w:r>
          </w:p>
        </w:tc>
        <w:tc>
          <w:tcPr>
            <w:tcW w:w="4216"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南雄市乡村振兴服务中心</w:t>
            </w:r>
          </w:p>
        </w:tc>
        <w:tc>
          <w:tcPr>
            <w:tcW w:w="4574"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为本招标项目的业主单位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787"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w:t>
            </w:r>
          </w:p>
        </w:tc>
        <w:tc>
          <w:tcPr>
            <w:tcW w:w="4216"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中咨管理顾问有限责任公司</w:t>
            </w:r>
          </w:p>
        </w:tc>
        <w:tc>
          <w:tcPr>
            <w:tcW w:w="4574"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为本招标项目的可行性研究报告编制单位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87"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4</w:t>
            </w:r>
          </w:p>
        </w:tc>
        <w:tc>
          <w:tcPr>
            <w:tcW w:w="4216"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中晋工程项目管理有限公司</w:t>
            </w:r>
          </w:p>
        </w:tc>
        <w:tc>
          <w:tcPr>
            <w:tcW w:w="4574"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为本招标项目的招标代理机构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87"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5</w:t>
            </w:r>
          </w:p>
        </w:tc>
        <w:tc>
          <w:tcPr>
            <w:tcW w:w="4216"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广咨国际工程咨询有限公司</w:t>
            </w:r>
          </w:p>
        </w:tc>
        <w:tc>
          <w:tcPr>
            <w:tcW w:w="4574"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为本招标项目的可行性研究报告修编单位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787" w:type="dxa"/>
            <w:noWrap/>
            <w:vAlign w:val="center"/>
          </w:tcPr>
          <w:p>
            <w:pPr>
              <w:pageBreakBefore w:val="0"/>
              <w:kinsoku/>
              <w:wordWrap w:val="0"/>
              <w:overflowPunct/>
              <w:bidi w:val="0"/>
              <w:adjustRightInd w:val="0"/>
              <w:snapToGrid w:val="0"/>
              <w:spacing w:line="360" w:lineRule="auto"/>
              <w:jc w:val="center"/>
              <w:rPr>
                <w:rFonts w:hint="default"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6</w:t>
            </w:r>
          </w:p>
        </w:tc>
        <w:tc>
          <w:tcPr>
            <w:tcW w:w="4216"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待定</w:t>
            </w:r>
          </w:p>
        </w:tc>
        <w:tc>
          <w:tcPr>
            <w:tcW w:w="4574"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为本招标项目的监理单位</w:t>
            </w:r>
          </w:p>
        </w:tc>
      </w:tr>
    </w:tbl>
    <w:p>
      <w:pPr>
        <w:pageBreakBefore w:val="0"/>
        <w:kinsoku/>
        <w:wordWrap w:val="0"/>
        <w:overflowPunct/>
        <w:bidi w:val="0"/>
        <w:adjustRightInd w:val="0"/>
        <w:snapToGrid w:val="0"/>
        <w:spacing w:line="360" w:lineRule="auto"/>
        <w:ind w:firstLine="482" w:firstLineChars="200"/>
        <w:jc w:val="lef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4.5</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省外企业（包括组成联合体的所有成员单位）</w:t>
      </w:r>
      <w:r>
        <w:rPr>
          <w:rFonts w:hint="eastAsia" w:ascii="宋体" w:hAnsi="宋体" w:eastAsia="宋体" w:cs="宋体"/>
          <w:snapToGrid w:val="0"/>
          <w:color w:val="000000" w:themeColor="text1"/>
          <w:kern w:val="0"/>
          <w:sz w:val="24"/>
          <w:szCs w:val="24"/>
          <w:highlight w:val="none"/>
          <w14:textFill>
            <w14:solidFill>
              <w14:schemeClr w14:val="tx1"/>
            </w14:solidFill>
          </w14:textFill>
        </w:rPr>
        <w:t>及其拟派往本项目管理机构的所有人员</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须按照《广东省住房和城乡建设厅关于取消省外建筑企业和人员进粤信息备案有关工作的通知》（粤建市﹝2015﹞52号）规定在“进粤企业和人员诚信信息登记平台”录入相关信息并通过数据规范检查。</w:t>
      </w:r>
    </w:p>
    <w:p>
      <w:pPr>
        <w:pStyle w:val="39"/>
        <w:keepNext/>
        <w:keepLines/>
        <w:pageBreakBefore w:val="0"/>
        <w:kinsoku/>
        <w:wordWrap w:val="0"/>
        <w:overflowPunct/>
        <w:bidi w:val="0"/>
        <w:ind w:firstLine="482" w:firstLineChars="20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63" w:name="_Toc20378"/>
      <w:bookmarkStart w:id="64" w:name="_Toc17645"/>
      <w:bookmarkStart w:id="65" w:name="_Toc24391"/>
      <w:bookmarkStart w:id="66" w:name="_Toc3094"/>
      <w:bookmarkStart w:id="67" w:name="_Toc4704"/>
      <w:bookmarkStart w:id="68" w:name="_Toc18979"/>
      <w:bookmarkStart w:id="69" w:name="_Toc3588"/>
      <w:bookmarkStart w:id="70" w:name="_Toc8294"/>
      <w:bookmarkStart w:id="71" w:name="_Toc2707"/>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5、工程招标内容及要求</w:t>
      </w:r>
      <w:bookmarkEnd w:id="63"/>
      <w:bookmarkEnd w:id="64"/>
      <w:bookmarkEnd w:id="65"/>
      <w:bookmarkEnd w:id="66"/>
      <w:bookmarkEnd w:id="67"/>
      <w:bookmarkEnd w:id="68"/>
      <w:bookmarkEnd w:id="69"/>
      <w:bookmarkEnd w:id="70"/>
      <w:bookmarkEnd w:id="71"/>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Calibri"/>
          <w:bCs/>
          <w:color w:val="000000" w:themeColor="text1"/>
          <w:sz w:val="24"/>
          <w:szCs w:val="24"/>
          <w:highlight w:val="none"/>
          <w:u w:val="none"/>
          <w14:textFill>
            <w14:solidFill>
              <w14:schemeClr w14:val="tx1"/>
            </w14:solidFill>
          </w14:textFill>
        </w:rPr>
      </w:pPr>
      <w:r>
        <w:rPr>
          <w:rFonts w:hint="eastAsia" w:ascii="宋体" w:hAnsi="宋体" w:eastAsia="宋体" w:cs="Calibri"/>
          <w:bCs/>
          <w:color w:val="000000" w:themeColor="text1"/>
          <w:sz w:val="24"/>
          <w:szCs w:val="24"/>
          <w:highlight w:val="none"/>
          <w:u w:val="none"/>
          <w:lang w:val="en-US" w:eastAsia="zh-CN"/>
          <w14:textFill>
            <w14:solidFill>
              <w14:schemeClr w14:val="tx1"/>
            </w14:solidFill>
          </w14:textFill>
        </w:rPr>
        <w:t>5.1</w:t>
      </w:r>
      <w:r>
        <w:rPr>
          <w:rFonts w:hint="eastAsia" w:ascii="宋体" w:hAnsi="宋体" w:eastAsia="宋体" w:cs="Calibri"/>
          <w:bCs/>
          <w:color w:val="000000" w:themeColor="text1"/>
          <w:sz w:val="24"/>
          <w:szCs w:val="24"/>
          <w:highlight w:val="none"/>
          <w:u w:val="none"/>
          <w:lang w:val="zh-CN"/>
          <w14:textFill>
            <w14:solidFill>
              <w14:schemeClr w14:val="tx1"/>
            </w14:solidFill>
          </w14:textFill>
        </w:rPr>
        <w:t>本工程所涉及的内容包括但不限于以下（1）～（</w:t>
      </w:r>
      <w:r>
        <w:rPr>
          <w:rFonts w:hint="eastAsia" w:hAnsi="宋体" w:cs="Calibri"/>
          <w:bCs/>
          <w:color w:val="000000" w:themeColor="text1"/>
          <w:sz w:val="24"/>
          <w:szCs w:val="24"/>
          <w:highlight w:val="none"/>
          <w:u w:val="none"/>
          <w:lang w:val="en-US" w:eastAsia="zh-CN"/>
          <w14:textFill>
            <w14:solidFill>
              <w14:schemeClr w14:val="tx1"/>
            </w14:solidFill>
          </w14:textFill>
        </w:rPr>
        <w:t>2</w:t>
      </w:r>
      <w:r>
        <w:rPr>
          <w:rFonts w:hint="eastAsia" w:ascii="宋体" w:hAnsi="宋体" w:eastAsia="宋体" w:cs="Calibri"/>
          <w:bCs/>
          <w:color w:val="000000" w:themeColor="text1"/>
          <w:sz w:val="24"/>
          <w:szCs w:val="24"/>
          <w:highlight w:val="none"/>
          <w:u w:val="none"/>
          <w:lang w:val="zh-CN"/>
          <w14:textFill>
            <w14:solidFill>
              <w14:schemeClr w14:val="tx1"/>
            </w14:solidFill>
          </w14:textFill>
        </w:rPr>
        <w:t>）：</w:t>
      </w:r>
    </w:p>
    <w:p>
      <w:pPr>
        <w:pStyle w:val="37"/>
        <w:pageBreakBefore w:val="0"/>
        <w:numPr>
          <w:ilvl w:val="0"/>
          <w:numId w:val="0"/>
        </w:numPr>
        <w:kinsoku/>
        <w:wordWrap w:val="0"/>
        <w:overflowPunct/>
        <w:bidi w:val="0"/>
        <w:spacing w:line="360" w:lineRule="auto"/>
        <w:ind w:firstLine="480" w:firstLineChars="200"/>
        <w:rPr>
          <w:rFonts w:hint="eastAsia" w:hAnsi="宋体" w:cs="Calibri"/>
          <w:bCs/>
          <w:color w:val="000000" w:themeColor="text1"/>
          <w:sz w:val="24"/>
          <w:szCs w:val="24"/>
          <w:highlight w:val="none"/>
          <w:u w:val="none"/>
          <w14:textFill>
            <w14:solidFill>
              <w14:schemeClr w14:val="tx1"/>
            </w14:solidFill>
          </w14:textFill>
        </w:rPr>
      </w:pPr>
      <w:r>
        <w:rPr>
          <w:rFonts w:hint="eastAsia" w:hAnsi="宋体" w:cs="Calibri"/>
          <w:bCs/>
          <w:color w:val="000000" w:themeColor="text1"/>
          <w:sz w:val="24"/>
          <w:szCs w:val="24"/>
          <w:highlight w:val="none"/>
          <w:u w:val="none"/>
          <w14:textFill>
            <w14:solidFill>
              <w14:schemeClr w14:val="tx1"/>
            </w14:solidFill>
          </w14:textFill>
        </w:rPr>
        <w:t>（1）设计部分：</w:t>
      </w:r>
      <w:r>
        <w:rPr>
          <w:rFonts w:hint="eastAsia" w:hAnsi="宋体" w:cs="宋体"/>
          <w:snapToGrid w:val="0"/>
          <w:color w:val="000000" w:themeColor="text1"/>
          <w:kern w:val="0"/>
          <w:sz w:val="24"/>
          <w:szCs w:val="24"/>
          <w:highlight w:val="none"/>
          <w:u w:val="none"/>
          <w:lang w:val="zh-CN"/>
          <w14:textFill>
            <w14:solidFill>
              <w14:schemeClr w14:val="tx1"/>
            </w14:solidFill>
          </w14:textFill>
        </w:rPr>
        <w:t>确保项目顺利实施的报建、报批、施工等所需的所有建安工程等设计文件。包括但不限于：施工图设计，</w:t>
      </w:r>
      <w:r>
        <w:rPr>
          <w:rFonts w:hint="eastAsia" w:ascii="宋体" w:hAnsi="宋体" w:eastAsia="宋体" w:cs="宋体"/>
          <w:snapToGrid w:val="0"/>
          <w:color w:val="000000" w:themeColor="text1"/>
          <w:kern w:val="0"/>
          <w:sz w:val="24"/>
          <w:szCs w:val="24"/>
          <w:highlight w:val="none"/>
          <w:u w:val="none"/>
          <w14:textFill>
            <w14:solidFill>
              <w14:schemeClr w14:val="tx1"/>
            </w14:solidFill>
          </w14:textFill>
        </w:rPr>
        <w:t>提供项目所需相关检测项的明细表和危险性较大的分部分项工程清单</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及保障安全相关说明</w:t>
      </w:r>
      <w:r>
        <w:rPr>
          <w:rFonts w:hint="eastAsia" w:ascii="宋体" w:hAnsi="宋体" w:eastAsia="宋体" w:cs="宋体"/>
          <w:snapToGrid w:val="0"/>
          <w:color w:val="000000" w:themeColor="text1"/>
          <w:kern w:val="0"/>
          <w:sz w:val="24"/>
          <w:szCs w:val="24"/>
          <w:highlight w:val="none"/>
          <w:u w:val="none"/>
          <w:lang w:eastAsia="zh-CN"/>
          <w14:textFill>
            <w14:solidFill>
              <w14:schemeClr w14:val="tx1"/>
            </w14:solidFill>
          </w14:textFill>
        </w:rPr>
        <w:t>、</w:t>
      </w:r>
      <w:r>
        <w:rPr>
          <w:rFonts w:hint="eastAsia" w:hAnsi="宋体" w:cs="宋体"/>
          <w:snapToGrid w:val="0"/>
          <w:color w:val="000000" w:themeColor="text1"/>
          <w:kern w:val="0"/>
          <w:sz w:val="24"/>
          <w:szCs w:val="24"/>
          <w:highlight w:val="none"/>
          <w:u w:val="none"/>
          <w:lang w:val="zh-CN"/>
          <w14:textFill>
            <w14:solidFill>
              <w14:schemeClr w14:val="tx1"/>
            </w14:solidFill>
          </w14:textFill>
        </w:rPr>
        <w:t>工地现场服务、验收过程中的设计指导及配合阶段验收及档案整理、协助施工单位编制竣工图及后续设计服务工作</w:t>
      </w:r>
      <w:r>
        <w:rPr>
          <w:rFonts w:hint="eastAsia" w:hAnsi="宋体" w:cs="Calibri"/>
          <w:bCs/>
          <w:color w:val="000000" w:themeColor="text1"/>
          <w:sz w:val="24"/>
          <w:szCs w:val="24"/>
          <w:highlight w:val="none"/>
          <w:u w:val="none"/>
          <w14:textFill>
            <w14:solidFill>
              <w14:schemeClr w14:val="tx1"/>
            </w14:solidFill>
          </w14:textFill>
        </w:rPr>
        <w:t>。</w:t>
      </w:r>
    </w:p>
    <w:p>
      <w:pPr>
        <w:pStyle w:val="37"/>
        <w:pageBreakBefore w:val="0"/>
        <w:numPr>
          <w:ilvl w:val="0"/>
          <w:numId w:val="0"/>
        </w:numPr>
        <w:kinsoku/>
        <w:wordWrap w:val="0"/>
        <w:overflowPunct/>
        <w:bidi w:val="0"/>
        <w:spacing w:line="360" w:lineRule="auto"/>
        <w:ind w:firstLine="480" w:firstLineChars="200"/>
        <w:rPr>
          <w:rFonts w:hint="eastAsia" w:hAnsi="宋体" w:cs="Calibri"/>
          <w:bCs/>
          <w:color w:val="000000" w:themeColor="text1"/>
          <w:sz w:val="24"/>
          <w:szCs w:val="24"/>
          <w:highlight w:val="none"/>
          <w:u w:val="none"/>
          <w:lang w:val="zh-CN"/>
          <w14:textFill>
            <w14:solidFill>
              <w14:schemeClr w14:val="tx1"/>
            </w14:solidFill>
          </w14:textFill>
        </w:rPr>
      </w:pPr>
      <w:r>
        <w:rPr>
          <w:rFonts w:hint="eastAsia" w:hAnsi="宋体" w:cs="Calibri"/>
          <w:bCs/>
          <w:color w:val="000000" w:themeColor="text1"/>
          <w:sz w:val="24"/>
          <w:szCs w:val="24"/>
          <w:highlight w:val="none"/>
          <w:u w:val="none"/>
          <w:lang w:val="zh-CN"/>
          <w14:textFill>
            <w14:solidFill>
              <w14:schemeClr w14:val="tx1"/>
            </w14:solidFill>
          </w14:textFill>
        </w:rPr>
        <w:t>（</w:t>
      </w:r>
      <w:r>
        <w:rPr>
          <w:rFonts w:hint="eastAsia" w:hAnsi="宋体" w:cs="Calibri"/>
          <w:bCs/>
          <w:color w:val="000000" w:themeColor="text1"/>
          <w:sz w:val="24"/>
          <w:szCs w:val="24"/>
          <w:highlight w:val="none"/>
          <w:u w:val="none"/>
          <w:lang w:val="en-US" w:eastAsia="zh-CN"/>
          <w14:textFill>
            <w14:solidFill>
              <w14:schemeClr w14:val="tx1"/>
            </w14:solidFill>
          </w14:textFill>
        </w:rPr>
        <w:t>2</w:t>
      </w:r>
      <w:r>
        <w:rPr>
          <w:rFonts w:hint="eastAsia" w:hAnsi="宋体" w:cs="Calibri"/>
          <w:bCs/>
          <w:color w:val="000000" w:themeColor="text1"/>
          <w:sz w:val="24"/>
          <w:szCs w:val="24"/>
          <w:highlight w:val="none"/>
          <w:u w:val="none"/>
          <w:lang w:val="zh-CN"/>
          <w14:textFill>
            <w14:solidFill>
              <w14:schemeClr w14:val="tx1"/>
            </w14:solidFill>
          </w14:textFill>
        </w:rPr>
        <w:t>）施工部分：</w:t>
      </w:r>
      <w:r>
        <w:rPr>
          <w:rFonts w:hint="eastAsia" w:ascii="宋体" w:hAnsi="宋体" w:eastAsia="宋体" w:cs="宋体"/>
          <w:snapToGrid w:val="0"/>
          <w:color w:val="000000" w:themeColor="text1"/>
          <w:kern w:val="0"/>
          <w:sz w:val="24"/>
          <w:szCs w:val="24"/>
          <w:highlight w:val="none"/>
          <w:u w:val="none"/>
          <w14:textFill>
            <w14:solidFill>
              <w14:schemeClr w14:val="tx1"/>
            </w14:solidFill>
          </w14:textFill>
        </w:rPr>
        <w:t>设计文件及工程量清单范围内的所有工程及配套工程、设施等的施工</w:t>
      </w:r>
      <w:r>
        <w:rPr>
          <w:rFonts w:hint="eastAsia" w:hAnsi="宋体" w:cs="Calibri"/>
          <w:bCs/>
          <w:color w:val="000000" w:themeColor="text1"/>
          <w:sz w:val="24"/>
          <w:szCs w:val="24"/>
          <w:highlight w:val="none"/>
          <w:u w:val="none"/>
          <w:lang w:val="zh-CN"/>
          <w14:textFill>
            <w14:solidFill>
              <w14:schemeClr w14:val="tx1"/>
            </w14:solidFill>
          </w14:textFill>
        </w:rPr>
        <w:t>（含竣工验收资料编制整理、备案等），完成并配合发包人结算、负责工程缺陷保修以及发包人要求由施工单位完成的其他工作（发包人另行委托其他单位负责实施的工作内容除外，但需提供一系列协调及配合服务）等。</w:t>
      </w:r>
    </w:p>
    <w:p>
      <w:pPr>
        <w:pStyle w:val="37"/>
        <w:pageBreakBefore w:val="0"/>
        <w:numPr>
          <w:ilvl w:val="0"/>
          <w:numId w:val="0"/>
        </w:numPr>
        <w:kinsoku/>
        <w:wordWrap w:val="0"/>
        <w:overflowPunct/>
        <w:bidi w:val="0"/>
        <w:spacing w:line="360" w:lineRule="auto"/>
        <w:ind w:firstLine="480" w:firstLineChars="200"/>
        <w:rPr>
          <w:rFonts w:hint="eastAsia" w:hAnsi="宋体" w:cs="Calibri"/>
          <w:bCs/>
          <w:color w:val="000000" w:themeColor="text1"/>
          <w:sz w:val="24"/>
          <w:szCs w:val="24"/>
          <w:highlight w:val="none"/>
          <w:lang w:val="zh-CN"/>
          <w14:textFill>
            <w14:solidFill>
              <w14:schemeClr w14:val="tx1"/>
            </w14:solidFill>
          </w14:textFill>
        </w:rPr>
      </w:pPr>
      <w:r>
        <w:rPr>
          <w:rFonts w:hint="eastAsia" w:hAnsi="宋体" w:cs="Calibri"/>
          <w:bCs/>
          <w:color w:val="000000" w:themeColor="text1"/>
          <w:sz w:val="24"/>
          <w:szCs w:val="24"/>
          <w:highlight w:val="none"/>
          <w:lang w:val="en-US" w:eastAsia="zh-CN"/>
          <w14:textFill>
            <w14:solidFill>
              <w14:schemeClr w14:val="tx1"/>
            </w14:solidFill>
          </w14:textFill>
        </w:rPr>
        <w:t>5.2</w:t>
      </w:r>
      <w:r>
        <w:rPr>
          <w:rFonts w:hint="eastAsia" w:hAnsi="宋体" w:cs="Calibri"/>
          <w:bCs/>
          <w:color w:val="000000" w:themeColor="text1"/>
          <w:sz w:val="24"/>
          <w:szCs w:val="24"/>
          <w:highlight w:val="none"/>
          <w:lang w:val="zh-CN"/>
          <w14:textFill>
            <w14:solidFill>
              <w14:schemeClr w14:val="tx1"/>
            </w14:solidFill>
          </w14:textFill>
        </w:rPr>
        <w:t>设计要求：</w:t>
      </w:r>
    </w:p>
    <w:p>
      <w:pPr>
        <w:pStyle w:val="37"/>
        <w:pageBreakBefore w:val="0"/>
        <w:numPr>
          <w:ilvl w:val="0"/>
          <w:numId w:val="0"/>
        </w:numPr>
        <w:kinsoku/>
        <w:wordWrap w:val="0"/>
        <w:overflowPunct/>
        <w:bidi w:val="0"/>
        <w:spacing w:line="360" w:lineRule="auto"/>
        <w:ind w:firstLine="480" w:firstLineChars="200"/>
        <w:rPr>
          <w:rFonts w:hint="eastAsia" w:hAnsi="宋体" w:cs="Calibri"/>
          <w:bCs/>
          <w:color w:val="000000" w:themeColor="text1"/>
          <w:sz w:val="24"/>
          <w:szCs w:val="24"/>
          <w:highlight w:val="none"/>
          <w:lang w:val="zh-CN"/>
          <w14:textFill>
            <w14:solidFill>
              <w14:schemeClr w14:val="tx1"/>
            </w14:solidFill>
          </w14:textFill>
        </w:rPr>
      </w:pPr>
      <w:r>
        <w:rPr>
          <w:rFonts w:hint="eastAsia" w:hAnsi="宋体" w:cs="Calibri"/>
          <w:bCs/>
          <w:color w:val="000000" w:themeColor="text1"/>
          <w:sz w:val="24"/>
          <w:szCs w:val="24"/>
          <w:highlight w:val="none"/>
          <w:lang w:val="en-US" w:eastAsia="zh-CN"/>
          <w14:textFill>
            <w14:solidFill>
              <w14:schemeClr w14:val="tx1"/>
            </w14:solidFill>
          </w14:textFill>
        </w:rPr>
        <w:t>5.2.1设计质量要求：</w:t>
      </w:r>
      <w:r>
        <w:rPr>
          <w:rFonts w:hint="eastAsia" w:hAnsi="宋体" w:cs="Calibri"/>
          <w:bCs/>
          <w:color w:val="000000" w:themeColor="text1"/>
          <w:sz w:val="24"/>
          <w:szCs w:val="24"/>
          <w:highlight w:val="none"/>
          <w:lang w:val="zh-CN"/>
          <w14:textFill>
            <w14:solidFill>
              <w14:schemeClr w14:val="tx1"/>
            </w14:solidFill>
          </w14:textFill>
        </w:rPr>
        <w:t>符合国家或行业颁布的现行有效的有关设计的规范要求，并必须通过有关部门的审查及经有资质的审图机构审查合格。</w:t>
      </w:r>
    </w:p>
    <w:p>
      <w:pPr>
        <w:pStyle w:val="37"/>
        <w:pageBreakBefore w:val="0"/>
        <w:numPr>
          <w:ilvl w:val="0"/>
          <w:numId w:val="0"/>
        </w:numPr>
        <w:kinsoku/>
        <w:wordWrap w:val="0"/>
        <w:overflowPunct/>
        <w:bidi w:val="0"/>
        <w:spacing w:line="360" w:lineRule="auto"/>
        <w:ind w:firstLine="480" w:firstLineChars="200"/>
        <w:rPr>
          <w:rFonts w:hint="eastAsia" w:hAnsi="宋体" w:cs="Calibri"/>
          <w:bCs/>
          <w:color w:val="000000" w:themeColor="text1"/>
          <w:sz w:val="24"/>
          <w:szCs w:val="24"/>
          <w:highlight w:val="none"/>
          <w:lang w:val="zh-CN"/>
          <w14:textFill>
            <w14:solidFill>
              <w14:schemeClr w14:val="tx1"/>
            </w14:solidFill>
          </w14:textFill>
        </w:rPr>
      </w:pPr>
      <w:r>
        <w:rPr>
          <w:rFonts w:hint="eastAsia" w:hAnsi="宋体" w:cs="Calibri"/>
          <w:bCs/>
          <w:color w:val="000000" w:themeColor="text1"/>
          <w:sz w:val="24"/>
          <w:szCs w:val="24"/>
          <w:highlight w:val="none"/>
          <w:lang w:val="en-US" w:eastAsia="zh-CN"/>
          <w14:textFill>
            <w14:solidFill>
              <w14:schemeClr w14:val="tx1"/>
            </w14:solidFill>
          </w14:textFill>
        </w:rPr>
        <w:t>5.2.2</w:t>
      </w:r>
      <w:r>
        <w:rPr>
          <w:rFonts w:hint="eastAsia" w:hAnsi="宋体" w:cs="Calibri"/>
          <w:bCs/>
          <w:color w:val="000000" w:themeColor="text1"/>
          <w:sz w:val="24"/>
          <w:szCs w:val="24"/>
          <w:highlight w:val="none"/>
          <w:lang w:val="zh-CN"/>
          <w14:textFill>
            <w14:solidFill>
              <w14:schemeClr w14:val="tx1"/>
            </w14:solidFill>
          </w14:textFill>
        </w:rPr>
        <w:t>本工程施工图设计必须先经</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hAnsi="宋体" w:cs="Calibri"/>
          <w:bCs/>
          <w:color w:val="000000" w:themeColor="text1"/>
          <w:sz w:val="24"/>
          <w:szCs w:val="24"/>
          <w:highlight w:val="none"/>
          <w:lang w:val="zh-CN"/>
          <w14:textFill>
            <w14:solidFill>
              <w14:schemeClr w14:val="tx1"/>
            </w14:solidFill>
          </w14:textFill>
        </w:rPr>
        <w:t>确认才能送审，并经</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hAnsi="宋体" w:cs="Calibri"/>
          <w:bCs/>
          <w:color w:val="000000" w:themeColor="text1"/>
          <w:sz w:val="24"/>
          <w:szCs w:val="24"/>
          <w:highlight w:val="none"/>
          <w:lang w:val="zh-CN"/>
          <w14:textFill>
            <w14:solidFill>
              <w14:schemeClr w14:val="tx1"/>
            </w14:solidFill>
          </w14:textFill>
        </w:rPr>
        <w:t>委托的有资质的审图机构审查合格。若</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hAnsi="宋体" w:cs="Calibri"/>
          <w:bCs/>
          <w:color w:val="000000" w:themeColor="text1"/>
          <w:sz w:val="24"/>
          <w:szCs w:val="24"/>
          <w:highlight w:val="none"/>
          <w:lang w:val="zh-CN"/>
          <w14:textFill>
            <w14:solidFill>
              <w14:schemeClr w14:val="tx1"/>
            </w14:solidFill>
          </w14:textFill>
        </w:rPr>
        <w:t>或审图机构在审查过程中提出的设计修改或变更，设计单位必须无条件进行修改或优化设计，</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hAnsi="宋体" w:cs="Calibri"/>
          <w:bCs/>
          <w:color w:val="000000" w:themeColor="text1"/>
          <w:sz w:val="24"/>
          <w:szCs w:val="24"/>
          <w:highlight w:val="none"/>
          <w:lang w:val="zh-CN"/>
          <w14:textFill>
            <w14:solidFill>
              <w14:schemeClr w14:val="tx1"/>
            </w14:solidFill>
          </w14:textFill>
        </w:rPr>
        <w:t>不再支付由此而增加的设计费用。</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Calibri"/>
          <w:bCs/>
          <w:color w:val="000000" w:themeColor="text1"/>
          <w:sz w:val="24"/>
          <w:szCs w:val="24"/>
          <w:highlight w:val="none"/>
          <w:lang w:val="en-US" w:eastAsia="zh-CN"/>
          <w14:textFill>
            <w14:solidFill>
              <w14:schemeClr w14:val="tx1"/>
            </w14:solidFill>
          </w14:textFill>
        </w:rPr>
      </w:pPr>
      <w:r>
        <w:rPr>
          <w:rFonts w:hint="eastAsia" w:ascii="宋体" w:hAnsi="宋体" w:eastAsia="宋体" w:cs="Calibri"/>
          <w:bCs/>
          <w:color w:val="000000" w:themeColor="text1"/>
          <w:sz w:val="24"/>
          <w:szCs w:val="24"/>
          <w:highlight w:val="none"/>
          <w:lang w:val="en-US" w:eastAsia="zh-CN"/>
          <w14:textFill>
            <w14:solidFill>
              <w14:schemeClr w14:val="tx1"/>
            </w14:solidFill>
          </w14:textFill>
        </w:rPr>
        <w:t>5.</w:t>
      </w:r>
      <w:r>
        <w:rPr>
          <w:rFonts w:hint="eastAsia" w:hAnsi="宋体" w:cs="Calibri"/>
          <w:bCs/>
          <w:color w:val="000000" w:themeColor="text1"/>
          <w:sz w:val="24"/>
          <w:szCs w:val="24"/>
          <w:highlight w:val="none"/>
          <w:lang w:val="en-US" w:eastAsia="zh-CN"/>
          <w14:textFill>
            <w14:solidFill>
              <w14:schemeClr w14:val="tx1"/>
            </w14:solidFill>
          </w14:textFill>
        </w:rPr>
        <w:t>2</w:t>
      </w:r>
      <w:r>
        <w:rPr>
          <w:rFonts w:hint="eastAsia" w:ascii="宋体" w:hAnsi="宋体" w:eastAsia="宋体" w:cs="Calibri"/>
          <w:bCs/>
          <w:color w:val="000000" w:themeColor="text1"/>
          <w:sz w:val="24"/>
          <w:szCs w:val="24"/>
          <w:highlight w:val="none"/>
          <w:lang w:val="en-US" w:eastAsia="zh-CN"/>
          <w14:textFill>
            <w14:solidFill>
              <w14:schemeClr w14:val="tx1"/>
            </w14:solidFill>
          </w14:textFill>
        </w:rPr>
        <w:t>.3关于设计深度的要求</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按国家及地方现行的设计文件深度规定等有关技术标准、设计规范（标准）要求。</w:t>
      </w:r>
    </w:p>
    <w:p>
      <w:pPr>
        <w:pStyle w:val="37"/>
        <w:pageBreakBefore w:val="0"/>
        <w:numPr>
          <w:ilvl w:val="0"/>
          <w:numId w:val="0"/>
        </w:numPr>
        <w:kinsoku/>
        <w:wordWrap w:val="0"/>
        <w:overflowPunct/>
        <w:bidi w:val="0"/>
        <w:spacing w:line="360" w:lineRule="auto"/>
        <w:ind w:left="0" w:leftChars="0"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各专业设计应同步进行，涉及单位应指定总体设计人统筹布局，做好各项设施的协调和衔接、位置预留，不得留待施工中临时变更。</w:t>
      </w:r>
    </w:p>
    <w:p>
      <w:pPr>
        <w:pStyle w:val="37"/>
        <w:pageBreakBefore w:val="0"/>
        <w:numPr>
          <w:ilvl w:val="0"/>
          <w:numId w:val="0"/>
        </w:numPr>
        <w:kinsoku/>
        <w:wordWrap w:val="0"/>
        <w:overflowPunct/>
        <w:bidi w:val="0"/>
        <w:spacing w:line="360" w:lineRule="auto"/>
        <w:ind w:left="0" w:leftChars="0"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 xml:space="preserve">对技术复杂或造价、规模较大的主要分项工程应作方案比较。 </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施工图设计文件的深度，应当满足设备材料采购，非标准设备制作和施工的需要，并注明建设工程合理使用年限。</w:t>
      </w:r>
    </w:p>
    <w:p>
      <w:pPr>
        <w:pStyle w:val="37"/>
        <w:pageBreakBefore w:val="0"/>
        <w:numPr>
          <w:ilvl w:val="0"/>
          <w:numId w:val="0"/>
        </w:numPr>
        <w:kinsoku/>
        <w:wordWrap w:val="0"/>
        <w:overflowPunct/>
        <w:bidi w:val="0"/>
        <w:spacing w:line="360" w:lineRule="auto"/>
        <w:ind w:left="0" w:leftChars="0"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w:t>
      </w:r>
      <w:r>
        <w:rPr>
          <w:rFonts w:hint="eastAsia" w:hAnsi="宋体" w:cs="宋体"/>
          <w:color w:val="000000" w:themeColor="text1"/>
          <w:kern w:val="2"/>
          <w:sz w:val="24"/>
          <w:szCs w:val="24"/>
          <w:highlight w:val="none"/>
          <w:lang w:val="en-US" w:eastAsia="zh-CN" w:bidi="ar-SA"/>
          <w14:textFill>
            <w14:solidFill>
              <w14:schemeClr w14:val="tx1"/>
            </w14:solidFill>
          </w14:textFill>
        </w:rPr>
        <w:t>5</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相关的配套外部接口方案均需取得政府主管部门或规划部门认可。</w:t>
      </w:r>
    </w:p>
    <w:p>
      <w:pPr>
        <w:pStyle w:val="37"/>
        <w:pageBreakBefore w:val="0"/>
        <w:numPr>
          <w:ilvl w:val="0"/>
          <w:numId w:val="0"/>
        </w:numPr>
        <w:kinsoku/>
        <w:wordWrap w:val="0"/>
        <w:overflowPunct/>
        <w:bidi w:val="0"/>
        <w:spacing w:line="360" w:lineRule="auto"/>
        <w:ind w:left="0" w:leftChars="0"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hAnsi="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施工图设计文件应考虑交通维护、临时施工便道、基坑支护、对周边建筑物的影响等因素，以指导现场施工及过程评审。</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hAnsi="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snapToGrid w:val="0"/>
          <w:color w:val="000000" w:themeColor="text1"/>
          <w:kern w:val="0"/>
          <w:sz w:val="24"/>
          <w:szCs w:val="24"/>
          <w:highlight w:val="none"/>
          <w14:textFill>
            <w14:solidFill>
              <w14:schemeClr w14:val="tx1"/>
            </w14:solidFill>
          </w14:textFill>
        </w:rPr>
        <w:t>设计后期配合工作</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snapToGrid w:val="0"/>
          <w:color w:val="000000" w:themeColor="text1"/>
          <w:kern w:val="0"/>
          <w:sz w:val="24"/>
          <w:szCs w:val="24"/>
          <w:highlight w:val="none"/>
          <w14:textFill>
            <w14:solidFill>
              <w14:schemeClr w14:val="tx1"/>
            </w14:solidFill>
          </w14:textFill>
        </w:rPr>
        <w:t>施工图设计完成并经有关单位审查后，才能进入施工阶段。</w:t>
      </w:r>
    </w:p>
    <w:p>
      <w:pPr>
        <w:pStyle w:val="37"/>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2）</w:t>
      </w:r>
      <w:r>
        <w:rPr>
          <w:rFonts w:hint="eastAsia" w:ascii="宋体" w:hAnsi="宋体" w:eastAsia="宋体" w:cs="宋体"/>
          <w:snapToGrid w:val="0"/>
          <w:color w:val="000000" w:themeColor="text1"/>
          <w:kern w:val="0"/>
          <w:sz w:val="24"/>
          <w:szCs w:val="24"/>
          <w:highlight w:val="none"/>
          <w14:textFill>
            <w14:solidFill>
              <w14:schemeClr w14:val="tx1"/>
            </w14:solidFill>
          </w14:textFill>
        </w:rPr>
        <w:t>设计单位配合施工、监理及业主单位的工作内容如下：</w:t>
      </w:r>
    </w:p>
    <w:p>
      <w:pPr>
        <w:keepNext w:val="0"/>
        <w:keepLines w:val="0"/>
        <w:pageBreakBefore w:val="0"/>
        <w:widowControl w:val="0"/>
        <w:numPr>
          <w:ilvl w:val="0"/>
          <w:numId w:val="1"/>
        </w:numPr>
        <w:tabs>
          <w:tab w:val="left" w:pos="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施工图设计（技术）交底；</w:t>
      </w:r>
    </w:p>
    <w:p>
      <w:pPr>
        <w:keepNext w:val="0"/>
        <w:keepLines w:val="0"/>
        <w:pageBreakBefore w:val="0"/>
        <w:widowControl w:val="0"/>
        <w:numPr>
          <w:ilvl w:val="0"/>
          <w:numId w:val="1"/>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配合勘察单位现场交桩；</w:t>
      </w:r>
    </w:p>
    <w:p>
      <w:pPr>
        <w:keepNext w:val="0"/>
        <w:keepLines w:val="0"/>
        <w:pageBreakBefore w:val="0"/>
        <w:widowControl w:val="0"/>
        <w:numPr>
          <w:ilvl w:val="0"/>
          <w:numId w:val="1"/>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变更设计和所有补充设计；</w:t>
      </w:r>
    </w:p>
    <w:p>
      <w:pPr>
        <w:keepNext w:val="0"/>
        <w:keepLines w:val="0"/>
        <w:pageBreakBefore w:val="0"/>
        <w:widowControl w:val="0"/>
        <w:numPr>
          <w:ilvl w:val="0"/>
          <w:numId w:val="1"/>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会签设计变更审批表；</w:t>
      </w:r>
    </w:p>
    <w:p>
      <w:pPr>
        <w:keepNext w:val="0"/>
        <w:keepLines w:val="0"/>
        <w:pageBreakBefore w:val="0"/>
        <w:widowControl w:val="0"/>
        <w:numPr>
          <w:ilvl w:val="0"/>
          <w:numId w:val="1"/>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参加处理施工中发生的工程质量和安全事故；</w:t>
      </w:r>
    </w:p>
    <w:p>
      <w:pPr>
        <w:keepNext w:val="0"/>
        <w:keepLines w:val="0"/>
        <w:pageBreakBefore w:val="0"/>
        <w:widowControl w:val="0"/>
        <w:numPr>
          <w:ilvl w:val="0"/>
          <w:numId w:val="1"/>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参加隐蔽工程及工程竣工验收；</w:t>
      </w:r>
    </w:p>
    <w:p>
      <w:pPr>
        <w:keepNext w:val="0"/>
        <w:keepLines w:val="0"/>
        <w:pageBreakBefore w:val="0"/>
        <w:widowControl w:val="0"/>
        <w:numPr>
          <w:ilvl w:val="0"/>
          <w:numId w:val="1"/>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解决与设计有关的施工问题；</w:t>
      </w:r>
    </w:p>
    <w:p>
      <w:pPr>
        <w:keepNext w:val="0"/>
        <w:keepLines w:val="0"/>
        <w:pageBreakBefore w:val="0"/>
        <w:widowControl w:val="0"/>
        <w:numPr>
          <w:ilvl w:val="0"/>
          <w:numId w:val="1"/>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配合质量检测；</w:t>
      </w:r>
    </w:p>
    <w:p>
      <w:pPr>
        <w:keepNext w:val="0"/>
        <w:keepLines w:val="0"/>
        <w:pageBreakBefore w:val="0"/>
        <w:widowControl w:val="0"/>
        <w:numPr>
          <w:ilvl w:val="0"/>
          <w:numId w:val="1"/>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参加审查施工单位的施工组织设计和专项施工方案；</w:t>
      </w:r>
    </w:p>
    <w:p>
      <w:pPr>
        <w:keepNext w:val="0"/>
        <w:keepLines w:val="0"/>
        <w:pageBreakBefore w:val="0"/>
        <w:widowControl w:val="0"/>
        <w:numPr>
          <w:ilvl w:val="0"/>
          <w:numId w:val="1"/>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参加本项目建设有关会议。</w:t>
      </w:r>
    </w:p>
    <w:p>
      <w:pPr>
        <w:keepNext w:val="0"/>
        <w:keepLines w:val="0"/>
        <w:pageBreakBefore w:val="0"/>
        <w:widowControl w:val="0"/>
        <w:numPr>
          <w:ilvl w:val="0"/>
          <w:numId w:val="1"/>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在监理招标期间配合建设及相关单位解释及完善施工图相关内容。</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（3）设计工作技术总结</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snapToGrid w:val="0"/>
          <w:color w:val="000000" w:themeColor="text1"/>
          <w:kern w:val="0"/>
          <w:sz w:val="24"/>
          <w:szCs w:val="24"/>
          <w:highlight w:val="none"/>
          <w14:textFill>
            <w14:solidFill>
              <w14:schemeClr w14:val="tx1"/>
            </w14:solidFill>
          </w14:textFill>
        </w:rPr>
        <w:t>对设计文件及施工过程中发生的补充设计进行检查，并提出设计文件质量检查报告，在竣工验收前交</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snapToGrid w:val="0"/>
          <w:color w:val="000000" w:themeColor="text1"/>
          <w:kern w:val="0"/>
          <w:sz w:val="24"/>
          <w:szCs w:val="24"/>
          <w:highlight w:val="none"/>
          <w14:textFill>
            <w14:solidFill>
              <w14:schemeClr w14:val="tx1"/>
            </w14:solidFill>
          </w14:textFill>
        </w:rPr>
        <w:t>。工程完工后，</w:t>
      </w: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snapToGrid w:val="0"/>
          <w:color w:val="000000" w:themeColor="text1"/>
          <w:kern w:val="0"/>
          <w:sz w:val="24"/>
          <w:szCs w:val="24"/>
          <w:highlight w:val="none"/>
          <w14:textFill>
            <w14:solidFill>
              <w14:schemeClr w14:val="tx1"/>
            </w14:solidFill>
          </w14:textFill>
        </w:rPr>
        <w:t>应组织设计技术工作人员将全部资料进行整理并撰写工程技术总结，并于竣工后一个月内完成，交</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snapToGrid w:val="0"/>
          <w:color w:val="000000" w:themeColor="text1"/>
          <w:kern w:val="0"/>
          <w:sz w:val="24"/>
          <w:szCs w:val="24"/>
          <w:highlight w:val="none"/>
          <w14:textFill>
            <w14:solidFill>
              <w14:schemeClr w14:val="tx1"/>
            </w14:solidFill>
          </w14:textFill>
        </w:rPr>
        <w:t>。</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hAnsi="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hAnsi="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lang w:val="en-US" w:eastAsia="zh-CN"/>
          <w14:textFill>
            <w14:solidFill>
              <w14:schemeClr w14:val="tx1"/>
            </w14:solidFill>
          </w14:textFill>
        </w:rPr>
        <w:t>限额设计要求：</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snapToGrid w:val="0"/>
          <w:color w:val="000000" w:themeColor="text1"/>
          <w:kern w:val="0"/>
          <w:sz w:val="24"/>
          <w:szCs w:val="24"/>
          <w:highlight w:val="none"/>
          <w14:textFill>
            <w14:solidFill>
              <w14:schemeClr w14:val="tx1"/>
            </w14:solidFill>
          </w14:textFill>
        </w:rPr>
        <w:t>若</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第三方</w:t>
      </w:r>
      <w:r>
        <w:rPr>
          <w:rFonts w:hint="eastAsia" w:ascii="宋体" w:hAnsi="宋体" w:eastAsia="宋体" w:cs="宋体"/>
          <w:snapToGrid w:val="0"/>
          <w:color w:val="000000" w:themeColor="text1"/>
          <w:kern w:val="0"/>
          <w:sz w:val="24"/>
          <w:szCs w:val="24"/>
          <w:highlight w:val="none"/>
          <w14:textFill>
            <w14:solidFill>
              <w14:schemeClr w14:val="tx1"/>
            </w14:solidFill>
          </w14:textFill>
        </w:rPr>
        <w:t>造价咨询单位按施工图编制或审核的建安工程费高于</w:t>
      </w:r>
      <w:r>
        <w:rPr>
          <w:rFonts w:hint="eastAsia" w:ascii="宋体" w:hAnsi="宋体" w:eastAsia="宋体" w:cs="宋体"/>
          <w:color w:val="000000" w:themeColor="text1"/>
          <w:sz w:val="24"/>
          <w:szCs w:val="24"/>
          <w:highlight w:val="none"/>
          <w14:textFill>
            <w14:solidFill>
              <w14:schemeClr w14:val="tx1"/>
            </w14:solidFill>
          </w14:textFill>
        </w:rPr>
        <w:t>建安工程费的中标价</w:t>
      </w:r>
      <w:r>
        <w:rPr>
          <w:rFonts w:hint="eastAsia" w:ascii="宋体" w:hAnsi="宋体" w:eastAsia="宋体" w:cs="宋体"/>
          <w:snapToGrid w:val="0"/>
          <w:color w:val="000000" w:themeColor="text1"/>
          <w:kern w:val="0"/>
          <w:sz w:val="24"/>
          <w:szCs w:val="24"/>
          <w:highlight w:val="none"/>
          <w14:textFill>
            <w14:solidFill>
              <w14:schemeClr w14:val="tx1"/>
            </w14:solidFill>
          </w14:textFill>
        </w:rPr>
        <w:t>时，</w:t>
      </w: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snapToGrid w:val="0"/>
          <w:color w:val="000000" w:themeColor="text1"/>
          <w:kern w:val="0"/>
          <w:sz w:val="24"/>
          <w:szCs w:val="24"/>
          <w:highlight w:val="none"/>
          <w14:textFill>
            <w14:solidFill>
              <w14:schemeClr w14:val="tx1"/>
            </w14:solidFill>
          </w14:textFill>
        </w:rPr>
        <w:t>必须无条件对施工图进行修改，直至满足限额设计要求，</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color w:val="000000" w:themeColor="text1"/>
          <w:sz w:val="24"/>
          <w:szCs w:val="24"/>
          <w:highlight w:val="none"/>
          <w14:textFill>
            <w14:solidFill>
              <w14:schemeClr w14:val="tx1"/>
            </w14:solidFill>
          </w14:textFill>
        </w:rPr>
        <w:t>不另行增加设计费</w:t>
      </w:r>
      <w:r>
        <w:rPr>
          <w:rFonts w:hint="eastAsia" w:ascii="宋体" w:hAnsi="宋体" w:eastAsia="宋体" w:cs="宋体"/>
          <w:snapToGrid w:val="0"/>
          <w:color w:val="000000" w:themeColor="text1"/>
          <w:kern w:val="0"/>
          <w:sz w:val="24"/>
          <w:szCs w:val="24"/>
          <w:highlight w:val="none"/>
          <w14:textFill>
            <w14:solidFill>
              <w14:schemeClr w14:val="tx1"/>
            </w14:solidFill>
          </w14:textFill>
        </w:rPr>
        <w:t>。由此造成造价咨询单位重复编制或审核施工图预算的费用由</w:t>
      </w: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snapToGrid w:val="0"/>
          <w:color w:val="000000" w:themeColor="text1"/>
          <w:kern w:val="0"/>
          <w:sz w:val="24"/>
          <w:szCs w:val="24"/>
          <w:highlight w:val="none"/>
          <w14:textFill>
            <w14:solidFill>
              <w14:schemeClr w14:val="tx1"/>
            </w14:solidFill>
          </w14:textFill>
        </w:rPr>
        <w:t>承担，结算时在设计费中扣除。</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w:t>
      </w:r>
      <w:r>
        <w:rPr>
          <w:rFonts w:hint="eastAsia" w:hAnsi="宋体" w:cs="宋体"/>
          <w:snapToGrid w:val="0"/>
          <w:color w:val="000000" w:themeColor="text1"/>
          <w:kern w:val="0"/>
          <w:sz w:val="24"/>
          <w:szCs w:val="24"/>
          <w:highlight w:val="none"/>
          <w:lang w:val="en-US" w:eastAsia="zh-CN"/>
          <w14:textFill>
            <w14:solidFill>
              <w14:schemeClr w14:val="tx1"/>
            </w14:solidFill>
          </w14:textFill>
        </w:rPr>
        <w:t>2</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snapToGrid w:val="0"/>
          <w:color w:val="000000" w:themeColor="text1"/>
          <w:kern w:val="0"/>
          <w:sz w:val="24"/>
          <w:szCs w:val="24"/>
          <w:highlight w:val="none"/>
          <w14:textFill>
            <w14:solidFill>
              <w14:schemeClr w14:val="tx1"/>
            </w14:solidFill>
          </w14:textFill>
        </w:rPr>
        <w:t>不得为了用完设计限额额度，擅自扩大建设规模、增加建设内容、提高建设标准的行为，因此导致造价增加由</w:t>
      </w: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snapToGrid w:val="0"/>
          <w:color w:val="000000" w:themeColor="text1"/>
          <w:kern w:val="0"/>
          <w:sz w:val="24"/>
          <w:szCs w:val="24"/>
          <w:highlight w:val="none"/>
          <w14:textFill>
            <w14:solidFill>
              <w14:schemeClr w14:val="tx1"/>
            </w14:solidFill>
          </w14:textFill>
        </w:rPr>
        <w:t>负责及承担费用。</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5.3.5</w:t>
      </w: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t>在设计前，要充分进行市场调查，主要材料、设备在满足设计规范及建设标准的情况下，尽量采用造价管理机构发布的信息价中有相应型号、规格的标准材料，若必须采用非标准材料的，必须经</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t>同意，否则参照信息价中相近且低于其标准的材料信息价作为该项材料的结算价。</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5.</w:t>
      </w:r>
      <w:r>
        <w:rPr>
          <w:rFonts w:hint="eastAsia" w:hAnsi="宋体" w:cs="宋体"/>
          <w:b w:val="0"/>
          <w:bCs w:val="0"/>
          <w:snapToGrid w:val="0"/>
          <w:color w:val="000000" w:themeColor="text1"/>
          <w:kern w:val="0"/>
          <w:sz w:val="24"/>
          <w:szCs w:val="24"/>
          <w:highlight w:val="none"/>
          <w:lang w:val="en-US" w:eastAsia="zh-CN"/>
          <w14:textFill>
            <w14:solidFill>
              <w14:schemeClr w14:val="tx1"/>
            </w14:solidFill>
          </w14:textFill>
        </w:rPr>
        <w:t>2</w:t>
      </w: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t>设计时需要考虑与周边地块的开发相结合。</w:t>
      </w:r>
    </w:p>
    <w:p>
      <w:pPr>
        <w:pStyle w:val="37"/>
        <w:pageBreakBefore w:val="0"/>
        <w:numPr>
          <w:ilvl w:val="0"/>
          <w:numId w:val="0"/>
        </w:numPr>
        <w:kinsoku/>
        <w:wordWrap w:val="0"/>
        <w:overflowPunct/>
        <w:bidi w:val="0"/>
        <w:spacing w:line="360" w:lineRule="auto"/>
        <w:ind w:firstLine="480" w:firstLineChars="200"/>
        <w:rPr>
          <w:rFonts w:hint="eastAsia" w:hAnsi="宋体" w:cs="Calibri"/>
          <w:bCs/>
          <w:color w:val="000000" w:themeColor="text1"/>
          <w:sz w:val="24"/>
          <w:szCs w:val="24"/>
          <w:highlight w:val="none"/>
          <w:lang w:val="en-US" w:eastAsia="zh-CN"/>
          <w14:textFill>
            <w14:solidFill>
              <w14:schemeClr w14:val="tx1"/>
            </w14:solidFill>
          </w14:textFill>
        </w:rPr>
      </w:pPr>
      <w:r>
        <w:rPr>
          <w:rFonts w:hint="eastAsia" w:hAnsi="宋体" w:cs="Calibri"/>
          <w:bCs/>
          <w:color w:val="000000" w:themeColor="text1"/>
          <w:sz w:val="24"/>
          <w:szCs w:val="24"/>
          <w:highlight w:val="none"/>
          <w:lang w:val="en-US" w:eastAsia="zh-CN"/>
          <w14:textFill>
            <w14:solidFill>
              <w14:schemeClr w14:val="tx1"/>
            </w14:solidFill>
          </w14:textFill>
        </w:rPr>
        <w:t>5.2.7设计成果文件要求：</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color w:val="000000" w:themeColor="text1"/>
          <w:sz w:val="24"/>
          <w:szCs w:val="24"/>
          <w:highlight w:val="none"/>
          <w14:textFill>
            <w14:solidFill>
              <w14:schemeClr w14:val="tx1"/>
            </w14:solidFill>
          </w14:textFill>
        </w:rPr>
        <w:t>按合同约定、招标文件内容要求、法律法规及国家强制性标准要求提供完整的设计文件</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（2）</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要求提供施工图设计文件12套。提供的所有资料均含电子版（含CAD及PDF文件格式）。</w:t>
      </w:r>
    </w:p>
    <w:p>
      <w:pPr>
        <w:pStyle w:val="37"/>
        <w:pageBreakBefore w:val="0"/>
        <w:numPr>
          <w:ilvl w:val="0"/>
          <w:numId w:val="0"/>
        </w:numPr>
        <w:kinsoku/>
        <w:wordWrap w:val="0"/>
        <w:overflowPunct/>
        <w:bidi w:val="0"/>
        <w:spacing w:line="360" w:lineRule="auto"/>
        <w:ind w:firstLine="480" w:firstLineChars="200"/>
        <w:rPr>
          <w:rFonts w:hint="eastAsia" w:hAnsi="宋体" w:cs="Calibri"/>
          <w:bCs/>
          <w:color w:val="000000" w:themeColor="text1"/>
          <w:sz w:val="24"/>
          <w:szCs w:val="24"/>
          <w:highlight w:val="none"/>
          <w:lang w:val="zh-CN"/>
          <w14:textFill>
            <w14:solidFill>
              <w14:schemeClr w14:val="tx1"/>
            </w14:solidFill>
          </w14:textFill>
        </w:rPr>
      </w:pPr>
      <w:r>
        <w:rPr>
          <w:rFonts w:hint="eastAsia" w:hAnsi="宋体" w:cs="Calibri"/>
          <w:bCs/>
          <w:color w:val="000000" w:themeColor="text1"/>
          <w:sz w:val="24"/>
          <w:szCs w:val="24"/>
          <w:highlight w:val="none"/>
          <w:lang w:val="en-US" w:eastAsia="zh-CN"/>
          <w14:textFill>
            <w14:solidFill>
              <w14:schemeClr w14:val="tx1"/>
            </w14:solidFill>
          </w14:textFill>
        </w:rPr>
        <w:t>5.3</w:t>
      </w:r>
      <w:r>
        <w:rPr>
          <w:rFonts w:hint="eastAsia" w:hAnsi="宋体" w:cs="Calibri"/>
          <w:bCs/>
          <w:color w:val="000000" w:themeColor="text1"/>
          <w:sz w:val="24"/>
          <w:szCs w:val="24"/>
          <w:highlight w:val="none"/>
          <w:lang w:val="zh-CN"/>
          <w14:textFill>
            <w14:solidFill>
              <w14:schemeClr w14:val="tx1"/>
            </w14:solidFill>
          </w14:textFill>
        </w:rPr>
        <w:t>施工要求：</w:t>
      </w:r>
    </w:p>
    <w:p>
      <w:pPr>
        <w:pStyle w:val="37"/>
        <w:pageBreakBefore w:val="0"/>
        <w:numPr>
          <w:ilvl w:val="0"/>
          <w:numId w:val="0"/>
        </w:numPr>
        <w:kinsoku/>
        <w:wordWrap w:val="0"/>
        <w:overflowPunct/>
        <w:bidi w:val="0"/>
        <w:spacing w:line="360" w:lineRule="auto"/>
        <w:ind w:firstLine="480" w:firstLineChars="200"/>
        <w:rPr>
          <w:rFonts w:hint="eastAsia" w:hAnsi="宋体" w:cs="Calibri"/>
          <w:bCs/>
          <w:color w:val="000000" w:themeColor="text1"/>
          <w:sz w:val="24"/>
          <w:szCs w:val="24"/>
          <w:highlight w:val="none"/>
          <w:lang w:val="zh-CN"/>
          <w14:textFill>
            <w14:solidFill>
              <w14:schemeClr w14:val="tx1"/>
            </w14:solidFill>
          </w14:textFill>
        </w:rPr>
      </w:pPr>
      <w:r>
        <w:rPr>
          <w:rFonts w:hint="eastAsia" w:hAnsi="宋体" w:cs="Calibri"/>
          <w:bCs/>
          <w:color w:val="000000" w:themeColor="text1"/>
          <w:sz w:val="24"/>
          <w:szCs w:val="24"/>
          <w:highlight w:val="none"/>
          <w:lang w:val="en-US" w:eastAsia="zh-CN"/>
          <w14:textFill>
            <w14:solidFill>
              <w14:schemeClr w14:val="tx1"/>
            </w14:solidFill>
          </w14:textFill>
        </w:rPr>
        <w:t>5.3.1施工质量要求：</w:t>
      </w:r>
      <w:r>
        <w:rPr>
          <w:rFonts w:hint="eastAsia" w:hAnsi="宋体" w:cs="Calibri"/>
          <w:bCs/>
          <w:color w:val="000000" w:themeColor="text1"/>
          <w:sz w:val="24"/>
          <w:szCs w:val="24"/>
          <w:highlight w:val="none"/>
          <w:lang w:val="zh-CN"/>
          <w14:textFill>
            <w14:solidFill>
              <w14:schemeClr w14:val="tx1"/>
            </w14:solidFill>
          </w14:textFill>
        </w:rPr>
        <w:t>施工质量必须达到国家验收合格标准。</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若因</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color w:val="000000" w:themeColor="text1"/>
          <w:sz w:val="24"/>
          <w:szCs w:val="24"/>
          <w:highlight w:val="none"/>
          <w14:textFill>
            <w14:solidFill>
              <w14:schemeClr w14:val="tx1"/>
            </w14:solidFill>
          </w14:textFill>
        </w:rPr>
        <w:t>原因，</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工程在竣工</w:t>
      </w:r>
      <w:r>
        <w:rPr>
          <w:rFonts w:hint="eastAsia" w:ascii="宋体" w:hAnsi="宋体" w:eastAsia="宋体" w:cs="宋体"/>
          <w:color w:val="000000" w:themeColor="text1"/>
          <w:sz w:val="24"/>
          <w:szCs w:val="24"/>
          <w:highlight w:val="none"/>
          <w14:textFill>
            <w14:solidFill>
              <w14:schemeClr w14:val="tx1"/>
            </w14:solidFill>
          </w14:textFill>
        </w:rPr>
        <w:t>验收时没有达到</w:t>
      </w:r>
      <w:r>
        <w:rPr>
          <w:rFonts w:hint="eastAsia" w:ascii="宋体" w:hAnsi="宋体" w:eastAsia="宋体" w:cs="宋体"/>
          <w:color w:val="000000" w:themeColor="text1"/>
          <w:sz w:val="24"/>
          <w:szCs w:val="24"/>
          <w:highlight w:val="none"/>
          <w:lang w:val="zh-CN"/>
          <w14:textFill>
            <w14:solidFill>
              <w14:schemeClr w14:val="tx1"/>
            </w14:solidFill>
          </w14:textFill>
        </w:rPr>
        <w:t>国家验收合格标准</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color w:val="000000" w:themeColor="text1"/>
          <w:sz w:val="24"/>
          <w:szCs w:val="24"/>
          <w:highlight w:val="none"/>
          <w14:textFill>
            <w14:solidFill>
              <w14:schemeClr w14:val="tx1"/>
            </w14:solidFill>
          </w14:textFill>
        </w:rPr>
        <w:t>按合同价款的1％向</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color w:val="000000" w:themeColor="text1"/>
          <w:sz w:val="24"/>
          <w:szCs w:val="24"/>
          <w:highlight w:val="none"/>
          <w14:textFill>
            <w14:solidFill>
              <w14:schemeClr w14:val="tx1"/>
            </w14:solidFill>
          </w14:textFill>
        </w:rPr>
        <w:t>返纳质量违约金。</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color w:val="000000" w:themeColor="text1"/>
          <w:sz w:val="24"/>
          <w:szCs w:val="24"/>
          <w:highlight w:val="none"/>
          <w14:textFill>
            <w14:solidFill>
              <w14:schemeClr w14:val="tx1"/>
            </w14:solidFill>
          </w14:textFill>
        </w:rPr>
        <w:t>在施工中如果工程质量不符合设计要求或有关规定，</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color w:val="000000" w:themeColor="text1"/>
          <w:sz w:val="24"/>
          <w:szCs w:val="24"/>
          <w:highlight w:val="none"/>
          <w14:textFill>
            <w14:solidFill>
              <w14:schemeClr w14:val="tx1"/>
            </w14:solidFill>
          </w14:textFill>
        </w:rPr>
        <w:t>或监理单位要求停工和返工的必须立即执行，并承担由此产生的各种费用，工期不予顺延。</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保修期限按中华人民共和国国务院令第279号文《建设工程质量管理条例》规定执行，在保修期内因施工质量问题而造成返修，一切费用由</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color w:val="000000" w:themeColor="text1"/>
          <w:sz w:val="24"/>
          <w:szCs w:val="24"/>
          <w:highlight w:val="none"/>
          <w14:textFill>
            <w14:solidFill>
              <w14:schemeClr w14:val="tx1"/>
            </w14:solidFill>
          </w14:textFill>
        </w:rPr>
        <w:t>负责。</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color w:val="000000" w:themeColor="text1"/>
          <w:sz w:val="24"/>
          <w:szCs w:val="24"/>
          <w:highlight w:val="none"/>
          <w14:textFill>
            <w14:solidFill>
              <w14:schemeClr w14:val="tx1"/>
            </w14:solidFill>
          </w14:textFill>
        </w:rPr>
        <w:t>在向</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color w:val="000000" w:themeColor="text1"/>
          <w:sz w:val="24"/>
          <w:szCs w:val="24"/>
          <w:highlight w:val="none"/>
          <w14:textFill>
            <w14:solidFill>
              <w14:schemeClr w14:val="tx1"/>
            </w14:solidFill>
          </w14:textFill>
        </w:rPr>
        <w:t>提交竣工验收报告时，应当向</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color w:val="000000" w:themeColor="text1"/>
          <w:sz w:val="24"/>
          <w:szCs w:val="24"/>
          <w:highlight w:val="none"/>
          <w14:textFill>
            <w14:solidFill>
              <w14:schemeClr w14:val="tx1"/>
            </w14:solidFill>
          </w14:textFill>
        </w:rPr>
        <w:t>出具质量保修书。质量保修书中应当明确建设工程的保修范围、保修期限和保修责任等。</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项目使用的主要材料质量要求必须符合本项目达到验收合格标准的要求。主要材料必须先提供样板给</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color w:val="000000" w:themeColor="text1"/>
          <w:sz w:val="24"/>
          <w:szCs w:val="24"/>
          <w:highlight w:val="none"/>
          <w14:textFill>
            <w14:solidFill>
              <w14:schemeClr w14:val="tx1"/>
            </w14:solidFill>
          </w14:textFill>
        </w:rPr>
        <w:t>确定其颜色、等级等，并经发包人委托的检测机构检测合格方可使用。</w:t>
      </w:r>
      <w:bookmarkStart w:id="72" w:name="OLE_LINK1"/>
      <w:bookmarkStart w:id="73" w:name="OLE_LINK2"/>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为保证施工现场的环境卫生，</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color w:val="000000" w:themeColor="text1"/>
          <w:sz w:val="24"/>
          <w:szCs w:val="24"/>
          <w:highlight w:val="none"/>
          <w14:textFill>
            <w14:solidFill>
              <w14:schemeClr w14:val="tx1"/>
            </w14:solidFill>
          </w14:textFill>
        </w:rPr>
        <w:t>在本工程施工过程中，所有的车辆必须按</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color w:val="000000" w:themeColor="text1"/>
          <w:sz w:val="24"/>
          <w:szCs w:val="24"/>
          <w:highlight w:val="none"/>
          <w14:textFill>
            <w14:solidFill>
              <w14:schemeClr w14:val="tx1"/>
            </w14:solidFill>
          </w14:textFill>
        </w:rPr>
        <w:t>规定的行车路线行驶。并负责施工现场及受施工影响周边道路的卫生。</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5.</w:t>
      </w:r>
      <w:r>
        <w:rPr>
          <w:rFonts w:hint="eastAsia" w:hAnsi="宋体" w:cs="宋体"/>
          <w:b w:val="0"/>
          <w:bCs w:val="0"/>
          <w:snapToGrid w:val="0"/>
          <w:color w:val="000000" w:themeColor="text1"/>
          <w:kern w:val="0"/>
          <w:sz w:val="24"/>
          <w:szCs w:val="24"/>
          <w:highlight w:val="none"/>
          <w:lang w:val="en-US" w:eastAsia="zh-CN"/>
          <w14:textFill>
            <w14:solidFill>
              <w14:schemeClr w14:val="tx1"/>
            </w14:solidFill>
          </w14:textFill>
        </w:rPr>
        <w:t>3</w:t>
      </w: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.7</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t>在施工期间应严格遵守国家、广东省、韶关市有关绿色施工、文明施工、噪音扬尘、消防爆破、环境卫生、渣土清运、治安保卫等方面的规定，并建立相应规章制度和保障措施。否则由此造成的经济损失和法律责任，均由</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t>承担。</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5.</w:t>
      </w:r>
      <w:r>
        <w:rPr>
          <w:rFonts w:hint="eastAsia" w:hAnsi="宋体" w:cs="宋体"/>
          <w:b w:val="0"/>
          <w:bCs w:val="0"/>
          <w:snapToGrid w:val="0"/>
          <w:color w:val="000000" w:themeColor="text1"/>
          <w:kern w:val="0"/>
          <w:sz w:val="24"/>
          <w:szCs w:val="24"/>
          <w:highlight w:val="none"/>
          <w:lang w:val="en-US" w:eastAsia="zh-CN"/>
          <w14:textFill>
            <w14:solidFill>
              <w14:schemeClr w14:val="tx1"/>
            </w14:solidFill>
          </w14:textFill>
        </w:rPr>
        <w:t>3</w:t>
      </w: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.8</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t>应按安全施工有关规定，采取严格、科学的安全防护措施，确保施工和人员（包括第三者）的安全，承担由于自身安全防护措施不力所造成的安全事故责任和发生的费用。</w:t>
      </w:r>
    </w:p>
    <w:p>
      <w:pPr>
        <w:pStyle w:val="44"/>
        <w:pageBreakBefore w:val="0"/>
        <w:widowControl/>
        <w:kinsoku/>
        <w:wordWrap w:val="0"/>
        <w:overflowPunct/>
        <w:bidi w:val="0"/>
        <w:spacing w:line="360" w:lineRule="auto"/>
        <w:ind w:firstLine="48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其它：本招标文件（包括答疑纪要、补充及修改文件）中招标人对材料或设备有明确要求的，投标人必须响应招标人要求，如投标人在投标文件未明确响应者视为默认；或投标人在投标文件中的虽有响应但不符合招标人要求的，视为无效响应，中标后必须按招标人要求执行。</w:t>
      </w:r>
      <w:bookmarkEnd w:id="72"/>
      <w:bookmarkEnd w:id="73"/>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5.</w:t>
      </w:r>
      <w:r>
        <w:rPr>
          <w:rFonts w:hint="eastAsia" w:asciiTheme="minorEastAsia" w:hAnsiTheme="minorEastAsia" w:eastAsiaTheme="minorEastAsia" w:cstheme="minorEastAsia"/>
          <w:b/>
          <w:bCs/>
          <w:snapToGrid w:val="0"/>
          <w:color w:val="000000" w:themeColor="text1"/>
          <w:kern w:val="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凡参加本次招标的投标人被视为已充分认识和理解了任何与本工程有关的影响事项和困难等情况。</w:t>
      </w:r>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74" w:name="_Hlt74493474"/>
      <w:bookmarkEnd w:id="74"/>
      <w:bookmarkStart w:id="75" w:name="_Hlt69699204"/>
      <w:bookmarkEnd w:id="75"/>
      <w:bookmarkStart w:id="76" w:name="_Hlt121563076"/>
      <w:bookmarkEnd w:id="76"/>
      <w:bookmarkStart w:id="77" w:name="_Hlt74496537"/>
      <w:bookmarkEnd w:id="77"/>
      <w:bookmarkStart w:id="78" w:name="_Hlt88974078"/>
      <w:bookmarkEnd w:id="78"/>
      <w:bookmarkStart w:id="79" w:name="_Hlt111690342"/>
      <w:bookmarkEnd w:id="79"/>
      <w:bookmarkStart w:id="80" w:name="_Hlt69356505"/>
      <w:bookmarkEnd w:id="80"/>
      <w:bookmarkStart w:id="81" w:name="_Hlt120502666"/>
      <w:bookmarkEnd w:id="81"/>
      <w:bookmarkStart w:id="82" w:name="_Toc10812"/>
      <w:bookmarkStart w:id="83" w:name="_Toc24793"/>
      <w:bookmarkStart w:id="84" w:name="_Toc12891"/>
      <w:bookmarkStart w:id="85" w:name="_Toc6443"/>
      <w:bookmarkStart w:id="86" w:name="_Toc16432"/>
      <w:bookmarkStart w:id="87" w:name="_Toc17958"/>
      <w:bookmarkStart w:id="88" w:name="_Toc3193"/>
      <w:bookmarkStart w:id="89" w:name="_Toc20827"/>
      <w:bookmarkStart w:id="90" w:name="_Toc19911"/>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6、招标工程施工条件及现场踏勘</w:t>
      </w:r>
      <w:bookmarkEnd w:id="82"/>
      <w:bookmarkEnd w:id="83"/>
      <w:bookmarkEnd w:id="84"/>
      <w:bookmarkEnd w:id="85"/>
      <w:bookmarkEnd w:id="86"/>
      <w:bookmarkEnd w:id="87"/>
      <w:bookmarkEnd w:id="88"/>
      <w:bookmarkEnd w:id="89"/>
      <w:bookmarkEnd w:id="90"/>
    </w:p>
    <w:p>
      <w:pPr>
        <w:pStyle w:val="45"/>
        <w:pageBreakBefore w:val="0"/>
        <w:kinsoku/>
        <w:wordWrap w:val="0"/>
        <w:overflowPunct/>
        <w:bidi w:val="0"/>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6.1本工程招标人仅在征地红线范围内提供场地，其他一切场地费用由中标人自行负责（含临时道路）。</w:t>
      </w:r>
    </w:p>
    <w:p>
      <w:pPr>
        <w:pageBreakBefore w:val="0"/>
        <w:kinsoku/>
        <w:wordWrap w:val="0"/>
        <w:overflowPunct/>
        <w:bidi w:val="0"/>
        <w:adjustRightInd w:val="0"/>
        <w:snapToGrid w:val="0"/>
        <w:spacing w:line="360" w:lineRule="auto"/>
        <w:ind w:firstLine="360" w:firstLineChars="150"/>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6.2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施工用水：</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招标人协调，</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施工用水及水源由中标人自行解决，费用含在投标报价中，不另计</w:t>
      </w:r>
      <w:r>
        <w:rPr>
          <w:rFonts w:hint="eastAsia" w:asciiTheme="minorEastAsia" w:hAnsiTheme="minorEastAsia" w:eastAsiaTheme="minorEastAsia" w:cstheme="minorEastAsia"/>
          <w:color w:val="000000" w:themeColor="text1"/>
          <w:kern w:val="0"/>
          <w:szCs w:val="24"/>
          <w:highlight w:val="none"/>
          <w:u w:val="single"/>
          <w14:textFill>
            <w14:solidFill>
              <w14:schemeClr w14:val="tx1"/>
            </w14:solidFill>
          </w14:textFill>
        </w:rPr>
        <w:t>。</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6.3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施工用电：</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招标人协调，</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施工用电及电源由中标人自行解决，费用含在投标报价中，不另计</w:t>
      </w:r>
      <w:r>
        <w:rPr>
          <w:rFonts w:hint="eastAsia" w:asciiTheme="minorEastAsia" w:hAnsiTheme="minorEastAsia" w:eastAsiaTheme="minorEastAsia" w:cstheme="minorEastAsia"/>
          <w:color w:val="000000" w:themeColor="text1"/>
          <w:kern w:val="0"/>
          <w:szCs w:val="24"/>
          <w:highlight w:val="none"/>
          <w:u w:val="single"/>
          <w14:textFill>
            <w14:solidFill>
              <w14:schemeClr w14:val="tx1"/>
            </w14:solidFill>
          </w14:textFill>
        </w:rPr>
        <w:t>。</w:t>
      </w:r>
    </w:p>
    <w:p>
      <w:pPr>
        <w:pStyle w:val="37"/>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6.4</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施工用水、用电由中标人负责报装并接入施工红线范围，</w:t>
      </w:r>
      <w:r>
        <w:rPr>
          <w:rFonts w:hint="eastAsia" w:asciiTheme="minorEastAsia" w:hAnsiTheme="minorEastAsia" w:eastAsiaTheme="minorEastAsia" w:cstheme="minorEastAsia"/>
          <w:color w:val="000000" w:themeColor="text1"/>
          <w:highlight w:val="none"/>
          <w14:textFill>
            <w14:solidFill>
              <w14:schemeClr w14:val="tx1"/>
            </w14:solidFill>
          </w14:textFill>
        </w:rPr>
        <w:t>并由中标人负责购置及安装满足施工所需的临时用电变压器、水表、电表，其水、电费按工程所在地</w:t>
      </w:r>
      <w:r>
        <w:rPr>
          <w:rFonts w:hint="eastAsia" w:asciiTheme="minorEastAsia" w:hAnsiTheme="minorEastAsia" w:eastAsiaTheme="minorEastAsia" w:cstheme="minorEastAsia"/>
          <w:color w:val="000000" w:themeColor="text1"/>
          <w:highlight w:val="none"/>
          <w:u w:val="singl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highlight w:val="none"/>
          <w14:textFill>
            <w14:solidFill>
              <w14:schemeClr w14:val="tx1"/>
            </w14:solidFill>
          </w14:textFill>
        </w:rPr>
        <w:t>基建工程水、电计费标准计算并由中标人缴纳，相关线路、管路费用及安装费用以及购置及安装临时用电变压器的费用由中标人自行承担。</w:t>
      </w:r>
    </w:p>
    <w:p>
      <w:pPr>
        <w:pStyle w:val="37"/>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6.5招标人不集中现场踏勘，但会在招标文件及有关设计文件中明确告知招标工程的具体位置和周边环境，并在现场设置足以识别的标识或提供足以表明工程具体位置的文字或图片。投标人需要了解现场情况的，可自行进行现场踏勘。</w:t>
      </w:r>
    </w:p>
    <w:p>
      <w:pPr>
        <w:pStyle w:val="37"/>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6.6在现场踏勘过程中，投标人应确保自身安全，投标人如果发生人身伤亡、财物或其他损失，法律法规有规定的按有关规定处理，没有规定的由投标人自行负责。</w:t>
      </w:r>
    </w:p>
    <w:p>
      <w:pPr>
        <w:pStyle w:val="37"/>
        <w:pageBreakBefore w:val="0"/>
        <w:kinsoku/>
        <w:wordWrap w:val="0"/>
        <w:overflowPunct/>
        <w:bidi w:val="0"/>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6.7现场踏勘期间的交通、食宿由投标人自行安排，费用自理。</w:t>
      </w:r>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bookmarkStart w:id="91" w:name="_Toc17548"/>
      <w:bookmarkStart w:id="92" w:name="_Toc5795"/>
      <w:bookmarkStart w:id="93" w:name="_Toc23962"/>
      <w:bookmarkStart w:id="94" w:name="_Toc8518"/>
      <w:bookmarkStart w:id="95" w:name="_Toc25942"/>
      <w:bookmarkStart w:id="96" w:name="_Toc27595"/>
      <w:bookmarkStart w:id="97" w:name="_Toc22484"/>
      <w:bookmarkStart w:id="98" w:name="_Toc24698"/>
      <w:bookmarkStart w:id="99" w:name="_Toc3294"/>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7</w:t>
      </w:r>
      <w:bookmarkStart w:id="100" w:name="_Toc488220856"/>
      <w:bookmarkStart w:id="101" w:name="_Toc371968705"/>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、其他招标说明</w:t>
      </w:r>
      <w:bookmarkEnd w:id="91"/>
      <w:bookmarkEnd w:id="92"/>
      <w:bookmarkEnd w:id="93"/>
      <w:bookmarkEnd w:id="94"/>
      <w:bookmarkEnd w:id="95"/>
      <w:bookmarkEnd w:id="96"/>
      <w:bookmarkEnd w:id="97"/>
      <w:bookmarkEnd w:id="98"/>
      <w:bookmarkEnd w:id="99"/>
      <w:bookmarkEnd w:id="100"/>
    </w:p>
    <w:bookmarkEnd w:id="101"/>
    <w:p>
      <w:pPr>
        <w:pageBreakBefore w:val="0"/>
        <w:kinsoku/>
        <w:wordWrap w:val="0"/>
        <w:overflowPunct/>
        <w:autoSpaceDE/>
        <w:autoSpaceDN/>
        <w:bidi w:val="0"/>
        <w:snapToGrid w:val="0"/>
        <w:spacing w:line="440" w:lineRule="exact"/>
        <w:ind w:firstLine="480"/>
        <w:jc w:val="both"/>
        <w:outlineLvl w:val="9"/>
        <w:rPr>
          <w:rFonts w:hint="eastAsia" w:asciiTheme="minorEastAsia" w:hAnsiTheme="minorEastAsia" w:eastAsiaTheme="minorEastAsia" w:cstheme="minorEastAsia"/>
          <w:b/>
          <w:snapToGrid w:val="0"/>
          <w:color w:val="000000" w:themeColor="text1"/>
          <w:szCs w:val="24"/>
          <w:highlight w:val="none"/>
          <w14:textFill>
            <w14:solidFill>
              <w14:schemeClr w14:val="tx1"/>
            </w14:solidFill>
          </w14:textFill>
        </w:rPr>
      </w:pPr>
      <w:bookmarkStart w:id="102" w:name="_Toc28014"/>
      <w:bookmarkStart w:id="103" w:name="_Toc10210"/>
      <w:r>
        <w:rPr>
          <w:rFonts w:hint="eastAsia" w:asciiTheme="minorEastAsia" w:hAnsiTheme="minorEastAsia" w:eastAsiaTheme="minorEastAsia" w:cstheme="minorEastAsia"/>
          <w:b/>
          <w:snapToGrid w:val="0"/>
          <w:color w:val="000000" w:themeColor="text1"/>
          <w:szCs w:val="24"/>
          <w:highlight w:val="none"/>
          <w14:textFill>
            <w14:solidFill>
              <w14:schemeClr w14:val="tx1"/>
            </w14:solidFill>
          </w14:textFill>
        </w:rPr>
        <w:t>7.1．</w:t>
      </w:r>
      <w:r>
        <w:rPr>
          <w:rStyle w:val="25"/>
          <w:rFonts w:hint="eastAsia" w:asciiTheme="minorEastAsia" w:hAnsiTheme="minorEastAsia" w:eastAsiaTheme="minorEastAsia" w:cstheme="minorEastAsia"/>
          <w:color w:val="000000" w:themeColor="text1"/>
          <w:szCs w:val="24"/>
          <w:highlight w:val="none"/>
          <w:shd w:val="clear" w:color="auto" w:fill="FFFFFF"/>
          <w14:textFill>
            <w14:solidFill>
              <w14:schemeClr w14:val="tx1"/>
            </w14:solidFill>
          </w14:textFill>
        </w:rPr>
        <w:t>获取招标文件</w:t>
      </w:r>
      <w:bookmarkEnd w:id="102"/>
      <w:bookmarkEnd w:id="103"/>
    </w:p>
    <w:p>
      <w:pPr>
        <w:pStyle w:val="20"/>
        <w:pageBreakBefore w:val="0"/>
        <w:widowControl w:val="0"/>
        <w:kinsoku/>
        <w:wordWrap w:val="0"/>
        <w:overflowPunct/>
        <w:bidi w:val="0"/>
        <w:adjustRightInd w:val="0"/>
        <w:snapToGrid w:val="0"/>
        <w:spacing w:beforeAutospacing="0" w:afterAutospacing="0" w:line="440" w:lineRule="exact"/>
        <w:ind w:firstLine="482" w:firstLineChars="200"/>
        <w:rPr>
          <w:rFonts w:hint="eastAsia" w:asciiTheme="minorEastAsia" w:hAnsiTheme="minorEastAsia" w:eastAsiaTheme="minorEastAsia" w:cstheme="minorEastAsia"/>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highlight w:val="none"/>
          <w14:textFill>
            <w14:solidFill>
              <w14:schemeClr w14:val="tx1"/>
            </w14:solidFill>
          </w14:textFill>
        </w:rPr>
        <w:t>7.1.1</w:t>
      </w:r>
      <w:r>
        <w:rPr>
          <w:rFonts w:hint="eastAsia" w:asciiTheme="minorEastAsia" w:hAnsiTheme="minorEastAsia" w:eastAsiaTheme="minorEastAsia" w:cstheme="minorEastAsia"/>
          <w:snapToGrid w:val="0"/>
          <w:color w:val="000000" w:themeColor="text1"/>
          <w:highlight w:val="none"/>
          <w14:textFill>
            <w14:solidFill>
              <w14:schemeClr w14:val="tx1"/>
            </w14:solidFill>
          </w14:textFill>
        </w:rPr>
        <w:t>本次招标实行电子投标。</w:t>
      </w:r>
      <w:r>
        <w:rPr>
          <w:rFonts w:hint="eastAsia" w:asciiTheme="minorEastAsia" w:hAnsiTheme="minorEastAsia" w:eastAsiaTheme="minorEastAsia" w:cstheme="minorEastAsia"/>
          <w:color w:val="000000" w:themeColor="text1"/>
          <w:highlight w:val="none"/>
          <w:shd w:val="clear" w:color="auto" w:fill="FFFFFF"/>
          <w14:textFill>
            <w14:solidFill>
              <w14:schemeClr w14:val="tx1"/>
            </w14:solidFill>
          </w14:textFill>
        </w:rPr>
        <w:t>本项目招标文件随招标公告一并在</w:t>
      </w:r>
      <w:r>
        <w:rPr>
          <w:rFonts w:hint="eastAsia" w:asciiTheme="minorEastAsia" w:hAnsiTheme="minorEastAsia" w:eastAsiaTheme="minorEastAsia" w:cstheme="minorEastAsia"/>
          <w:bCs/>
          <w:snapToGrid w:val="0"/>
          <w:color w:val="000000" w:themeColor="text1"/>
          <w:highlight w:val="none"/>
          <w14:textFill>
            <w14:solidFill>
              <w14:schemeClr w14:val="tx1"/>
            </w14:solidFill>
          </w14:textFill>
        </w:rPr>
        <w:t>广东省招标投标监管网(https://www.gdzwfw.gov.cn/ztbjg-portal/#/index)、</w:t>
      </w:r>
      <w:r>
        <w:rPr>
          <w:rFonts w:hint="eastAsia" w:asciiTheme="minorEastAsia" w:hAnsiTheme="minorEastAsia" w:eastAsiaTheme="minorEastAsia" w:cstheme="minorEastAsia"/>
          <w:color w:val="000000" w:themeColor="text1"/>
          <w:highlight w:val="none"/>
          <w:shd w:val="clear" w:color="auto" w:fill="FFFFFF"/>
          <w14:textFill>
            <w14:solidFill>
              <w14:schemeClr w14:val="tx1"/>
            </w14:solidFill>
          </w14:textFill>
        </w:rPr>
        <w:t>全国公共资源交易平台（广东省·韶关市）（https://ygp.gdzwfw.gov.cn/ggzy-portal/#/440200/index）网站发布。招标文件一经在交易平台发布，视为发送投标人，招标文件及相关附件由投标人自行在交易平台网站下载。招标文件获取</w:t>
      </w:r>
      <w:r>
        <w:rPr>
          <w:rFonts w:hint="eastAsia" w:asciiTheme="minorEastAsia" w:hAnsiTheme="minorEastAsia" w:eastAsiaTheme="minorEastAsia" w:cstheme="minorEastAsia"/>
          <w:snapToGrid w:val="0"/>
          <w:color w:val="000000" w:themeColor="text1"/>
          <w:highlight w:val="none"/>
          <w14:textFill>
            <w14:solidFill>
              <w14:schemeClr w14:val="tx1"/>
            </w14:solidFill>
          </w14:textFill>
        </w:rPr>
        <w:t>期间</w:t>
      </w:r>
      <w:r>
        <w:rPr>
          <w:rFonts w:hint="eastAsia" w:asciiTheme="minorEastAsia" w:hAnsiTheme="minorEastAsia" w:eastAsiaTheme="minorEastAsia" w:cstheme="minorEastAsia"/>
          <w:color w:val="000000" w:themeColor="text1"/>
          <w:highlight w:val="none"/>
          <w:shd w:val="clear" w:color="auto" w:fill="FFFFFF"/>
          <w14:textFill>
            <w14:solidFill>
              <w14:schemeClr w14:val="tx1"/>
            </w14:solidFill>
          </w14:textFill>
        </w:rPr>
        <w:t>（</w:t>
      </w:r>
      <w:r>
        <w:rPr>
          <w:rFonts w:hint="eastAsia" w:asciiTheme="minorEastAsia" w:hAnsiTheme="minorEastAsia" w:eastAsiaTheme="minorEastAsia" w:cstheme="minorEastAsia"/>
          <w:snapToGrid w:val="0"/>
          <w:color w:val="000000" w:themeColor="text1"/>
          <w:highlight w:val="none"/>
          <w14:textFill>
            <w14:solidFill>
              <w14:schemeClr w14:val="tx1"/>
            </w14:solidFill>
          </w14:textFill>
        </w:rPr>
        <w:t>见本章第二节“重要事项时间地点一览表”，招标文件获取期间与招标公告发布时间一致</w:t>
      </w:r>
      <w:r>
        <w:rPr>
          <w:rFonts w:hint="eastAsia" w:asciiTheme="minorEastAsia" w:hAnsiTheme="minorEastAsia" w:eastAsiaTheme="minorEastAsia" w:cstheme="minorEastAsia"/>
          <w:color w:val="000000" w:themeColor="text1"/>
          <w:highlight w:val="none"/>
          <w:shd w:val="clear" w:color="auto" w:fill="FFFFFF"/>
          <w14:textFill>
            <w14:solidFill>
              <w14:schemeClr w14:val="tx1"/>
            </w14:solidFill>
          </w14:textFill>
        </w:rPr>
        <w:t>），投标人须登录全国公共资源交易平台（广东省·韶关市）（https://ygp.gdzwfw.gov.cn/ggzy-portal/#/440200/index）</w:t>
      </w:r>
      <w:r>
        <w:rPr>
          <w:rFonts w:hint="eastAsia" w:asciiTheme="minorEastAsia" w:hAnsiTheme="minorEastAsia" w:eastAsiaTheme="minorEastAsia" w:cstheme="minorEastAsia"/>
          <w:snapToGrid w:val="0"/>
          <w:color w:val="000000" w:themeColor="text1"/>
          <w:highlight w:val="none"/>
          <w14:textFill>
            <w14:solidFill>
              <w14:schemeClr w14:val="tx1"/>
            </w14:solidFill>
          </w14:textFill>
        </w:rPr>
        <w:t>下载</w:t>
      </w:r>
      <w:r>
        <w:rPr>
          <w:rFonts w:hint="eastAsia" w:asciiTheme="minorEastAsia" w:hAnsiTheme="minorEastAsia" w:eastAsiaTheme="minorEastAsia" w:cstheme="minorEastAsia"/>
          <w:color w:val="000000" w:themeColor="text1"/>
          <w:highlight w:val="none"/>
          <w:shd w:val="clear" w:color="auto" w:fill="FFFFFF"/>
          <w14:textFill>
            <w14:solidFill>
              <w14:schemeClr w14:val="tx1"/>
            </w14:solidFill>
          </w14:textFill>
        </w:rPr>
        <w:t>招标文件及相关附件，并于电子投标截止时间（</w:t>
      </w:r>
      <w:r>
        <w:rPr>
          <w:rFonts w:hint="eastAsia" w:asciiTheme="minorEastAsia" w:hAnsiTheme="minorEastAsia" w:eastAsiaTheme="minorEastAsia" w:cstheme="minorEastAsia"/>
          <w:snapToGrid w:val="0"/>
          <w:color w:val="000000" w:themeColor="text1"/>
          <w:highlight w:val="none"/>
          <w14:textFill>
            <w14:solidFill>
              <w14:schemeClr w14:val="tx1"/>
            </w14:solidFill>
          </w14:textFill>
        </w:rPr>
        <w:t>见本章第二节“重要事项时间地点一览表”</w:t>
      </w:r>
      <w:r>
        <w:rPr>
          <w:rFonts w:hint="eastAsia" w:asciiTheme="minorEastAsia" w:hAnsiTheme="minorEastAsia" w:eastAsiaTheme="minorEastAsia" w:cstheme="minorEastAsia"/>
          <w:color w:val="000000" w:themeColor="text1"/>
          <w:highlight w:val="none"/>
          <w:shd w:val="clear" w:color="auto" w:fill="FFFFFF"/>
          <w14:textFill>
            <w14:solidFill>
              <w14:schemeClr w14:val="tx1"/>
            </w14:solidFill>
          </w14:textFill>
        </w:rPr>
        <w:t>）前完成电子投标。投标人可登录全国公共资源交易平台（广东省·韶关市）（https://ygp.gdzwfw.gov.cn/ggzy-portal/#/440200/index），在【服务指南】栏目中下载《韶关市公共资源建设工程交易系统-投标人操作指南（电子评标）》，了解网上获取招标文件操作流程。技术咨询电话：18819797080/0751-8379671 伍先生，业务咨询电话：0751-8633211、8633071。</w:t>
      </w:r>
    </w:p>
    <w:p>
      <w:pPr>
        <w:pStyle w:val="40"/>
        <w:pageBreakBefore w:val="0"/>
        <w:kinsoku/>
        <w:wordWrap w:val="0"/>
        <w:overflowPunct/>
        <w:bidi w:val="0"/>
        <w:adjustRightInd w:val="0"/>
        <w:snapToGrid w:val="0"/>
        <w:spacing w:line="440" w:lineRule="exact"/>
        <w:ind w:firstLine="480"/>
        <w:jc w:val="left"/>
        <w:rPr>
          <w:rFonts w:hint="eastAsia" w:asciiTheme="minorEastAsia" w:hAnsiTheme="minorEastAsia" w:eastAsiaTheme="minorEastAsia" w:cstheme="minorEastAsia"/>
          <w:color w:val="000000" w:themeColor="text1"/>
          <w:sz w:val="24"/>
          <w:highlight w:val="none"/>
          <w:shd w:val="clear" w:color="auto" w:fill="FFFFFF"/>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 w:val="24"/>
          <w:highlight w:val="none"/>
          <w14:textFill>
            <w14:solidFill>
              <w14:schemeClr w14:val="tx1"/>
            </w14:solidFill>
          </w14:textFill>
        </w:rPr>
        <w:t xml:space="preserve">7.1.2 </w:t>
      </w:r>
      <w:r>
        <w:rPr>
          <w:rFonts w:hint="eastAsia" w:asciiTheme="minorEastAsia" w:hAnsiTheme="minorEastAsia" w:eastAsiaTheme="minorEastAsia" w:cstheme="minorEastAsia"/>
          <w:color w:val="000000" w:themeColor="text1"/>
          <w:sz w:val="24"/>
          <w:highlight w:val="none"/>
          <w:shd w:val="clear" w:color="auto" w:fill="FFFFFF"/>
          <w14:textFill>
            <w14:solidFill>
              <w14:schemeClr w14:val="tx1"/>
            </w14:solidFill>
          </w14:textFill>
        </w:rPr>
        <w:t>只有申领了数字证书（CA）、“粤企签”或GDCA/SZCA/NETCA等符合法律法规规定的电子印章，并在交易平台中完成企业信息数据入库的投标人，方可在交易平台获取招标文件和电子投标。</w:t>
      </w:r>
    </w:p>
    <w:p>
      <w:pPr>
        <w:pStyle w:val="40"/>
        <w:pageBreakBefore w:val="0"/>
        <w:kinsoku/>
        <w:wordWrap w:val="0"/>
        <w:overflowPunct/>
        <w:bidi w:val="0"/>
        <w:adjustRightInd w:val="0"/>
        <w:snapToGrid w:val="0"/>
        <w:spacing w:line="440" w:lineRule="exact"/>
        <w:ind w:firstLine="480"/>
        <w:jc w:val="left"/>
        <w:rPr>
          <w:rFonts w:hint="eastAsia" w:asciiTheme="minorEastAsia" w:hAnsiTheme="minorEastAsia" w:eastAsiaTheme="minorEastAsia" w:cstheme="minorEastAsia"/>
          <w:color w:val="000000" w:themeColor="text1"/>
          <w:sz w:val="24"/>
          <w:highlight w:val="none"/>
          <w:shd w:val="clear" w:color="auto" w:fill="FFFFFF"/>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shd w:val="clear" w:color="auto" w:fill="FFFFFF"/>
          <w14:textFill>
            <w14:solidFill>
              <w14:schemeClr w14:val="tx1"/>
            </w14:solidFill>
          </w14:textFill>
        </w:rPr>
        <w:t>首次在韶关市参与建设工程招标投标活动的投标人，必须在交易平台上传企业相关资料办理企业入库事宜。投标人可登录全国公共资源交易平台（广东省·韶关市）（https://ygp.gdzwfw.gov.cn/ggzy-portal/#/440200/index）办理企业入库、数字证书及电子印章事宜，具体请在交易平台查阅相应的交易指引。</w:t>
      </w:r>
    </w:p>
    <w:p>
      <w:pPr>
        <w:pStyle w:val="40"/>
        <w:pageBreakBefore w:val="0"/>
        <w:kinsoku/>
        <w:wordWrap w:val="0"/>
        <w:overflowPunct/>
        <w:bidi w:val="0"/>
        <w:adjustRightInd w:val="0"/>
        <w:snapToGrid w:val="0"/>
        <w:spacing w:line="440" w:lineRule="exact"/>
        <w:ind w:firstLine="480"/>
        <w:jc w:val="left"/>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shd w:val="clear" w:color="auto" w:fill="FFFFFF"/>
          <w14:textFill>
            <w14:solidFill>
              <w14:schemeClr w14:val="tx1"/>
            </w14:solidFill>
          </w14:textFill>
        </w:rPr>
        <w:t>已入库企业有关信息（如单位名称、基本账号、资质、人员等）发生变化的，须及时在交易平台进行相应变更。投标人未及时变更信息而造成的损失和后果，由投标人自行承担。</w:t>
      </w:r>
    </w:p>
    <w:p>
      <w:pPr>
        <w:pageBreakBefore w:val="0"/>
        <w:tabs>
          <w:tab w:val="left" w:pos="7020"/>
        </w:tabs>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shd w:val="clear" w:color="auto" w:fill="FFFFFF"/>
          <w14:textFill>
            <w14:solidFill>
              <w14:schemeClr w14:val="tx1"/>
            </w14:solidFill>
          </w14:textFill>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r>
        <w:rPr>
          <w:rFonts w:hint="eastAsia" w:asciiTheme="minorEastAsia" w:hAnsiTheme="minorEastAsia" w:eastAsiaTheme="minorEastAsia" w:cstheme="minorEastAsia"/>
          <w:snapToGrid w:val="0"/>
          <w:color w:val="000000" w:themeColor="text1"/>
          <w:szCs w:val="24"/>
          <w:highlight w:val="none"/>
          <w14:textFill>
            <w14:solidFill>
              <w14:schemeClr w14:val="tx1"/>
            </w14:solidFill>
          </w14:textFill>
        </w:rPr>
        <w:t>。</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7.2</w:t>
      </w:r>
      <w:r>
        <w:rPr>
          <w:rFonts w:hint="eastAsia" w:asciiTheme="minorEastAsia" w:hAnsiTheme="minorEastAsia" w:eastAsiaTheme="minorEastAsia" w:cstheme="minorEastAsia"/>
          <w:color w:val="000000" w:themeColor="text1"/>
          <w:highlight w:val="none"/>
          <w14:textFill>
            <w14:solidFill>
              <w14:schemeClr w14:val="tx1"/>
            </w14:solidFill>
          </w14:textFill>
        </w:rPr>
        <w:t>招标人（或招标代理机构）对投标人的失误不负任何责任，投标人应指定一名投标事务负责人（即授权委托人），专门负责跟踪、签收、阅读和理解招标文件及随后收到的有关资料，向招标人（或招标代理机构）发出疑问，检查投标文件，协助有关人员尽力克服各种投标失误。投标事务负责人（即授权委托人）如有更换，投标人应及时向招标人（或招标代理机构）提交授权委托书。</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7.3 </w:t>
      </w:r>
      <w:r>
        <w:rPr>
          <w:rFonts w:hint="eastAsia" w:asciiTheme="minorEastAsia" w:hAnsiTheme="minorEastAsia" w:eastAsiaTheme="minorEastAsia" w:cstheme="minorEastAsia"/>
          <w:b/>
          <w:bCs/>
          <w:color w:val="000000" w:themeColor="text1"/>
          <w:highlight w:val="none"/>
          <w14:textFill>
            <w14:solidFill>
              <w14:schemeClr w14:val="tx1"/>
            </w14:solidFill>
          </w14:textFill>
        </w:rPr>
        <w:t>纪律与保密要求</w:t>
      </w:r>
    </w:p>
    <w:p>
      <w:pPr>
        <w:pageBreakBefore w:val="0"/>
        <w:kinsoku/>
        <w:wordWrap w:val="0"/>
        <w:overflowPunct/>
        <w:bidi w:val="0"/>
        <w:spacing w:line="360" w:lineRule="auto"/>
        <w:ind w:firstLine="495"/>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7.3.1</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对招标人的纪律要求</w:t>
      </w:r>
    </w:p>
    <w:p>
      <w:pPr>
        <w:pageBreakBefore w:val="0"/>
        <w:kinsoku/>
        <w:wordWrap w:val="0"/>
        <w:overflowPunct/>
        <w:bidi w:val="0"/>
        <w:spacing w:line="360" w:lineRule="auto"/>
        <w:ind w:firstLine="495"/>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招标人不得泄露招标投标活动中应当保密的情况和资料，不得与投标人串通损害国家利益、社会公共利益或者他人合法权益。</w:t>
      </w:r>
    </w:p>
    <w:p>
      <w:pPr>
        <w:pageBreakBefore w:val="0"/>
        <w:kinsoku/>
        <w:wordWrap w:val="0"/>
        <w:overflowPunct/>
        <w:bidi w:val="0"/>
        <w:spacing w:line="360" w:lineRule="auto"/>
        <w:ind w:firstLine="495"/>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7.3.2 </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对投标人的纪律要求</w:t>
      </w:r>
    </w:p>
    <w:p>
      <w:pPr>
        <w:pageBreakBefore w:val="0"/>
        <w:kinsoku/>
        <w:wordWrap w:val="0"/>
        <w:overflowPunct/>
        <w:bidi w:val="0"/>
        <w:spacing w:line="360" w:lineRule="auto"/>
        <w:ind w:firstLine="495"/>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投标人不得相互串通投标或者与招标人串通投标，不得向招标人或者评标委员会成员行贿谋取中标，不得以他人名义投标或者以其他方式弄虚作假骗取中标；投标人不得以任何方式干扰、影响评标工作。</w:t>
      </w:r>
    </w:p>
    <w:p>
      <w:pPr>
        <w:pageBreakBefore w:val="0"/>
        <w:kinsoku/>
        <w:wordWrap w:val="0"/>
        <w:overflowPunct/>
        <w:bidi w:val="0"/>
        <w:spacing w:line="360" w:lineRule="auto"/>
        <w:ind w:firstLine="495"/>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7.3.3 </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参与招</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标</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投标活</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动</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的各方</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应</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对招标</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文</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件和投</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标</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文件中</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的</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商业和</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技</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术等秘密</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保密，违者应对由此造成的后果承担法律责任。</w:t>
      </w:r>
      <w:bookmarkStart w:id="104" w:name="_Toc371968706"/>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w:t>
      </w:r>
      <w:bookmarkStart w:id="105" w:name="_Toc143766459"/>
      <w:bookmarkStart w:id="106" w:name="_Toc353462300"/>
      <w:bookmarkStart w:id="107" w:name="_Toc353462191"/>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4 </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语言、计量及投标费用</w:t>
      </w:r>
      <w:bookmarkEnd w:id="104"/>
      <w:bookmarkEnd w:id="105"/>
      <w:bookmarkEnd w:id="106"/>
      <w:bookmarkEnd w:id="107"/>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7.4.1 除专用术语外</w:t>
      </w:r>
      <w:r>
        <w:rPr>
          <w:rFonts w:hint="eastAsia" w:asciiTheme="minorEastAsia" w:hAnsiTheme="minorEastAsia" w:eastAsiaTheme="minorEastAsia" w:cstheme="minorEastAsia"/>
          <w:color w:val="000000" w:themeColor="text1"/>
          <w:spacing w:val="-80"/>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与招标投标有关的语言均使用中文</w:t>
      </w:r>
      <w:r>
        <w:rPr>
          <w:rFonts w:hint="eastAsia" w:asciiTheme="minorEastAsia" w:hAnsiTheme="minorEastAsia" w:eastAsiaTheme="minorEastAsia" w:cstheme="minorEastAsia"/>
          <w:color w:val="000000" w:themeColor="text1"/>
          <w:spacing w:val="-80"/>
          <w:szCs w:val="24"/>
          <w:highlight w:val="none"/>
          <w14:textFill>
            <w14:solidFill>
              <w14:schemeClr w14:val="tx1"/>
            </w14:solidFill>
          </w14:textFill>
        </w:rPr>
        <w:t>。</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7.4.2 所有计量均采用中华人民共和国法定计量单位。</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7.4.3 招标文件、投标文件中所指的币种均为人民币。</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7.4.4 投标人准备和参加投标活动发生的所有费用自理。</w:t>
      </w:r>
      <w:bookmarkStart w:id="108" w:name="_Toc371968707"/>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b/>
          <w:bCs/>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7.5</w:t>
      </w:r>
      <w:r>
        <w:rPr>
          <w:rFonts w:hint="eastAsia" w:asciiTheme="minorEastAsia" w:hAnsiTheme="minorEastAsia" w:eastAsiaTheme="minorEastAsia" w:cstheme="minorEastAsia"/>
          <w:b/>
          <w:bCs/>
          <w:color w:val="000000" w:themeColor="text1"/>
          <w:highlight w:val="none"/>
          <w14:textFill>
            <w14:solidFill>
              <w14:schemeClr w14:val="tx1"/>
            </w14:solidFill>
          </w14:textFill>
        </w:rPr>
        <w:t>知识产权和专利权</w:t>
      </w:r>
      <w:bookmarkEnd w:id="108"/>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7.5.1 </w:t>
      </w:r>
      <w:r>
        <w:rPr>
          <w:rFonts w:hint="eastAsia" w:asciiTheme="minorEastAsia" w:hAnsiTheme="minorEastAsia" w:eastAsiaTheme="minorEastAsia" w:cstheme="minorEastAsia"/>
          <w:color w:val="000000" w:themeColor="text1"/>
          <w:highlight w:val="none"/>
          <w14:textFill>
            <w14:solidFill>
              <w14:schemeClr w14:val="tx1"/>
            </w14:solidFill>
          </w14:textFill>
        </w:rPr>
        <w:t>投标人保证投标文件及资料均未侵犯他人的知识产权，否则必须承担全部责任。若投标人使用了他人的专利、专有技术，涉及的费用由投标人负责。</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投标价应包括所有应支付的对专利权和版权、设计和其他知识产权而需要向其他方支付的版税。</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7.5.2 中标人应保证招标人在本项目建设过程中使用其设计文件和设计文件的任何一部分时，招标人免受第三方提出侵犯其专利权、商标权或其他知识产权的起诉。</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7.5.3 中标人提交给招标人的设计文件，其著作权、版权、专利权和使用权归招标人所有（署名权除外）。</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bookmarkStart w:id="109" w:name="_Toc371968708"/>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w:t>
      </w:r>
      <w:bookmarkEnd w:id="109"/>
      <w:r>
        <w:rPr>
          <w:rFonts w:hint="eastAsia" w:asciiTheme="minorEastAsia" w:hAnsiTheme="minorEastAsia" w:eastAsiaTheme="minorEastAsia" w:cstheme="minorEastAsia"/>
          <w:color w:val="000000" w:themeColor="text1"/>
          <w:szCs w:val="24"/>
          <w:highlight w:val="none"/>
          <w14:textFill>
            <w14:solidFill>
              <w14:schemeClr w14:val="tx1"/>
            </w14:solidFill>
          </w14:textFill>
        </w:rPr>
        <w:t>6 招标文件是招标人发出的要约邀请，投标人参加投标均视为承认招标公告、招标文件及附件的所有条款，并承诺一旦中标将按招标文件、投标文件、合同条款、技术规范要求的质量和进度完成全部委托任务。</w:t>
      </w:r>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110" w:name="_Toc30148"/>
      <w:bookmarkStart w:id="111" w:name="_Toc10860"/>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8、招标答疑</w:t>
      </w:r>
      <w:bookmarkEnd w:id="110"/>
      <w:bookmarkEnd w:id="111"/>
      <w:bookmarkStart w:id="112" w:name="_Hlt74496410"/>
      <w:bookmarkEnd w:id="112"/>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8.1招标人不集中组织答疑，实行网上答疑。</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投标人若对招标文件有疑问</w:t>
      </w:r>
      <w:r>
        <w:rPr>
          <w:rFonts w:hint="eastAsia" w:asciiTheme="minorEastAsia" w:hAnsiTheme="minorEastAsia" w:eastAsiaTheme="minorEastAsia" w:cstheme="minorEastAsia"/>
          <w:color w:val="000000" w:themeColor="text1"/>
          <w:highlight w:val="none"/>
          <w14:textFill>
            <w14:solidFill>
              <w14:schemeClr w14:val="tx1"/>
            </w14:solidFill>
          </w14:textFill>
        </w:rPr>
        <w:t>应在提问截止时间（</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见本章第二节“重要事项时间地点一览表”</w:t>
      </w:r>
      <w:r>
        <w:rPr>
          <w:rFonts w:hint="eastAsia" w:asciiTheme="minorEastAsia" w:hAnsiTheme="minorEastAsia" w:eastAsiaTheme="minorEastAsia" w:cstheme="minorEastAsia"/>
          <w:color w:val="000000" w:themeColor="text1"/>
          <w:highlight w:val="none"/>
          <w14:textFill>
            <w14:solidFill>
              <w14:schemeClr w14:val="tx1"/>
            </w14:solidFill>
          </w14:textFill>
        </w:rPr>
        <w:t>）前在交易平台提出问题。未在指定时间前、未采用指定方式提出的，招标人不予受理。</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8.2 </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招标人在提问截止时间（</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见本章第二节“重要事项时间地点一览表”</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后3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8.3 答疑书（</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或修改</w:t>
      </w:r>
      <w:r>
        <w:rPr>
          <w:rFonts w:hint="eastAsia" w:asciiTheme="minorEastAsia" w:hAnsiTheme="minorEastAsia" w:eastAsiaTheme="minorEastAsia" w:cstheme="minorEastAsia"/>
          <w:color w:val="000000" w:themeColor="text1"/>
          <w:highlight w:val="none"/>
          <w14:textFill>
            <w14:solidFill>
              <w14:schemeClr w14:val="tx1"/>
            </w14:solidFill>
          </w14:textFill>
        </w:rPr>
        <w:t>）对招标文件的修改或补充内容作为招标文件的组成部分，具有约束作用。招标文件的澄清、修改、补充等内容均以答疑书（</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或修改</w:t>
      </w:r>
      <w:r>
        <w:rPr>
          <w:rFonts w:hint="eastAsia" w:asciiTheme="minorEastAsia" w:hAnsiTheme="minorEastAsia" w:eastAsiaTheme="minorEastAsia" w:cstheme="minorEastAsia"/>
          <w:color w:val="000000" w:themeColor="text1"/>
          <w:highlight w:val="none"/>
          <w14:textFill>
            <w14:solidFill>
              <w14:schemeClr w14:val="tx1"/>
            </w14:solidFill>
          </w14:textFill>
        </w:rPr>
        <w:t>）中明确的内容为准。当招标文件、招标文件的澄清、修改、补充等文件在同一内容的表述上不一致时，以最后发出的答疑书（</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或修改</w:t>
      </w:r>
      <w:r>
        <w:rPr>
          <w:rFonts w:hint="eastAsia" w:asciiTheme="minorEastAsia" w:hAnsiTheme="minorEastAsia" w:eastAsiaTheme="minorEastAsia" w:cstheme="minorEastAsia"/>
          <w:color w:val="000000" w:themeColor="text1"/>
          <w:highlight w:val="none"/>
          <w14:textFill>
            <w14:solidFill>
              <w14:schemeClr w14:val="tx1"/>
            </w14:solidFill>
          </w14:textFill>
        </w:rPr>
        <w:t>）为准。</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8.4 投标人在规定的时间内未对招标文件提出澄清或疑问的，招标人将视其为无异议。对招标文件中描述有歧义或前后不一致的地方，评标委员会有权进行评判，但对同一条款的评判应适用于每个投标人。</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8.5 招标人向投标人提供的资料和数据，是招标人现有的能使投标人利用的资料。投标人对招标人提供的招标文件所作出的推论、解释和结论，招标人概不负责；投标人由于对招标文件的任何推论和误解以及招标人对有关问题的口头解释所造成的后果，均由投标人自行负责。</w:t>
      </w:r>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113" w:name="_Hlt92513711"/>
      <w:bookmarkEnd w:id="113"/>
      <w:bookmarkStart w:id="114" w:name="_Hlt69699188"/>
      <w:bookmarkEnd w:id="114"/>
      <w:bookmarkStart w:id="115" w:name="_Hlt92513715"/>
      <w:bookmarkEnd w:id="115"/>
      <w:bookmarkStart w:id="116" w:name="_Toc11301"/>
      <w:bookmarkStart w:id="117" w:name="_Toc15195"/>
      <w:bookmarkStart w:id="118" w:name="_Toc5159"/>
      <w:bookmarkStart w:id="119" w:name="_Toc28777"/>
      <w:bookmarkStart w:id="120" w:name="_Toc8032"/>
      <w:bookmarkStart w:id="121" w:name="_Toc31064"/>
      <w:bookmarkStart w:id="122" w:name="_Toc20643"/>
      <w:bookmarkStart w:id="123" w:name="_Toc25532"/>
      <w:bookmarkStart w:id="124" w:name="_Toc30627"/>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9、投标报价的编制</w:t>
      </w:r>
      <w:bookmarkEnd w:id="116"/>
      <w:bookmarkEnd w:id="117"/>
      <w:bookmarkEnd w:id="118"/>
      <w:bookmarkEnd w:id="119"/>
      <w:bookmarkEnd w:id="120"/>
      <w:bookmarkEnd w:id="121"/>
      <w:bookmarkEnd w:id="122"/>
      <w:bookmarkEnd w:id="123"/>
      <w:bookmarkEnd w:id="124"/>
      <w:bookmarkStart w:id="125" w:name="_Hlt74498519"/>
      <w:bookmarkEnd w:id="125"/>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spacing w:val="12"/>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2"/>
          <w:highlight w:val="none"/>
          <w14:textFill>
            <w14:solidFill>
              <w14:schemeClr w14:val="tx1"/>
            </w14:solidFill>
          </w14:textFill>
        </w:rPr>
        <w:t>9.1 本工程计价依据为：</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bookmarkStart w:id="126" w:name="_Hlt69335755"/>
      <w:bookmarkEnd w:id="126"/>
      <w:r>
        <w:rPr>
          <w:rFonts w:hint="eastAsia" w:asciiTheme="minorEastAsia" w:hAnsiTheme="minorEastAsia" w:eastAsiaTheme="minorEastAsia" w:cstheme="minorEastAsia"/>
          <w:color w:val="000000" w:themeColor="text1"/>
          <w:highlight w:val="none"/>
          <w14:textFill>
            <w14:solidFill>
              <w14:schemeClr w14:val="tx1"/>
            </w14:solidFill>
          </w14:textFill>
        </w:rPr>
        <w:t>（1）《工程勘察设计收费管理规定》（计价格[2002]10号）、《工程勘察设计收费导则（第二版）》（粤勘设协〔2021〕2号）；</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（2）《建设工程工程量清单计价规范》（GB50500—2013）；</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招标文件及其答疑（或修改）公告</w:t>
      </w:r>
      <w:r>
        <w:rPr>
          <w:rFonts w:hint="eastAsia" w:asciiTheme="minorEastAsia" w:hAnsiTheme="minorEastAsia" w:eastAsiaTheme="minorEastAsia" w:cstheme="minorEastAsia"/>
          <w:color w:val="000000" w:themeColor="text1"/>
          <w:highlight w:val="none"/>
          <w14:textFill>
            <w14:solidFill>
              <w14:schemeClr w14:val="tx1"/>
            </w14:solidFill>
          </w14:textFill>
        </w:rPr>
        <w:t>；</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（5）施工现场情况、工程特点及常规施工方案；</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（6）项目所在地工程造价管理机构发布的工程造价信息，工程造价信息缺项的，参照市场价格；</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（7）与建设项目相关的标准、规范、技术资料。</w:t>
      </w:r>
    </w:p>
    <w:p>
      <w:pPr>
        <w:pStyle w:val="37"/>
        <w:pageBreakBefore w:val="0"/>
        <w:kinsoku/>
        <w:wordWrap w:val="0"/>
        <w:overflowPunct/>
        <w:bidi w:val="0"/>
        <w:ind w:firstLine="792" w:firstLineChars="3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2"/>
          <w:highlight w:val="none"/>
          <w14:textFill>
            <w14:solidFill>
              <w14:schemeClr w14:val="tx1"/>
            </w14:solidFill>
          </w14:textFill>
        </w:rPr>
        <w:t>9.2</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本工程投标前，招标人及招标代理机构不集中组织现场踏勘，投标人需要了解现场情况的，可自行进行现场踏勘。各投标人应勘察施工现场及周围环境、地形、地貌、水文、交通等情况，以获得一切可能影响到投标的直</w:t>
      </w:r>
      <w:bookmarkStart w:id="127" w:name="_Hlt66509056"/>
      <w:bookmarkEnd w:id="127"/>
      <w:r>
        <w:rPr>
          <w:rFonts w:hint="eastAsia" w:asciiTheme="minorEastAsia" w:hAnsiTheme="minorEastAsia" w:eastAsiaTheme="minorEastAsia" w:cstheme="minorEastAsia"/>
          <w:color w:val="000000" w:themeColor="text1"/>
          <w:highlight w:val="none"/>
          <w14:textFill>
            <w14:solidFill>
              <w14:schemeClr w14:val="tx1"/>
            </w14:solidFill>
          </w14:textFill>
        </w:rPr>
        <w:t>接资料。投标人应针对现场情况编制施工组织设计，并在写投标报价时考虑现场情况的影响。</w:t>
      </w:r>
    </w:p>
    <w:p>
      <w:pPr>
        <w:pStyle w:val="46"/>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2"/>
          <w:highlight w:val="none"/>
          <w14:textFill>
            <w14:solidFill>
              <w14:schemeClr w14:val="tx1"/>
            </w14:solidFill>
          </w14:textFill>
        </w:rPr>
        <w:t>9.</w:t>
      </w:r>
      <w:bookmarkStart w:id="128" w:name="_Hlt88974322"/>
      <w:r>
        <w:rPr>
          <w:rFonts w:hint="eastAsia" w:asciiTheme="minorEastAsia" w:hAnsiTheme="minorEastAsia" w:eastAsiaTheme="minorEastAsia" w:cstheme="minorEastAsia"/>
          <w:color w:val="000000" w:themeColor="text1"/>
          <w:spacing w:val="12"/>
          <w:highlight w:val="none"/>
          <w14:textFill>
            <w14:solidFill>
              <w14:schemeClr w14:val="tx1"/>
            </w14:solidFill>
          </w14:textFill>
        </w:rPr>
        <w:t>3</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现场踏勘费以及其它施工措施项目费，由投标人在投标报价中综合考虑，</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一次包定</w:t>
      </w:r>
      <w:r>
        <w:rPr>
          <w:rFonts w:hint="eastAsia" w:asciiTheme="minorEastAsia" w:hAnsiTheme="minorEastAsia" w:eastAsiaTheme="minorEastAsia" w:cstheme="minorEastAsia"/>
          <w:color w:val="000000" w:themeColor="text1"/>
          <w:highlight w:val="none"/>
          <w14:textFill>
            <w14:solidFill>
              <w14:schemeClr w14:val="tx1"/>
            </w14:solidFill>
          </w14:textFill>
        </w:rPr>
        <w:t>。无论投标人是否列出费用，招标人将一律视为已确认所有现场条件和可能发生的异常情况。</w:t>
      </w:r>
    </w:p>
    <w:bookmarkEnd w:id="128"/>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9.4 招标人向投标人提供的有关现场的数据和资料，是招标人现有的能被投标人利用的资料，招标人对投标人做出的任何推论、理解和结论均不负责任。</w:t>
      </w:r>
    </w:p>
    <w:p>
      <w:pPr>
        <w:pageBreakBefore w:val="0"/>
        <w:kinsoku/>
        <w:wordWrap w:val="0"/>
        <w:overflowPunct/>
        <w:bidi w:val="0"/>
        <w:spacing w:line="360" w:lineRule="auto"/>
        <w:ind w:firstLine="600"/>
        <w:rPr>
          <w:rFonts w:hint="eastAsia" w:asciiTheme="minorEastAsia" w:hAnsiTheme="minorEastAsia" w:eastAsiaTheme="minorEastAsia" w:cstheme="minorEastAsia"/>
          <w:color w:val="000000" w:themeColor="text1"/>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5</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投标人负责协调处理因项目实施与周边企业和村民等关系并承担相关费用。</w:t>
      </w:r>
    </w:p>
    <w:p>
      <w:pPr>
        <w:pageBreakBefore w:val="0"/>
        <w:kinsoku/>
        <w:wordWrap w:val="0"/>
        <w:overflowPunct/>
        <w:bidi w:val="0"/>
        <w:spacing w:line="360" w:lineRule="auto"/>
        <w:ind w:firstLine="600"/>
        <w:rPr>
          <w:rFonts w:hint="eastAsia" w:asciiTheme="minorEastAsia" w:hAnsiTheme="minorEastAsia" w:eastAsiaTheme="minorEastAsia" w:cstheme="minorEastAsia"/>
          <w:color w:val="000000" w:themeColor="text1"/>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6</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投标人应采取设计优化的方式，通过土方平衡方法解决弃土问题，若仍有弃土，按实结算。</w:t>
      </w:r>
    </w:p>
    <w:p>
      <w:pPr>
        <w:pageBreakBefore w:val="0"/>
        <w:kinsoku/>
        <w:wordWrap w:val="0"/>
        <w:overflowPunct/>
        <w:bidi w:val="0"/>
        <w:spacing w:line="360" w:lineRule="auto"/>
        <w:ind w:firstLine="570"/>
        <w:rPr>
          <w:rFonts w:hint="eastAsia" w:asciiTheme="minorEastAsia" w:hAnsiTheme="minorEastAsia" w:eastAsiaTheme="minorEastAsia" w:cstheme="minorEastAsia"/>
          <w:b/>
          <w:color w:val="000000" w:themeColor="text1"/>
          <w:highlight w:val="none"/>
          <w:u w:val="doubl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w:t>
      </w:r>
      <w:bookmarkStart w:id="129" w:name="_Toc319917951"/>
      <w:r>
        <w:rPr>
          <w:rFonts w:hint="eastAsia" w:asciiTheme="minorEastAsia" w:hAnsiTheme="minorEastAsia" w:eastAsiaTheme="minorEastAsia" w:cstheme="minorEastAsia"/>
          <w:color w:val="000000" w:themeColor="text1"/>
          <w:highlight w:val="none"/>
          <w14:textFill>
            <w14:solidFill>
              <w14:schemeClr w14:val="tx1"/>
            </w14:solidFill>
          </w14:textFill>
        </w:rPr>
        <w:t>7</w:t>
      </w:r>
      <w:r>
        <w:rPr>
          <w:rFonts w:hint="eastAsia" w:asciiTheme="minorEastAsia" w:hAnsiTheme="minorEastAsia" w:eastAsiaTheme="minorEastAsia" w:cstheme="minorEastAsia"/>
          <w:b/>
          <w:color w:val="000000" w:themeColor="text1"/>
          <w:highlight w:val="none"/>
          <w:u w:val="double"/>
          <w14:textFill>
            <w14:solidFill>
              <w14:schemeClr w14:val="tx1"/>
            </w14:solidFill>
          </w14:textFill>
        </w:rPr>
        <w:t>投标人的投标报价不得超过招标人公布的最高投标限价。本项目为限额设计，工程结算总造价不得超过中标价。</w:t>
      </w:r>
    </w:p>
    <w:p>
      <w:pPr>
        <w:pageBreakBefore w:val="0"/>
        <w:kinsoku/>
        <w:wordWrap w:val="0"/>
        <w:overflowPunct/>
        <w:bidi w:val="0"/>
        <w:spacing w:line="360" w:lineRule="auto"/>
        <w:ind w:firstLine="570"/>
        <w:rPr>
          <w:rFonts w:hint="eastAsia" w:asciiTheme="minorEastAsia" w:hAnsiTheme="minorEastAsia" w:eastAsiaTheme="minorEastAsia" w:cstheme="minorEastAsia"/>
          <w:color w:val="000000" w:themeColor="text1"/>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9.8</w:t>
      </w:r>
      <w:r>
        <w:rPr>
          <w:rFonts w:hint="eastAsia" w:asciiTheme="minorEastAsia" w:hAnsiTheme="minorEastAsia" w:eastAsiaTheme="minorEastAsia" w:cstheme="minorEastAsia"/>
          <w:b/>
          <w:color w:val="000000" w:themeColor="text1"/>
          <w:highlight w:val="none"/>
          <w:lang w:val="zh-CN"/>
          <w14:textFill>
            <w14:solidFill>
              <w14:schemeClr w14:val="tx1"/>
            </w14:solidFill>
          </w14:textFill>
        </w:rPr>
        <w:t>投标单位应充分考虑本招标文件“第二章 拟签订合同的主要条款”所列的结算原则进行投标及报价。</w:t>
      </w:r>
      <w:bookmarkEnd w:id="129"/>
    </w:p>
    <w:p>
      <w:pPr>
        <w:pageBreakBefore w:val="0"/>
        <w:kinsoku/>
        <w:wordWrap w:val="0"/>
        <w:overflowPunct/>
        <w:bidi w:val="0"/>
        <w:spacing w:line="360" w:lineRule="auto"/>
        <w:ind w:firstLine="570"/>
        <w:rPr>
          <w:rFonts w:hint="eastAsia" w:asciiTheme="minorEastAsia" w:hAnsiTheme="minorEastAsia" w:eastAsiaTheme="minorEastAsia" w:cstheme="minorEastAsia"/>
          <w:color w:val="000000" w:themeColor="text1"/>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投标人的投标总报价应考虑完成招标文件中招标规模、内容及设计任务书所规定的所有工程及设备的费用，并承担结算原则中规定的一切风险，还应考虑报建和施工时应由施工单位承担的一切费用。各项费用的主要内容及其报价方式：</w:t>
      </w:r>
      <w:bookmarkStart w:id="130" w:name="_Toc17803"/>
      <w:bookmarkStart w:id="131" w:name="_Toc11863"/>
      <w:bookmarkStart w:id="132" w:name="_Toc15059"/>
      <w:bookmarkStart w:id="133" w:name="_Toc39136339"/>
      <w:bookmarkStart w:id="134" w:name="_Toc29402"/>
      <w:bookmarkStart w:id="135" w:name="_Toc13707"/>
      <w:bookmarkStart w:id="136" w:name="_Toc57"/>
      <w:bookmarkStart w:id="137" w:name="_Toc32012"/>
      <w:bookmarkStart w:id="138" w:name="_Toc20815"/>
      <w:bookmarkStart w:id="139" w:name="_Toc18903"/>
      <w:bookmarkStart w:id="140" w:name="_Toc3872"/>
      <w:bookmarkStart w:id="141" w:name="_Toc11568"/>
      <w:r>
        <w:rPr>
          <w:rFonts w:hint="eastAsia" w:asciiTheme="minorEastAsia" w:hAnsiTheme="minorEastAsia" w:eastAsiaTheme="minorEastAsia" w:cstheme="minorEastAsia"/>
          <w:b/>
          <w:bCs/>
          <w:color w:val="000000" w:themeColor="text1"/>
          <w:highlight w:val="none"/>
          <w:u w:val="single"/>
          <w:lang w:val="zh-CN"/>
          <w14:textFill>
            <w14:solidFill>
              <w14:schemeClr w14:val="tx1"/>
            </w14:solidFill>
          </w14:textFill>
        </w:rPr>
        <w:t>投标人投标报价=设计</w:t>
      </w:r>
      <w:r>
        <w:rPr>
          <w:rFonts w:hint="eastAsia" w:asciiTheme="minorEastAsia" w:hAnsiTheme="minorEastAsia" w:eastAsiaTheme="minorEastAsia" w:cstheme="minorEastAsia"/>
          <w:b/>
          <w:bCs/>
          <w:color w:val="000000" w:themeColor="text1"/>
          <w:highlight w:val="none"/>
          <w:u w:val="single"/>
          <w:lang w:val="zh-CN" w:eastAsia="zh-CN"/>
          <w14:textFill>
            <w14:solidFill>
              <w14:schemeClr w14:val="tx1"/>
            </w14:solidFill>
          </w14:textFill>
        </w:rPr>
        <w:t>费投标报价+</w:t>
      </w:r>
      <w:r>
        <w:rPr>
          <w:rFonts w:hint="eastAsia" w:asciiTheme="minorEastAsia" w:hAnsiTheme="minorEastAsia" w:eastAsiaTheme="minorEastAsia" w:cstheme="minorEastAsia"/>
          <w:b/>
          <w:bCs/>
          <w:color w:val="000000" w:themeColor="text1"/>
          <w:highlight w:val="none"/>
          <w:u w:val="single"/>
          <w:lang w:val="zh-CN"/>
          <w14:textFill>
            <w14:solidFill>
              <w14:schemeClr w14:val="tx1"/>
            </w14:solidFill>
          </w14:textFill>
        </w:rPr>
        <w:t>建安工程费投标报价</w:t>
      </w:r>
      <w:bookmarkEnd w:id="130"/>
      <w:bookmarkEnd w:id="131"/>
      <w:bookmarkEnd w:id="132"/>
      <w:bookmarkEnd w:id="133"/>
      <w:bookmarkEnd w:id="134"/>
      <w:bookmarkEnd w:id="135"/>
      <w:bookmarkEnd w:id="136"/>
      <w:bookmarkEnd w:id="137"/>
      <w:bookmarkEnd w:id="138"/>
      <w:bookmarkEnd w:id="139"/>
      <w:bookmarkEnd w:id="140"/>
      <w:bookmarkEnd w:id="141"/>
    </w:p>
    <w:p>
      <w:pPr>
        <w:pageBreakBefore w:val="0"/>
        <w:kinsoku/>
        <w:wordWrap w:val="0"/>
        <w:overflowPunct/>
        <w:bidi w:val="0"/>
        <w:spacing w:line="360" w:lineRule="auto"/>
        <w:ind w:firstLine="570"/>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.1</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设计</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费投标报价</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在最高投标限价范围内，投标人自行报总价</w:t>
      </w:r>
      <w:r>
        <w:rPr>
          <w:rFonts w:hint="eastAsia" w:asciiTheme="minorEastAsia" w:hAnsiTheme="minorEastAsia" w:eastAsiaTheme="minorEastAsia" w:cstheme="minorEastAsia"/>
          <w:color w:val="000000" w:themeColor="text1"/>
          <w:szCs w:val="24"/>
          <w:highlight w:val="none"/>
          <w:lang w:val="zh-CN" w:eastAsia="zh-CN"/>
          <w14:textFill>
            <w14:solidFill>
              <w14:schemeClr w14:val="tx1"/>
            </w14:solidFill>
          </w14:textFill>
        </w:rPr>
        <w:t>及投标费率</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设计费</w:t>
      </w:r>
      <w:r>
        <w:rPr>
          <w:rFonts w:hint="eastAsia" w:asciiTheme="minorEastAsia" w:hAnsiTheme="minorEastAsia" w:eastAsiaTheme="minorEastAsia" w:cstheme="minorEastAsia"/>
          <w:color w:val="000000" w:themeColor="text1"/>
          <w:szCs w:val="24"/>
          <w:highlight w:val="none"/>
          <w:lang w:val="zh-CN" w:eastAsia="zh-CN"/>
          <w14:textFill>
            <w14:solidFill>
              <w14:schemeClr w14:val="tx1"/>
            </w14:solidFill>
          </w14:textFill>
        </w:rPr>
        <w:t>报价应包含各</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个不同专业的</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施工图</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设计费用、进行优化设计或修改设计所增加的设计费用、各项专家评审的专家费用。若中标单位不具备专业设计资质的，需经招标人同意后，委托有相应资质的单位进行设计，所产生的费用由投标人承担。</w:t>
      </w:r>
    </w:p>
    <w:p>
      <w:pPr>
        <w:pageBreakBefore w:val="0"/>
        <w:kinsoku/>
        <w:wordWrap w:val="0"/>
        <w:overflowPunct/>
        <w:bidi w:val="0"/>
        <w:spacing w:line="360" w:lineRule="auto"/>
        <w:ind w:firstLine="570"/>
        <w:rPr>
          <w:rFonts w:hint="eastAsia" w:asciiTheme="minorEastAsia" w:hAnsiTheme="minorEastAsia" w:eastAsiaTheme="minorEastAsia" w:cstheme="minorEastAsia"/>
          <w:b/>
          <w:bCs/>
          <w:color w:val="000000" w:themeColor="text1"/>
          <w:szCs w:val="24"/>
          <w:highlight w:val="none"/>
          <w:u w:val="single"/>
          <w:lang w:val="zh-CN" w:eastAsia="zh-CN"/>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u w:val="single"/>
          <w:lang w:val="zh-CN" w:eastAsia="zh-CN"/>
          <w14:textFill>
            <w14:solidFill>
              <w14:schemeClr w14:val="tx1"/>
            </w14:solidFill>
          </w14:textFill>
        </w:rPr>
        <w:t>设计</w:t>
      </w:r>
      <w:r>
        <w:rPr>
          <w:rFonts w:hint="eastAsia" w:asciiTheme="minorEastAsia" w:hAnsiTheme="minorEastAsia" w:eastAsiaTheme="minorEastAsia" w:cstheme="minorEastAsia"/>
          <w:b/>
          <w:bCs/>
          <w:color w:val="000000" w:themeColor="text1"/>
          <w:szCs w:val="24"/>
          <w:highlight w:val="none"/>
          <w:u w:val="single"/>
          <w:lang w:val="zh-CN"/>
          <w14:textFill>
            <w14:solidFill>
              <w14:schemeClr w14:val="tx1"/>
            </w14:solidFill>
          </w14:textFill>
        </w:rPr>
        <w:t>费投标报价</w:t>
      </w:r>
      <w:r>
        <w:rPr>
          <w:rFonts w:hint="eastAsia" w:asciiTheme="minorEastAsia" w:hAnsiTheme="minorEastAsia" w:eastAsiaTheme="minorEastAsia" w:cstheme="minorEastAsia"/>
          <w:b/>
          <w:bCs/>
          <w:color w:val="000000" w:themeColor="text1"/>
          <w:szCs w:val="24"/>
          <w:highlight w:val="none"/>
          <w:u w:val="single"/>
          <w:lang w:val="en-US" w:eastAsia="zh-CN"/>
          <w14:textFill>
            <w14:solidFill>
              <w14:schemeClr w14:val="tx1"/>
            </w14:solidFill>
          </w14:textFill>
        </w:rPr>
        <w:t>=报价基数</w:t>
      </w:r>
      <w:r>
        <w:rPr>
          <w:rFonts w:hint="eastAsia" w:asciiTheme="minorEastAsia" w:hAnsiTheme="minorEastAsia" w:eastAsiaTheme="minorEastAsia" w:cstheme="minorEastAsia"/>
          <w:b/>
          <w:bCs/>
          <w:color w:val="000000" w:themeColor="text1"/>
          <w:szCs w:val="24"/>
          <w:highlight w:val="none"/>
          <w:u w:val="single"/>
          <w14:textFill>
            <w14:solidFill>
              <w14:schemeClr w14:val="tx1"/>
            </w14:solidFill>
          </w14:textFill>
        </w:rPr>
        <w:t>×</w:t>
      </w:r>
      <w:r>
        <w:rPr>
          <w:rFonts w:hint="eastAsia" w:asciiTheme="minorEastAsia" w:hAnsiTheme="minorEastAsia" w:eastAsiaTheme="minorEastAsia" w:cstheme="minorEastAsia"/>
          <w:b/>
          <w:bCs/>
          <w:color w:val="000000" w:themeColor="text1"/>
          <w:szCs w:val="24"/>
          <w:highlight w:val="none"/>
          <w:u w:val="single"/>
          <w:lang w:eastAsia="zh-CN"/>
          <w14:textFill>
            <w14:solidFill>
              <w14:schemeClr w14:val="tx1"/>
            </w14:solidFill>
          </w14:textFill>
        </w:rPr>
        <w:t>投标费率</w:t>
      </w:r>
    </w:p>
    <w:p>
      <w:pPr>
        <w:pageBreakBefore w:val="0"/>
        <w:kinsoku/>
        <w:wordWrap w:val="0"/>
        <w:overflowPunct/>
        <w:bidi w:val="0"/>
        <w:spacing w:line="360" w:lineRule="auto"/>
        <w:ind w:firstLine="570"/>
        <w:rPr>
          <w:rFonts w:hint="eastAsia" w:asciiTheme="minorEastAsia" w:hAnsiTheme="minorEastAsia" w:eastAsiaTheme="minorEastAsia" w:cstheme="minorEastAsia"/>
          <w:b/>
          <w:bCs/>
          <w:color w:val="000000" w:themeColor="text1"/>
          <w:highlight w:val="none"/>
          <w:lang w:val="zh-CN"/>
          <w14:textFill>
            <w14:solidFill>
              <w14:schemeClr w14:val="tx1"/>
            </w14:solidFill>
          </w14:textFill>
        </w:rPr>
      </w:pPr>
      <w:r>
        <w:rPr>
          <w:rFonts w:hint="eastAsia" w:asciiTheme="minorEastAsia" w:hAnsiTheme="minorEastAsia" w:eastAsiaTheme="minorEastAsia" w:cstheme="minorEastAsia"/>
          <w:b/>
          <w:bCs/>
          <w:color w:val="000000" w:themeColor="text1"/>
          <w:highlight w:val="none"/>
          <w:lang w:val="zh-CN"/>
          <w14:textFill>
            <w14:solidFill>
              <w14:schemeClr w14:val="tx1"/>
            </w14:solidFill>
          </w14:textFill>
        </w:rPr>
        <w:t>本项目在实施过程中可能出现设计成果已通过确认，仍需进行设计变更、修改、调整等情况，不另行增加设计费。</w:t>
      </w:r>
    </w:p>
    <w:p>
      <w:pPr>
        <w:pageBreakBefore w:val="0"/>
        <w:kinsoku/>
        <w:wordWrap w:val="0"/>
        <w:overflowPunct/>
        <w:bidi w:val="0"/>
        <w:spacing w:line="360" w:lineRule="auto"/>
        <w:ind w:firstLine="570"/>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9.9.</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建安工程费用：采用</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投标</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下浮率</w:t>
      </w:r>
      <w:r>
        <w:rPr>
          <w:rFonts w:hint="eastAsia" w:ascii="宋体" w:hAnsi="宋体" w:eastAsia="宋体" w:cs="宋体"/>
          <w:color w:val="000000" w:themeColor="text1"/>
          <w:sz w:val="24"/>
          <w:szCs w:val="24"/>
          <w:highlight w:val="none"/>
          <w:lang w:val="en-US" w:eastAsia="zh-CN"/>
          <w14:textFill>
            <w14:solidFill>
              <w14:schemeClr w14:val="tx1"/>
            </w14:solidFill>
          </w14:textFill>
        </w:rPr>
        <w:t>和投标报价</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的方式进行报价，结算时按招标文件有关结算原则计算后再按建安工程费</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投</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标下浮率下浮。</w:t>
      </w:r>
    </w:p>
    <w:p>
      <w:pPr>
        <w:pageBreakBefore w:val="0"/>
        <w:kinsoku/>
        <w:wordWrap w:val="0"/>
        <w:overflowPunct/>
        <w:bidi w:val="0"/>
        <w:spacing w:line="360" w:lineRule="auto"/>
        <w:ind w:firstLine="570"/>
        <w:rPr>
          <w:rFonts w:hint="eastAsia" w:asciiTheme="minorEastAsia" w:hAnsiTheme="minorEastAsia" w:eastAsiaTheme="minorEastAsia" w:cstheme="minorEastAsia"/>
          <w:b/>
          <w:bCs/>
          <w:color w:val="000000" w:themeColor="text1"/>
          <w:szCs w:val="24"/>
          <w:highlight w:val="none"/>
          <w:u w:val="single"/>
          <w:lang w:val="zh-CN" w:eastAsia="zh-CN"/>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u w:val="single"/>
          <w:lang w:val="zh-CN" w:eastAsia="zh-CN"/>
          <w14:textFill>
            <w14:solidFill>
              <w14:schemeClr w14:val="tx1"/>
            </w14:solidFill>
          </w14:textFill>
        </w:rPr>
        <w:t>建安工程费投标报价=报价基数×（1-投标下浮率）</w:t>
      </w:r>
    </w:p>
    <w:p>
      <w:pPr>
        <w:pageBreakBefore w:val="0"/>
        <w:kinsoku/>
        <w:wordWrap w:val="0"/>
        <w:overflowPunct/>
        <w:bidi w:val="0"/>
        <w:spacing w:line="360" w:lineRule="auto"/>
        <w:ind w:firstLine="570"/>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如投标人的建安工程费用投标报价下浮率高于15%时，投标人必须在投标报价书中另行作出详细合理的书面说明并提供相关证明材料供评标委员会评审，否则评标委员会将认定该投标人以低于成本报价竞标。</w:t>
      </w:r>
    </w:p>
    <w:p>
      <w:pPr>
        <w:pageBreakBefore w:val="0"/>
        <w:kinsoku/>
        <w:wordWrap w:val="0"/>
        <w:overflowPunct/>
        <w:bidi w:val="0"/>
        <w:spacing w:line="360" w:lineRule="auto"/>
        <w:ind w:firstLine="570"/>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建安工程费用的报价应考虑完成招标文件中招标规模、内容及可行性研究报告所规定的所有工程及设备的费用</w:t>
      </w:r>
      <w:r>
        <w:rPr>
          <w:rFonts w:hint="eastAsia" w:asciiTheme="minorEastAsia" w:hAnsiTheme="minorEastAsia" w:eastAsiaTheme="minorEastAsia" w:cstheme="minorEastAsia"/>
          <w:color w:val="000000" w:themeColor="text1"/>
          <w:szCs w:val="24"/>
          <w:highlight w:val="none"/>
          <w:lang w:val="zh-CN" w:eastAsia="zh-CN"/>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并承担结算原则中规定的一切风险，还应考虑报建和施工时应由施工单位承担的一切费用、工程一切检测费用（除有文件规定必须招标人支付的费用外）、工程有关档案和影像等整理或制作及向相关部门交取的费用。</w:t>
      </w:r>
    </w:p>
    <w:p>
      <w:pPr>
        <w:pageBreakBefore w:val="0"/>
        <w:kinsoku/>
        <w:wordWrap w:val="0"/>
        <w:overflowPunct/>
        <w:bidi w:val="0"/>
        <w:spacing w:line="360" w:lineRule="auto"/>
        <w:ind w:firstLine="588" w:firstLineChars="245"/>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9.9.3</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投标人在投标报价时，自行考虑高温补贴费、施工视频监控系统费用，专业分包的总包服务及配合费等，并承担相应风险，结算时不另行计取。</w:t>
      </w:r>
    </w:p>
    <w:p>
      <w:pPr>
        <w:pageBreakBefore w:val="0"/>
        <w:kinsoku/>
        <w:wordWrap w:val="0"/>
        <w:overflowPunct/>
        <w:bidi w:val="0"/>
        <w:spacing w:line="360" w:lineRule="auto"/>
        <w:ind w:firstLine="588" w:firstLineChars="245"/>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w:t>
      </w:r>
      <w:r>
        <w:rPr>
          <w:rFonts w:hint="eastAsia" w:ascii="Arial" w:hAnsi="Arial" w:eastAsia="宋体" w:cs="Arial"/>
          <w:b/>
          <w:color w:val="000000" w:themeColor="text1"/>
          <w:sz w:val="24"/>
          <w:szCs w:val="24"/>
          <w:highlight w:val="none"/>
          <w:u w:val="double"/>
          <w14:textFill>
            <w14:solidFill>
              <w14:schemeClr w14:val="tx1"/>
            </w14:solidFill>
          </w14:textFill>
        </w:rPr>
        <w:t>招标人可根据本项目实际情况对规模及内容进行调整或减少，投标人中标后不得因此调整或减少向招标人索赔，并且必须按调整或减少后的规模及内容完成工程建设。投标人在投标报价时需综合考虑该因素并报价。</w:t>
      </w:r>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bookmarkStart w:id="142" w:name="_Toc19126"/>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10、最高</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投标</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限价</w:t>
      </w:r>
      <w:bookmarkEnd w:id="142"/>
      <w:bookmarkStart w:id="143" w:name="_Hlt69335617"/>
      <w:bookmarkStart w:id="144" w:name="_Hlt121629839"/>
    </w:p>
    <w:p>
      <w:pPr>
        <w:pageBreakBefore w:val="0"/>
        <w:kinsoku/>
        <w:wordWrap w:val="0"/>
        <w:overflowPunct/>
        <w:bidi w:val="0"/>
        <w:spacing w:line="360" w:lineRule="auto"/>
        <w:ind w:firstLine="480" w:firstLineChars="200"/>
        <w:rPr>
          <w:rFonts w:hint="eastAsia" w:ascii="宋体" w:hAnsi="宋体" w:eastAsia="宋体" w:cs="宋体"/>
          <w:color w:val="auto"/>
          <w:szCs w:val="21"/>
          <w:highlight w:val="none"/>
          <w:lang w:val="en-US" w:eastAsia="zh-CN"/>
        </w:rPr>
      </w:pPr>
      <w:bookmarkStart w:id="145" w:name="_Toc13350"/>
      <w:bookmarkStart w:id="146" w:name="_Toc29734"/>
      <w:bookmarkStart w:id="147" w:name="_Toc24510"/>
      <w:bookmarkStart w:id="148" w:name="_Toc4604"/>
      <w:bookmarkStart w:id="149" w:name="_Toc15152"/>
      <w:bookmarkStart w:id="150" w:name="_Toc32578"/>
      <w:bookmarkStart w:id="151" w:name="_Toc5483"/>
      <w:bookmarkStart w:id="152" w:name="_Toc7307"/>
      <w:r>
        <w:rPr>
          <w:rFonts w:hint="eastAsia" w:asciiTheme="minorEastAsia" w:hAnsiTheme="minorEastAsia" w:eastAsiaTheme="minorEastAsia" w:cstheme="minorEastAsia"/>
          <w:snapToGrid w:val="0"/>
          <w:color w:val="auto"/>
          <w:kern w:val="0"/>
          <w:sz w:val="24"/>
          <w:szCs w:val="24"/>
          <w:highlight w:val="none"/>
          <w:lang w:eastAsia="zh-CN"/>
        </w:rPr>
        <w:t>本招标项目最高投标限价在开标前7天另行发布于全国公共资源交易平台（广东省·韶关市）（https://ygp.gdzwfw.gov..cn/ggzy-portal/#/440200/index）、广东省招标投标监管网（https://www.gdzwfw.gov.cn/ztbjg-portal/#/index）网站。</w:t>
      </w:r>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color w:val="000000" w:themeColor="text1"/>
          <w:szCs w:val="22"/>
          <w:highlight w:val="none"/>
          <w14:textFill>
            <w14:solidFill>
              <w14:schemeClr w14:val="tx1"/>
            </w14:solidFill>
          </w14:textFill>
        </w:rPr>
      </w:pPr>
      <w:bookmarkStart w:id="153" w:name="_Toc11384"/>
      <w:r>
        <w:rPr>
          <w:rFonts w:hint="eastAsia" w:asciiTheme="minorEastAsia" w:hAnsiTheme="minorEastAsia" w:eastAsiaTheme="minorEastAsia" w:cstheme="minorEastAsia"/>
          <w:b/>
          <w:color w:val="000000" w:themeColor="text1"/>
          <w:szCs w:val="22"/>
          <w:highlight w:val="none"/>
          <w14:textFill>
            <w14:solidFill>
              <w14:schemeClr w14:val="tx1"/>
            </w14:solidFill>
          </w14:textFill>
        </w:rPr>
        <w:t>11</w:t>
      </w:r>
      <w:r>
        <w:rPr>
          <w:rFonts w:hint="eastAsia" w:asciiTheme="minorEastAsia" w:hAnsiTheme="minorEastAsia" w:eastAsiaTheme="minorEastAsia" w:cstheme="minorEastAsia"/>
          <w:b/>
          <w:color w:val="000000" w:themeColor="text1"/>
          <w:szCs w:val="22"/>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投标</w:t>
      </w:r>
      <w:r>
        <w:rPr>
          <w:rFonts w:hint="eastAsia" w:asciiTheme="minorEastAsia" w:hAnsiTheme="minorEastAsia" w:eastAsiaTheme="minorEastAsia" w:cstheme="minorEastAsia"/>
          <w:b/>
          <w:color w:val="000000" w:themeColor="text1"/>
          <w:szCs w:val="22"/>
          <w:highlight w:val="none"/>
          <w14:textFill>
            <w14:solidFill>
              <w14:schemeClr w14:val="tx1"/>
            </w14:solidFill>
          </w14:textFill>
        </w:rPr>
        <w:t>文件的编制</w:t>
      </w:r>
      <w:bookmarkStart w:id="154" w:name="_Hlt69208262"/>
      <w:bookmarkEnd w:id="154"/>
      <w:bookmarkStart w:id="155" w:name="_Hlt69332370"/>
      <w:bookmarkEnd w:id="155"/>
      <w:r>
        <w:rPr>
          <w:rFonts w:hint="eastAsia" w:asciiTheme="minorEastAsia" w:hAnsiTheme="minorEastAsia" w:eastAsiaTheme="minorEastAsia" w:cstheme="minorEastAsia"/>
          <w:b/>
          <w:color w:val="000000" w:themeColor="text1"/>
          <w:szCs w:val="22"/>
          <w:highlight w:val="none"/>
          <w14:textFill>
            <w14:solidFill>
              <w14:schemeClr w14:val="tx1"/>
            </w14:solidFill>
          </w14:textFill>
        </w:rPr>
        <w:t>要求</w:t>
      </w:r>
      <w:bookmarkEnd w:id="145"/>
      <w:bookmarkEnd w:id="146"/>
      <w:bookmarkEnd w:id="147"/>
      <w:bookmarkEnd w:id="148"/>
      <w:bookmarkEnd w:id="149"/>
      <w:bookmarkEnd w:id="150"/>
      <w:bookmarkEnd w:id="151"/>
      <w:bookmarkEnd w:id="152"/>
      <w:bookmarkEnd w:id="153"/>
    </w:p>
    <w:p>
      <w:pPr>
        <w:pStyle w:val="47"/>
        <w:pageBreakBefore w:val="0"/>
        <w:kinsoku/>
        <w:wordWrap w:val="0"/>
        <w:overflowPunct/>
        <w:bidi w:val="0"/>
        <w:spacing w:line="360" w:lineRule="auto"/>
        <w:ind w:firstLine="482" w:firstLineChars="200"/>
        <w:jc w:val="both"/>
        <w:outlineLvl w:val="9"/>
        <w:rPr>
          <w:rFonts w:hint="eastAsia" w:asciiTheme="minorEastAsia" w:hAnsiTheme="minorEastAsia" w:eastAsiaTheme="minorEastAsia" w:cstheme="minorEastAsia"/>
          <w:b/>
          <w:bCs/>
          <w:snapToGrid w:val="0"/>
          <w:color w:val="000000" w:themeColor="text1"/>
          <w:kern w:val="0"/>
          <w:sz w:val="24"/>
          <w:highlight w:val="none"/>
          <w:lang w:val="en-US" w:eastAsia="zh-CN" w:bidi="ar-SA"/>
          <w14:textFill>
            <w14:solidFill>
              <w14:schemeClr w14:val="tx1"/>
            </w14:solidFill>
          </w14:textFill>
        </w:rPr>
      </w:pPr>
      <w:bookmarkStart w:id="156" w:name="_Hlt74497202"/>
      <w:bookmarkEnd w:id="156"/>
      <w:bookmarkStart w:id="157" w:name="_Hlt74495594"/>
      <w:bookmarkEnd w:id="157"/>
      <w:bookmarkStart w:id="158" w:name="_Hlt78768224"/>
      <w:bookmarkEnd w:id="158"/>
      <w:bookmarkStart w:id="159" w:name="_Toc5812"/>
      <w:bookmarkStart w:id="160" w:name="_Toc9993"/>
      <w:bookmarkStart w:id="161" w:name="_Toc5332"/>
      <w:bookmarkStart w:id="162" w:name="_Toc9696"/>
      <w:bookmarkStart w:id="163" w:name="_Toc20541"/>
      <w:bookmarkStart w:id="164" w:name="_Toc17330"/>
      <w:bookmarkStart w:id="165" w:name="_Toc31856"/>
      <w:bookmarkStart w:id="166" w:name="_Toc2841"/>
      <w:bookmarkStart w:id="167" w:name="_Toc32061"/>
      <w:bookmarkStart w:id="168" w:name="_Toc29847"/>
      <w:bookmarkStart w:id="169" w:name="_Toc9699"/>
      <w:bookmarkStart w:id="170" w:name="_Toc6695"/>
      <w:bookmarkStart w:id="171" w:name="_Toc20091"/>
      <w:bookmarkStart w:id="172" w:name="_Toc437"/>
      <w:bookmarkStart w:id="173" w:name="_Toc12050"/>
      <w:bookmarkStart w:id="174" w:name="_Toc25295"/>
      <w:bookmarkStart w:id="175" w:name="_Toc13462"/>
      <w:r>
        <w:rPr>
          <w:rFonts w:hint="eastAsia" w:asciiTheme="minorEastAsia" w:hAnsiTheme="minorEastAsia" w:eastAsiaTheme="minorEastAsia" w:cstheme="minorEastAsia"/>
          <w:b/>
          <w:bCs/>
          <w:snapToGrid w:val="0"/>
          <w:color w:val="000000" w:themeColor="text1"/>
          <w:kern w:val="0"/>
          <w:sz w:val="24"/>
          <w:highlight w:val="none"/>
          <w:lang w:val="en-US" w:eastAsia="zh-CN" w:bidi="ar-SA"/>
          <w14:textFill>
            <w14:solidFill>
              <w14:schemeClr w14:val="tx1"/>
            </w14:solidFill>
          </w14:textFill>
        </w:rPr>
        <w:t>11.1 一般要求</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45"/>
        <w:pageBreakBefore w:val="0"/>
        <w:kinsoku/>
        <w:wordWrap w:val="0"/>
        <w:overflowPunct/>
        <w:bidi w:val="0"/>
        <w:ind w:firstLineChars="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投标文件应按第</w:t>
      </w:r>
      <w:r>
        <w:rPr>
          <w:rFonts w:hint="eastAsia" w:asciiTheme="minorEastAsia" w:hAnsiTheme="minorEastAsia" w:eastAsiaTheme="minorEastAsia" w:cstheme="minorEastAsia"/>
          <w:snapToGrid w:val="0"/>
          <w:color w:val="000000" w:themeColor="text1"/>
          <w:kern w:val="0"/>
          <w:highlight w:val="none"/>
          <w:lang w:val="en-US" w:eastAsia="zh-CN"/>
          <w14:textFill>
            <w14:solidFill>
              <w14:schemeClr w14:val="tx1"/>
            </w14:solidFill>
          </w14:textFill>
        </w:rPr>
        <w:t>六</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章 投标文件格式规定的内容，投标人提交的投标文件应当使用招标文件所提供的投标文件全部格式。</w:t>
      </w:r>
    </w:p>
    <w:p>
      <w:pPr>
        <w:pStyle w:val="37"/>
        <w:pageBreakBefore w:val="0"/>
        <w:kinsoku/>
        <w:wordWrap w:val="0"/>
        <w:overflowPunct/>
        <w:bidi w:val="0"/>
        <w:ind w:firstLine="560"/>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11.1.1</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投标人必须响应招标文件，并在充分理解招标人提供的全部文件、设计图纸、资料及现场条件的基础上编制投标文件。因投标文件不符合招标文件的要求而造成的损失和后果，由投标人自行承担。</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11.1.2</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投标文件包含</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商务技术</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标书。</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投标文件在电子投标时全部采用电子文档（中标人自中标通知书发出之日起五个工作日内再提供正本1份、副本壹份的纸质版投标文件给招标人存档），投标文件所附证书证件均为原件彩色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 （广东省 · 韶关市）（https://ygp.gdzwfw.gov.cn/ggzy-portal/#/440200/index）交易指引。</w:t>
      </w:r>
      <w:r>
        <w:rPr>
          <w:rFonts w:hint="eastAsia" w:asciiTheme="minorEastAsia" w:hAnsiTheme="minorEastAsia" w:eastAsiaTheme="minorEastAsia" w:cstheme="minorEastAsia"/>
          <w:color w:val="000000" w:themeColor="text1"/>
          <w:highlight w:val="none"/>
          <w14:textFill>
            <w14:solidFill>
              <w14:schemeClr w14:val="tx1"/>
            </w14:solidFill>
          </w14:textFill>
        </w:rPr>
        <w:t>（注：组成联合体时，只须加盖联合体牵头人的公章，联合体其它成员可不盖章）。</w:t>
      </w:r>
    </w:p>
    <w:p>
      <w:pPr>
        <w:pStyle w:val="37"/>
        <w:pageBreakBefore w:val="0"/>
        <w:kinsoku/>
        <w:wordWrap w:val="0"/>
        <w:overflowPunct/>
        <w:bidi w:val="0"/>
        <w:ind w:firstLine="560"/>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11.1.3 投标文件需按以下要求签字、盖章：</w:t>
      </w:r>
    </w:p>
    <w:p>
      <w:pPr>
        <w:pStyle w:val="37"/>
        <w:pageBreakBefore w:val="0"/>
        <w:kinsoku/>
        <w:wordWrap w:val="0"/>
        <w:overflowPunct/>
        <w:bidi w:val="0"/>
        <w:ind w:firstLine="560"/>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11.1.3.1 投标文件封面、组成内容中凡注明“签字”处由要求的人员签字或电子签章；凡注明“签字或盖章”处由要求的人员签字或盖其私章（电子印章）；凡注明“签字并盖执业印章”处由要求的人员签字并盖其执业印章。</w:t>
      </w:r>
    </w:p>
    <w:p>
      <w:pPr>
        <w:pStyle w:val="37"/>
        <w:pageBreakBefore w:val="0"/>
        <w:kinsoku/>
        <w:wordWrap w:val="0"/>
        <w:overflowPunct/>
        <w:bidi w:val="0"/>
        <w:ind w:firstLine="560"/>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11.1.3.2 投标文件封面、组成内容中凡要求录入投标人名称且注明“盖单位章”处盖单位法人公章（电子印章）</w:t>
      </w:r>
    </w:p>
    <w:p>
      <w:pPr>
        <w:pStyle w:val="37"/>
        <w:pageBreakBefore w:val="0"/>
        <w:kinsoku/>
        <w:wordWrap w:val="0"/>
        <w:overflowPunct/>
        <w:bidi w:val="0"/>
        <w:ind w:firstLine="560"/>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11.1.3.3 投标文件的签字均为签字人本人亲笔署名或签章（电子印章），其余部分的彩色扫描件无须另行签字、盖章。</w:t>
      </w:r>
    </w:p>
    <w:p>
      <w:pPr>
        <w:pStyle w:val="37"/>
        <w:pageBreakBefore w:val="0"/>
        <w:kinsoku/>
        <w:wordWrap w:val="0"/>
        <w:overflowPunct/>
        <w:bidi w:val="0"/>
        <w:ind w:firstLine="560"/>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11.1.3.4 联合体投标的，除《联合体协议书》外，由联合体牵头人按以上要求签字（电子印章）、盖章（电子印章）即可。</w:t>
      </w:r>
      <w:bookmarkStart w:id="176" w:name="_Toc274313880"/>
      <w:bookmarkStart w:id="177" w:name="_Toc257031159"/>
    </w:p>
    <w:p>
      <w:pPr>
        <w:pStyle w:val="47"/>
        <w:pageBreakBefore w:val="0"/>
        <w:kinsoku/>
        <w:wordWrap w:val="0"/>
        <w:overflowPunct/>
        <w:bidi w:val="0"/>
        <w:spacing w:line="360" w:lineRule="auto"/>
        <w:ind w:firstLine="482" w:firstLineChars="200"/>
        <w:jc w:val="both"/>
        <w:outlineLvl w:val="9"/>
        <w:rPr>
          <w:rFonts w:hint="eastAsia" w:asciiTheme="minorEastAsia" w:hAnsiTheme="minorEastAsia" w:eastAsiaTheme="minorEastAsia" w:cstheme="minorEastAsia"/>
          <w:b/>
          <w:bCs/>
          <w:snapToGrid w:val="0"/>
          <w:color w:val="000000" w:themeColor="text1"/>
          <w:kern w:val="0"/>
          <w:sz w:val="24"/>
          <w:highlight w:val="none"/>
          <w:lang w:val="en-US" w:eastAsia="zh-CN" w:bidi="ar-SA"/>
          <w14:textFill>
            <w14:solidFill>
              <w14:schemeClr w14:val="tx1"/>
            </w14:solidFill>
          </w14:textFill>
        </w:rPr>
      </w:pPr>
      <w:bookmarkStart w:id="178" w:name="_Toc27670"/>
      <w:bookmarkStart w:id="179" w:name="_Toc26859"/>
      <w:bookmarkStart w:id="180" w:name="_Toc8355"/>
      <w:bookmarkStart w:id="181" w:name="_Toc27606"/>
      <w:bookmarkStart w:id="182" w:name="_Toc18076"/>
      <w:bookmarkStart w:id="183" w:name="_Toc38"/>
      <w:bookmarkStart w:id="184" w:name="_Toc6622"/>
      <w:bookmarkStart w:id="185" w:name="_Toc16107"/>
      <w:bookmarkStart w:id="186" w:name="_Toc23484"/>
      <w:bookmarkStart w:id="187" w:name="_Toc29894"/>
      <w:bookmarkStart w:id="188" w:name="_Toc26289"/>
      <w:bookmarkStart w:id="189" w:name="_Toc17946"/>
      <w:bookmarkStart w:id="190" w:name="_Toc6405"/>
      <w:bookmarkStart w:id="191" w:name="_Toc3003"/>
      <w:bookmarkStart w:id="192" w:name="_Toc4699"/>
      <w:bookmarkStart w:id="193" w:name="_Toc19460"/>
      <w:bookmarkStart w:id="194" w:name="_Toc18670"/>
      <w:r>
        <w:rPr>
          <w:rFonts w:hint="eastAsia" w:asciiTheme="minorEastAsia" w:hAnsiTheme="minorEastAsia" w:eastAsiaTheme="minorEastAsia" w:cstheme="minorEastAsia"/>
          <w:b/>
          <w:bCs/>
          <w:snapToGrid w:val="0"/>
          <w:color w:val="000000" w:themeColor="text1"/>
          <w:kern w:val="0"/>
          <w:sz w:val="24"/>
          <w:highlight w:val="none"/>
          <w:lang w:val="en-US" w:eastAsia="zh-CN" w:bidi="ar-SA"/>
          <w14:textFill>
            <w14:solidFill>
              <w14:schemeClr w14:val="tx1"/>
            </w14:solidFill>
          </w14:textFill>
        </w:rPr>
        <w:t xml:space="preserve">11.2 </w:t>
      </w:r>
      <w:bookmarkEnd w:id="176"/>
      <w:bookmarkEnd w:id="177"/>
      <w:bookmarkEnd w:id="178"/>
      <w:bookmarkEnd w:id="179"/>
      <w:bookmarkEnd w:id="180"/>
      <w:bookmarkEnd w:id="181"/>
      <w:bookmarkEnd w:id="182"/>
      <w:bookmarkEnd w:id="183"/>
      <w:bookmarkEnd w:id="184"/>
      <w:bookmarkEnd w:id="185"/>
      <w:r>
        <w:rPr>
          <w:rFonts w:hint="eastAsia" w:asciiTheme="minorEastAsia" w:hAnsiTheme="minorEastAsia" w:eastAsiaTheme="minorEastAsia" w:cstheme="minorEastAsia"/>
          <w:b/>
          <w:bCs/>
          <w:snapToGrid w:val="0"/>
          <w:color w:val="000000" w:themeColor="text1"/>
          <w:kern w:val="0"/>
          <w:sz w:val="24"/>
          <w:highlight w:val="none"/>
          <w:lang w:val="en-US" w:eastAsia="zh-CN" w:bidi="ar-SA"/>
          <w14:textFill>
            <w14:solidFill>
              <w14:schemeClr w14:val="tx1"/>
            </w14:solidFill>
          </w14:textFill>
        </w:rPr>
        <w:t>商务技术标书的编制要求</w:t>
      </w:r>
      <w:bookmarkEnd w:id="186"/>
      <w:bookmarkEnd w:id="187"/>
      <w:bookmarkEnd w:id="188"/>
      <w:bookmarkEnd w:id="189"/>
      <w:bookmarkEnd w:id="190"/>
      <w:bookmarkEnd w:id="191"/>
      <w:bookmarkEnd w:id="192"/>
      <w:bookmarkEnd w:id="193"/>
      <w:bookmarkEnd w:id="194"/>
    </w:p>
    <w:p>
      <w:pPr>
        <w:pStyle w:val="37"/>
        <w:pageBreakBefore w:val="0"/>
        <w:kinsoku/>
        <w:wordWrap w:val="0"/>
        <w:overflowPunct/>
        <w:bidi w:val="0"/>
        <w:ind w:firstLine="561"/>
        <w:rPr>
          <w:rFonts w:hint="eastAsia"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11.2.1 </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商务技术</w:t>
      </w:r>
      <w:r>
        <w:rPr>
          <w:rFonts w:hint="eastAsia" w:asciiTheme="minorEastAsia" w:hAnsiTheme="minorEastAsia" w:eastAsiaTheme="minorEastAsia" w:cstheme="minorEastAsia"/>
          <w:color w:val="000000" w:themeColor="text1"/>
          <w:highlight w:val="none"/>
          <w14:textFill>
            <w14:solidFill>
              <w14:schemeClr w14:val="tx1"/>
            </w14:solidFill>
          </w14:textFill>
        </w:rPr>
        <w:t>标书包括但不限于以下内容：</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（1）封面（格式一）；</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（2）目录； </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（3）《投标函》（格式二）</w:t>
      </w: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《工程项目总价表》（格式</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三</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）《各项承诺一览表》（格式</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四</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6</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）《授权委托书》（格式</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五</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（6）《法定代表人身份证明》（格式</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六</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（7）《联合体协议书》（格式</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七</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）及所附资料；</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（8）投标保证缴纳证明（</w:t>
      </w:r>
      <w:r>
        <w:rPr>
          <w:rFonts w:hint="eastAsia" w:asciiTheme="minorEastAsia" w:hAnsiTheme="minorEastAsia" w:eastAsiaTheme="minorEastAsia" w:cstheme="minorEastAsia"/>
          <w:snapToGrid w:val="0"/>
          <w:color w:val="000000" w:themeColor="text1"/>
          <w:kern w:val="0"/>
          <w:szCs w:val="18"/>
          <w:highlight w:val="none"/>
          <w14:textFill>
            <w14:solidFill>
              <w14:schemeClr w14:val="tx1"/>
            </w14:solidFill>
          </w14:textFill>
        </w:rPr>
        <w:t>投标人采用投标保证金的，附建设工程交易系统《缴纳投标保证金通知书》页面截图和银行转账单</w:t>
      </w:r>
      <w:r>
        <w:rPr>
          <w:rFonts w:hint="eastAsia" w:asciiTheme="minorEastAsia" w:hAnsiTheme="minorEastAsia" w:eastAsiaTheme="minorEastAsia" w:cstheme="minorEastAsia"/>
          <w:snapToGrid w:val="0"/>
          <w:color w:val="000000" w:themeColor="text1"/>
          <w:kern w:val="0"/>
          <w:szCs w:val="18"/>
          <w:highlight w:val="none"/>
          <w:lang w:val="en-US" w:eastAsia="zh-CN"/>
          <w14:textFill>
            <w14:solidFill>
              <w14:schemeClr w14:val="tx1"/>
            </w14:solidFill>
          </w14:textFill>
        </w:rPr>
        <w:t>彩色扫描</w:t>
      </w:r>
      <w:r>
        <w:rPr>
          <w:rFonts w:hint="eastAsia" w:asciiTheme="minorEastAsia" w:hAnsiTheme="minorEastAsia" w:eastAsiaTheme="minorEastAsia" w:cstheme="minorEastAsia"/>
          <w:snapToGrid w:val="0"/>
          <w:color w:val="000000" w:themeColor="text1"/>
          <w:kern w:val="0"/>
          <w:szCs w:val="18"/>
          <w:highlight w:val="none"/>
          <w14:textFill>
            <w14:solidFill>
              <w14:schemeClr w14:val="tx1"/>
            </w14:solidFill>
          </w14:textFill>
        </w:rPr>
        <w:t>件；采用投标保证担保的，附银行保函</w:t>
      </w:r>
      <w:r>
        <w:rPr>
          <w:rFonts w:hint="eastAsia" w:asciiTheme="minorEastAsia" w:hAnsiTheme="minorEastAsia" w:eastAsiaTheme="minorEastAsia" w:cstheme="minorEastAsia"/>
          <w:snapToGrid w:val="0"/>
          <w:color w:val="000000" w:themeColor="text1"/>
          <w:kern w:val="0"/>
          <w:szCs w:val="18"/>
          <w:highlight w:val="none"/>
          <w:lang w:val="en-US" w:eastAsia="zh-CN"/>
          <w14:textFill>
            <w14:solidFill>
              <w14:schemeClr w14:val="tx1"/>
            </w14:solidFill>
          </w14:textFill>
        </w:rPr>
        <w:t>彩色扫描件</w:t>
      </w:r>
      <w:r>
        <w:rPr>
          <w:rFonts w:hint="eastAsia" w:asciiTheme="minorEastAsia" w:hAnsiTheme="minorEastAsia" w:eastAsiaTheme="minorEastAsia" w:cstheme="minorEastAsia"/>
          <w:snapToGrid w:val="0"/>
          <w:color w:val="000000" w:themeColor="text1"/>
          <w:kern w:val="0"/>
          <w:szCs w:val="18"/>
          <w:highlight w:val="none"/>
          <w14:textFill>
            <w14:solidFill>
              <w14:schemeClr w14:val="tx1"/>
            </w14:solidFill>
          </w14:textFill>
        </w:rPr>
        <w:t>；采用投标保证保险的，附电子保单和</w:t>
      </w:r>
      <w:r>
        <w:rPr>
          <w:rFonts w:hint="eastAsia" w:asciiTheme="minorEastAsia" w:hAnsiTheme="minorEastAsia" w:eastAsiaTheme="minorEastAsia" w:cstheme="minorEastAsia"/>
          <w:b w:val="0"/>
          <w:bCs w:val="0"/>
          <w:color w:val="000000" w:themeColor="text1"/>
          <w:szCs w:val="24"/>
          <w:highlight w:val="none"/>
          <w14:textFill>
            <w14:solidFill>
              <w14:schemeClr w14:val="tx1"/>
            </w14:solidFill>
          </w14:textFill>
        </w:rPr>
        <w:t>《韶关市公共资源交易一体化平台保证金缴纳信息》</w:t>
      </w:r>
      <w:r>
        <w:rPr>
          <w:rFonts w:hint="eastAsia" w:asciiTheme="minorEastAsia" w:hAnsiTheme="minorEastAsia" w:eastAsiaTheme="minorEastAsia" w:cstheme="minorEastAsia"/>
          <w:b w:val="0"/>
          <w:bCs w:val="0"/>
          <w:snapToGrid w:val="0"/>
          <w:color w:val="000000" w:themeColor="text1"/>
          <w:kern w:val="0"/>
          <w:szCs w:val="18"/>
          <w:highlight w:val="none"/>
          <w14:textFill>
            <w14:solidFill>
              <w14:schemeClr w14:val="tx1"/>
            </w14:solidFill>
          </w14:textFill>
        </w:rPr>
        <w:t>页面截图</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（9）《投标人基本情况表》（格式</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八</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）及所附资料；</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trike/>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（10）《项目经理简历表》（格式</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九</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）及所附资料；</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（11）《项目经理任职声明》（格式</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十</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（12）《项目技术负责人简历表》（格式十</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一</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）及所附资料；</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（13）《项目设计负责人简历表》（格式十</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二</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）及所附资料；</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）《项目管理机构组成表》（格式十</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三</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）及所附资料；</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）本章第14.2目“评标方法”要求提供的评审资料（如有）；</w:t>
      </w:r>
    </w:p>
    <w:p>
      <w:pPr>
        <w:pStyle w:val="37"/>
        <w:pageBreakBefore w:val="0"/>
        <w:kinsoku/>
        <w:wordWrap w:val="0"/>
        <w:overflowPunct/>
        <w:bidi w:val="0"/>
        <w:ind w:firstLine="480" w:firstLineChars="200"/>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6</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技术建议书：</w:t>
      </w:r>
    </w:p>
    <w:p>
      <w:pPr>
        <w:pStyle w:val="37"/>
        <w:pageBreakBefore w:val="0"/>
        <w:kinsoku/>
        <w:wordWrap w:val="0"/>
        <w:overflowPunct/>
        <w:bidi w:val="0"/>
        <w:ind w:firstLine="480" w:firstLineChars="200"/>
        <w:rPr>
          <w:rFonts w:hint="eastAsia" w:asciiTheme="minorEastAsia" w:hAnsiTheme="minorEastAsia" w:eastAsiaTheme="minorEastAsia" w:cstheme="minorEastAsia"/>
          <w:color w:val="000000" w:themeColor="text1"/>
          <w:szCs w:val="18"/>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17</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人认为有必要补充的其他资料。（例如投标人已经工商变更，但其企业资质证书、安全生产许可证或其员工执业资格注册证书上的企业名称未能在投标期间完成变更的书面说明和佐证材料；外省企业所在省、地级市</w:t>
      </w: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住房和城乡建设部</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门或其授权的组织（机构）关于企业资质、人员资格有效期自动顺延或延期办理的相关文件等；关于投标总价下浮率超过15%的书面说明和佐证材料）。</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11.2.</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 本章第</w:t>
      </w: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11.2.1</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目中所列出的投标标书组成内容中，第（1）至第（1</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）项所有投标人均应提供，</w:t>
      </w: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但非联合体投标的，无需提供第（7）项内容。</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11.2.</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3 </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商务技术</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标书的组成内容按本章第</w:t>
      </w: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11.2.1</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目规定的顺序整理、编排后，逐页连续标记页码。</w:t>
      </w:r>
    </w:p>
    <w:p>
      <w:pPr>
        <w:pStyle w:val="50"/>
        <w:pageBreakBefore w:val="0"/>
        <w:kinsoku/>
        <w:wordWrap w:val="0"/>
        <w:overflowPunct/>
        <w:bidi w:val="0"/>
        <w:ind w:firstLine="482" w:firstLineChars="200"/>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t>特别说明：</w:t>
      </w:r>
    </w:p>
    <w:p>
      <w:pPr>
        <w:pStyle w:val="50"/>
        <w:pageBreakBefore w:val="0"/>
        <w:kinsoku/>
        <w:wordWrap w:val="0"/>
        <w:overflowPunct/>
        <w:bidi w:val="0"/>
        <w:ind w:firstLine="482" w:firstLineChars="200"/>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t>1、本次招标投标时不要求编制施工组织设计。中标人中标后先按有关规定及要求提供设计成果文件，中标人设计成果确认经有关部门的审查及经有资质的审图机构审查合格通过，中标人还应编制施工组织设计及专项施工方案报监理及招标人审批，然后依据审图合格后的设计施工图编写施工组织设计，报有关部门审查批准后方可实施；中标人须向招标人提供经批准的施工组织设计一式五份。</w:t>
      </w:r>
    </w:p>
    <w:p>
      <w:pPr>
        <w:pStyle w:val="50"/>
        <w:pageBreakBefore w:val="0"/>
        <w:kinsoku/>
        <w:wordWrap w:val="0"/>
        <w:overflowPunct/>
        <w:bidi w:val="0"/>
        <w:ind w:firstLine="482" w:firstLineChars="200"/>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t>2、本次招标投标时不要求按编制工程量清单计价模式进行投标报价。</w:t>
      </w:r>
      <w:bookmarkStart w:id="195" w:name="_Toc17812"/>
      <w:bookmarkStart w:id="196" w:name="_Toc14130"/>
      <w:bookmarkStart w:id="197" w:name="_Toc11313"/>
      <w:bookmarkStart w:id="198" w:name="_Toc17459"/>
      <w:bookmarkStart w:id="199" w:name="_Toc1583"/>
      <w:bookmarkStart w:id="200" w:name="_Toc11926"/>
      <w:bookmarkStart w:id="201" w:name="_Toc27175"/>
      <w:bookmarkStart w:id="202" w:name="_Toc13003"/>
    </w:p>
    <w:p>
      <w:pPr>
        <w:pStyle w:val="47"/>
        <w:pageBreakBefore w:val="0"/>
        <w:kinsoku/>
        <w:wordWrap w:val="0"/>
        <w:overflowPunct/>
        <w:bidi w:val="0"/>
        <w:spacing w:line="360" w:lineRule="auto"/>
        <w:ind w:firstLine="482" w:firstLineChars="200"/>
        <w:jc w:val="both"/>
        <w:outlineLvl w:val="9"/>
        <w:rPr>
          <w:rFonts w:hint="eastAsia" w:asciiTheme="minorEastAsia" w:hAnsiTheme="minorEastAsia" w:eastAsiaTheme="minorEastAsia" w:cstheme="minorEastAsia"/>
          <w:b/>
          <w:bCs/>
          <w:snapToGrid w:val="0"/>
          <w:color w:val="000000" w:themeColor="text1"/>
          <w:kern w:val="0"/>
          <w:sz w:val="24"/>
          <w:highlight w:val="none"/>
          <w:lang w:val="en-US" w:eastAsia="zh-CN" w:bidi="ar-SA"/>
          <w14:textFill>
            <w14:solidFill>
              <w14:schemeClr w14:val="tx1"/>
            </w14:solidFill>
          </w14:textFill>
        </w:rPr>
      </w:pPr>
      <w:bookmarkStart w:id="203" w:name="_Toc25109"/>
      <w:r>
        <w:rPr>
          <w:rFonts w:hint="eastAsia" w:asciiTheme="minorEastAsia" w:hAnsiTheme="minorEastAsia" w:eastAsiaTheme="minorEastAsia" w:cstheme="minorEastAsia"/>
          <w:b/>
          <w:bCs/>
          <w:snapToGrid w:val="0"/>
          <w:color w:val="000000" w:themeColor="text1"/>
          <w:kern w:val="0"/>
          <w:sz w:val="24"/>
          <w:highlight w:val="none"/>
          <w:lang w:val="en-US" w:eastAsia="zh-CN" w:bidi="ar-SA"/>
          <w14:textFill>
            <w14:solidFill>
              <w14:schemeClr w14:val="tx1"/>
            </w14:solidFill>
          </w14:textFill>
        </w:rPr>
        <w:t>11.3定标文件的编制要求：</w:t>
      </w:r>
      <w:bookmarkEnd w:id="203"/>
    </w:p>
    <w:p>
      <w:pPr>
        <w:wordWrap w:val="0"/>
        <w:adjustRightInd w:val="0"/>
        <w:spacing w:line="440" w:lineRule="exact"/>
        <w:ind w:firstLine="482" w:firstLineChars="200"/>
        <w:rPr>
          <w:rFonts w:hint="eastAsia" w:ascii="宋体" w:hAnsi="宋体" w:eastAsia="宋体" w:cs="宋体"/>
          <w:snapToGrid w:val="0"/>
          <w:color w:val="auto"/>
          <w:kern w:val="0"/>
          <w:highlight w:val="none"/>
          <w:lang w:val="en-US" w:eastAsia="zh-CN"/>
        </w:rPr>
      </w:pPr>
      <w:r>
        <w:rPr>
          <w:rFonts w:hint="eastAsia" w:ascii="宋体" w:hAnsi="宋体" w:eastAsia="宋体" w:cs="宋体"/>
          <w:b/>
          <w:bCs/>
          <w:snapToGrid w:val="0"/>
          <w:color w:val="auto"/>
          <w:kern w:val="0"/>
          <w:highlight w:val="none"/>
        </w:rPr>
        <w:t>1</w:t>
      </w:r>
      <w:r>
        <w:rPr>
          <w:rFonts w:hint="eastAsia" w:ascii="宋体" w:hAnsi="宋体" w:eastAsia="宋体" w:cs="宋体"/>
          <w:b/>
          <w:bCs/>
          <w:snapToGrid w:val="0"/>
          <w:color w:val="auto"/>
          <w:kern w:val="0"/>
          <w:highlight w:val="none"/>
          <w:lang w:val="en-US" w:eastAsia="zh-CN"/>
        </w:rPr>
        <w:t>1.</w:t>
      </w:r>
      <w:r>
        <w:rPr>
          <w:rFonts w:hint="eastAsia" w:hAnsi="宋体" w:eastAsia="宋体" w:cs="宋体"/>
          <w:b/>
          <w:bCs/>
          <w:snapToGrid w:val="0"/>
          <w:color w:val="auto"/>
          <w:kern w:val="0"/>
          <w:highlight w:val="none"/>
          <w:lang w:val="en-US" w:eastAsia="zh-CN"/>
        </w:rPr>
        <w:t>3</w:t>
      </w:r>
      <w:r>
        <w:rPr>
          <w:rFonts w:hint="eastAsia" w:ascii="宋体" w:hAnsi="宋体" w:eastAsia="宋体" w:cs="宋体"/>
          <w:b/>
          <w:bCs/>
          <w:snapToGrid w:val="0"/>
          <w:color w:val="auto"/>
          <w:kern w:val="0"/>
          <w:highlight w:val="none"/>
          <w:lang w:val="en-US" w:eastAsia="zh-CN"/>
        </w:rPr>
        <w:t>.1</w:t>
      </w:r>
      <w:r>
        <w:rPr>
          <w:rFonts w:hint="eastAsia" w:ascii="宋体" w:hAnsi="宋体" w:eastAsia="宋体" w:cs="宋体"/>
          <w:snapToGrid w:val="0"/>
          <w:color w:val="auto"/>
          <w:kern w:val="0"/>
          <w:highlight w:val="none"/>
          <w:lang w:val="en-US" w:eastAsia="zh-CN"/>
        </w:rPr>
        <w:t xml:space="preserve"> 定标文件包括以下内容：</w:t>
      </w:r>
    </w:p>
    <w:p>
      <w:pPr>
        <w:wordWrap w:val="0"/>
        <w:adjustRightInd w:val="0"/>
        <w:spacing w:line="440" w:lineRule="exact"/>
        <w:ind w:firstLine="480" w:firstLineChars="200"/>
        <w:rPr>
          <w:rFonts w:hint="eastAsia" w:ascii="宋体" w:hAnsi="宋体" w:eastAsia="宋体" w:cs="宋体"/>
          <w:snapToGrid w:val="0"/>
          <w:color w:val="auto"/>
          <w:kern w:val="0"/>
          <w:highlight w:val="none"/>
          <w:lang w:val="en-US" w:eastAsia="zh-CN"/>
        </w:rPr>
      </w:pPr>
      <w:r>
        <w:rPr>
          <w:rFonts w:hint="eastAsia" w:ascii="宋体" w:hAnsi="宋体" w:eastAsia="宋体" w:cs="宋体"/>
          <w:snapToGrid w:val="0"/>
          <w:color w:val="auto"/>
          <w:kern w:val="0"/>
          <w:highlight w:val="none"/>
          <w:lang w:val="en-US" w:eastAsia="zh-CN"/>
        </w:rPr>
        <w:t>（1）封面（格式十四）；</w:t>
      </w:r>
    </w:p>
    <w:p>
      <w:pPr>
        <w:wordWrap w:val="0"/>
        <w:adjustRightIn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（2）定标因素评审资料（格式十五）。</w:t>
      </w:r>
    </w:p>
    <w:p>
      <w:pPr>
        <w:wordWrap w:val="0"/>
        <w:adjustRightInd w:val="0"/>
        <w:spacing w:line="440" w:lineRule="exact"/>
        <w:ind w:firstLine="482" w:firstLineChars="200"/>
        <w:rPr>
          <w:rFonts w:hint="eastAsia" w:ascii="宋体" w:hAnsi="宋体" w:eastAsia="宋体" w:cs="宋体"/>
          <w:snapToGrid w:val="0"/>
          <w:color w:val="auto"/>
          <w:kern w:val="0"/>
          <w:highlight w:val="none"/>
          <w:lang w:val="en-US" w:eastAsia="zh-CN"/>
        </w:rPr>
      </w:pPr>
      <w:r>
        <w:rPr>
          <w:rFonts w:hint="eastAsia" w:ascii="宋体" w:hAnsi="宋体" w:eastAsia="宋体" w:cs="宋体"/>
          <w:b/>
          <w:bCs/>
          <w:snapToGrid w:val="0"/>
          <w:color w:val="auto"/>
          <w:kern w:val="0"/>
          <w:highlight w:val="none"/>
        </w:rPr>
        <w:t>1</w:t>
      </w:r>
      <w:r>
        <w:rPr>
          <w:rFonts w:hint="eastAsia" w:ascii="宋体" w:hAnsi="宋体" w:eastAsia="宋体" w:cs="宋体"/>
          <w:b/>
          <w:bCs/>
          <w:snapToGrid w:val="0"/>
          <w:color w:val="auto"/>
          <w:kern w:val="0"/>
          <w:highlight w:val="none"/>
          <w:lang w:val="en-US" w:eastAsia="zh-CN"/>
        </w:rPr>
        <w:t>1.</w:t>
      </w:r>
      <w:r>
        <w:rPr>
          <w:rFonts w:hint="eastAsia" w:hAnsi="宋体" w:eastAsia="宋体" w:cs="宋体"/>
          <w:b/>
          <w:bCs/>
          <w:snapToGrid w:val="0"/>
          <w:color w:val="auto"/>
          <w:kern w:val="0"/>
          <w:highlight w:val="none"/>
          <w:lang w:val="en-US" w:eastAsia="zh-CN"/>
        </w:rPr>
        <w:t>3</w:t>
      </w:r>
      <w:r>
        <w:rPr>
          <w:rFonts w:hint="eastAsia" w:ascii="宋体" w:hAnsi="宋体" w:eastAsia="宋体" w:cs="宋体"/>
          <w:b/>
          <w:bCs/>
          <w:snapToGrid w:val="0"/>
          <w:color w:val="auto"/>
          <w:kern w:val="0"/>
          <w:highlight w:val="none"/>
        </w:rPr>
        <w:t>.</w:t>
      </w:r>
      <w:r>
        <w:rPr>
          <w:rFonts w:hint="eastAsia" w:ascii="宋体" w:hAnsi="宋体" w:eastAsia="宋体" w:cs="宋体"/>
          <w:b/>
          <w:bCs/>
          <w:snapToGrid w:val="0"/>
          <w:color w:val="auto"/>
          <w:kern w:val="0"/>
          <w:highlight w:val="none"/>
          <w:lang w:val="en-US" w:eastAsia="zh-CN"/>
        </w:rPr>
        <w:t>2</w:t>
      </w:r>
      <w:r>
        <w:rPr>
          <w:rFonts w:hint="eastAsia" w:ascii="宋体" w:hAnsi="宋体" w:eastAsia="宋体" w:cs="宋体"/>
          <w:snapToGrid w:val="0"/>
          <w:color w:val="auto"/>
          <w:kern w:val="0"/>
          <w:highlight w:val="none"/>
        </w:rPr>
        <w:t xml:space="preserve"> 本节第1</w:t>
      </w:r>
      <w:r>
        <w:rPr>
          <w:rFonts w:hint="eastAsia" w:ascii="宋体" w:hAnsi="宋体" w:eastAsia="宋体" w:cs="宋体"/>
          <w:snapToGrid w:val="0"/>
          <w:color w:val="auto"/>
          <w:kern w:val="0"/>
          <w:highlight w:val="none"/>
          <w:lang w:val="en-US" w:eastAsia="zh-CN"/>
        </w:rPr>
        <w:t>1.</w:t>
      </w:r>
      <w:r>
        <w:rPr>
          <w:rFonts w:hint="eastAsia" w:hAnsi="宋体" w:eastAsia="宋体" w:cs="宋体"/>
          <w:snapToGrid w:val="0"/>
          <w:color w:val="auto"/>
          <w:kern w:val="0"/>
          <w:highlight w:val="none"/>
          <w:lang w:val="en-US" w:eastAsia="zh-CN"/>
        </w:rPr>
        <w:t>3</w:t>
      </w: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1</w:t>
      </w:r>
      <w:r>
        <w:rPr>
          <w:rFonts w:hint="eastAsia" w:ascii="宋体" w:hAnsi="宋体" w:eastAsia="宋体" w:cs="宋体"/>
          <w:snapToGrid w:val="0"/>
          <w:color w:val="auto"/>
          <w:kern w:val="0"/>
          <w:highlight w:val="none"/>
        </w:rPr>
        <w:t>目中所列出的组成内容中，第（1）至第（</w:t>
      </w:r>
      <w:r>
        <w:rPr>
          <w:rFonts w:hint="eastAsia" w:hAnsi="宋体" w:cs="宋体"/>
          <w:snapToGrid w:val="0"/>
          <w:color w:val="auto"/>
          <w:kern w:val="0"/>
          <w:highlight w:val="none"/>
          <w:lang w:val="en-US" w:eastAsia="zh-CN"/>
        </w:rPr>
        <w:t>2</w:t>
      </w:r>
      <w:r>
        <w:rPr>
          <w:rFonts w:hint="eastAsia" w:ascii="宋体" w:hAnsi="宋体" w:eastAsia="宋体" w:cs="宋体"/>
          <w:snapToGrid w:val="0"/>
          <w:color w:val="auto"/>
          <w:kern w:val="0"/>
          <w:highlight w:val="none"/>
        </w:rPr>
        <w:t>）项所有投标人均应提供。</w:t>
      </w:r>
    </w:p>
    <w:p>
      <w:pPr>
        <w:pStyle w:val="50"/>
        <w:pageBreakBefore w:val="0"/>
        <w:kinsoku/>
        <w:wordWrap w:val="0"/>
        <w:overflowPunct/>
        <w:bidi w:val="0"/>
        <w:ind w:firstLine="482" w:firstLineChars="200"/>
        <w:rPr>
          <w:rFonts w:hint="default" w:asciiTheme="minorEastAsia" w:hAnsiTheme="minorEastAsia" w:eastAsiaTheme="minorEastAsia" w:cstheme="minorEastAsia"/>
          <w:b/>
          <w:bCs/>
          <w:color w:val="000000" w:themeColor="text1"/>
          <w:highlight w:val="none"/>
          <w:u w:val="single"/>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highlight w:val="none"/>
          <w:u w:val="single"/>
          <w:lang w:val="en-US" w:eastAsia="zh-CN"/>
          <w14:textFill>
            <w14:solidFill>
              <w14:schemeClr w14:val="tx1"/>
            </w14:solidFill>
          </w14:textFill>
        </w:rPr>
        <w:t>注：定标文件只适用于定标阶段提交给定标委员会查阅，评标委员会评标时不采用定标文件评审。</w:t>
      </w:r>
    </w:p>
    <w:p>
      <w:pPr>
        <w:pStyle w:val="50"/>
        <w:pageBreakBefore w:val="0"/>
        <w:kinsoku/>
        <w:wordWrap w:val="0"/>
        <w:overflowPunct/>
        <w:bidi w:val="0"/>
        <w:ind w:firstLine="482" w:firstLineChars="200"/>
        <w:rPr>
          <w:rFonts w:hint="eastAsia" w:asciiTheme="minorEastAsia" w:hAnsiTheme="minorEastAsia" w:eastAsiaTheme="minorEastAsia" w:cstheme="minorEastAsia"/>
          <w:b/>
          <w:snapToGrid w:val="0"/>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11.</w:t>
      </w:r>
      <w:bookmarkEnd w:id="195"/>
      <w:bookmarkEnd w:id="196"/>
      <w:bookmarkEnd w:id="197"/>
      <w:bookmarkEnd w:id="198"/>
      <w:bookmarkEnd w:id="199"/>
      <w:bookmarkEnd w:id="200"/>
      <w:bookmarkEnd w:id="201"/>
      <w:bookmarkEnd w:id="202"/>
      <w:r>
        <w:rPr>
          <w:rFonts w:hint="eastAsia" w:asciiTheme="minorEastAsia" w:hAnsiTheme="minorEastAsia" w:eastAsiaTheme="minorEastAsia" w:cstheme="minorEastAsia"/>
          <w:b/>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
          <w:snapToGrid w:val="0"/>
          <w:color w:val="000000" w:themeColor="text1"/>
          <w:highlight w:val="none"/>
          <w14:textFill>
            <w14:solidFill>
              <w14:schemeClr w14:val="tx1"/>
            </w14:solidFill>
          </w14:textFill>
        </w:rPr>
        <w:t>电子投标</w:t>
      </w:r>
      <w:bookmarkStart w:id="204" w:name="_Hlt66511038"/>
      <w:bookmarkEnd w:id="204"/>
      <w:bookmarkStart w:id="205" w:name="_Hlt88627590"/>
      <w:bookmarkEnd w:id="205"/>
      <w:bookmarkStart w:id="206" w:name="_Hlt66200498"/>
      <w:bookmarkEnd w:id="206"/>
      <w:bookmarkStart w:id="207" w:name="_Toc27961"/>
    </w:p>
    <w:p>
      <w:pPr>
        <w:pStyle w:val="50"/>
        <w:pageBreakBefore w:val="0"/>
        <w:kinsoku/>
        <w:wordWrap w:val="0"/>
        <w:overflowPunct/>
        <w:bidi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11.</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1、在交易平台上传加盖了电子印章的投标文件、录入相关信息及标书页码信息，并提交投标标书（页码起始从封面开始）。提交标书为已加密投标文件。具体操作参照《韶关市公共资源建设工程交易系统-投标人操作指南（电子评标）》。</w:t>
      </w:r>
    </w:p>
    <w:p>
      <w:pPr>
        <w:pStyle w:val="50"/>
        <w:pageBreakBefore w:val="0"/>
        <w:kinsoku/>
        <w:wordWrap w:val="0"/>
        <w:overflowPunct/>
        <w:bidi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本项目评标采用全流程电子化进行招标投标（投标人应在交易平台进行编辑投标相关内容、按招标文件电子投标要求上传已加盖电子印章的投标文件，否则将自行承担不利后果）。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pPr>
        <w:pStyle w:val="50"/>
        <w:pageBreakBefore w:val="0"/>
        <w:kinsoku/>
        <w:wordWrap w:val="0"/>
        <w:overflowPunct/>
        <w:bidi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投标文件完成上传后，投标人应使用 CA 数字证书对投标文件进行文件加密，形成加密的投标文件并提交标书。</w:t>
      </w:r>
    </w:p>
    <w:p>
      <w:pPr>
        <w:pStyle w:val="50"/>
        <w:pageBreakBefore w:val="0"/>
        <w:kinsoku/>
        <w:wordWrap w:val="0"/>
        <w:overflowPunct/>
        <w:bidi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11.</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2电子投标文件的修改、撤回：在提交投标文件截止时间前，投标人可以修改或撤回未解密的电子投标文件，并于提交投标文件截止时间前将重新上传修改后的电子投标文件至交易平台，到达投标文件提交截止时间后投标人不得撤回、补充、修改和更换投标文件。</w:t>
      </w:r>
    </w:p>
    <w:p>
      <w:pPr>
        <w:pStyle w:val="50"/>
        <w:pageBreakBefore w:val="0"/>
        <w:kinsoku/>
        <w:wordWrap w:val="0"/>
        <w:overflowPunct/>
        <w:bidi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11.</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.3电子投标及投标解密失败及突发情况的补救方案</w:t>
      </w:r>
    </w:p>
    <w:p>
      <w:pPr>
        <w:pStyle w:val="50"/>
        <w:pageBreakBefore w:val="0"/>
        <w:kinsoku/>
        <w:wordWrap w:val="0"/>
        <w:overflowPunct/>
        <w:bidi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11.</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.3.1按照交易平台关于全流程电子化项目的相关指南进行操作。详见：全国公共资源交易平台（广东省·韶关市）发布的最新版操作指南。</w:t>
      </w:r>
    </w:p>
    <w:p>
      <w:pPr>
        <w:pStyle w:val="50"/>
        <w:pageBreakBefore w:val="0"/>
        <w:kinsoku/>
        <w:wordWrap w:val="0"/>
        <w:overflowPunct/>
        <w:bidi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11.</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.3.2补救方案</w:t>
      </w:r>
    </w:p>
    <w:p>
      <w:pPr>
        <w:pStyle w:val="50"/>
        <w:pageBreakBefore w:val="0"/>
        <w:numPr>
          <w:ilvl w:val="0"/>
          <w:numId w:val="2"/>
        </w:numPr>
        <w:kinsoku/>
        <w:wordWrap w:val="0"/>
        <w:overflowPunct/>
        <w:bidi w:val="0"/>
        <w:ind w:firstLine="480" w:firstLine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投标文件解密失败的补救方案：</w:t>
      </w:r>
      <w:bookmarkStart w:id="208" w:name="_Toc28927"/>
    </w:p>
    <w:p>
      <w:pPr>
        <w:pStyle w:val="50"/>
        <w:pageBreakBefore w:val="0"/>
        <w:numPr>
          <w:ilvl w:val="0"/>
          <w:numId w:val="0"/>
        </w:numPr>
        <w:kinsoku/>
        <w:wordWrap w:val="0"/>
        <w:overflowPunct/>
        <w:bidi w:val="0"/>
        <w:ind w:firstLine="480" w:firstLine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30分钟内）内重新提交投标文件继续开标程序。电子投标文件解密失败且未在规定的时限内按要求成功上传未加密的备用投标文件的，视为无效投标。</w:t>
      </w:r>
      <w:bookmarkEnd w:id="208"/>
      <w:bookmarkStart w:id="209" w:name="_Toc9612"/>
    </w:p>
    <w:p>
      <w:pPr>
        <w:pStyle w:val="50"/>
        <w:pageBreakBefore w:val="0"/>
        <w:numPr>
          <w:ilvl w:val="0"/>
          <w:numId w:val="2"/>
        </w:numPr>
        <w:kinsoku/>
        <w:wordWrap w:val="0"/>
        <w:overflowPunct/>
        <w:bidi w:val="0"/>
        <w:ind w:left="0" w:leftChars="0" w:firstLine="480" w:firstLine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评标时突发情况的补救方案</w:t>
      </w:r>
      <w:bookmarkEnd w:id="209"/>
      <w:bookmarkStart w:id="210" w:name="_Toc6314"/>
      <w:r>
        <w:rPr>
          <w:rFonts w:hint="eastAsia" w:asciiTheme="minorEastAsia" w:hAnsiTheme="minorEastAsia" w:eastAsiaTheme="minorEastAsia" w:cstheme="minorEastAsia"/>
          <w:bCs/>
          <w:color w:val="000000" w:themeColor="text1"/>
          <w:kern w:val="2"/>
          <w:highlight w:val="none"/>
          <w:lang w:eastAsia="zh-CN"/>
          <w14:textFill>
            <w14:solidFill>
              <w14:schemeClr w14:val="tx1"/>
            </w14:solidFill>
          </w14:textFill>
        </w:rPr>
        <w:t>：</w:t>
      </w:r>
    </w:p>
    <w:p>
      <w:pPr>
        <w:pStyle w:val="50"/>
        <w:pageBreakBefore w:val="0"/>
        <w:numPr>
          <w:ilvl w:val="0"/>
          <w:numId w:val="0"/>
        </w:numPr>
        <w:kinsoku/>
        <w:wordWrap w:val="0"/>
        <w:overflowPunct/>
        <w:bidi w:val="0"/>
        <w:ind w:firstLine="480" w:firstLine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bookmarkEnd w:id="210"/>
      <w:bookmarkStart w:id="211" w:name="_Toc10157"/>
    </w:p>
    <w:p>
      <w:pPr>
        <w:pStyle w:val="50"/>
        <w:pageBreakBefore w:val="0"/>
        <w:numPr>
          <w:ilvl w:val="0"/>
          <w:numId w:val="2"/>
        </w:numPr>
        <w:kinsoku/>
        <w:wordWrap w:val="0"/>
        <w:overflowPunct/>
        <w:bidi w:val="0"/>
        <w:ind w:left="0" w:leftChars="0" w:firstLine="480" w:firstLine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除发生上述情况外，开标评标均以投标人通过交易平台网上递交的电子投标文件为准。</w:t>
      </w:r>
      <w:bookmarkEnd w:id="211"/>
      <w:bookmarkStart w:id="212" w:name="_Toc12675"/>
    </w:p>
    <w:p>
      <w:pPr>
        <w:pStyle w:val="50"/>
        <w:pageBreakBefore w:val="0"/>
        <w:numPr>
          <w:ilvl w:val="0"/>
          <w:numId w:val="0"/>
        </w:numPr>
        <w:kinsoku/>
        <w:wordWrap w:val="0"/>
        <w:overflowPunct/>
        <w:bidi w:val="0"/>
        <w:ind w:leftChars="200"/>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11.</w:t>
      </w:r>
      <w:r>
        <w:rPr>
          <w:rFonts w:hint="eastAsia" w:asciiTheme="minorEastAsia" w:hAnsiTheme="minorEastAsia" w:eastAsiaTheme="minorEastAsia" w:cstheme="minorEastAsia"/>
          <w:b/>
          <w:color w:val="000000" w:themeColor="text1"/>
          <w:kern w:val="2"/>
          <w:highlight w:val="none"/>
          <w:lang w:val="en-US" w:eastAsia="zh-CN"/>
          <w14:textFill>
            <w14:solidFill>
              <w14:schemeClr w14:val="tx1"/>
            </w14:solidFill>
          </w14:textFill>
        </w:rPr>
        <w:t>5</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 xml:space="preserve"> 投标文件的提交、修改和撤回</w:t>
      </w:r>
      <w:bookmarkEnd w:id="207"/>
      <w:bookmarkEnd w:id="212"/>
      <w:bookmarkStart w:id="213" w:name="_Hlt69699424"/>
      <w:bookmarkEnd w:id="213"/>
      <w:bookmarkStart w:id="214" w:name="_Hlt75685366"/>
      <w:bookmarkEnd w:id="214"/>
      <w:bookmarkStart w:id="215" w:name="_Hlt92512875"/>
      <w:bookmarkEnd w:id="215"/>
      <w:bookmarkStart w:id="216" w:name="_Hlt66608380"/>
      <w:bookmarkEnd w:id="216"/>
      <w:bookmarkStart w:id="217" w:name="_Hlt74494779"/>
      <w:bookmarkEnd w:id="217"/>
      <w:bookmarkStart w:id="218" w:name="_Toc24469"/>
      <w:bookmarkStart w:id="219" w:name="_Toc3050"/>
      <w:bookmarkStart w:id="220" w:name="_Toc22741"/>
      <w:bookmarkStart w:id="221" w:name="_Toc4483"/>
      <w:bookmarkStart w:id="222" w:name="_Toc106418820"/>
      <w:bookmarkStart w:id="223" w:name="_Toc24322"/>
      <w:bookmarkStart w:id="224" w:name="_Toc104711075"/>
      <w:bookmarkStart w:id="225" w:name="_Toc30635"/>
      <w:bookmarkStart w:id="226" w:name="_Toc9838"/>
      <w:bookmarkStart w:id="227" w:name="_Toc28454"/>
      <w:bookmarkStart w:id="228" w:name="_Toc7631"/>
    </w:p>
    <w:p>
      <w:pPr>
        <w:pStyle w:val="50"/>
        <w:pageBreakBefore w:val="0"/>
        <w:numPr>
          <w:ilvl w:val="0"/>
          <w:numId w:val="0"/>
        </w:numPr>
        <w:kinsoku/>
        <w:wordWrap w:val="0"/>
        <w:overflowPunct/>
        <w:bidi w:val="0"/>
        <w:ind w:left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11.</w:t>
      </w:r>
      <w:r>
        <w:rPr>
          <w:rFonts w:hint="eastAsia" w:asciiTheme="minorEastAsia" w:hAnsiTheme="minorEastAsia" w:eastAsiaTheme="minorEastAsia" w:cstheme="minorEastAsia"/>
          <w:bCs/>
          <w:color w:val="000000" w:themeColor="text1"/>
          <w:kern w:val="2"/>
          <w:highlight w:val="none"/>
          <w:lang w:val="en-US" w:eastAsia="zh-CN"/>
          <w14:textFill>
            <w14:solidFill>
              <w14:schemeClr w14:val="tx1"/>
            </w14:solidFill>
          </w14:textFill>
        </w:rPr>
        <w:t>5</w:t>
      </w: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.1在投标文件提交截止时间前，投标人通过交易平台提交已加密投标文件。逾期提交的电子投标文件，交易平台将予以拒收。</w:t>
      </w:r>
      <w:bookmarkEnd w:id="218"/>
      <w:bookmarkStart w:id="229" w:name="_Toc25103"/>
    </w:p>
    <w:p>
      <w:pPr>
        <w:pStyle w:val="50"/>
        <w:pageBreakBefore w:val="0"/>
        <w:numPr>
          <w:ilvl w:val="0"/>
          <w:numId w:val="0"/>
        </w:numPr>
        <w:kinsoku/>
        <w:wordWrap w:val="0"/>
        <w:overflowPunct/>
        <w:bidi w:val="0"/>
        <w:ind w:left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11.</w:t>
      </w:r>
      <w:r>
        <w:rPr>
          <w:rFonts w:hint="eastAsia" w:asciiTheme="minorEastAsia" w:hAnsiTheme="minorEastAsia" w:eastAsiaTheme="minorEastAsia" w:cstheme="minorEastAsia"/>
          <w:bCs/>
          <w:color w:val="000000" w:themeColor="text1"/>
          <w:kern w:val="2"/>
          <w:highlight w:val="none"/>
          <w:lang w:val="en-US" w:eastAsia="zh-CN"/>
          <w14:textFill>
            <w14:solidFill>
              <w14:schemeClr w14:val="tx1"/>
            </w14:solidFill>
          </w14:textFill>
        </w:rPr>
        <w:t>5</w:t>
      </w: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.2提交时间：见本章第二节“重要事项时间地点一览表”。</w:t>
      </w:r>
      <w:bookmarkEnd w:id="229"/>
      <w:bookmarkStart w:id="230" w:name="_Toc9791"/>
    </w:p>
    <w:p>
      <w:pPr>
        <w:pStyle w:val="50"/>
        <w:pageBreakBefore w:val="0"/>
        <w:numPr>
          <w:ilvl w:val="0"/>
          <w:numId w:val="0"/>
        </w:numPr>
        <w:kinsoku/>
        <w:wordWrap w:val="0"/>
        <w:overflowPunct/>
        <w:bidi w:val="0"/>
        <w:ind w:left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11.</w:t>
      </w:r>
      <w:r>
        <w:rPr>
          <w:rFonts w:hint="eastAsia" w:asciiTheme="minorEastAsia" w:hAnsiTheme="minorEastAsia" w:eastAsiaTheme="minorEastAsia" w:cstheme="minorEastAsia"/>
          <w:bCs/>
          <w:color w:val="000000" w:themeColor="text1"/>
          <w:kern w:val="2"/>
          <w:highlight w:val="none"/>
          <w:lang w:val="en-US" w:eastAsia="zh-CN"/>
          <w14:textFill>
            <w14:solidFill>
              <w14:schemeClr w14:val="tx1"/>
            </w14:solidFill>
          </w14:textFill>
        </w:rPr>
        <w:t>5</w:t>
      </w: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.3</w:t>
      </w:r>
      <w:bookmarkEnd w:id="230"/>
      <w:bookmarkStart w:id="231" w:name="_Toc23037"/>
      <w:bookmarkStart w:id="232" w:name="_Toc2022"/>
      <w:bookmarkStart w:id="233" w:name="_Toc17679"/>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出现下述情形之一，属于未成功提交投标文件，按无效投标处理：</w:t>
      </w:r>
      <w:bookmarkEnd w:id="231"/>
      <w:bookmarkEnd w:id="232"/>
      <w:bookmarkEnd w:id="233"/>
      <w:bookmarkStart w:id="234" w:name="_Toc22805"/>
      <w:bookmarkStart w:id="235" w:name="_Toc27579"/>
      <w:bookmarkStart w:id="236" w:name="_Toc30279"/>
    </w:p>
    <w:p>
      <w:pPr>
        <w:pStyle w:val="37"/>
        <w:pageBreakBefore w:val="0"/>
        <w:kinsoku/>
        <w:wordWrap w:val="0"/>
        <w:overflowPunct/>
        <w:bidi w:val="0"/>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（1）至提交投标文件截止时，投标文件未完整上传或未提交投标；</w:t>
      </w:r>
      <w:bookmarkEnd w:id="234"/>
      <w:bookmarkEnd w:id="235"/>
      <w:bookmarkEnd w:id="236"/>
      <w:bookmarkStart w:id="237" w:name="_Toc26257"/>
      <w:bookmarkStart w:id="238" w:name="_Toc1293"/>
      <w:bookmarkStart w:id="239" w:name="_Toc17052"/>
    </w:p>
    <w:p>
      <w:pPr>
        <w:pStyle w:val="37"/>
        <w:pageBreakBefore w:val="0"/>
        <w:kinsoku/>
        <w:wordWrap w:val="0"/>
        <w:overflowPunct/>
        <w:bidi w:val="0"/>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（2）投标文件未按投标格式中注明需签字盖章的要求进行签名（含电子签名）和加盖电子印章，或签名（含电子签名）或电子印章不完整的；</w:t>
      </w:r>
      <w:bookmarkEnd w:id="237"/>
      <w:bookmarkEnd w:id="238"/>
      <w:bookmarkEnd w:id="239"/>
    </w:p>
    <w:p>
      <w:pPr>
        <w:pStyle w:val="37"/>
        <w:pageBreakBefore w:val="0"/>
        <w:kinsoku/>
        <w:wordWrap w:val="0"/>
        <w:overflowPunct/>
        <w:bidi w:val="0"/>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bookmarkStart w:id="240" w:name="_Toc444"/>
      <w:bookmarkStart w:id="241" w:name="_Toc23907"/>
      <w:bookmarkStart w:id="242" w:name="_Toc7367"/>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（3）解密失败且在规定时间内未重新提交投标文件的；</w:t>
      </w:r>
      <w:bookmarkEnd w:id="240"/>
      <w:bookmarkEnd w:id="241"/>
      <w:bookmarkEnd w:id="242"/>
    </w:p>
    <w:p>
      <w:pPr>
        <w:pStyle w:val="37"/>
        <w:pageBreakBefore w:val="0"/>
        <w:kinsoku/>
        <w:wordWrap w:val="0"/>
        <w:overflowPunct/>
        <w:bidi w:val="0"/>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bookmarkStart w:id="243" w:name="_Toc21719"/>
      <w:bookmarkStart w:id="244" w:name="_Toc13"/>
      <w:bookmarkStart w:id="245" w:name="_Toc26444"/>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（4）投标文件损坏或格式不正确的。</w:t>
      </w:r>
      <w:bookmarkEnd w:id="243"/>
      <w:bookmarkEnd w:id="244"/>
      <w:bookmarkEnd w:id="245"/>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246" w:name="_Toc23010"/>
      <w:bookmarkStart w:id="247" w:name="_Toc7599"/>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12、投标有效期及对投标人的其他要求</w:t>
      </w:r>
      <w:bookmarkEnd w:id="219"/>
      <w:bookmarkEnd w:id="220"/>
      <w:bookmarkEnd w:id="221"/>
      <w:bookmarkEnd w:id="222"/>
      <w:bookmarkEnd w:id="223"/>
      <w:bookmarkEnd w:id="224"/>
      <w:bookmarkEnd w:id="225"/>
      <w:bookmarkEnd w:id="226"/>
      <w:bookmarkEnd w:id="227"/>
      <w:bookmarkEnd w:id="228"/>
      <w:bookmarkEnd w:id="246"/>
      <w:bookmarkEnd w:id="247"/>
    </w:p>
    <w:p>
      <w:pPr>
        <w:pStyle w:val="37"/>
        <w:pageBreakBefore w:val="0"/>
        <w:kinsoku/>
        <w:wordWrap w:val="0"/>
        <w:overflowPunct/>
        <w:bidi w:val="0"/>
        <w:ind w:firstLine="480" w:firstLineChars="200"/>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本次招标投标有效期为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u w:val="single"/>
          <w:lang w:val="en-US" w:eastAsia="zh-CN"/>
          <w14:textFill>
            <w14:solidFill>
              <w14:schemeClr w14:val="tx1"/>
            </w14:solidFill>
          </w14:textFill>
        </w:rPr>
        <w:t>90</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个日历天，投标有效期从提交投标文件的截止之日起计算。在此期间，投标人不得撤销或修改其投标文件，否则其投标保证不予退还。</w:t>
      </w:r>
    </w:p>
    <w:bookmarkEnd w:id="143"/>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248" w:name="_Hlt111081624"/>
      <w:bookmarkEnd w:id="248"/>
      <w:bookmarkStart w:id="249" w:name="_Toc8052"/>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13</w:t>
      </w:r>
      <w:r>
        <w:rPr>
          <w:rFonts w:hint="eastAsia" w:asciiTheme="minorEastAsia" w:hAnsiTheme="minorEastAsia" w:eastAsiaTheme="minorEastAsia" w:cstheme="minorEastAsia"/>
          <w:b/>
          <w:color w:val="000000" w:themeColor="text1"/>
          <w:kern w:val="2"/>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开标</w:t>
      </w:r>
      <w:bookmarkEnd w:id="249"/>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13.1 招标人邀请所有正确完成了网上获取招标文件、电子投标、缴纳投标保证、递交投标文件的投标人参加开标，投标人可自主决定是否参加。投标人不参加开标的，视其默认开标结果，以及放弃在开标期间见证、监督、投诉、申辩的权利。</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13.1.1 开标时间和地点：见本章第二节“重要事项时间地点一览表”。</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13.1.2 开标前24小时，若交易平台显示缴纳投标保证（包括投标保证金、投标保证担保、投标保证保险）的投标人数量不足3个时，招标人将取消原定于次日召开的开标活动。投标人可在投标保证缴纳截止时间（见本章第二节“重要事项时间地点一览表”）至电子投标截止时间（见本章第二节“重要事项时间地点一览表”）期间登录全国公共资源交易平台（广东省·韶关市）（https://ygp.gdzwfw.gov.cn/ggzy-portal/#/440200/index）查询是否发布了取消开标活动的相关信息。</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13.1.3本项目实行全流程电子化招标投标，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13.2 开标程序</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（1）主持人（招标人代表或招标人授权的招标代理机构人员）宣读开标纪律。</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（2）主持人宣布唱标人、记录人、见证人、监督人等有关人员姓名。</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（3）唱标人公布在投标截止时间前进行投标文件的投标人数量和名称</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（4）招标代理机构会同交易场所工作人员对投标人的电子投标信息进行解密，建设工程交易系统自动生成《投标保证缴纳情况表》和《开标一览表》。</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温馨提示：因本项目实行全流程电子化招标投标，投标人无须进行现场签到，可登录交易平台观看开标实况、提出异议或进行澄清、确认等操作，对开标事项的异议未在开标期间提出的，招标人不予受理。具体按招标文件和系统操作手册为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因本工程采用全流程电子招标投标方式进行招标，投标人在唱标环节为解密唱标时，以网上电子解密唱标信息为准。全流程电子招标投标采用线上评审，以电子投标文件为准。如果两者报价不一致的，视为报价不唯一，其响应性评审不通过。</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13.3 投标人对开标相关事项（如开标程序等）有异议的，必须在开标期间及时提出，招标人或其授权的招标代理机构应当场作出答复，并记录在案。对开标事项的异议未在开标期间及时提出的，招标人不予受理。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13.4 招标代理机构将资料原件（若有）、《开标一览表》以及其他有关资料移交评标委员会。</w:t>
      </w:r>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250" w:name="_Toc20890"/>
      <w:bookmarkStart w:id="251" w:name="_Toc21041"/>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14</w:t>
      </w:r>
      <w:bookmarkStart w:id="252" w:name="_Hlt127093805"/>
      <w:bookmarkEnd w:id="252"/>
      <w:r>
        <w:rPr>
          <w:rFonts w:hint="eastAsia" w:asciiTheme="minorEastAsia" w:hAnsiTheme="minorEastAsia" w:eastAsiaTheme="minorEastAsia" w:cstheme="minorEastAsia"/>
          <w:b/>
          <w:color w:val="000000" w:themeColor="text1"/>
          <w:kern w:val="2"/>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评标的方法和标准</w:t>
      </w:r>
      <w:bookmarkEnd w:id="250"/>
      <w:bookmarkEnd w:id="251"/>
    </w:p>
    <w:p>
      <w:pPr>
        <w:keepNext w:val="0"/>
        <w:keepLines w:val="0"/>
        <w:pageBreakBefore w:val="0"/>
        <w:wordWrap w:val="0"/>
        <w:overflowPunct/>
        <w:topLinePunct w:val="0"/>
        <w:bidi w:val="0"/>
        <w:spacing w:before="78" w:line="331" w:lineRule="auto"/>
        <w:ind w:left="8" w:right="65" w:firstLine="480"/>
        <w:rPr>
          <w:rFonts w:hint="eastAsia" w:asciiTheme="minorEastAsia" w:hAnsiTheme="minorEastAsia" w:eastAsiaTheme="minorEastAsia" w:cstheme="minorEastAsia"/>
          <w:b w:val="0"/>
          <w:bCs/>
          <w:color w:val="000000" w:themeColor="text1"/>
          <w:highlight w:val="none"/>
          <w14:textFill>
            <w14:solidFill>
              <w14:schemeClr w14:val="tx1"/>
            </w14:solidFill>
          </w14:textFill>
        </w:rPr>
      </w:pPr>
      <w:bookmarkStart w:id="253" w:name="_Toc32313"/>
      <w:r>
        <w:rPr>
          <w:rFonts w:hint="eastAsia" w:ascii="宋体" w:hAnsi="宋体" w:eastAsia="宋体" w:cs="宋体"/>
          <w:color w:val="auto"/>
          <w:spacing w:val="0"/>
          <w:sz w:val="24"/>
          <w:szCs w:val="24"/>
          <w:highlight w:val="none"/>
        </w:rPr>
        <w:t>评标分为初步评审和详细评审两个阶段，由评标委员会在有关部门的监督下，严格按照本招标文件指定的评标方法，对投标人的投标文件进行审查、评审。评标委员会完成评标后，向招标人推荐</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b/>
          <w:bCs/>
          <w:color w:val="auto"/>
          <w:spacing w:val="0"/>
          <w:sz w:val="24"/>
          <w:szCs w:val="24"/>
          <w:highlight w:val="none"/>
          <w:u w:val="single"/>
          <w:lang w:val="en-US" w:eastAsia="zh-CN"/>
        </w:rPr>
        <w:t>5</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个</w:t>
      </w:r>
      <w:r>
        <w:rPr>
          <w:rFonts w:hint="eastAsia" w:ascii="宋体" w:hAnsi="宋体" w:eastAsia="宋体" w:cs="宋体"/>
          <w:b/>
          <w:bCs/>
          <w:color w:val="auto"/>
          <w:spacing w:val="0"/>
          <w:sz w:val="24"/>
          <w:szCs w:val="24"/>
          <w:highlight w:val="none"/>
          <w:lang w:val="en-US" w:eastAsia="zh-CN"/>
        </w:rPr>
        <w:t>定</w:t>
      </w:r>
      <w:r>
        <w:rPr>
          <w:rFonts w:hint="eastAsia" w:ascii="宋体" w:hAnsi="宋体" w:eastAsia="宋体" w:cs="宋体"/>
          <w:b/>
          <w:bCs/>
          <w:color w:val="auto"/>
          <w:spacing w:val="0"/>
          <w:sz w:val="24"/>
          <w:szCs w:val="24"/>
          <w:highlight w:val="none"/>
        </w:rPr>
        <w:t>标候选人</w:t>
      </w: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b/>
          <w:bCs/>
          <w:color w:val="auto"/>
          <w:spacing w:val="0"/>
          <w:sz w:val="24"/>
          <w:szCs w:val="24"/>
          <w:highlight w:val="none"/>
          <w:lang w:val="en-US" w:eastAsia="zh-CN"/>
        </w:rPr>
        <w:t>如不足5个，则往下递减，但不可少于3个</w:t>
      </w: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color w:val="auto"/>
          <w:spacing w:val="0"/>
          <w:sz w:val="24"/>
          <w:szCs w:val="24"/>
          <w:highlight w:val="none"/>
        </w:rPr>
        <w:t>，并向招标人提交由全体评标委员会成员签字的评标报告。</w:t>
      </w:r>
    </w:p>
    <w:p>
      <w:pPr>
        <w:pStyle w:val="37"/>
        <w:pageBreakBefore w:val="0"/>
        <w:kinsoku/>
        <w:wordWrap w:val="0"/>
        <w:overflowPunct/>
        <w:autoSpaceDE w:val="0"/>
        <w:autoSpaceDN w:val="0"/>
        <w:bidi w:val="0"/>
        <w:adjustRightInd w:val="0"/>
        <w:ind w:firstLine="482"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14.1 评标</w:t>
      </w:r>
      <w:bookmarkStart w:id="254" w:name="_Hlt69208274"/>
      <w:bookmarkEnd w:id="254"/>
      <w:r>
        <w:rPr>
          <w:rFonts w:hint="eastAsia" w:asciiTheme="minorEastAsia" w:hAnsiTheme="minorEastAsia" w:eastAsiaTheme="minorEastAsia" w:cstheme="minorEastAsia"/>
          <w:b/>
          <w:color w:val="000000" w:themeColor="text1"/>
          <w:highlight w:val="none"/>
          <w14:textFill>
            <w14:solidFill>
              <w14:schemeClr w14:val="tx1"/>
            </w14:solidFill>
          </w14:textFill>
        </w:rPr>
        <w:t>委员会</w:t>
      </w:r>
      <w:bookmarkEnd w:id="253"/>
      <w:bookmarkStart w:id="255" w:name="_Hlt69338169"/>
      <w:bookmarkEnd w:id="255"/>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14.1.1 评标委员会由5人组成。专家从广东省综合评标评审专家库-韶关区域中随机抽取，其中技术类专家3人，经济类专家2人。评标委员会的负责人在评委中民主选出，负责人的权力与评委成员相等。</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14.1.2 评标委员会应认真、公正、诚实、廉洁地履行职责。有下列情形之一的，不得担任评标委员会成员：</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14.1.2.1 投标人或者投标人主要负责人的近亲属；</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14.1.2.2 项目主管部门或者行政监督部门的人员；</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14.1.2.3 与投标人有经济利益关系，可能影响对投标公正评审的；</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14.1.2.4 曾因在</w:t>
      </w:r>
      <w:bookmarkStart w:id="256" w:name="_Hlt69700387"/>
      <w:bookmarkEnd w:id="256"/>
      <w:r>
        <w:rPr>
          <w:rFonts w:hint="eastAsia" w:asciiTheme="minorEastAsia" w:hAnsiTheme="minorEastAsia" w:eastAsiaTheme="minorEastAsia" w:cstheme="minorEastAsia"/>
          <w:bCs/>
          <w:color w:val="000000" w:themeColor="text1"/>
          <w:highlight w:val="none"/>
          <w14:textFill>
            <w14:solidFill>
              <w14:schemeClr w14:val="tx1"/>
            </w14:solidFill>
          </w14:textFill>
        </w:rPr>
        <w:t>招标、评标以及其他与招标投标有关活动中从事违法行为而受过行政处罚或刑事处罚的。</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14.1.3 评标委员会成员有前款规定情形之一的，应主动提出回避。</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14.1.4 评标全过程实行封闭式管理，在中标结果公布前，禁止评标委员会成员以任何方式私下接触投标人。</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14.1.5 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14.1.6 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pPr>
        <w:pStyle w:val="37"/>
        <w:pageBreakBefore w:val="0"/>
        <w:kinsoku/>
        <w:wordWrap w:val="0"/>
        <w:overflowPunct/>
        <w:autoSpaceDE w:val="0"/>
        <w:autoSpaceDN w:val="0"/>
        <w:bidi w:val="0"/>
        <w:adjustRightInd w:val="0"/>
        <w:ind w:firstLine="482" w:firstLineChars="200"/>
        <w:rPr>
          <w:rFonts w:hint="eastAsia" w:asciiTheme="minorEastAsia" w:hAnsiTheme="minorEastAsia" w:eastAsiaTheme="minorEastAsia" w:cstheme="minorEastAsia"/>
          <w:b/>
          <w:color w:val="000000" w:themeColor="text1"/>
          <w:highlight w:val="none"/>
          <w14:textFill>
            <w14:solidFill>
              <w14:schemeClr w14:val="tx1"/>
            </w14:solidFill>
          </w14:textFill>
        </w:rPr>
      </w:pPr>
      <w:bookmarkStart w:id="257" w:name="_Toc106418823"/>
      <w:bookmarkStart w:id="258" w:name="_Toc104711078"/>
      <w:bookmarkStart w:id="259" w:name="_Toc17385"/>
      <w:r>
        <w:rPr>
          <w:rFonts w:hint="eastAsia" w:asciiTheme="minorEastAsia" w:hAnsiTheme="minorEastAsia" w:eastAsiaTheme="minorEastAsia" w:cstheme="minorEastAsia"/>
          <w:b/>
          <w:color w:val="000000" w:themeColor="text1"/>
          <w:highlight w:val="none"/>
          <w14:textFill>
            <w14:solidFill>
              <w14:schemeClr w14:val="tx1"/>
            </w14:solidFill>
          </w14:textFill>
        </w:rPr>
        <w:t>14.2</w:t>
      </w:r>
      <w:bookmarkEnd w:id="257"/>
      <w:bookmarkEnd w:id="258"/>
      <w:r>
        <w:rPr>
          <w:rFonts w:hint="eastAsia" w:asciiTheme="minorEastAsia" w:hAnsiTheme="minorEastAsia" w:eastAsiaTheme="minorEastAsia" w:cstheme="minorEastAsia"/>
          <w:b/>
          <w:color w:val="000000" w:themeColor="text1"/>
          <w:highlight w:val="none"/>
          <w14:textFill>
            <w14:solidFill>
              <w14:schemeClr w14:val="tx1"/>
            </w14:solidFill>
          </w14:textFill>
        </w:rPr>
        <w:t>评标方法</w:t>
      </w:r>
      <w:bookmarkEnd w:id="259"/>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bookmarkStart w:id="260" w:name="_Hlt66591657"/>
      <w:bookmarkEnd w:id="260"/>
      <w:r>
        <w:rPr>
          <w:rFonts w:hint="eastAsia" w:asciiTheme="minorEastAsia" w:hAnsiTheme="minorEastAsia" w:eastAsiaTheme="minorEastAsia" w:cstheme="minorEastAsia"/>
          <w:bCs/>
          <w:color w:val="000000" w:themeColor="text1"/>
          <w:highlight w:val="none"/>
          <w14:textFill>
            <w14:solidFill>
              <w14:schemeClr w14:val="tx1"/>
            </w14:solidFill>
          </w14:textFill>
        </w:rPr>
        <w:t>根据有关法律、法规的相关规定，结合本招标项目资金来源和规模特点，本次招标采用综合评估法进行评标。</w:t>
      </w:r>
    </w:p>
    <w:p>
      <w:pPr>
        <w:pStyle w:val="37"/>
        <w:pageBreakBefore w:val="0"/>
        <w:kinsoku/>
        <w:wordWrap w:val="0"/>
        <w:overflowPunct/>
        <w:autoSpaceDE w:val="0"/>
        <w:autoSpaceDN w:val="0"/>
        <w:bidi w:val="0"/>
        <w:adjustRightInd w:val="0"/>
        <w:ind w:firstLine="482"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highlight w:val="none"/>
          <w14:textFill>
            <w14:solidFill>
              <w14:schemeClr w14:val="tx1"/>
            </w14:solidFill>
          </w14:textFill>
        </w:rPr>
        <w:t>14.</w:t>
      </w:r>
      <w:r>
        <w:rPr>
          <w:rFonts w:hint="eastAsia" w:asciiTheme="minorEastAsia" w:hAnsiTheme="minorEastAsia" w:eastAsiaTheme="minorEastAsia" w:cstheme="minorEastAsia"/>
          <w:b/>
          <w:bCs w:val="0"/>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bCs/>
          <w:color w:val="000000" w:themeColor="text1"/>
          <w:highlight w:val="none"/>
          <w14:textFill>
            <w14:solidFill>
              <w14:schemeClr w14:val="tx1"/>
            </w14:solidFill>
          </w14:textFill>
        </w:rPr>
        <w:t>评审范围：评标委员会应对所有投标人的投标文件进行评审。</w:t>
      </w:r>
    </w:p>
    <w:p>
      <w:pPr>
        <w:pStyle w:val="37"/>
        <w:pageBreakBefore w:val="0"/>
        <w:kinsoku/>
        <w:wordWrap w:val="0"/>
        <w:overflowPunct/>
        <w:autoSpaceDE w:val="0"/>
        <w:autoSpaceDN w:val="0"/>
        <w:bidi w:val="0"/>
        <w:adjustRightInd w:val="0"/>
        <w:ind w:firstLine="482"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highlight w:val="none"/>
          <w14:textFill>
            <w14:solidFill>
              <w14:schemeClr w14:val="tx1"/>
            </w14:solidFill>
          </w14:textFill>
        </w:rPr>
        <w:t>14.</w:t>
      </w:r>
      <w:r>
        <w:rPr>
          <w:rFonts w:hint="eastAsia" w:asciiTheme="minorEastAsia" w:hAnsiTheme="minorEastAsia" w:eastAsiaTheme="minorEastAsia" w:cstheme="minorEastAsia"/>
          <w:b/>
          <w:bCs w:val="0"/>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
          <w:bCs w:val="0"/>
          <w:color w:val="000000" w:themeColor="text1"/>
          <w:highlight w:val="none"/>
          <w14:textFill>
            <w14:solidFill>
              <w14:schemeClr w14:val="tx1"/>
            </w14:solidFill>
          </w14:textFill>
        </w:rPr>
        <w:t xml:space="preserve"> </w:t>
      </w:r>
      <w:r>
        <w:rPr>
          <w:rFonts w:hint="eastAsia" w:asciiTheme="minorEastAsia" w:hAnsiTheme="minorEastAsia" w:eastAsiaTheme="minorEastAsia" w:cstheme="minorEastAsia"/>
          <w:bCs/>
          <w:color w:val="000000" w:themeColor="text1"/>
          <w:highlight w:val="none"/>
          <w14:textFill>
            <w14:solidFill>
              <w14:schemeClr w14:val="tx1"/>
            </w14:solidFill>
          </w14:textFill>
        </w:rPr>
        <w:t>初步评审阶段</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初步评审阶段分为资格评审、形式评审和响应性评审三个环节。</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4.1</w:t>
      </w:r>
      <w:r>
        <w:rPr>
          <w:rFonts w:hint="eastAsia" w:asciiTheme="minorEastAsia" w:hAnsiTheme="minorEastAsia" w:eastAsiaTheme="minorEastAsia" w:cstheme="minorEastAsia"/>
          <w:bCs/>
          <w:color w:val="000000" w:themeColor="text1"/>
          <w:highlight w:val="none"/>
          <w14:textFill>
            <w14:solidFill>
              <w14:schemeClr w14:val="tx1"/>
            </w14:solidFill>
          </w14:textFill>
        </w:rPr>
        <w:t>资格评审环节</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资格评审事项包括：</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（1）投标人是否符合本章第三节第 4.4条“禁止投标条款”规定。</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（2）投标人名称是否与营业执照、资质证书、安全生产许可证一致。</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（3）投标人的资质是否符合招标文件规定；其营业执照、资质证书、安全生产许可证是否合法、有效、准确。</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（4）《项目经理简历表》中拟派项目经理是否与《开标一览表》一致。</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5）拟派项目经理、项目技术负责人、专职安全员、设计负责人的条件是否符合招标文件规定；项目管理机构组成人员的各类证书、证件、证明是否合法、有效、准确；是否擅自修改、遗漏《项目经理任职声明》的实质性内容。</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6）联合体投标的，是否提交《联合体协议书》；是否擅自修改、遗漏《联合体协议书》的实质性内容；联合体成员的数量、资质是否符合招标文件规定；联合体成员是否以自己名义单独或者参加其他联合体参与本招标工程投标。</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（7）投标人为外省建筑企业的，是否按规定在“进粤企业和人员诚信信息登记平台”录入企业及其拟派人员有关信息并通过数据规范检查。</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2</w:t>
      </w:r>
      <w:r>
        <w:rPr>
          <w:rFonts w:hint="eastAsia" w:asciiTheme="minorEastAsia" w:hAnsiTheme="minorEastAsia" w:eastAsiaTheme="minorEastAsia" w:cstheme="minorEastAsia"/>
          <w:bCs/>
          <w:color w:val="000000" w:themeColor="text1"/>
          <w:highlight w:val="none"/>
          <w14:textFill>
            <w14:solidFill>
              <w14:schemeClr w14:val="tx1"/>
            </w14:solidFill>
          </w14:textFill>
        </w:rPr>
        <w:t xml:space="preserve"> 形式评审环节</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形式评审事项包括：</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1</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highlight w:val="none"/>
          <w14:textFill>
            <w14:solidFill>
              <w14:schemeClr w14:val="tx1"/>
            </w14:solidFill>
          </w14:textFill>
        </w:rPr>
        <w:t>投标文件是否按招标文件规定加盖电子印章。</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2</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highlight w:val="none"/>
          <w14:textFill>
            <w14:solidFill>
              <w14:schemeClr w14:val="tx1"/>
            </w14:solidFill>
          </w14:textFill>
        </w:rPr>
        <w:t>本节第11.2.2目中规定的“所有投标人均应提供”的组成内容（包括该组成内容的所附资料）是否完整、齐全。</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bCs/>
          <w:color w:val="000000" w:themeColor="text1"/>
          <w:highlight w:val="none"/>
          <w14:textFill>
            <w14:solidFill>
              <w14:schemeClr w14:val="tx1"/>
            </w14:solidFill>
          </w14:textFill>
        </w:rPr>
        <w:t xml:space="preserve"> 响应性评审环节</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响应性评审事项包括：</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（1）投标有效期、质量标准、工期等是否响应招标文件实质性要求；是否擅自修改、遗漏《投标函》《各项承诺一览表》的实质性内容。</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（2）编投标总价是否唯一；投标总价是否超出最高投标限价；投标人是否以低于成本的价格竞标。</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注：如果某投标人的投标总价下浮率（投标总价下浮率＝100%－投标总价÷</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最高投标限价</w:t>
      </w:r>
      <w:r>
        <w:rPr>
          <w:rFonts w:hint="eastAsia" w:asciiTheme="minorEastAsia" w:hAnsiTheme="minorEastAsia" w:eastAsiaTheme="minorEastAsia" w:cstheme="minorEastAsia"/>
          <w:bCs/>
          <w:color w:val="000000" w:themeColor="text1"/>
          <w:highlight w:val="none"/>
          <w14:textFill>
            <w14:solidFill>
              <w14:schemeClr w14:val="tx1"/>
            </w14:solidFill>
          </w14:textFill>
        </w:rPr>
        <w:t>×100%）超过15%，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否决投标说明</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初步评审阶段各个环节否决投标的全部条件，在本章第四节“否决投标条件”第1条至第4条中集中列示。投标人有其中所列任何一种情形的，由评标委员会否决其投标。在初步评审阶段任何环节被否决的投标人，不进入下一环节（或阶段）评审。在初步评审阶段任何环节，有效投标人数量不足3个时，招标人应依法重新组织招标。</w:t>
      </w:r>
    </w:p>
    <w:p>
      <w:pPr>
        <w:pStyle w:val="37"/>
        <w:pageBreakBefore w:val="0"/>
        <w:kinsoku/>
        <w:wordWrap w:val="0"/>
        <w:overflowPunct/>
        <w:autoSpaceDE w:val="0"/>
        <w:autoSpaceDN w:val="0"/>
        <w:bidi w:val="0"/>
        <w:adjustRightInd w:val="0"/>
        <w:ind w:firstLine="482"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bookmarkStart w:id="261" w:name="_Toc18413"/>
      <w:r>
        <w:rPr>
          <w:rFonts w:hint="eastAsia" w:asciiTheme="minorEastAsia" w:hAnsiTheme="minorEastAsia" w:eastAsiaTheme="minorEastAsia" w:cstheme="minorEastAsia"/>
          <w:b/>
          <w:color w:val="000000" w:themeColor="text1"/>
          <w:highlight w:val="none"/>
          <w14:textFill>
            <w14:solidFill>
              <w14:schemeClr w14:val="tx1"/>
            </w14:solidFill>
          </w14:textFill>
        </w:rPr>
        <w:t>14.</w:t>
      </w:r>
      <w:r>
        <w:rPr>
          <w:rFonts w:hint="eastAsia" w:asciiTheme="minorEastAsia" w:hAnsiTheme="minorEastAsia" w:eastAsiaTheme="minorEastAsia" w:cstheme="minorEastAsia"/>
          <w:b/>
          <w:color w:val="000000" w:themeColor="text1"/>
          <w:highlight w:val="none"/>
          <w:lang w:val="en-US" w:eastAsia="zh-CN"/>
          <w14:textFill>
            <w14:solidFill>
              <w14:schemeClr w14:val="tx1"/>
            </w14:solidFill>
          </w14:textFill>
        </w:rPr>
        <w:t>5</w:t>
      </w:r>
      <w:r>
        <w:rPr>
          <w:rFonts w:hint="eastAsia" w:asciiTheme="minorEastAsia" w:hAnsiTheme="minorEastAsia" w:eastAsiaTheme="minorEastAsia" w:cstheme="minorEastAsia"/>
          <w:b/>
          <w:color w:val="000000" w:themeColor="text1"/>
          <w:highlight w:val="none"/>
          <w14:textFill>
            <w14:solidFill>
              <w14:schemeClr w14:val="tx1"/>
            </w14:solidFill>
          </w14:textFill>
        </w:rPr>
        <w:t xml:space="preserve"> 详细评审阶段</w:t>
      </w:r>
      <w:bookmarkEnd w:id="261"/>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5</w:t>
      </w:r>
      <w:r>
        <w:rPr>
          <w:rFonts w:hint="eastAsia" w:asciiTheme="minorEastAsia" w:hAnsiTheme="minorEastAsia" w:eastAsiaTheme="minorEastAsia" w:cstheme="minorEastAsia"/>
          <w:bCs/>
          <w:color w:val="000000" w:themeColor="text1"/>
          <w:highlight w:val="none"/>
          <w14:textFill>
            <w14:solidFill>
              <w14:schemeClr w14:val="tx1"/>
            </w14:solidFill>
          </w14:textFill>
        </w:rPr>
        <w:t>.1 “综合评估法”评审程序</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评审内容分为商务部分</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技术部分</w:t>
      </w:r>
      <w:r>
        <w:rPr>
          <w:rFonts w:hint="eastAsia" w:asciiTheme="minorEastAsia" w:hAnsiTheme="minorEastAsia" w:eastAsiaTheme="minorEastAsia" w:cstheme="minorEastAsia"/>
          <w:bCs/>
          <w:color w:val="000000" w:themeColor="text1"/>
          <w:highlight w:val="none"/>
          <w14:textFill>
            <w14:solidFill>
              <w14:schemeClr w14:val="tx1"/>
            </w14:solidFill>
          </w14:textFill>
        </w:rPr>
        <w:t>和和</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投标报价得分</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二</w:t>
      </w:r>
      <w:r>
        <w:rPr>
          <w:rFonts w:hint="eastAsia" w:asciiTheme="minorEastAsia" w:hAnsiTheme="minorEastAsia" w:eastAsiaTheme="minorEastAsia" w:cstheme="minorEastAsia"/>
          <w:bCs/>
          <w:color w:val="000000" w:themeColor="text1"/>
          <w:highlight w:val="none"/>
          <w14:textFill>
            <w14:solidFill>
              <w14:schemeClr w14:val="tx1"/>
            </w14:solidFill>
          </w14:textFill>
        </w:rPr>
        <w:t>大部分，实行分项计分，以100分为满分。具体分值详见《综合评分表》。</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除特别注明外，综合得分以及商务部</w:t>
      </w:r>
      <w:r>
        <w:rPr>
          <w:rFonts w:hint="eastAsia" w:asciiTheme="minorEastAsia" w:hAnsiTheme="minorEastAsia" w:eastAsiaTheme="minorEastAsia" w:cstheme="minorEastAsia"/>
          <w:b w:val="0"/>
          <w:bCs/>
          <w:color w:val="000000" w:themeColor="text1"/>
          <w:highlight w:val="none"/>
          <w14:textFill>
            <w14:solidFill>
              <w14:schemeClr w14:val="tx1"/>
            </w14:solidFill>
          </w14:textFill>
        </w:rPr>
        <w:t>分得分</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技术部分、</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投标报价得分</w:t>
      </w:r>
      <w:r>
        <w:rPr>
          <w:rFonts w:hint="eastAsia" w:asciiTheme="minorEastAsia" w:hAnsiTheme="minorEastAsia" w:eastAsiaTheme="minorEastAsia" w:cstheme="minorEastAsia"/>
          <w:bCs/>
          <w:color w:val="000000" w:themeColor="text1"/>
          <w:highlight w:val="none"/>
          <w14:textFill>
            <w14:solidFill>
              <w14:schemeClr w14:val="tx1"/>
            </w14:solidFill>
          </w14:textFill>
        </w:rPr>
        <w:t>的中间过程计算值和最终值，均按“四舍五入”原则精确到两位小数。</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（1）商务部分得分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①评标委员会各成员独立按照《综合评分表》商务部分指定的评分标准对各评分因素进行打分。各评分因素得分之和即为某投标人的商务部分得分。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②全体评委对该投标人的商务部分总评分取平均值，按“四舍五入”原则精确到两位小数即为该投标人商务部分的最终得分。</w:t>
      </w:r>
    </w:p>
    <w:bookmarkEnd w:id="144"/>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2</w:t>
      </w:r>
      <w:r>
        <w:rPr>
          <w:rFonts w:hint="eastAsia" w:asciiTheme="minorEastAsia" w:hAnsiTheme="minorEastAsia" w:eastAsiaTheme="minorEastAsia" w:cstheme="minorEastAsia"/>
          <w:bCs/>
          <w:color w:val="000000" w:themeColor="text1"/>
          <w:highlight w:val="none"/>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技术</w:t>
      </w:r>
      <w:r>
        <w:rPr>
          <w:rFonts w:hint="eastAsia" w:asciiTheme="minorEastAsia" w:hAnsiTheme="minorEastAsia" w:eastAsiaTheme="minorEastAsia" w:cstheme="minorEastAsia"/>
          <w:bCs/>
          <w:color w:val="000000" w:themeColor="text1"/>
          <w:highlight w:val="none"/>
          <w14:textFill>
            <w14:solidFill>
              <w14:schemeClr w14:val="tx1"/>
            </w14:solidFill>
          </w14:textFill>
        </w:rPr>
        <w:t>部分得分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①评标委员会各成员独立按照《综合评分表》</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技术</w:t>
      </w:r>
      <w:r>
        <w:rPr>
          <w:rFonts w:hint="eastAsia" w:asciiTheme="minorEastAsia" w:hAnsiTheme="minorEastAsia" w:eastAsiaTheme="minorEastAsia" w:cstheme="minorEastAsia"/>
          <w:bCs/>
          <w:color w:val="000000" w:themeColor="text1"/>
          <w:highlight w:val="none"/>
          <w14:textFill>
            <w14:solidFill>
              <w14:schemeClr w14:val="tx1"/>
            </w14:solidFill>
          </w14:textFill>
        </w:rPr>
        <w:t>部分指定的评分标准对各评分因素进行打分。各评分因素得分之和即为某投标人的</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技术</w:t>
      </w:r>
      <w:r>
        <w:rPr>
          <w:rFonts w:hint="eastAsia" w:asciiTheme="minorEastAsia" w:hAnsiTheme="minorEastAsia" w:eastAsiaTheme="minorEastAsia" w:cstheme="minorEastAsia"/>
          <w:bCs/>
          <w:color w:val="000000" w:themeColor="text1"/>
          <w:highlight w:val="none"/>
          <w14:textFill>
            <w14:solidFill>
              <w14:schemeClr w14:val="tx1"/>
            </w14:solidFill>
          </w14:textFill>
        </w:rPr>
        <w:t>部分得分。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②全体评委对该投标人的</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技术</w:t>
      </w:r>
      <w:r>
        <w:rPr>
          <w:rFonts w:hint="eastAsia" w:asciiTheme="minorEastAsia" w:hAnsiTheme="minorEastAsia" w:eastAsiaTheme="minorEastAsia" w:cstheme="minorEastAsia"/>
          <w:bCs/>
          <w:color w:val="000000" w:themeColor="text1"/>
          <w:highlight w:val="none"/>
          <w14:textFill>
            <w14:solidFill>
              <w14:schemeClr w14:val="tx1"/>
            </w14:solidFill>
          </w14:textFill>
        </w:rPr>
        <w:t>部分总评分取平均值，按“四舍五入”原则精确到两位小数即为该投标人</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技术</w:t>
      </w:r>
      <w:r>
        <w:rPr>
          <w:rFonts w:hint="eastAsia" w:asciiTheme="minorEastAsia" w:hAnsiTheme="minorEastAsia" w:eastAsiaTheme="minorEastAsia" w:cstheme="minorEastAsia"/>
          <w:bCs/>
          <w:color w:val="000000" w:themeColor="text1"/>
          <w:highlight w:val="none"/>
          <w14:textFill>
            <w14:solidFill>
              <w14:schemeClr w14:val="tx1"/>
            </w14:solidFill>
          </w14:textFill>
        </w:rPr>
        <w:t>部分的最终得分。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）投标报价得分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投标报价得分</w:t>
      </w:r>
      <w:r>
        <w:rPr>
          <w:rFonts w:hint="eastAsia" w:asciiTheme="minorEastAsia" w:hAnsiTheme="minorEastAsia" w:eastAsiaTheme="minorEastAsia" w:cstheme="minorEastAsia"/>
          <w:bCs/>
          <w:color w:val="000000" w:themeColor="text1"/>
          <w:highlight w:val="none"/>
          <w14:textFill>
            <w14:solidFill>
              <w14:schemeClr w14:val="tx1"/>
            </w14:solidFill>
          </w14:textFill>
        </w:rPr>
        <w:t>评分方法详见《综合评分表》。</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）综合得分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综合得分=商务部分得分+技术部分得分+</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投标报价得分。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5</w:t>
      </w:r>
      <w:r>
        <w:rPr>
          <w:rFonts w:hint="eastAsia" w:asciiTheme="minorEastAsia" w:hAnsiTheme="minorEastAsia" w:eastAsiaTheme="minorEastAsia" w:cstheme="minorEastAsia"/>
          <w:bCs/>
          <w:color w:val="000000" w:themeColor="text1"/>
          <w:highlight w:val="none"/>
          <w14:textFill>
            <w14:solidFill>
              <w14:schemeClr w14:val="tx1"/>
            </w14:solidFill>
          </w14:textFill>
        </w:rPr>
        <w:t>）评标委员会根据招标文件规定的评分细则，对招标文件中的各评审因素进行评审、比较、打分，将得分前5名不排序（按企业统一社会信用代码后4位大小排位）的投标人作为定标候选人推荐给招标人，并对每个定标候选人的优势、风险等评审情况进行说明。当投标人综合总得分相同时，以报价低为前；当投标人综合总得分相同且报价相同时，由评标委员会投票确定排前。</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定标候选人得分只作为评标委员会的推荐依据，不作为定标委员会对中标候选人排序的依据。当有效投标人数量不足5名但满足法定要求时，所有通过评审的有效投标人均应作为定标候选人。</w:t>
      </w:r>
    </w:p>
    <w:p>
      <w:pPr>
        <w:pStyle w:val="37"/>
        <w:pageBreakBefore w:val="0"/>
        <w:kinsoku/>
        <w:wordWrap w:val="0"/>
        <w:overflowPunct/>
        <w:autoSpaceDE w:val="0"/>
        <w:autoSpaceDN w:val="0"/>
        <w:bidi w:val="0"/>
        <w:adjustRightInd w:val="0"/>
        <w:jc w:val="center"/>
        <w:outlineLvl w:val="2"/>
        <w:rPr>
          <w:rFonts w:hint="eastAsia" w:hAnsi="宋体" w:cs="宋体"/>
          <w:b/>
          <w:bCs/>
          <w:color w:val="000000" w:themeColor="text1"/>
          <w:kern w:val="0"/>
          <w:sz w:val="28"/>
          <w:szCs w:val="30"/>
          <w:highlight w:val="none"/>
          <w14:textFill>
            <w14:solidFill>
              <w14:schemeClr w14:val="tx1"/>
            </w14:solidFill>
          </w14:textFill>
        </w:rPr>
      </w:pPr>
    </w:p>
    <w:p>
      <w:pPr>
        <w:pStyle w:val="37"/>
        <w:pageBreakBefore w:val="0"/>
        <w:kinsoku/>
        <w:wordWrap w:val="0"/>
        <w:overflowPunct/>
        <w:autoSpaceDE w:val="0"/>
        <w:autoSpaceDN w:val="0"/>
        <w:bidi w:val="0"/>
        <w:adjustRightInd w:val="0"/>
        <w:jc w:val="center"/>
        <w:outlineLvl w:val="2"/>
        <w:rPr>
          <w:rFonts w:hint="eastAsia" w:hAnsi="宋体" w:cs="宋体"/>
          <w:b/>
          <w:bCs/>
          <w:color w:val="000000" w:themeColor="text1"/>
          <w:kern w:val="0"/>
          <w:sz w:val="28"/>
          <w:szCs w:val="30"/>
          <w:highlight w:val="none"/>
          <w14:textFill>
            <w14:solidFill>
              <w14:schemeClr w14:val="tx1"/>
            </w14:solidFill>
          </w14:textFill>
        </w:rPr>
      </w:pPr>
    </w:p>
    <w:p>
      <w:pPr>
        <w:pStyle w:val="37"/>
        <w:pageBreakBefore w:val="0"/>
        <w:kinsoku/>
        <w:wordWrap w:val="0"/>
        <w:overflowPunct/>
        <w:autoSpaceDE w:val="0"/>
        <w:autoSpaceDN w:val="0"/>
        <w:bidi w:val="0"/>
        <w:adjustRightInd w:val="0"/>
        <w:jc w:val="center"/>
        <w:outlineLvl w:val="2"/>
        <w:rPr>
          <w:rFonts w:hint="eastAsia" w:hAnsi="宋体" w:cs="宋体"/>
          <w:b/>
          <w:bCs/>
          <w:color w:val="000000" w:themeColor="text1"/>
          <w:kern w:val="0"/>
          <w:sz w:val="28"/>
          <w:szCs w:val="30"/>
          <w:highlight w:val="none"/>
          <w14:textFill>
            <w14:solidFill>
              <w14:schemeClr w14:val="tx1"/>
            </w14:solidFill>
          </w14:textFill>
        </w:rPr>
      </w:pPr>
    </w:p>
    <w:p>
      <w:pPr>
        <w:pStyle w:val="37"/>
        <w:pageBreakBefore w:val="0"/>
        <w:kinsoku/>
        <w:wordWrap w:val="0"/>
        <w:overflowPunct/>
        <w:autoSpaceDE w:val="0"/>
        <w:autoSpaceDN w:val="0"/>
        <w:bidi w:val="0"/>
        <w:adjustRightInd w:val="0"/>
        <w:jc w:val="center"/>
        <w:outlineLvl w:val="2"/>
        <w:rPr>
          <w:rFonts w:hint="eastAsia" w:hAnsi="宋体" w:cs="宋体"/>
          <w:b/>
          <w:bCs/>
          <w:color w:val="000000" w:themeColor="text1"/>
          <w:kern w:val="0"/>
          <w:sz w:val="28"/>
          <w:szCs w:val="30"/>
          <w:highlight w:val="none"/>
          <w14:textFill>
            <w14:solidFill>
              <w14:schemeClr w14:val="tx1"/>
            </w14:solidFill>
          </w14:textFill>
        </w:rPr>
      </w:pPr>
      <w:r>
        <w:rPr>
          <w:rFonts w:hint="eastAsia" w:hAnsi="宋体" w:cs="宋体"/>
          <w:b/>
          <w:bCs/>
          <w:color w:val="000000" w:themeColor="text1"/>
          <w:kern w:val="0"/>
          <w:sz w:val="28"/>
          <w:szCs w:val="30"/>
          <w:highlight w:val="none"/>
          <w14:textFill>
            <w14:solidFill>
              <w14:schemeClr w14:val="tx1"/>
            </w14:solidFill>
          </w14:textFill>
        </w:rPr>
        <w:t>综合评分表</w:t>
      </w:r>
    </w:p>
    <w:tbl>
      <w:tblPr>
        <w:tblStyle w:val="22"/>
        <w:tblpPr w:leftFromText="181" w:rightFromText="181" w:vertAnchor="text" w:horzAnchor="page" w:tblpXSpec="center" w:tblpY="1"/>
        <w:tblOverlap w:val="never"/>
        <w:tblW w:w="95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595"/>
        <w:gridCol w:w="1221"/>
        <w:gridCol w:w="2896"/>
        <w:gridCol w:w="167"/>
        <w:gridCol w:w="5"/>
        <w:gridCol w:w="39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1275" w:type="dxa"/>
            <w:gridSpan w:val="2"/>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评标内容</w:t>
            </w:r>
          </w:p>
        </w:tc>
        <w:tc>
          <w:tcPr>
            <w:tcW w:w="4289" w:type="dxa"/>
            <w:gridSpan w:val="4"/>
            <w:noWrap w:val="0"/>
            <w:vAlign w:val="center"/>
          </w:tcPr>
          <w:p>
            <w:pPr>
              <w:keepNext/>
              <w:keepLines w:val="0"/>
              <w:pageBreakBefore w:val="0"/>
              <w:widowControl/>
              <w:kinsoku/>
              <w:wordWrap w:val="0"/>
              <w:overflowPunct/>
              <w:topLinePunct w:val="0"/>
              <w:autoSpaceDE/>
              <w:autoSpaceDN/>
              <w:bidi w:val="0"/>
              <w:spacing w:line="360" w:lineRule="exact"/>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lang w:eastAsia="zh-CN"/>
                <w14:textFill>
                  <w14:solidFill>
                    <w14:schemeClr w14:val="tx1"/>
                  </w14:solidFill>
                </w14:textFill>
              </w:rPr>
              <w:t>评分标准</w:t>
            </w:r>
          </w:p>
        </w:tc>
        <w:tc>
          <w:tcPr>
            <w:tcW w:w="3946" w:type="dxa"/>
            <w:noWrap w:val="0"/>
            <w:vAlign w:val="center"/>
          </w:tcPr>
          <w:p>
            <w:pPr>
              <w:keepNext/>
              <w:keepLines w:val="0"/>
              <w:pageBreakBefore w:val="0"/>
              <w:widowControl/>
              <w:kinsoku/>
              <w:wordWrap w:val="0"/>
              <w:overflowPunct/>
              <w:topLinePunct w:val="0"/>
              <w:autoSpaceDE/>
              <w:autoSpaceDN/>
              <w:bidi w:val="0"/>
              <w:spacing w:line="360" w:lineRule="exact"/>
              <w:jc w:val="center"/>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0" w:type="dxa"/>
            <w:vMerge w:val="restart"/>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商务得分（</w:t>
            </w:r>
            <w:r>
              <w:rPr>
                <w:rFonts w:hint="eastAsia"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lang w:val="en-US" w:eastAsia="zh-CN"/>
                <w14:textFill>
                  <w14:solidFill>
                    <w14:schemeClr w14:val="tx1"/>
                  </w14:solidFill>
                </w14:textFill>
              </w:rPr>
              <w:t>0分）</w:t>
            </w:r>
          </w:p>
        </w:tc>
        <w:tc>
          <w:tcPr>
            <w:tcW w:w="595" w:type="dxa"/>
            <w:vMerge w:val="restart"/>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施工企业（</w:t>
            </w:r>
            <w:r>
              <w:rPr>
                <w:rFonts w:hint="eastAsia" w:hAnsi="宋体" w:eastAsia="宋体" w:cs="宋体"/>
                <w:color w:val="000000" w:themeColor="text1"/>
                <w:sz w:val="24"/>
                <w:szCs w:val="24"/>
                <w:highlight w:val="none"/>
                <w:lang w:val="en-US" w:eastAsia="zh-CN"/>
                <w14:textFill>
                  <w14:solidFill>
                    <w14:schemeClr w14:val="tx1"/>
                  </w14:solidFill>
                </w14:textFill>
              </w:rPr>
              <w:t>20</w:t>
            </w:r>
            <w:r>
              <w:rPr>
                <w:rFonts w:hint="eastAsia" w:ascii="宋体" w:hAnsi="宋体" w:eastAsia="宋体" w:cs="宋体"/>
                <w:color w:val="000000" w:themeColor="text1"/>
                <w:sz w:val="24"/>
                <w:szCs w:val="24"/>
                <w:highlight w:val="none"/>
                <w:lang w:val="en-US" w:eastAsia="zh-CN"/>
                <w14:textFill>
                  <w14:solidFill>
                    <w14:schemeClr w14:val="tx1"/>
                  </w14:solidFill>
                </w14:textFill>
              </w:rPr>
              <w:t>分）</w:t>
            </w:r>
          </w:p>
        </w:tc>
        <w:tc>
          <w:tcPr>
            <w:tcW w:w="1221" w:type="dxa"/>
            <w:noWrap w:val="0"/>
            <w:vAlign w:val="center"/>
          </w:tcPr>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exact"/>
              <w:jc w:val="center"/>
              <w:textAlignment w:val="auto"/>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rPr>
              <w:t>企业业绩</w:t>
            </w:r>
          </w:p>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exact"/>
              <w:jc w:val="center"/>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snapToGrid w:val="0"/>
                <w:color w:val="auto"/>
                <w:kern w:val="0"/>
                <w:sz w:val="24"/>
                <w:szCs w:val="24"/>
                <w:highlight w:val="none"/>
              </w:rPr>
              <w:t>（</w:t>
            </w:r>
            <w:r>
              <w:rPr>
                <w:rFonts w:hint="eastAsia" w:hAnsi="宋体" w:eastAsia="宋体" w:cs="宋体"/>
                <w:b w:val="0"/>
                <w:bCs w:val="0"/>
                <w:snapToGrid w:val="0"/>
                <w:color w:val="auto"/>
                <w:kern w:val="0"/>
                <w:sz w:val="24"/>
                <w:szCs w:val="24"/>
                <w:highlight w:val="none"/>
                <w:lang w:val="en-US" w:eastAsia="zh-CN"/>
              </w:rPr>
              <w:t>6</w:t>
            </w:r>
            <w:r>
              <w:rPr>
                <w:rFonts w:hint="eastAsia" w:ascii="宋体" w:hAnsi="宋体" w:eastAsia="宋体" w:cs="宋体"/>
                <w:b w:val="0"/>
                <w:bCs w:val="0"/>
                <w:snapToGrid w:val="0"/>
                <w:color w:val="auto"/>
                <w:kern w:val="0"/>
                <w:sz w:val="24"/>
                <w:szCs w:val="24"/>
                <w:highlight w:val="none"/>
              </w:rPr>
              <w:t>分）</w:t>
            </w:r>
          </w:p>
        </w:tc>
        <w:tc>
          <w:tcPr>
            <w:tcW w:w="3063" w:type="dxa"/>
            <w:gridSpan w:val="2"/>
            <w:noWrap w:val="0"/>
            <w:vAlign w:val="center"/>
          </w:tcPr>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投标人自2020年1月1日至</w:t>
            </w:r>
            <w:r>
              <w:rPr>
                <w:rFonts w:hint="eastAsia" w:ascii="宋体" w:hAnsi="宋体" w:eastAsia="宋体" w:cs="宋体"/>
                <w:snapToGrid w:val="0"/>
                <w:color w:val="auto"/>
                <w:kern w:val="0"/>
                <w:sz w:val="24"/>
                <w:szCs w:val="24"/>
                <w:highlight w:val="none"/>
                <w:lang w:val="en-US" w:eastAsia="zh-CN"/>
              </w:rPr>
              <w:t>今</w:t>
            </w:r>
            <w:r>
              <w:rPr>
                <w:rFonts w:hint="eastAsia" w:ascii="宋体" w:hAnsi="宋体" w:eastAsia="宋体" w:cs="宋体"/>
                <w:snapToGrid w:val="0"/>
                <w:color w:val="auto"/>
                <w:kern w:val="0"/>
                <w:sz w:val="24"/>
                <w:szCs w:val="24"/>
                <w:highlight w:val="none"/>
              </w:rPr>
              <w:t>业绩情况：</w:t>
            </w:r>
          </w:p>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u w:val="single"/>
                <w:lang w:val="en-US" w:eastAsia="zh-CN"/>
              </w:rPr>
              <w:t>承接</w:t>
            </w:r>
            <w:r>
              <w:rPr>
                <w:rFonts w:hint="eastAsia" w:ascii="宋体" w:hAnsi="宋体" w:eastAsia="宋体" w:cs="宋体"/>
                <w:snapToGrid w:val="0"/>
                <w:color w:val="auto"/>
                <w:kern w:val="0"/>
                <w:sz w:val="24"/>
                <w:szCs w:val="24"/>
                <w:highlight w:val="none"/>
              </w:rPr>
              <w:t>过类似工程的，每个得</w:t>
            </w:r>
            <w:r>
              <w:rPr>
                <w:rFonts w:hint="eastAsia"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分。</w:t>
            </w:r>
          </w:p>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r>
              <w:rPr>
                <w:rFonts w:hint="eastAsia" w:ascii="宋体" w:hAnsi="宋体" w:eastAsia="宋体" w:cs="宋体"/>
                <w:snapToGrid w:val="0"/>
                <w:color w:val="auto"/>
                <w:kern w:val="0"/>
                <w:sz w:val="24"/>
                <w:szCs w:val="24"/>
                <w:highlight w:val="none"/>
                <w:u w:val="single"/>
              </w:rPr>
              <w:t>未</w:t>
            </w:r>
            <w:r>
              <w:rPr>
                <w:rFonts w:hint="eastAsia" w:ascii="宋体" w:hAnsi="宋体" w:eastAsia="宋体" w:cs="宋体"/>
                <w:snapToGrid w:val="0"/>
                <w:color w:val="auto"/>
                <w:kern w:val="0"/>
                <w:sz w:val="24"/>
                <w:szCs w:val="24"/>
                <w:highlight w:val="none"/>
                <w:u w:val="single"/>
                <w:lang w:val="en-US" w:eastAsia="zh-CN"/>
              </w:rPr>
              <w:t>承接</w:t>
            </w:r>
            <w:r>
              <w:rPr>
                <w:rFonts w:hint="eastAsia" w:ascii="宋体" w:hAnsi="宋体" w:eastAsia="宋体" w:cs="宋体"/>
                <w:snapToGrid w:val="0"/>
                <w:color w:val="auto"/>
                <w:kern w:val="0"/>
                <w:sz w:val="24"/>
                <w:szCs w:val="24"/>
                <w:highlight w:val="none"/>
              </w:rPr>
              <w:t>过类似工程的，不予计分。</w:t>
            </w:r>
          </w:p>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exact"/>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snapToGrid w:val="0"/>
                <w:color w:val="auto"/>
                <w:kern w:val="0"/>
                <w:sz w:val="24"/>
                <w:szCs w:val="24"/>
                <w:highlight w:val="none"/>
              </w:rPr>
              <w:t>本项最高得</w:t>
            </w:r>
            <w:r>
              <w:rPr>
                <w:rFonts w:hint="eastAsia" w:hAnsi="宋体" w:eastAsia="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 xml:space="preserve">分。 </w:t>
            </w:r>
          </w:p>
        </w:tc>
        <w:tc>
          <w:tcPr>
            <w:tcW w:w="3951" w:type="dxa"/>
            <w:gridSpan w:val="2"/>
            <w:noWrap w:val="0"/>
            <w:vAlign w:val="center"/>
          </w:tcPr>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1.类似工程指:市政类工程。</w:t>
            </w:r>
          </w:p>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2.需附有关业绩合同协议书关键页和中标通知书的彩色扫描件并加盖单位公章，否则不得分。</w:t>
            </w:r>
          </w:p>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3.业绩时间以合同签订日期为准。</w:t>
            </w:r>
          </w:p>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4.任一业绩有以下情形之一的，该业绩视为无效，不予计分</w:t>
            </w:r>
            <w:r>
              <w:rPr>
                <w:rFonts w:hint="eastAsia" w:ascii="宋体" w:hAnsi="宋体" w:eastAsia="宋体" w:cs="宋体"/>
                <w:snapToGrid w:val="0"/>
                <w:color w:val="auto"/>
                <w:kern w:val="0"/>
                <w:sz w:val="24"/>
                <w:szCs w:val="24"/>
                <w:highlight w:val="none"/>
                <w:lang w:eastAsia="zh-CN"/>
              </w:rPr>
              <w:t>；</w:t>
            </w:r>
          </w:p>
          <w:p>
            <w:pPr>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①业绩不属于类似工程的</w:t>
            </w:r>
            <w:r>
              <w:rPr>
                <w:rFonts w:hint="eastAsia" w:ascii="宋体" w:hAnsi="宋体" w:eastAsia="宋体" w:cs="宋体"/>
                <w:snapToGrid w:val="0"/>
                <w:color w:val="auto"/>
                <w:kern w:val="0"/>
                <w:sz w:val="24"/>
                <w:szCs w:val="24"/>
                <w:highlight w:val="none"/>
                <w:lang w:eastAsia="zh-CN"/>
              </w:rPr>
              <w:t>；</w:t>
            </w:r>
          </w:p>
          <w:p>
            <w:pP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snapToGrid w:val="0"/>
                <w:color w:val="auto"/>
                <w:kern w:val="0"/>
                <w:sz w:val="24"/>
                <w:szCs w:val="24"/>
                <w:highlight w:val="none"/>
              </w:rPr>
              <w:t>②</w:t>
            </w:r>
            <w:r>
              <w:rPr>
                <w:rFonts w:hint="eastAsia" w:ascii="宋体" w:hAnsi="宋体" w:eastAsia="宋体" w:cs="宋体"/>
                <w:snapToGrid w:val="0"/>
                <w:color w:val="auto"/>
                <w:kern w:val="0"/>
                <w:sz w:val="24"/>
                <w:szCs w:val="24"/>
                <w:highlight w:val="none"/>
              </w:rPr>
              <w:t>业绩时间不符合要求的。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c>
          <w:tcPr>
            <w:tcW w:w="595"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c>
          <w:tcPr>
            <w:tcW w:w="1221" w:type="dxa"/>
            <w:noWrap w:val="0"/>
            <w:vAlign w:val="center"/>
          </w:tcPr>
          <w:p>
            <w:pPr>
              <w:pStyle w:val="8"/>
              <w:keepNext w:val="0"/>
              <w:keepLines w:val="0"/>
              <w:pageBreakBefore w:val="0"/>
              <w:widowControl w:val="0"/>
              <w:kinsoku/>
              <w:wordWrap/>
              <w:overflowPunct/>
              <w:topLinePunct w:val="0"/>
              <w:autoSpaceDE/>
              <w:autoSpaceDN/>
              <w:bidi w:val="0"/>
              <w:adjustRightInd w:val="0"/>
              <w:snapToGrid w:val="0"/>
              <w:spacing w:after="0" w:afterLines="0" w:line="360" w:lineRule="exact"/>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企业纳税信用</w:t>
            </w:r>
          </w:p>
          <w:p>
            <w:pPr>
              <w:keepNext/>
              <w:keepLines w:val="0"/>
              <w:pageBreakBefore w:val="0"/>
              <w:widowControl/>
              <w:kinsoku/>
              <w:wordWrap w:val="0"/>
              <w:overflowPunct/>
              <w:topLinePunct w:val="0"/>
              <w:autoSpaceDE/>
              <w:autoSpaceDN/>
              <w:bidi w:val="0"/>
              <w:snapToGrid w:val="0"/>
              <w:spacing w:line="360" w:lineRule="exact"/>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snapToGrid w:val="0"/>
                <w:color w:val="auto"/>
                <w:kern w:val="0"/>
                <w:sz w:val="24"/>
                <w:szCs w:val="24"/>
                <w:highlight w:val="none"/>
                <w:lang w:val="en-US" w:eastAsia="zh-CN" w:bidi="ar-SA"/>
              </w:rPr>
              <w:t>（</w:t>
            </w:r>
            <w:r>
              <w:rPr>
                <w:rFonts w:hint="eastAsia" w:hAnsi="宋体" w:eastAsia="宋体" w:cs="宋体"/>
                <w:snapToGrid w:val="0"/>
                <w:color w:val="auto"/>
                <w:kern w:val="0"/>
                <w:sz w:val="24"/>
                <w:szCs w:val="24"/>
                <w:highlight w:val="none"/>
                <w:lang w:val="en-US" w:eastAsia="zh-CN" w:bidi="ar-SA"/>
              </w:rPr>
              <w:t>6</w:t>
            </w:r>
            <w:r>
              <w:rPr>
                <w:rFonts w:hint="eastAsia" w:ascii="宋体" w:hAnsi="宋体" w:eastAsia="宋体" w:cs="宋体"/>
                <w:snapToGrid w:val="0"/>
                <w:color w:val="auto"/>
                <w:kern w:val="0"/>
                <w:sz w:val="24"/>
                <w:szCs w:val="24"/>
                <w:highlight w:val="none"/>
                <w:lang w:val="en-US" w:eastAsia="zh-CN" w:bidi="ar-SA"/>
              </w:rPr>
              <w:t>分）</w:t>
            </w:r>
          </w:p>
        </w:tc>
        <w:tc>
          <w:tcPr>
            <w:tcW w:w="3063" w:type="dxa"/>
            <w:gridSpan w:val="2"/>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1.投标人2023年度至2025年度连续3年获得纳税信用A级纳税人的，得</w:t>
            </w:r>
            <w:r>
              <w:rPr>
                <w:rFonts w:hint="eastAsia" w:hAnsi="宋体" w:eastAsia="宋体" w:cs="宋体"/>
                <w:color w:val="000000" w:themeColor="text1"/>
                <w:kern w:val="2"/>
                <w:sz w:val="24"/>
                <w:szCs w:val="24"/>
                <w:highlight w:val="none"/>
                <w:lang w:val="en-US" w:eastAsia="zh-CN" w:bidi="ar-SA"/>
                <w14:textFill>
                  <w14:solidFill>
                    <w14:schemeClr w14:val="tx1"/>
                  </w14:solidFill>
                </w14:textFill>
              </w:rPr>
              <w:t>6</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分</w:t>
            </w:r>
            <w:r>
              <w:rPr>
                <w:rFonts w:hint="eastAsia" w:hAnsi="宋体" w:eastAsia="宋体" w:cs="宋体"/>
                <w:color w:val="000000" w:themeColor="text1"/>
                <w:kern w:val="2"/>
                <w:sz w:val="24"/>
                <w:szCs w:val="24"/>
                <w:highlight w:val="none"/>
                <w:lang w:val="en-US" w:eastAsia="zh-CN" w:bidi="ar-SA"/>
                <w14:textFill>
                  <w14:solidFill>
                    <w14:schemeClr w14:val="tx1"/>
                  </w14:solidFill>
                </w14:textFill>
              </w:rPr>
              <w:t>；</w:t>
            </w:r>
          </w:p>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2.其他情形的，不予计分。</w:t>
            </w:r>
          </w:p>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本项最高得</w:t>
            </w:r>
            <w:r>
              <w:rPr>
                <w:rFonts w:hint="eastAsia" w:hAnsi="宋体" w:eastAsia="宋体" w:cs="宋体"/>
                <w:color w:val="000000" w:themeColor="text1"/>
                <w:kern w:val="2"/>
                <w:sz w:val="24"/>
                <w:szCs w:val="24"/>
                <w:highlight w:val="none"/>
                <w:lang w:val="en-US" w:eastAsia="zh-CN" w:bidi="ar-SA"/>
                <w14:textFill>
                  <w14:solidFill>
                    <w14:schemeClr w14:val="tx1"/>
                  </w14:solidFill>
                </w14:textFill>
              </w:rPr>
              <w:t>6</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分。</w:t>
            </w:r>
          </w:p>
        </w:tc>
        <w:tc>
          <w:tcPr>
            <w:tcW w:w="3951" w:type="dxa"/>
            <w:gridSpan w:val="2"/>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1.需提供企业纳税信用A级纳税人证明材料(或证书)彩色扫描件及国家税务总局(或省级电子税务局)网上查询截图并加盖单位公章，否则不得分。</w:t>
            </w:r>
          </w:p>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2.只计算投标人自身(不计算投标人的分公司、子公司及分支机构)。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c>
          <w:tcPr>
            <w:tcW w:w="595"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c>
          <w:tcPr>
            <w:tcW w:w="1221" w:type="dxa"/>
            <w:noWrap w:val="0"/>
            <w:vAlign w:val="center"/>
          </w:tcPr>
          <w:p>
            <w:pPr>
              <w:keepNext/>
              <w:keepLines w:val="0"/>
              <w:pageBreakBefore w:val="0"/>
              <w:widowControl/>
              <w:kinsoku/>
              <w:wordWrap w:val="0"/>
              <w:overflowPunct/>
              <w:topLinePunct w:val="0"/>
              <w:autoSpaceDE/>
              <w:autoSpaceDN/>
              <w:bidi w:val="0"/>
              <w:adjustRightInd w:val="0"/>
              <w:snapToGrid w:val="0"/>
              <w:spacing w:after="0" w:line="360" w:lineRule="exact"/>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企业安全承诺(</w:t>
            </w:r>
            <w:r>
              <w:rPr>
                <w:rFonts w:hint="eastAsia" w:hAnsi="宋体" w:eastAsia="宋体" w:cs="宋体"/>
                <w:snapToGrid w:val="0"/>
                <w:color w:val="000000" w:themeColor="text1"/>
                <w:kern w:val="0"/>
                <w:sz w:val="24"/>
                <w:szCs w:val="24"/>
                <w:highlight w:val="none"/>
                <w:lang w:val="en-US" w:eastAsia="zh-CN" w:bidi="ar-SA"/>
                <w14:textFill>
                  <w14:solidFill>
                    <w14:schemeClr w14:val="tx1"/>
                  </w14:solidFill>
                </w14:textFill>
              </w:rPr>
              <w:t>5</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分)</w:t>
            </w:r>
          </w:p>
        </w:tc>
        <w:tc>
          <w:tcPr>
            <w:tcW w:w="3063" w:type="dxa"/>
            <w:gridSpan w:val="2"/>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1.投标人自2020年1月1日至今)投标人未发生事故等级为一般事故及以上的生产安全事故、一般质量事故及以上的工程质量事故的，得</w:t>
            </w:r>
            <w:r>
              <w:rPr>
                <w:rFonts w:hint="eastAsia" w:hAnsi="宋体" w:eastAsia="宋体" w:cs="宋体"/>
                <w:b w:val="0"/>
                <w:bCs w:val="0"/>
                <w:color w:val="000000" w:themeColor="text1"/>
                <w:kern w:val="2"/>
                <w:sz w:val="24"/>
                <w:szCs w:val="24"/>
                <w:highlight w:val="none"/>
                <w:lang w:val="en-US" w:eastAsia="zh-CN" w:bidi="ar-SA"/>
                <w14:textFill>
                  <w14:solidFill>
                    <w14:schemeClr w14:val="tx1"/>
                  </w14:solidFill>
                </w14:textFill>
              </w:rPr>
              <w:t>5</w:t>
            </w: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分；</w:t>
            </w:r>
          </w:p>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2.其他情形的，不予计分。</w:t>
            </w:r>
          </w:p>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本项最高得</w:t>
            </w:r>
            <w:r>
              <w:rPr>
                <w:rFonts w:hint="eastAsia" w:hAnsi="宋体" w:eastAsia="宋体" w:cs="宋体"/>
                <w:b w:val="0"/>
                <w:bCs w:val="0"/>
                <w:color w:val="000000" w:themeColor="text1"/>
                <w:kern w:val="2"/>
                <w:sz w:val="24"/>
                <w:szCs w:val="24"/>
                <w:highlight w:val="none"/>
                <w:lang w:val="en-US" w:eastAsia="zh-CN" w:bidi="ar-SA"/>
                <w14:textFill>
                  <w14:solidFill>
                    <w14:schemeClr w14:val="tx1"/>
                  </w14:solidFill>
                </w14:textFill>
              </w:rPr>
              <w:t>5</w:t>
            </w: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分。</w:t>
            </w:r>
          </w:p>
        </w:tc>
        <w:tc>
          <w:tcPr>
            <w:tcW w:w="3951" w:type="dxa"/>
            <w:gridSpan w:val="2"/>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1.需提供本单位承诺书(格式自定)并加盖本单位公章。</w:t>
            </w:r>
          </w:p>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2.未提供本单位承诺书并加盖本单位公章的，按第2项标准处理。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c>
          <w:tcPr>
            <w:tcW w:w="595"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c>
          <w:tcPr>
            <w:tcW w:w="1221" w:type="dxa"/>
            <w:noWrap w:val="0"/>
            <w:vAlign w:val="center"/>
          </w:tcPr>
          <w:p>
            <w:pPr>
              <w:pStyle w:val="8"/>
              <w:keepNext w:val="0"/>
              <w:keepLines w:val="0"/>
              <w:pageBreakBefore w:val="0"/>
              <w:widowControl w:val="0"/>
              <w:kinsoku/>
              <w:wordWrap/>
              <w:overflowPunct/>
              <w:topLinePunct w:val="0"/>
              <w:autoSpaceDE/>
              <w:autoSpaceDN/>
              <w:bidi w:val="0"/>
              <w:adjustRightInd w:val="0"/>
              <w:snapToGrid w:val="0"/>
              <w:spacing w:after="0" w:afterLines="0" w:line="360" w:lineRule="exact"/>
              <w:jc w:val="center"/>
              <w:textAlignment w:val="auto"/>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企业管理</w:t>
            </w:r>
          </w:p>
          <w:p>
            <w:pPr>
              <w:pStyle w:val="8"/>
              <w:keepNext w:val="0"/>
              <w:keepLines w:val="0"/>
              <w:pageBreakBefore w:val="0"/>
              <w:widowControl w:val="0"/>
              <w:kinsoku/>
              <w:wordWrap/>
              <w:overflowPunct/>
              <w:topLinePunct w:val="0"/>
              <w:autoSpaceDE/>
              <w:autoSpaceDN/>
              <w:bidi w:val="0"/>
              <w:adjustRightInd w:val="0"/>
              <w:snapToGrid w:val="0"/>
              <w:spacing w:after="0" w:afterLines="0" w:line="360" w:lineRule="exact"/>
              <w:jc w:val="center"/>
              <w:textAlignment w:val="auto"/>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体系认证</w:t>
            </w:r>
          </w:p>
          <w:p>
            <w:pPr>
              <w:pStyle w:val="8"/>
              <w:keepNext w:val="0"/>
              <w:keepLines w:val="0"/>
              <w:pageBreakBefore w:val="0"/>
              <w:widowControl w:val="0"/>
              <w:kinsoku/>
              <w:wordWrap/>
              <w:overflowPunct/>
              <w:topLinePunct w:val="0"/>
              <w:autoSpaceDE/>
              <w:autoSpaceDN/>
              <w:bidi w:val="0"/>
              <w:adjustRightInd w:val="0"/>
              <w:snapToGrid w:val="0"/>
              <w:spacing w:after="0" w:afterLines="0" w:line="360" w:lineRule="exact"/>
              <w:jc w:val="center"/>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snapToGrid w:val="0"/>
                <w:color w:val="auto"/>
                <w:kern w:val="0"/>
                <w:sz w:val="24"/>
                <w:szCs w:val="24"/>
                <w:highlight w:val="none"/>
                <w:lang w:bidi="ar"/>
              </w:rPr>
              <w:t>（</w:t>
            </w:r>
            <w:r>
              <w:rPr>
                <w:rFonts w:hint="eastAsia" w:hAnsi="宋体" w:eastAsia="宋体" w:cs="宋体"/>
                <w:bCs/>
                <w:snapToGrid w:val="0"/>
                <w:color w:val="auto"/>
                <w:kern w:val="0"/>
                <w:sz w:val="24"/>
                <w:szCs w:val="24"/>
                <w:highlight w:val="none"/>
                <w:lang w:val="en-US" w:eastAsia="zh-CN" w:bidi="ar"/>
              </w:rPr>
              <w:t>3</w:t>
            </w:r>
            <w:r>
              <w:rPr>
                <w:rFonts w:hint="eastAsia" w:ascii="宋体" w:hAnsi="宋体" w:eastAsia="宋体" w:cs="宋体"/>
                <w:snapToGrid w:val="0"/>
                <w:color w:val="auto"/>
                <w:kern w:val="0"/>
                <w:sz w:val="24"/>
                <w:szCs w:val="24"/>
                <w:highlight w:val="none"/>
                <w:lang w:bidi="ar"/>
              </w:rPr>
              <w:t>分）</w:t>
            </w:r>
          </w:p>
        </w:tc>
        <w:tc>
          <w:tcPr>
            <w:tcW w:w="3063" w:type="dxa"/>
            <w:gridSpan w:val="2"/>
            <w:noWrap w:val="0"/>
            <w:vAlign w:val="center"/>
          </w:tcPr>
          <w:p>
            <w:pPr>
              <w:pStyle w:val="8"/>
              <w:keepNext w:val="0"/>
              <w:keepLines w:val="0"/>
              <w:pageBreakBefore w:val="0"/>
              <w:widowControl w:val="0"/>
              <w:kinsoku/>
              <w:wordWrap/>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1．质量管理体系认证</w:t>
            </w:r>
            <w:r>
              <w:rPr>
                <w:rFonts w:hint="eastAsia" w:ascii="宋体" w:hAnsi="宋体" w:eastAsia="宋体" w:cs="宋体"/>
                <w:snapToGrid w:val="0"/>
                <w:color w:val="auto"/>
                <w:kern w:val="0"/>
                <w:sz w:val="24"/>
                <w:szCs w:val="24"/>
                <w:highlight w:val="none"/>
                <w:lang w:bidi="ar"/>
              </w:rPr>
              <w:t>、</w:t>
            </w:r>
            <w:r>
              <w:rPr>
                <w:rFonts w:hint="eastAsia" w:ascii="宋体" w:hAnsi="宋体" w:eastAsia="宋体" w:cs="宋体"/>
                <w:snapToGrid w:val="0"/>
                <w:color w:val="auto"/>
                <w:kern w:val="0"/>
                <w:sz w:val="24"/>
                <w:szCs w:val="24"/>
                <w:highlight w:val="none"/>
              </w:rPr>
              <w:t>职业健康安全管理体系认证</w:t>
            </w:r>
            <w:r>
              <w:rPr>
                <w:rFonts w:hint="eastAsia" w:ascii="宋体" w:hAnsi="宋体" w:eastAsia="宋体" w:cs="宋体"/>
                <w:snapToGrid w:val="0"/>
                <w:color w:val="auto"/>
                <w:kern w:val="0"/>
                <w:sz w:val="24"/>
                <w:szCs w:val="24"/>
                <w:highlight w:val="none"/>
                <w:lang w:bidi="ar"/>
              </w:rPr>
              <w:t>、</w:t>
            </w:r>
            <w:r>
              <w:rPr>
                <w:rFonts w:hint="eastAsia" w:ascii="宋体" w:hAnsi="宋体" w:eastAsia="宋体" w:cs="宋体"/>
                <w:snapToGrid w:val="0"/>
                <w:color w:val="auto"/>
                <w:kern w:val="0"/>
                <w:sz w:val="24"/>
                <w:szCs w:val="24"/>
                <w:highlight w:val="none"/>
              </w:rPr>
              <w:t>环境管理体系认证</w:t>
            </w:r>
            <w:r>
              <w:rPr>
                <w:rFonts w:hint="eastAsia" w:ascii="宋体" w:hAnsi="宋体" w:eastAsia="宋体" w:cs="宋体"/>
                <w:snapToGrid w:val="0"/>
                <w:color w:val="auto"/>
                <w:kern w:val="0"/>
                <w:sz w:val="24"/>
                <w:szCs w:val="24"/>
                <w:highlight w:val="none"/>
                <w:lang w:bidi="ar"/>
              </w:rPr>
              <w:t>中，每获得1项认证</w:t>
            </w:r>
            <w:r>
              <w:rPr>
                <w:rFonts w:hint="eastAsia" w:ascii="宋体" w:hAnsi="宋体" w:eastAsia="宋体" w:cs="宋体"/>
                <w:snapToGrid w:val="0"/>
                <w:color w:val="auto"/>
                <w:kern w:val="0"/>
                <w:sz w:val="24"/>
                <w:szCs w:val="24"/>
                <w:highlight w:val="none"/>
              </w:rPr>
              <w:t>得</w:t>
            </w:r>
            <w:r>
              <w:rPr>
                <w:rFonts w:hint="eastAsia"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分，最高得</w:t>
            </w:r>
            <w:r>
              <w:rPr>
                <w:rFonts w:hint="eastAsia" w:hAnsi="宋体" w:eastAsia="宋体" w:cs="宋体"/>
                <w:bCs/>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分。</w:t>
            </w:r>
          </w:p>
          <w:p>
            <w:pPr>
              <w:pStyle w:val="8"/>
              <w:keepNext w:val="0"/>
              <w:keepLines w:val="0"/>
              <w:pageBreakBefore w:val="0"/>
              <w:widowControl w:val="0"/>
              <w:kinsoku/>
              <w:wordWrap/>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auto"/>
                <w:kern w:val="0"/>
                <w:sz w:val="24"/>
                <w:szCs w:val="24"/>
                <w:highlight w:val="none"/>
              </w:rPr>
              <w:t>2．未获得以上认证的，不予计分。</w:t>
            </w:r>
          </w:p>
        </w:tc>
        <w:tc>
          <w:tcPr>
            <w:tcW w:w="3951" w:type="dxa"/>
            <w:gridSpan w:val="2"/>
            <w:noWrap w:val="0"/>
            <w:vAlign w:val="center"/>
          </w:tcPr>
          <w:p>
            <w:pPr>
              <w:pStyle w:val="8"/>
              <w:keepNext w:val="0"/>
              <w:keepLines w:val="0"/>
              <w:pageBreakBefore w:val="0"/>
              <w:widowControl w:val="0"/>
              <w:kinsoku/>
              <w:wordWrap/>
              <w:overflowPunct/>
              <w:topLinePunct w:val="0"/>
              <w:autoSpaceDE/>
              <w:autoSpaceDN/>
              <w:bidi w:val="0"/>
              <w:adjustRightInd w:val="0"/>
              <w:snapToGrid w:val="0"/>
              <w:spacing w:after="0" w:afterLines="0" w:line="360" w:lineRule="exact"/>
              <w:textAlignment w:val="auto"/>
              <w:rPr>
                <w:rFonts w:hint="eastAsia" w:ascii="宋体" w:hAnsi="宋体" w:eastAsia="宋体" w:cs="宋体"/>
                <w:strike/>
                <w:dstrike w:val="0"/>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rPr>
              <w:t>需附在有效期内的认证证书</w:t>
            </w:r>
            <w:r>
              <w:rPr>
                <w:rFonts w:hint="eastAsia" w:ascii="宋体" w:hAnsi="宋体" w:eastAsia="宋体" w:cs="宋体"/>
                <w:snapToGrid w:val="0"/>
                <w:color w:val="auto"/>
                <w:kern w:val="0"/>
                <w:sz w:val="24"/>
                <w:szCs w:val="24"/>
                <w:highlight w:val="none"/>
                <w:lang w:eastAsia="zh-CN"/>
              </w:rPr>
              <w:t>扫描件</w:t>
            </w:r>
            <w:r>
              <w:rPr>
                <w:rFonts w:hint="eastAsia" w:ascii="宋体" w:hAnsi="宋体" w:eastAsia="宋体" w:cs="宋体"/>
                <w:strike w:val="0"/>
                <w:dstrike w:val="0"/>
                <w:snapToGrid w:val="0"/>
                <w:color w:val="auto"/>
                <w:kern w:val="0"/>
                <w:sz w:val="24"/>
                <w:szCs w:val="24"/>
                <w:highlight w:val="none"/>
                <w:lang w:eastAsia="zh-CN"/>
              </w:rPr>
              <w:t>；</w:t>
            </w:r>
          </w:p>
          <w:p>
            <w:pPr>
              <w:pStyle w:val="8"/>
              <w:keepNext w:val="0"/>
              <w:keepLines w:val="0"/>
              <w:pageBreakBefore w:val="0"/>
              <w:widowControl w:val="0"/>
              <w:kinsoku/>
              <w:wordWrap/>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2．任一认证证书有以下情形之一的，该认证证书视为无效，不予计分：</w:t>
            </w:r>
          </w:p>
          <w:p>
            <w:pPr>
              <w:pStyle w:val="8"/>
              <w:keepNext w:val="0"/>
              <w:keepLines w:val="0"/>
              <w:pageBreakBefore w:val="0"/>
              <w:widowControl w:val="0"/>
              <w:kinsoku/>
              <w:wordWrap/>
              <w:overflowPunct/>
              <w:topLinePunct w:val="0"/>
              <w:autoSpaceDE/>
              <w:autoSpaceDN/>
              <w:bidi w:val="0"/>
              <w:adjustRightInd w:val="0"/>
              <w:snapToGrid w:val="0"/>
              <w:spacing w:after="0" w:afterLines="0" w:line="360" w:lineRule="exact"/>
              <w:textAlignment w:val="auto"/>
              <w:rPr>
                <w:rFonts w:hint="eastAsia" w:ascii="宋体" w:hAnsi="宋体" w:eastAsia="宋体" w:cs="宋体"/>
                <w:b/>
                <w:bCs/>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auto"/>
                <w:kern w:val="0"/>
                <w:sz w:val="24"/>
                <w:szCs w:val="24"/>
                <w:highlight w:val="none"/>
              </w:rPr>
              <w:t>①认证证书不在有效期内的。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595" w:type="dxa"/>
            <w:vMerge w:val="restart"/>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设计企业（</w:t>
            </w:r>
            <w:r>
              <w:rPr>
                <w:rFonts w:hint="eastAsia" w:hAnsi="宋体" w:eastAsia="宋体" w:cs="宋体"/>
                <w:color w:val="000000" w:themeColor="text1"/>
                <w:sz w:val="24"/>
                <w:szCs w:val="24"/>
                <w:highlight w:val="none"/>
                <w:lang w:val="en-US" w:eastAsia="zh-CN"/>
                <w14:textFill>
                  <w14:solidFill>
                    <w14:schemeClr w14:val="tx1"/>
                  </w14:solidFill>
                </w14:textFill>
              </w:rPr>
              <w:t>30</w:t>
            </w:r>
            <w:r>
              <w:rPr>
                <w:rFonts w:hint="eastAsia" w:ascii="宋体" w:hAnsi="宋体" w:eastAsia="宋体" w:cs="宋体"/>
                <w:color w:val="000000" w:themeColor="text1"/>
                <w:sz w:val="24"/>
                <w:szCs w:val="24"/>
                <w:highlight w:val="none"/>
                <w:lang w:val="en-US" w:eastAsia="zh-CN"/>
                <w14:textFill>
                  <w14:solidFill>
                    <w14:schemeClr w14:val="tx1"/>
                  </w14:solidFill>
                </w14:textFill>
              </w:rPr>
              <w:t>分）</w:t>
            </w:r>
          </w:p>
        </w:tc>
        <w:tc>
          <w:tcPr>
            <w:tcW w:w="1221" w:type="dxa"/>
            <w:shd w:val="clear" w:color="auto" w:fill="auto"/>
            <w:noWrap w:val="0"/>
            <w:vAlign w:val="center"/>
          </w:tcPr>
          <w:p>
            <w:pPr>
              <w:keepNext w:val="0"/>
              <w:keepLines w:val="0"/>
              <w:pageBreakBefore w:val="0"/>
              <w:kinsoku/>
              <w:overflowPunct/>
              <w:topLinePunct w:val="0"/>
              <w:autoSpaceDN/>
              <w:bidi w:val="0"/>
              <w:spacing w:line="38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企业奖项</w:t>
            </w:r>
          </w:p>
          <w:p>
            <w:pPr>
              <w:keepNext w:val="0"/>
              <w:keepLines w:val="0"/>
              <w:pageBreakBefore w:val="0"/>
              <w:kinsoku/>
              <w:overflowPunct/>
              <w:topLinePunct w:val="0"/>
              <w:autoSpaceDN/>
              <w:bidi w:val="0"/>
              <w:spacing w:line="380" w:lineRule="exact"/>
              <w:jc w:val="center"/>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auto"/>
                <w:sz w:val="24"/>
                <w:szCs w:val="24"/>
                <w:highlight w:val="none"/>
              </w:rPr>
              <w:t>（</w:t>
            </w:r>
            <w:r>
              <w:rPr>
                <w:rFonts w:hint="eastAsia" w:hAnsi="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tc>
        <w:tc>
          <w:tcPr>
            <w:tcW w:w="3063" w:type="dxa"/>
            <w:gridSpan w:val="2"/>
            <w:shd w:val="clear" w:color="auto" w:fill="auto"/>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投标人自202</w:t>
            </w:r>
            <w:r>
              <w:rPr>
                <w:rFonts w:hint="eastAsia"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年1月1日至今，承接过的工程项目业绩获得奖项情况：</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1.获得国家级奖项的，每个得</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2.获得省级奖项的，每个得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3.获得地市级奖项，每个得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分；</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4.以上奖项均未获得的，不予计分；</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firstLine="0" w:firstLineChars="0"/>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auto"/>
                <w:sz w:val="24"/>
                <w:szCs w:val="24"/>
                <w:highlight w:val="none"/>
              </w:rPr>
              <w:t>本项最高得</w:t>
            </w:r>
            <w:r>
              <w:rPr>
                <w:rFonts w:hint="eastAsia"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tc>
        <w:tc>
          <w:tcPr>
            <w:tcW w:w="3951" w:type="dxa"/>
            <w:gridSpan w:val="2"/>
            <w:shd w:val="clear" w:color="auto" w:fill="auto"/>
            <w:noWrap w:val="0"/>
            <w:vAlign w:val="center"/>
          </w:tcPr>
          <w:p>
            <w:pPr>
              <w:pStyle w:val="8"/>
              <w:keepNext w:val="0"/>
              <w:keepLines w:val="0"/>
              <w:pageBreakBefore w:val="0"/>
              <w:kinsoku/>
              <w:wordWrap w:val="0"/>
              <w:overflowPunct/>
              <w:topLinePunct w:val="0"/>
              <w:autoSpaceDN/>
              <w:bidi w:val="0"/>
              <w:adjustRightInd w:val="0"/>
              <w:snapToGrid w:val="0"/>
              <w:spacing w:after="0" w:line="3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1.同一投标人可以提交多个项目奖项供评审，但同一项目奖项只按最高获奖等级计分，不同项目奖项可累加得分。</w:t>
            </w:r>
          </w:p>
          <w:p>
            <w:pPr>
              <w:pStyle w:val="8"/>
              <w:keepNext w:val="0"/>
              <w:keepLines w:val="0"/>
              <w:pageBreakBefore w:val="0"/>
              <w:kinsoku/>
              <w:wordWrap w:val="0"/>
              <w:overflowPunct/>
              <w:topLinePunct w:val="0"/>
              <w:autoSpaceDN/>
              <w:bidi w:val="0"/>
              <w:adjustRightInd w:val="0"/>
              <w:snapToGrid w:val="0"/>
              <w:spacing w:after="0" w:line="3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2.须附有关奖项证明彩色扫描件（或打印件）并加盖单位公章。</w:t>
            </w:r>
          </w:p>
          <w:p>
            <w:pPr>
              <w:pStyle w:val="8"/>
              <w:keepNext w:val="0"/>
              <w:keepLines w:val="0"/>
              <w:pageBreakBefore w:val="0"/>
              <w:kinsoku/>
              <w:wordWrap w:val="0"/>
              <w:overflowPunct/>
              <w:topLinePunct w:val="0"/>
              <w:autoSpaceDN/>
              <w:bidi w:val="0"/>
              <w:adjustRightInd w:val="0"/>
              <w:snapToGrid w:val="0"/>
              <w:spacing w:after="0" w:line="3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3.颁发机构限定以下范围：</w:t>
            </w:r>
          </w:p>
          <w:p>
            <w:pPr>
              <w:pStyle w:val="8"/>
              <w:keepNext w:val="0"/>
              <w:keepLines w:val="0"/>
              <w:pageBreakBefore w:val="0"/>
              <w:kinsoku/>
              <w:wordWrap w:val="0"/>
              <w:overflowPunct/>
              <w:topLinePunct w:val="0"/>
              <w:autoSpaceDN/>
              <w:bidi w:val="0"/>
              <w:adjustRightInd w:val="0"/>
              <w:snapToGrid w:val="0"/>
              <w:spacing w:after="0" w:line="3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①国家级奖项：国务院、住建部、</w:t>
            </w:r>
            <w:r>
              <w:rPr>
                <w:rFonts w:hint="eastAsia" w:ascii="宋体" w:hAnsi="宋体" w:eastAsia="宋体" w:cs="宋体"/>
                <w:color w:val="auto"/>
                <w:sz w:val="24"/>
                <w:szCs w:val="24"/>
                <w:highlight w:val="none"/>
                <w:lang w:val="en-US" w:eastAsia="zh-CN"/>
              </w:rPr>
              <w:t>中国勘察设计协会或勘察设计行业协会</w:t>
            </w:r>
            <w:r>
              <w:rPr>
                <w:rFonts w:hint="eastAsia" w:ascii="宋体" w:hAnsi="宋体" w:eastAsia="宋体" w:cs="宋体"/>
                <w:color w:val="auto"/>
                <w:sz w:val="24"/>
                <w:szCs w:val="24"/>
                <w:highlight w:val="none"/>
              </w:rPr>
              <w:t>；</w:t>
            </w:r>
          </w:p>
          <w:p>
            <w:pPr>
              <w:pStyle w:val="8"/>
              <w:keepNext w:val="0"/>
              <w:keepLines w:val="0"/>
              <w:pageBreakBefore w:val="0"/>
              <w:kinsoku/>
              <w:wordWrap w:val="0"/>
              <w:overflowPunct/>
              <w:topLinePunct w:val="0"/>
              <w:autoSpaceDN/>
              <w:bidi w:val="0"/>
              <w:adjustRightInd w:val="0"/>
              <w:snapToGrid w:val="0"/>
              <w:spacing w:after="0" w:line="3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②省级奖项：省级人民政府、省级住建部门、</w:t>
            </w:r>
            <w:r>
              <w:rPr>
                <w:rFonts w:hint="eastAsia" w:ascii="宋体" w:hAnsi="宋体" w:eastAsia="宋体" w:cs="宋体"/>
                <w:color w:val="auto"/>
                <w:sz w:val="24"/>
                <w:szCs w:val="24"/>
                <w:highlight w:val="none"/>
                <w:lang w:val="en-US" w:eastAsia="zh-CN"/>
              </w:rPr>
              <w:t>省勘察设计协会或勘察设计行业协会</w:t>
            </w:r>
            <w:r>
              <w:rPr>
                <w:rFonts w:hint="eastAsia" w:ascii="宋体" w:hAnsi="宋体" w:eastAsia="宋体" w:cs="宋体"/>
                <w:color w:val="auto"/>
                <w:sz w:val="24"/>
                <w:szCs w:val="24"/>
                <w:highlight w:val="none"/>
              </w:rPr>
              <w:t>；</w:t>
            </w:r>
          </w:p>
          <w:p>
            <w:pPr>
              <w:pStyle w:val="8"/>
              <w:keepNext w:val="0"/>
              <w:keepLines w:val="0"/>
              <w:pageBreakBefore w:val="0"/>
              <w:kinsoku/>
              <w:wordWrap w:val="0"/>
              <w:overflowPunct/>
              <w:topLinePunct w:val="0"/>
              <w:autoSpaceDN/>
              <w:bidi w:val="0"/>
              <w:adjustRightInd w:val="0"/>
              <w:snapToGrid w:val="0"/>
              <w:spacing w:after="0" w:line="3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③地市级奖项：地市级人民政府、地市级住建部门、</w:t>
            </w:r>
            <w:r>
              <w:rPr>
                <w:rFonts w:hint="eastAsia" w:ascii="宋体" w:hAnsi="宋体" w:eastAsia="宋体" w:cs="宋体"/>
                <w:color w:val="auto"/>
                <w:sz w:val="24"/>
                <w:szCs w:val="24"/>
                <w:highlight w:val="none"/>
                <w:lang w:val="en-US" w:eastAsia="zh-CN"/>
              </w:rPr>
              <w:t>市勘察设计协会或勘察设计行业协会</w:t>
            </w:r>
            <w:r>
              <w:rPr>
                <w:rFonts w:hint="eastAsia" w:ascii="宋体" w:hAnsi="宋体" w:eastAsia="宋体" w:cs="宋体"/>
                <w:color w:val="auto"/>
                <w:sz w:val="24"/>
                <w:szCs w:val="24"/>
                <w:highlight w:val="none"/>
              </w:rPr>
              <w:t>。</w:t>
            </w:r>
          </w:p>
          <w:p>
            <w:pPr>
              <w:pStyle w:val="8"/>
              <w:keepNext w:val="0"/>
              <w:keepLines w:val="0"/>
              <w:pageBreakBefore w:val="0"/>
              <w:kinsoku/>
              <w:wordWrap w:val="0"/>
              <w:overflowPunct/>
              <w:topLinePunct w:val="0"/>
              <w:autoSpaceDN/>
              <w:bidi w:val="0"/>
              <w:adjustRightInd w:val="0"/>
              <w:snapToGrid w:val="0"/>
              <w:spacing w:after="0" w:line="380" w:lineRule="exac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勘察设计协会或勘察设计行业协会指经政府民政部门批准成立的相关协会，并能提供其在国家社会组织网站的登记信息的查询路径和查询结果证明文件(可在中国社会组织政务服务平台https://chinanpo.mca.gov.cn/查询。)</w:t>
            </w:r>
          </w:p>
          <w:p>
            <w:pPr>
              <w:pStyle w:val="8"/>
              <w:keepNext w:val="0"/>
              <w:keepLines w:val="0"/>
              <w:pageBreakBefore w:val="0"/>
              <w:kinsoku/>
              <w:wordWrap w:val="0"/>
              <w:overflowPunct/>
              <w:topLinePunct w:val="0"/>
              <w:autoSpaceDN/>
              <w:bidi w:val="0"/>
              <w:adjustRightInd w:val="0"/>
              <w:snapToGrid w:val="0"/>
              <w:spacing w:after="0" w:line="3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获奖时间以奖项证明的落款日期为准。</w:t>
            </w:r>
          </w:p>
          <w:p>
            <w:pPr>
              <w:pStyle w:val="8"/>
              <w:keepNext w:val="0"/>
              <w:keepLines w:val="0"/>
              <w:pageBreakBefore w:val="0"/>
              <w:kinsoku/>
              <w:wordWrap w:val="0"/>
              <w:overflowPunct/>
              <w:topLinePunct w:val="0"/>
              <w:autoSpaceDN/>
              <w:bidi w:val="0"/>
              <w:adjustRightInd w:val="0"/>
              <w:snapToGrid w:val="0"/>
              <w:spacing w:after="0" w:line="380" w:lineRule="exac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.不符合评分标准和备注规定的，不予计分。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595"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1221" w:type="dxa"/>
            <w:shd w:val="clear" w:color="auto" w:fill="auto"/>
            <w:noWrap w:val="0"/>
            <w:vAlign w:val="center"/>
          </w:tcPr>
          <w:p>
            <w:pPr>
              <w:keepNext w:val="0"/>
              <w:keepLines w:val="0"/>
              <w:pageBreakBefore w:val="0"/>
              <w:kinsoku/>
              <w:overflowPunct/>
              <w:topLinePunct w:val="0"/>
              <w:autoSpaceDN/>
              <w:bidi w:val="0"/>
              <w:spacing w:line="38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设计</w:t>
            </w:r>
            <w:r>
              <w:rPr>
                <w:rFonts w:hint="eastAsia" w:ascii="宋体" w:hAnsi="宋体" w:eastAsia="宋体" w:cs="宋体"/>
                <w:color w:val="auto"/>
                <w:sz w:val="24"/>
                <w:szCs w:val="24"/>
                <w:highlight w:val="none"/>
              </w:rPr>
              <w:t>企业业绩</w:t>
            </w:r>
          </w:p>
          <w:p>
            <w:pPr>
              <w:keepNext w:val="0"/>
              <w:keepLines w:val="0"/>
              <w:pageBreakBefore w:val="0"/>
              <w:kinsoku/>
              <w:overflowPunct/>
              <w:topLinePunct w:val="0"/>
              <w:autoSpaceDN/>
              <w:bidi w:val="0"/>
              <w:spacing w:line="380" w:lineRule="exact"/>
              <w:jc w:val="center"/>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auto"/>
                <w:sz w:val="24"/>
                <w:szCs w:val="24"/>
                <w:highlight w:val="none"/>
              </w:rPr>
              <w:t>（</w:t>
            </w:r>
            <w:r>
              <w:rPr>
                <w:rFonts w:hint="eastAsia"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tc>
        <w:tc>
          <w:tcPr>
            <w:tcW w:w="3063" w:type="dxa"/>
            <w:gridSpan w:val="2"/>
            <w:shd w:val="clear" w:color="auto" w:fill="auto"/>
            <w:noWrap w:val="0"/>
            <w:vAlign w:val="center"/>
          </w:tcPr>
          <w:p>
            <w:pPr>
              <w:pStyle w:val="79"/>
              <w:keepNext w:val="0"/>
              <w:keepLines w:val="0"/>
              <w:pageBreakBefore w:val="0"/>
              <w:kinsoku/>
              <w:overflowPunct/>
              <w:topLinePunct w:val="0"/>
              <w:autoSpaceDN/>
              <w:bidi w:val="0"/>
              <w:spacing w:before="63" w:line="380" w:lineRule="exact"/>
              <w:ind w:right="28" w:rightChars="0"/>
              <w:jc w:val="both"/>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auto"/>
                <w:sz w:val="24"/>
                <w:szCs w:val="24"/>
                <w:highlight w:val="none"/>
              </w:rPr>
              <w:t>投标</w:t>
            </w:r>
            <w:r>
              <w:rPr>
                <w:rFonts w:hint="eastAsia" w:cs="宋体"/>
                <w:color w:val="auto"/>
                <w:sz w:val="24"/>
                <w:szCs w:val="24"/>
                <w:highlight w:val="none"/>
                <w:lang w:val="en-US" w:eastAsia="zh-CN"/>
              </w:rPr>
              <w:t>人</w:t>
            </w:r>
            <w:r>
              <w:rPr>
                <w:rFonts w:hint="eastAsia" w:ascii="宋体" w:hAnsi="宋体" w:eastAsia="宋体" w:cs="宋体"/>
                <w:color w:val="auto"/>
                <w:sz w:val="24"/>
                <w:szCs w:val="24"/>
                <w:highlight w:val="none"/>
              </w:rPr>
              <w:t>自2020年1月1日至今，承接过</w:t>
            </w:r>
            <w:r>
              <w:rPr>
                <w:rFonts w:hint="eastAsia" w:cs="宋体"/>
                <w:color w:val="auto"/>
                <w:sz w:val="24"/>
                <w:szCs w:val="24"/>
                <w:highlight w:val="none"/>
                <w:lang w:val="en-US" w:eastAsia="zh-CN"/>
              </w:rPr>
              <w:t>类似</w:t>
            </w:r>
            <w:r>
              <w:rPr>
                <w:rFonts w:hint="eastAsia" w:ascii="宋体" w:hAnsi="宋体" w:eastAsia="宋体" w:cs="宋体"/>
                <w:color w:val="auto"/>
                <w:sz w:val="24"/>
                <w:szCs w:val="24"/>
                <w:highlight w:val="none"/>
              </w:rPr>
              <w:t>项目</w:t>
            </w:r>
            <w:r>
              <w:rPr>
                <w:rFonts w:hint="eastAsia" w:cs="宋体"/>
                <w:color w:val="auto"/>
                <w:sz w:val="24"/>
                <w:szCs w:val="24"/>
                <w:highlight w:val="none"/>
                <w:lang w:eastAsia="zh-CN"/>
              </w:rPr>
              <w:t>：</w:t>
            </w:r>
            <w:r>
              <w:rPr>
                <w:rFonts w:hint="eastAsia" w:cs="宋体"/>
                <w:color w:val="auto"/>
                <w:sz w:val="24"/>
                <w:szCs w:val="24"/>
                <w:highlight w:val="none"/>
                <w:lang w:val="en-US" w:eastAsia="zh-CN"/>
              </w:rPr>
              <w:t>每提供一个设计类似项目得1.5分，本项最高得3分。</w:t>
            </w:r>
          </w:p>
        </w:tc>
        <w:tc>
          <w:tcPr>
            <w:tcW w:w="3951" w:type="dxa"/>
            <w:gridSpan w:val="2"/>
            <w:shd w:val="clear" w:color="auto" w:fill="auto"/>
            <w:noWrap w:val="0"/>
            <w:vAlign w:val="center"/>
          </w:tcPr>
          <w:p>
            <w:pPr>
              <w:pStyle w:val="8"/>
              <w:keepNext w:val="0"/>
              <w:keepLines w:val="0"/>
              <w:pageBreakBefore w:val="0"/>
              <w:kinsoku/>
              <w:wordWrap w:val="0"/>
              <w:overflowPunct/>
              <w:topLinePunct w:val="0"/>
              <w:autoSpaceDN/>
              <w:bidi w:val="0"/>
              <w:adjustRightInd w:val="0"/>
              <w:snapToGrid w:val="0"/>
              <w:spacing w:after="0" w:line="380" w:lineRule="exact"/>
              <w:textAlignment w:val="auto"/>
              <w:rPr>
                <w:rFonts w:hint="eastAsia" w:ascii="宋体" w:hAnsi="宋体" w:eastAsia="宋体" w:cs="宋体"/>
                <w:i/>
                <w:iCs/>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1．类似项目指：</w:t>
            </w:r>
            <w:r>
              <w:rPr>
                <w:rFonts w:hint="eastAsia" w:ascii="宋体" w:hAnsi="宋体" w:eastAsia="宋体" w:cs="宋体"/>
                <w:i w:val="0"/>
                <w:iCs w:val="0"/>
                <w:snapToGrid w:val="0"/>
                <w:color w:val="auto"/>
                <w:kern w:val="0"/>
                <w:sz w:val="24"/>
                <w:szCs w:val="24"/>
                <w:highlight w:val="none"/>
                <w:lang w:val="en-US" w:eastAsia="zh-CN"/>
              </w:rPr>
              <w:t>市政类工程或建筑工程设计项目（含设计、勘察设计、勘察设计施工总承包）。</w:t>
            </w:r>
          </w:p>
          <w:p>
            <w:pPr>
              <w:pStyle w:val="8"/>
              <w:keepNext w:val="0"/>
              <w:keepLines w:val="0"/>
              <w:pageBreakBefore w:val="0"/>
              <w:kinsoku/>
              <w:wordWrap w:val="0"/>
              <w:overflowPunct/>
              <w:topLinePunct w:val="0"/>
              <w:autoSpaceDN/>
              <w:bidi w:val="0"/>
              <w:adjustRightInd w:val="0"/>
              <w:snapToGrid w:val="0"/>
              <w:spacing w:after="0" w:line="380" w:lineRule="exact"/>
              <w:textAlignment w:val="auto"/>
              <w:rPr>
                <w:rFonts w:hint="eastAsia" w:ascii="宋体" w:hAnsi="宋体" w:eastAsia="宋体" w:cs="宋体"/>
                <w:i w:val="0"/>
                <w:iCs w:val="0"/>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2．须附</w:t>
            </w:r>
            <w:r>
              <w:rPr>
                <w:rFonts w:hint="eastAsia" w:ascii="宋体" w:hAnsi="宋体" w:eastAsia="宋体" w:cs="宋体"/>
                <w:i w:val="0"/>
                <w:iCs w:val="0"/>
                <w:snapToGrid w:val="0"/>
                <w:color w:val="auto"/>
                <w:kern w:val="0"/>
                <w:sz w:val="24"/>
                <w:szCs w:val="24"/>
                <w:highlight w:val="none"/>
                <w:lang w:val="en-US" w:eastAsia="zh-CN"/>
              </w:rPr>
              <w:t>有关业绩合同协议书关键页（包括项目内容、签约日期、双方盖章页）和中标通知书（中选通知书）彩色扫描件（或打印件）并加盖单位公章。</w:t>
            </w:r>
          </w:p>
          <w:p>
            <w:pPr>
              <w:pStyle w:val="8"/>
              <w:keepNext w:val="0"/>
              <w:keepLines w:val="0"/>
              <w:pageBreakBefore w:val="0"/>
              <w:kinsoku/>
              <w:wordWrap w:val="0"/>
              <w:overflowPunct/>
              <w:topLinePunct w:val="0"/>
              <w:autoSpaceDN/>
              <w:bidi w:val="0"/>
              <w:adjustRightInd w:val="0"/>
              <w:snapToGrid w:val="0"/>
              <w:spacing w:after="0" w:line="380" w:lineRule="exac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业绩时间以合同签订时间或中标通知书</w:t>
            </w:r>
            <w:r>
              <w:rPr>
                <w:rFonts w:hint="eastAsia" w:hAnsi="宋体" w:cs="宋体"/>
                <w:snapToGrid w:val="0"/>
                <w:color w:val="auto"/>
                <w:kern w:val="0"/>
                <w:sz w:val="24"/>
                <w:szCs w:val="24"/>
                <w:highlight w:val="none"/>
                <w:lang w:val="en-US" w:eastAsia="zh-CN"/>
              </w:rPr>
              <w:t>（中选通知书）</w:t>
            </w:r>
            <w:r>
              <w:rPr>
                <w:rFonts w:hint="eastAsia" w:ascii="宋体" w:hAnsi="宋体" w:eastAsia="宋体" w:cs="宋体"/>
                <w:snapToGrid w:val="0"/>
                <w:color w:val="auto"/>
                <w:kern w:val="0"/>
                <w:sz w:val="24"/>
                <w:szCs w:val="24"/>
                <w:highlight w:val="none"/>
              </w:rPr>
              <w:t>为准</w:t>
            </w:r>
            <w:r>
              <w:rPr>
                <w:rFonts w:hint="eastAsia" w:ascii="宋体" w:hAnsi="宋体" w:eastAsia="宋体" w:cs="宋体"/>
                <w:snapToGrid w:val="0"/>
                <w:color w:val="auto"/>
                <w:kern w:val="0"/>
                <w:sz w:val="24"/>
                <w:szCs w:val="24"/>
                <w:highlight w:val="none"/>
                <w:lang w:val="en-US" w:eastAsia="zh-CN"/>
              </w:rPr>
              <w:t>。</w:t>
            </w:r>
          </w:p>
          <w:p>
            <w:pPr>
              <w:pStyle w:val="8"/>
              <w:keepNext w:val="0"/>
              <w:keepLines w:val="0"/>
              <w:pageBreakBefore w:val="0"/>
              <w:kinsoku/>
              <w:wordWrap w:val="0"/>
              <w:overflowPunct/>
              <w:topLinePunct w:val="0"/>
              <w:autoSpaceDN/>
              <w:bidi w:val="0"/>
              <w:adjustRightInd w:val="0"/>
              <w:snapToGrid w:val="0"/>
              <w:spacing w:after="0" w:line="380" w:lineRule="exac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4．任一业绩有以下情形之一的，该业绩视为无效，不予计分：</w:t>
            </w:r>
          </w:p>
          <w:p>
            <w:pPr>
              <w:pStyle w:val="8"/>
              <w:keepNext w:val="0"/>
              <w:keepLines w:val="0"/>
              <w:pageBreakBefore w:val="0"/>
              <w:kinsoku/>
              <w:wordWrap w:val="0"/>
              <w:overflowPunct/>
              <w:topLinePunct w:val="0"/>
              <w:autoSpaceDN/>
              <w:bidi w:val="0"/>
              <w:adjustRightInd w:val="0"/>
              <w:snapToGrid w:val="0"/>
              <w:spacing w:after="0" w:line="380" w:lineRule="exac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①业绩不属于类似项目的；</w:t>
            </w:r>
          </w:p>
          <w:p>
            <w:pPr>
              <w:pStyle w:val="8"/>
              <w:keepNext w:val="0"/>
              <w:keepLines w:val="0"/>
              <w:pageBreakBefore w:val="0"/>
              <w:kinsoku/>
              <w:wordWrap w:val="0"/>
              <w:overflowPunct/>
              <w:topLinePunct w:val="0"/>
              <w:autoSpaceDN/>
              <w:bidi w:val="0"/>
              <w:adjustRightInd w:val="0"/>
              <w:snapToGrid w:val="0"/>
              <w:spacing w:after="0" w:line="380" w:lineRule="exac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snapToGrid w:val="0"/>
                <w:color w:val="auto"/>
                <w:kern w:val="0"/>
                <w:sz w:val="24"/>
                <w:szCs w:val="24"/>
                <w:highlight w:val="none"/>
                <w:lang w:val="en-US" w:eastAsia="zh-CN"/>
              </w:rPr>
              <w:t>②业绩时间不符合要求的。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595"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1221" w:type="dxa"/>
            <w:shd w:val="clear" w:color="auto" w:fill="auto"/>
            <w:noWrap w:val="0"/>
            <w:vAlign w:val="center"/>
          </w:tcPr>
          <w:p>
            <w:pPr>
              <w:pStyle w:val="8"/>
              <w:keepNext w:val="0"/>
              <w:keepLines w:val="0"/>
              <w:pageBreakBefore w:val="0"/>
              <w:kinsoku/>
              <w:wordWrap w:val="0"/>
              <w:overflowPunct/>
              <w:topLinePunct w:val="0"/>
              <w:autoSpaceDN/>
              <w:bidi w:val="0"/>
              <w:adjustRightInd w:val="0"/>
              <w:snapToGrid w:val="0"/>
              <w:spacing w:after="0" w:afterLines="0" w:line="380" w:lineRule="exact"/>
              <w:jc w:val="center"/>
              <w:textAlignment w:val="auto"/>
              <w:rPr>
                <w:rFonts w:hint="eastAsia" w:ascii="宋体" w:hAnsi="宋体" w:eastAsia="宋体" w:cs="宋体"/>
                <w:snapToGrid w:val="0"/>
                <w:color w:val="auto"/>
                <w:kern w:val="0"/>
                <w:sz w:val="24"/>
                <w:szCs w:val="24"/>
                <w:highlight w:val="none"/>
                <w:lang w:val="en-US" w:eastAsia="zh-CN" w:bidi="ar-SA"/>
              </w:rPr>
            </w:pPr>
          </w:p>
          <w:p>
            <w:pPr>
              <w:pStyle w:val="8"/>
              <w:keepNext w:val="0"/>
              <w:keepLines w:val="0"/>
              <w:pageBreakBefore w:val="0"/>
              <w:kinsoku/>
              <w:wordWrap w:val="0"/>
              <w:overflowPunct/>
              <w:topLinePunct w:val="0"/>
              <w:autoSpaceDN/>
              <w:bidi w:val="0"/>
              <w:adjustRightInd w:val="0"/>
              <w:snapToGrid w:val="0"/>
              <w:spacing w:after="0" w:afterLines="0" w:line="380" w:lineRule="exact"/>
              <w:jc w:val="center"/>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auto"/>
                <w:kern w:val="0"/>
                <w:sz w:val="24"/>
                <w:szCs w:val="24"/>
                <w:highlight w:val="none"/>
                <w:lang w:val="en-US" w:eastAsia="zh-CN" w:bidi="ar-SA"/>
              </w:rPr>
              <w:t>高新技术企业</w:t>
            </w:r>
            <w:r>
              <w:rPr>
                <w:rFonts w:hint="eastAsia" w:ascii="宋体" w:hAnsi="宋体" w:eastAsia="宋体" w:cs="宋体"/>
                <w:b w:val="0"/>
                <w:bCs w:val="0"/>
                <w:snapToGrid w:val="0"/>
                <w:color w:val="auto"/>
                <w:kern w:val="0"/>
                <w:sz w:val="24"/>
                <w:szCs w:val="24"/>
                <w:highlight w:val="none"/>
                <w:lang w:eastAsia="zh-CN"/>
              </w:rPr>
              <w:t>（</w:t>
            </w:r>
            <w:r>
              <w:rPr>
                <w:rFonts w:hint="eastAsia" w:hAnsi="宋体" w:eastAsia="宋体" w:cs="宋体"/>
                <w:b w:val="0"/>
                <w:bCs w:val="0"/>
                <w:snapToGrid w:val="0"/>
                <w:color w:val="auto"/>
                <w:kern w:val="0"/>
                <w:sz w:val="24"/>
                <w:szCs w:val="24"/>
                <w:highlight w:val="none"/>
                <w:lang w:val="en-US" w:eastAsia="zh-CN"/>
              </w:rPr>
              <w:t>3</w:t>
            </w:r>
            <w:r>
              <w:rPr>
                <w:rFonts w:hint="eastAsia" w:ascii="宋体" w:hAnsi="宋体" w:eastAsia="宋体" w:cs="宋体"/>
                <w:b w:val="0"/>
                <w:bCs w:val="0"/>
                <w:snapToGrid w:val="0"/>
                <w:color w:val="auto"/>
                <w:kern w:val="0"/>
                <w:sz w:val="24"/>
                <w:szCs w:val="24"/>
                <w:highlight w:val="none"/>
                <w:lang w:val="en-US" w:eastAsia="zh-CN"/>
              </w:rPr>
              <w:t>分</w:t>
            </w:r>
            <w:r>
              <w:rPr>
                <w:rFonts w:hint="eastAsia" w:ascii="宋体" w:hAnsi="宋体" w:eastAsia="宋体" w:cs="宋体"/>
                <w:b w:val="0"/>
                <w:bCs w:val="0"/>
                <w:snapToGrid w:val="0"/>
                <w:color w:val="auto"/>
                <w:kern w:val="0"/>
                <w:sz w:val="24"/>
                <w:szCs w:val="24"/>
                <w:highlight w:val="none"/>
                <w:lang w:eastAsia="zh-CN"/>
              </w:rPr>
              <w:t>）</w:t>
            </w:r>
          </w:p>
        </w:tc>
        <w:tc>
          <w:tcPr>
            <w:tcW w:w="3063" w:type="dxa"/>
            <w:gridSpan w:val="2"/>
            <w:shd w:val="clear" w:color="auto" w:fill="auto"/>
            <w:noWrap w:val="0"/>
            <w:vAlign w:val="center"/>
          </w:tcPr>
          <w:p>
            <w:pPr>
              <w:pStyle w:val="79"/>
              <w:keepNext w:val="0"/>
              <w:keepLines w:val="0"/>
              <w:pageBreakBefore w:val="0"/>
              <w:kinsoku/>
              <w:overflowPunct/>
              <w:topLinePunct w:val="0"/>
              <w:autoSpaceDN/>
              <w:bidi w:val="0"/>
              <w:spacing w:before="63" w:line="380" w:lineRule="exact"/>
              <w:ind w:right="28" w:rightChars="0"/>
              <w:jc w:val="lef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auto"/>
                <w:sz w:val="24"/>
                <w:szCs w:val="24"/>
                <w:highlight w:val="none"/>
                <w:lang w:val="en-US" w:eastAsia="zh-CN"/>
              </w:rPr>
              <w:t>投标</w:t>
            </w:r>
            <w:r>
              <w:rPr>
                <w:rFonts w:hint="eastAsia" w:cs="宋体"/>
                <w:color w:val="auto"/>
                <w:sz w:val="24"/>
                <w:szCs w:val="24"/>
                <w:highlight w:val="none"/>
                <w:lang w:val="en-US" w:eastAsia="zh-CN"/>
              </w:rPr>
              <w:t>人</w:t>
            </w:r>
            <w:r>
              <w:rPr>
                <w:rFonts w:hint="eastAsia" w:ascii="宋体" w:hAnsi="宋体" w:eastAsia="宋体" w:cs="宋体"/>
                <w:color w:val="auto"/>
                <w:sz w:val="24"/>
                <w:szCs w:val="24"/>
                <w:highlight w:val="none"/>
                <w:lang w:val="en-US" w:eastAsia="zh-CN"/>
              </w:rPr>
              <w:t>获得过“高新技术企业证书”得</w:t>
            </w:r>
            <w:r>
              <w:rPr>
                <w:rFonts w:hint="eastAsia"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分；本项最高得</w:t>
            </w:r>
            <w:r>
              <w:rPr>
                <w:rFonts w:hint="eastAsia"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 xml:space="preserve">分。 </w:t>
            </w:r>
          </w:p>
        </w:tc>
        <w:tc>
          <w:tcPr>
            <w:tcW w:w="3951" w:type="dxa"/>
            <w:gridSpan w:val="2"/>
            <w:shd w:val="clear" w:color="auto" w:fill="auto"/>
            <w:noWrap w:val="0"/>
            <w:vAlign w:val="center"/>
          </w:tcPr>
          <w:p>
            <w:pPr>
              <w:pStyle w:val="79"/>
              <w:keepNext w:val="0"/>
              <w:keepLines w:val="0"/>
              <w:pageBreakBefore w:val="0"/>
              <w:kinsoku/>
              <w:overflowPunct/>
              <w:topLinePunct w:val="0"/>
              <w:autoSpaceDN/>
              <w:bidi w:val="0"/>
              <w:spacing w:before="63" w:line="380" w:lineRule="exact"/>
              <w:ind w:right="28" w:right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w:t>
            </w:r>
            <w:r>
              <w:rPr>
                <w:rFonts w:hint="eastAsia" w:cs="宋体"/>
                <w:color w:val="auto"/>
                <w:sz w:val="24"/>
                <w:szCs w:val="24"/>
                <w:highlight w:val="none"/>
                <w:lang w:val="en-US" w:eastAsia="zh-CN"/>
              </w:rPr>
              <w:t>须</w:t>
            </w:r>
            <w:r>
              <w:rPr>
                <w:rFonts w:hint="eastAsia" w:ascii="宋体" w:hAnsi="宋体" w:eastAsia="宋体" w:cs="宋体"/>
                <w:color w:val="auto"/>
                <w:sz w:val="24"/>
                <w:szCs w:val="24"/>
                <w:highlight w:val="none"/>
                <w:lang w:val="en-US" w:eastAsia="zh-CN"/>
              </w:rPr>
              <w:t>提供证书</w:t>
            </w:r>
            <w:r>
              <w:rPr>
                <w:rFonts w:hint="eastAsia" w:ascii="宋体" w:hAnsi="宋体" w:eastAsia="宋体" w:cs="宋体"/>
                <w:color w:val="auto"/>
                <w:sz w:val="24"/>
                <w:szCs w:val="24"/>
                <w:highlight w:val="none"/>
              </w:rPr>
              <w:t>彩色扫描件（或打印件）并加盖单位公章</w:t>
            </w:r>
            <w:r>
              <w:rPr>
                <w:rFonts w:hint="eastAsia" w:ascii="宋体" w:hAnsi="宋体" w:eastAsia="宋体" w:cs="宋体"/>
                <w:color w:val="auto"/>
                <w:sz w:val="24"/>
                <w:szCs w:val="24"/>
                <w:highlight w:val="none"/>
                <w:lang w:eastAsia="zh-CN"/>
              </w:rPr>
              <w:t>。</w:t>
            </w:r>
          </w:p>
          <w:p>
            <w:pPr>
              <w:pStyle w:val="79"/>
              <w:keepNext w:val="0"/>
              <w:keepLines w:val="0"/>
              <w:pageBreakBefore w:val="0"/>
              <w:kinsoku/>
              <w:overflowPunct/>
              <w:topLinePunct w:val="0"/>
              <w:autoSpaceDN/>
              <w:bidi w:val="0"/>
              <w:spacing w:before="63" w:line="380" w:lineRule="exact"/>
              <w:ind w:right="28" w:rightChars="0"/>
              <w:jc w:val="lef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auto"/>
                <w:sz w:val="24"/>
                <w:szCs w:val="24"/>
                <w:highlight w:val="none"/>
                <w:lang w:val="en-US" w:eastAsia="zh-CN"/>
              </w:rPr>
              <w:t>2.颁发证书时间以证书的落款日期为准，且证书必须在有效期内，否则视为无效，不予计分。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595"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1221" w:type="dxa"/>
            <w:shd w:val="clear" w:color="auto" w:fill="auto"/>
            <w:noWrap w:val="0"/>
            <w:vAlign w:val="center"/>
          </w:tcPr>
          <w:p>
            <w:pPr>
              <w:pStyle w:val="8"/>
              <w:keepNext w:val="0"/>
              <w:keepLines w:val="0"/>
              <w:pageBreakBefore w:val="0"/>
              <w:widowControl w:val="0"/>
              <w:kinsoku/>
              <w:wordWrap w:val="0"/>
              <w:overflowPunct/>
              <w:topLinePunct w:val="0"/>
              <w:bidi w:val="0"/>
              <w:adjustRightInd w:val="0"/>
              <w:snapToGrid w:val="0"/>
              <w:spacing w:after="0" w:afterLines="0" w:line="320" w:lineRule="exact"/>
              <w:jc w:val="center"/>
              <w:textAlignment w:val="auto"/>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设计</w:t>
            </w:r>
            <w:r>
              <w:rPr>
                <w:rFonts w:hint="default" w:ascii="宋体" w:hAnsi="宋体" w:eastAsia="宋体" w:cs="宋体"/>
                <w:color w:val="auto"/>
                <w:kern w:val="2"/>
                <w:sz w:val="24"/>
                <w:szCs w:val="24"/>
                <w:highlight w:val="none"/>
                <w:lang w:val="en-US" w:eastAsia="zh-CN" w:bidi="ar-SA"/>
              </w:rPr>
              <w:t>企业履约情况</w:t>
            </w:r>
          </w:p>
          <w:p>
            <w:pPr>
              <w:pStyle w:val="8"/>
              <w:keepNext w:val="0"/>
              <w:keepLines w:val="0"/>
              <w:pageBreakBefore w:val="0"/>
              <w:widowControl w:val="0"/>
              <w:kinsoku/>
              <w:wordWrap w:val="0"/>
              <w:overflowPunct/>
              <w:topLinePunct w:val="0"/>
              <w:bidi w:val="0"/>
              <w:adjustRightInd w:val="0"/>
              <w:snapToGrid w:val="0"/>
              <w:spacing w:after="0" w:afterLines="0" w:line="320" w:lineRule="exact"/>
              <w:jc w:val="center"/>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default" w:ascii="宋体" w:hAnsi="宋体" w:eastAsia="宋体" w:cs="宋体"/>
                <w:color w:val="auto"/>
                <w:kern w:val="2"/>
                <w:sz w:val="24"/>
                <w:szCs w:val="24"/>
                <w:highlight w:val="none"/>
                <w:lang w:val="en-US" w:eastAsia="zh-CN" w:bidi="ar-SA"/>
              </w:rPr>
              <w:t>（</w:t>
            </w:r>
            <w:r>
              <w:rPr>
                <w:rFonts w:hint="eastAsia" w:hAnsi="宋体" w:eastAsia="宋体" w:cs="宋体"/>
                <w:color w:val="auto"/>
                <w:kern w:val="2"/>
                <w:sz w:val="24"/>
                <w:szCs w:val="24"/>
                <w:highlight w:val="none"/>
                <w:lang w:val="en-US" w:eastAsia="zh-CN" w:bidi="ar-SA"/>
              </w:rPr>
              <w:t>4</w:t>
            </w:r>
            <w:r>
              <w:rPr>
                <w:rFonts w:hint="default" w:ascii="宋体" w:hAnsi="宋体" w:eastAsia="宋体" w:cs="宋体"/>
                <w:color w:val="auto"/>
                <w:kern w:val="2"/>
                <w:sz w:val="24"/>
                <w:szCs w:val="24"/>
                <w:highlight w:val="none"/>
                <w:lang w:val="en-US" w:eastAsia="zh-CN" w:bidi="ar-SA"/>
              </w:rPr>
              <w:t>分）</w:t>
            </w:r>
          </w:p>
        </w:tc>
        <w:tc>
          <w:tcPr>
            <w:tcW w:w="3063" w:type="dxa"/>
            <w:gridSpan w:val="2"/>
            <w:shd w:val="clear" w:color="auto" w:fill="auto"/>
            <w:noWrap w:val="0"/>
            <w:vAlign w:val="center"/>
          </w:tcPr>
          <w:p>
            <w:pPr>
              <w:pStyle w:val="19"/>
              <w:keepNext w:val="0"/>
              <w:keepLines w:val="0"/>
              <w:pageBreakBefore w:val="0"/>
              <w:widowControl w:val="0"/>
              <w:kinsoku/>
              <w:overflowPunct/>
              <w:topLinePunct w:val="0"/>
              <w:bidi w:val="0"/>
              <w:spacing w:line="320" w:lineRule="exac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auto"/>
                <w:kern w:val="2"/>
                <w:sz w:val="24"/>
                <w:szCs w:val="24"/>
                <w:highlight w:val="none"/>
                <w:lang w:val="en-US" w:eastAsia="zh-CN" w:bidi="ar-SA"/>
              </w:rPr>
              <w:t>投标人履约能力良好，获得相对应的“履约能力评价体系认证证书”得</w:t>
            </w:r>
            <w:r>
              <w:rPr>
                <w:rFonts w:hint="eastAsia" w:hAnsi="宋体" w:eastAsia="宋体" w:cs="宋体"/>
                <w:color w:val="auto"/>
                <w:kern w:val="2"/>
                <w:sz w:val="24"/>
                <w:szCs w:val="24"/>
                <w:highlight w:val="none"/>
                <w:lang w:val="en-US" w:eastAsia="zh-CN" w:bidi="ar-SA"/>
              </w:rPr>
              <w:t>4</w:t>
            </w:r>
            <w:r>
              <w:rPr>
                <w:rFonts w:hint="eastAsia" w:ascii="宋体" w:hAnsi="宋体" w:eastAsia="宋体" w:cs="宋体"/>
                <w:color w:val="auto"/>
                <w:kern w:val="2"/>
                <w:sz w:val="24"/>
                <w:szCs w:val="24"/>
                <w:highlight w:val="none"/>
                <w:lang w:val="en-US" w:eastAsia="zh-CN" w:bidi="ar-SA"/>
              </w:rPr>
              <w:t>分。</w:t>
            </w:r>
          </w:p>
        </w:tc>
        <w:tc>
          <w:tcPr>
            <w:tcW w:w="3951" w:type="dxa"/>
            <w:gridSpan w:val="2"/>
            <w:shd w:val="clear" w:color="auto" w:fill="auto"/>
            <w:noWrap w:val="0"/>
            <w:vAlign w:val="center"/>
          </w:tcPr>
          <w:p>
            <w:pPr>
              <w:keepNext w:val="0"/>
              <w:keepLines w:val="0"/>
              <w:pageBreakBefore w:val="0"/>
              <w:widowControl w:val="0"/>
              <w:kinsoku/>
              <w:wordWrap w:val="0"/>
              <w:overflowPunct/>
              <w:topLinePunct w:val="0"/>
              <w:autoSpaceDE/>
              <w:autoSpaceDN/>
              <w:bidi w:val="0"/>
              <w:adjustRightInd/>
              <w:snapToGrid/>
              <w:spacing w:line="320" w:lineRule="exact"/>
              <w:textAlignment w:val="auto"/>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1.提供在有效期内的有关彩色扫描件，加盖公章。</w:t>
            </w:r>
          </w:p>
          <w:p>
            <w:pPr>
              <w:pStyle w:val="79"/>
              <w:keepNext w:val="0"/>
              <w:keepLines w:val="0"/>
              <w:pageBreakBefore w:val="0"/>
              <w:kinsoku/>
              <w:overflowPunct/>
              <w:topLinePunct w:val="0"/>
              <w:autoSpaceDN/>
              <w:bidi w:val="0"/>
              <w:spacing w:before="63" w:line="380" w:lineRule="exact"/>
              <w:ind w:right="28" w:rightChars="0"/>
              <w:jc w:val="left"/>
              <w:textAlignment w:val="auto"/>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2.证书有效性在国家认证认可监督管理委员会官网(http:/www.cnca.gov.cn/)可查。</w:t>
            </w:r>
          </w:p>
          <w:p>
            <w:pPr>
              <w:pStyle w:val="79"/>
              <w:keepNext w:val="0"/>
              <w:keepLines w:val="0"/>
              <w:pageBreakBefore w:val="0"/>
              <w:kinsoku/>
              <w:overflowPunct/>
              <w:topLinePunct w:val="0"/>
              <w:autoSpaceDN/>
              <w:bidi w:val="0"/>
              <w:spacing w:before="63" w:line="380" w:lineRule="exact"/>
              <w:ind w:right="28" w:rightChars="0"/>
              <w:jc w:val="lef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auto"/>
                <w:kern w:val="2"/>
                <w:sz w:val="24"/>
                <w:szCs w:val="24"/>
                <w:highlight w:val="none"/>
                <w:lang w:val="zh-CN" w:eastAsia="zh-CN" w:bidi="ar-SA"/>
              </w:rPr>
              <w:t>3.不符合评分标准和备注规定的，该项不予计分。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595"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1221" w:type="dxa"/>
            <w:shd w:val="clear" w:color="auto" w:fill="auto"/>
            <w:noWrap w:val="0"/>
            <w:vAlign w:val="center"/>
          </w:tcPr>
          <w:p>
            <w:pPr>
              <w:pStyle w:val="8"/>
              <w:keepNext w:val="0"/>
              <w:keepLines w:val="0"/>
              <w:pageBreakBefore w:val="0"/>
              <w:kinsoku/>
              <w:wordWrap w:val="0"/>
              <w:overflowPunct/>
              <w:topLinePunct w:val="0"/>
              <w:autoSpaceDN/>
              <w:bidi w:val="0"/>
              <w:adjustRightInd w:val="0"/>
              <w:snapToGrid w:val="0"/>
              <w:spacing w:after="0" w:afterLines="0" w:line="380" w:lineRule="exact"/>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设计负责人综合资历</w:t>
            </w:r>
          </w:p>
          <w:p>
            <w:pPr>
              <w:pStyle w:val="8"/>
              <w:keepNext w:val="0"/>
              <w:keepLines w:val="0"/>
              <w:pageBreakBefore w:val="0"/>
              <w:kinsoku/>
              <w:wordWrap w:val="0"/>
              <w:overflowPunct/>
              <w:topLinePunct w:val="0"/>
              <w:autoSpaceDN/>
              <w:bidi w:val="0"/>
              <w:adjustRightInd w:val="0"/>
              <w:snapToGrid w:val="0"/>
              <w:spacing w:after="0" w:afterLines="0" w:line="380" w:lineRule="exact"/>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w:t>
            </w:r>
            <w:r>
              <w:rPr>
                <w:rFonts w:hint="eastAsia" w:hAnsi="宋体" w:eastAsia="宋体" w:cs="宋体"/>
                <w:snapToGrid w:val="0"/>
                <w:color w:val="auto"/>
                <w:kern w:val="0"/>
                <w:sz w:val="24"/>
                <w:szCs w:val="24"/>
                <w:highlight w:val="none"/>
                <w:lang w:val="en-US" w:eastAsia="zh-CN" w:bidi="ar-SA"/>
              </w:rPr>
              <w:t>5</w:t>
            </w:r>
            <w:r>
              <w:rPr>
                <w:rFonts w:hint="eastAsia" w:ascii="宋体" w:hAnsi="宋体" w:eastAsia="宋体" w:cs="宋体"/>
                <w:snapToGrid w:val="0"/>
                <w:color w:val="auto"/>
                <w:kern w:val="0"/>
                <w:sz w:val="24"/>
                <w:szCs w:val="24"/>
                <w:highlight w:val="none"/>
                <w:lang w:val="en-US" w:eastAsia="zh-CN" w:bidi="ar-SA"/>
              </w:rPr>
              <w:t>分）</w:t>
            </w:r>
          </w:p>
        </w:tc>
        <w:tc>
          <w:tcPr>
            <w:tcW w:w="3063" w:type="dxa"/>
            <w:gridSpan w:val="2"/>
            <w:shd w:val="clear" w:color="auto" w:fill="auto"/>
            <w:noWrap w:val="0"/>
            <w:vAlign w:val="center"/>
          </w:tcPr>
          <w:p>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具有注册土木工程师（岩土）注册证书的，得</w:t>
            </w: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分；</w:t>
            </w:r>
          </w:p>
          <w:p>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具有一级注册结构的，得</w:t>
            </w: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分；</w:t>
            </w:r>
          </w:p>
          <w:p>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具有注册公用设备工程师（给水排水）注册证书的，得</w:t>
            </w: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分；</w:t>
            </w:r>
          </w:p>
          <w:p>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具有咨询工程师（投资）证书（市政工程专业）的，得</w:t>
            </w: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分。</w:t>
            </w:r>
          </w:p>
          <w:p>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具有正</w:t>
            </w:r>
            <w:r>
              <w:rPr>
                <w:rFonts w:hint="eastAsia" w:ascii="宋体" w:hAnsi="宋体" w:eastAsia="宋体" w:cs="宋体"/>
                <w:snapToGrid w:val="0"/>
                <w:color w:val="auto"/>
                <w:kern w:val="0"/>
                <w:sz w:val="24"/>
                <w:szCs w:val="24"/>
                <w:highlight w:val="none"/>
                <w:lang w:val="en-US" w:eastAsia="zh-CN" w:bidi="ar-SA"/>
              </w:rPr>
              <w:t>高级（或以上）工程师职称，得</w:t>
            </w:r>
            <w:r>
              <w:rPr>
                <w:rFonts w:hint="eastAsia" w:hAnsi="宋体" w:eastAsia="宋体" w:cs="宋体"/>
                <w:snapToGrid w:val="0"/>
                <w:color w:val="auto"/>
                <w:kern w:val="0"/>
                <w:sz w:val="24"/>
                <w:szCs w:val="24"/>
                <w:highlight w:val="none"/>
                <w:lang w:val="en-US" w:eastAsia="zh-CN" w:bidi="ar-SA"/>
              </w:rPr>
              <w:t>1</w:t>
            </w:r>
            <w:r>
              <w:rPr>
                <w:rFonts w:hint="eastAsia" w:ascii="宋体" w:hAnsi="宋体" w:eastAsia="宋体" w:cs="宋体"/>
                <w:snapToGrid w:val="0"/>
                <w:color w:val="auto"/>
                <w:kern w:val="0"/>
                <w:sz w:val="24"/>
                <w:szCs w:val="24"/>
                <w:highlight w:val="none"/>
                <w:lang w:val="en-US" w:eastAsia="zh-CN" w:bidi="ar-SA"/>
              </w:rPr>
              <w:t>分。</w:t>
            </w:r>
          </w:p>
          <w:p>
            <w:pPr>
              <w:pStyle w:val="79"/>
              <w:keepNext w:val="0"/>
              <w:keepLines w:val="0"/>
              <w:pageBreakBefore w:val="0"/>
              <w:kinsoku/>
              <w:wordWrap/>
              <w:overflowPunct/>
              <w:topLinePunct w:val="0"/>
              <w:autoSpaceDE/>
              <w:autoSpaceDN/>
              <w:bidi w:val="0"/>
              <w:adjustRightInd/>
              <w:snapToGrid/>
              <w:spacing w:line="380" w:lineRule="exact"/>
              <w:ind w:right="28" w:rightChars="0"/>
              <w:jc w:val="both"/>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sz w:val="24"/>
                <w:szCs w:val="24"/>
                <w:highlight w:val="none"/>
                <w:lang w:val="en-US" w:eastAsia="zh-CN"/>
              </w:rPr>
              <w:t>本项最高得</w:t>
            </w:r>
            <w:r>
              <w:rPr>
                <w:rFonts w:hint="eastAsia"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分。</w:t>
            </w:r>
          </w:p>
        </w:tc>
        <w:tc>
          <w:tcPr>
            <w:tcW w:w="3951" w:type="dxa"/>
            <w:gridSpan w:val="2"/>
            <w:shd w:val="clear" w:color="auto" w:fill="auto"/>
            <w:noWrap w:val="0"/>
            <w:vAlign w:val="center"/>
          </w:tcPr>
          <w:p>
            <w:pPr>
              <w:keepNext w:val="0"/>
              <w:keepLines w:val="0"/>
              <w:pageBreakBefore w:val="0"/>
              <w:widowControl/>
              <w:suppressLineNumbers w:val="0"/>
              <w:kinsoku/>
              <w:overflowPunct/>
              <w:topLinePunct w:val="0"/>
              <w:autoSpaceDN/>
              <w:bidi w:val="0"/>
              <w:spacing w:line="380" w:lineRule="exact"/>
              <w:jc w:val="left"/>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kern w:val="0"/>
                <w:sz w:val="24"/>
                <w:szCs w:val="24"/>
                <w:highlight w:val="none"/>
                <w:lang w:val="en-US" w:eastAsia="zh-CN" w:bidi="ar"/>
              </w:rPr>
              <w:t>1.须提供相关证书</w:t>
            </w:r>
            <w:r>
              <w:rPr>
                <w:rFonts w:hint="eastAsia" w:ascii="宋体" w:hAnsi="宋体" w:eastAsia="宋体" w:cs="宋体"/>
                <w:color w:val="auto"/>
                <w:sz w:val="24"/>
                <w:szCs w:val="24"/>
                <w:highlight w:val="none"/>
              </w:rPr>
              <w:t>彩色扫描件（或打印件）并加盖单位公章</w:t>
            </w:r>
            <w:r>
              <w:rPr>
                <w:rFonts w:hint="eastAsia" w:ascii="宋体" w:hAnsi="宋体" w:eastAsia="宋体" w:cs="宋体"/>
                <w:snapToGrid w:val="0"/>
                <w:color w:val="auto"/>
                <w:kern w:val="0"/>
                <w:sz w:val="24"/>
                <w:szCs w:val="24"/>
                <w:highlight w:val="none"/>
                <w:lang w:val="en-US" w:eastAsia="zh-CN"/>
              </w:rPr>
              <w:t>。</w:t>
            </w:r>
          </w:p>
          <w:p>
            <w:pPr>
              <w:keepNext w:val="0"/>
              <w:keepLines w:val="0"/>
              <w:pageBreakBefore w:val="0"/>
              <w:widowControl/>
              <w:numPr>
                <w:ilvl w:val="0"/>
                <w:numId w:val="0"/>
              </w:numPr>
              <w:suppressLineNumbers w:val="0"/>
              <w:kinsoku/>
              <w:overflowPunct/>
              <w:topLinePunct w:val="0"/>
              <w:autoSpaceDN/>
              <w:bidi w:val="0"/>
              <w:spacing w:line="380" w:lineRule="exact"/>
              <w:jc w:val="lef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bidi="ar"/>
              </w:rPr>
              <w:t>2.</w:t>
            </w:r>
            <w:r>
              <w:rPr>
                <w:rFonts w:hint="eastAsia" w:ascii="宋体" w:hAnsi="宋体" w:eastAsia="宋体" w:cs="宋体"/>
                <w:snapToGrid w:val="0"/>
                <w:color w:val="auto"/>
                <w:kern w:val="0"/>
                <w:sz w:val="24"/>
                <w:szCs w:val="24"/>
                <w:highlight w:val="none"/>
                <w:lang w:val="en-US" w:eastAsia="zh-CN"/>
              </w:rPr>
              <w:t>须提供设计负责人在本单位缴纳社保的证明（</w:t>
            </w:r>
            <w:r>
              <w:rPr>
                <w:rFonts w:hint="eastAsia" w:hAnsi="宋体" w:eastAsia="宋体" w:cs="宋体"/>
                <w:snapToGrid w:val="0"/>
                <w:color w:val="auto"/>
                <w:kern w:val="0"/>
                <w:sz w:val="24"/>
                <w:szCs w:val="24"/>
                <w:highlight w:val="none"/>
                <w:lang w:val="en-US" w:eastAsia="zh-CN"/>
              </w:rPr>
              <w:t>近一个月</w:t>
            </w:r>
            <w:r>
              <w:rPr>
                <w:rFonts w:hint="eastAsia" w:ascii="宋体" w:hAnsi="宋体" w:eastAsia="宋体" w:cs="宋体"/>
                <w:snapToGrid w:val="0"/>
                <w:color w:val="auto"/>
                <w:kern w:val="0"/>
                <w:sz w:val="24"/>
                <w:szCs w:val="24"/>
                <w:highlight w:val="none"/>
                <w:lang w:val="en-US" w:eastAsia="zh-CN"/>
              </w:rPr>
              <w:t>，其中必须有2026年08月）彩色扫描件（或打印件）并加盖单位公章（非独立法人分支机构出具社保，予以认可）；拟派人员为退休返聘人员无法提供社保证明的，提供退休证和劳动合同彩色扫描件（或打印件）并加盖单位公章；</w:t>
            </w:r>
          </w:p>
          <w:p>
            <w:pPr>
              <w:keepNext w:val="0"/>
              <w:keepLines w:val="0"/>
              <w:pageBreakBefore w:val="0"/>
              <w:widowControl/>
              <w:numPr>
                <w:ilvl w:val="0"/>
                <w:numId w:val="0"/>
              </w:numPr>
              <w:suppressLineNumbers w:val="0"/>
              <w:kinsoku/>
              <w:overflowPunct/>
              <w:topLinePunct w:val="0"/>
              <w:autoSpaceDN/>
              <w:bidi w:val="0"/>
              <w:spacing w:line="380" w:lineRule="exact"/>
              <w:ind w:left="0" w:leftChars="0" w:firstLine="0" w:firstLineChars="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3.不符合评分标准和备注规定的，不予计分。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595"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1221" w:type="dxa"/>
            <w:shd w:val="clear" w:color="auto" w:fill="auto"/>
            <w:noWrap w:val="0"/>
            <w:vAlign w:val="center"/>
          </w:tcPr>
          <w:p>
            <w:pPr>
              <w:pStyle w:val="8"/>
              <w:keepNext w:val="0"/>
              <w:keepLines w:val="0"/>
              <w:pageBreakBefore w:val="0"/>
              <w:kinsoku/>
              <w:wordWrap w:val="0"/>
              <w:overflowPunct/>
              <w:topLinePunct w:val="0"/>
              <w:autoSpaceDN/>
              <w:bidi w:val="0"/>
              <w:adjustRightInd w:val="0"/>
              <w:snapToGrid w:val="0"/>
              <w:spacing w:after="0" w:afterLines="0" w:line="380" w:lineRule="exact"/>
              <w:jc w:val="center"/>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拟委派人员</w:t>
            </w:r>
            <w:r>
              <w:rPr>
                <w:rFonts w:hint="eastAsia" w:ascii="宋体" w:hAnsi="宋体" w:eastAsia="宋体" w:cs="宋体"/>
                <w:snapToGrid w:val="0"/>
                <w:color w:val="auto"/>
                <w:kern w:val="0"/>
                <w:sz w:val="24"/>
                <w:szCs w:val="24"/>
                <w:highlight w:val="none"/>
                <w:lang w:val="en-US" w:eastAsia="zh-CN"/>
              </w:rPr>
              <w:t>配备</w:t>
            </w:r>
          </w:p>
          <w:p>
            <w:pPr>
              <w:pStyle w:val="8"/>
              <w:keepNext w:val="0"/>
              <w:keepLines w:val="0"/>
              <w:pageBreakBefore w:val="0"/>
              <w:kinsoku/>
              <w:wordWrap w:val="0"/>
              <w:overflowPunct/>
              <w:topLinePunct w:val="0"/>
              <w:autoSpaceDN/>
              <w:bidi w:val="0"/>
              <w:adjustRightInd w:val="0"/>
              <w:snapToGrid w:val="0"/>
              <w:spacing w:after="0" w:afterLines="0" w:line="380" w:lineRule="exact"/>
              <w:jc w:val="center"/>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auto"/>
                <w:kern w:val="0"/>
                <w:sz w:val="24"/>
                <w:szCs w:val="24"/>
                <w:highlight w:val="none"/>
              </w:rPr>
              <w:t>(</w:t>
            </w:r>
            <w:r>
              <w:rPr>
                <w:rFonts w:hint="eastAsia" w:hAnsi="宋体" w:eastAsia="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分)</w:t>
            </w:r>
          </w:p>
        </w:tc>
        <w:tc>
          <w:tcPr>
            <w:tcW w:w="3063" w:type="dxa"/>
            <w:gridSpan w:val="2"/>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snapToGrid w:val="0"/>
                <w:color w:val="auto"/>
                <w:kern w:val="0"/>
                <w:sz w:val="24"/>
                <w:szCs w:val="24"/>
                <w:highlight w:val="none"/>
              </w:rPr>
              <w:t>拟委派人员</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除设计负责人</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b/>
                <w:bCs/>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w:t>
            </w:r>
            <w:r>
              <w:rPr>
                <w:rFonts w:hint="eastAsia" w:ascii="宋体" w:hAnsi="宋体" w:eastAsia="宋体" w:cs="宋体"/>
                <w:b/>
                <w:bCs/>
                <w:color w:val="auto"/>
                <w:kern w:val="0"/>
                <w:sz w:val="24"/>
                <w:szCs w:val="24"/>
                <w:highlight w:val="none"/>
                <w:lang w:val="en-US" w:eastAsia="zh-CN" w:bidi="ar"/>
              </w:rPr>
              <w:t>建筑设计专业负责人：</w:t>
            </w:r>
            <w:r>
              <w:rPr>
                <w:rFonts w:hint="eastAsia" w:ascii="宋体" w:hAnsi="宋体" w:eastAsia="宋体" w:cs="宋体"/>
                <w:color w:val="auto"/>
                <w:kern w:val="0"/>
                <w:sz w:val="24"/>
                <w:szCs w:val="24"/>
                <w:highlight w:val="none"/>
                <w:lang w:val="en-US" w:eastAsia="zh-CN" w:bidi="ar"/>
              </w:rPr>
              <w:t xml:space="preserve">同时具有一级注册建筑师执业资格和高级工程师（或以上）职称的得1分，本小项最高得1分。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2.</w:t>
            </w:r>
            <w:r>
              <w:rPr>
                <w:rFonts w:hint="eastAsia" w:ascii="宋体" w:hAnsi="宋体" w:eastAsia="宋体" w:cs="宋体"/>
                <w:b/>
                <w:bCs/>
                <w:color w:val="auto"/>
                <w:kern w:val="0"/>
                <w:sz w:val="24"/>
                <w:szCs w:val="24"/>
                <w:highlight w:val="none"/>
                <w:lang w:val="en-US" w:eastAsia="zh-CN" w:bidi="ar"/>
              </w:rPr>
              <w:t>结构设计专业负责人：</w:t>
            </w:r>
            <w:r>
              <w:rPr>
                <w:rFonts w:hint="eastAsia" w:ascii="宋体" w:hAnsi="宋体" w:eastAsia="宋体" w:cs="宋体"/>
                <w:color w:val="auto"/>
                <w:kern w:val="0"/>
                <w:sz w:val="24"/>
                <w:szCs w:val="24"/>
                <w:highlight w:val="none"/>
                <w:lang w:val="en-US" w:eastAsia="zh-CN" w:bidi="ar"/>
              </w:rPr>
              <w:t xml:space="preserve">同时具有一级注册结构工程师执业资格和高级工程师（或以上）职称的得1分，本小项最高得1分。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3.</w:t>
            </w:r>
            <w:r>
              <w:rPr>
                <w:rFonts w:hint="eastAsia" w:ascii="宋体" w:hAnsi="宋体" w:eastAsia="宋体" w:cs="宋体"/>
                <w:b/>
                <w:bCs/>
                <w:color w:val="auto"/>
                <w:kern w:val="0"/>
                <w:sz w:val="24"/>
                <w:szCs w:val="24"/>
                <w:highlight w:val="none"/>
                <w:lang w:val="en-US" w:eastAsia="zh-CN" w:bidi="ar"/>
              </w:rPr>
              <w:t>给水排水设计专业负责人：</w:t>
            </w:r>
            <w:r>
              <w:rPr>
                <w:rFonts w:hint="eastAsia" w:ascii="宋体" w:hAnsi="宋体" w:eastAsia="宋体" w:cs="宋体"/>
                <w:color w:val="auto"/>
                <w:kern w:val="0"/>
                <w:sz w:val="24"/>
                <w:szCs w:val="24"/>
                <w:highlight w:val="none"/>
                <w:lang w:val="en-US" w:eastAsia="zh-CN" w:bidi="ar"/>
              </w:rPr>
              <w:t>同时具有</w:t>
            </w:r>
            <w:r>
              <w:rPr>
                <w:rFonts w:hint="eastAsia" w:ascii="宋体" w:hAnsi="宋体" w:eastAsia="宋体" w:cs="宋体"/>
                <w:color w:val="auto"/>
                <w:sz w:val="24"/>
                <w:szCs w:val="24"/>
                <w:highlight w:val="none"/>
              </w:rPr>
              <w:t>注册公用设备工程师（给水排水）</w:t>
            </w:r>
            <w:r>
              <w:rPr>
                <w:rFonts w:hint="eastAsia" w:ascii="宋体" w:hAnsi="宋体" w:eastAsia="宋体" w:cs="宋体"/>
                <w:color w:val="auto"/>
                <w:kern w:val="0"/>
                <w:sz w:val="24"/>
                <w:szCs w:val="24"/>
                <w:highlight w:val="none"/>
                <w:lang w:val="en-US" w:eastAsia="zh-CN" w:bidi="ar"/>
              </w:rPr>
              <w:t>执业资格</w:t>
            </w:r>
            <w:r>
              <w:rPr>
                <w:rFonts w:hint="eastAsia" w:ascii="宋体" w:hAnsi="宋体" w:eastAsia="宋体" w:cs="宋体"/>
                <w:color w:val="auto"/>
                <w:sz w:val="24"/>
                <w:szCs w:val="24"/>
                <w:highlight w:val="none"/>
                <w:lang w:val="en-US" w:eastAsia="zh-CN"/>
              </w:rPr>
              <w:t>和</w:t>
            </w:r>
            <w:r>
              <w:rPr>
                <w:rFonts w:hint="eastAsia" w:ascii="宋体" w:hAnsi="宋体" w:eastAsia="宋体" w:cs="宋体"/>
                <w:color w:val="auto"/>
                <w:kern w:val="0"/>
                <w:sz w:val="24"/>
                <w:szCs w:val="24"/>
                <w:highlight w:val="none"/>
                <w:lang w:val="en-US" w:eastAsia="zh-CN" w:bidi="ar"/>
              </w:rPr>
              <w:t xml:space="preserve">高级工程师（或以上）职称的得1分，本小项最高得1分。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w:t>
            </w:r>
            <w:r>
              <w:rPr>
                <w:rFonts w:hint="eastAsia" w:ascii="宋体" w:hAnsi="宋体" w:eastAsia="宋体" w:cs="宋体"/>
                <w:b/>
                <w:bCs/>
                <w:color w:val="auto"/>
                <w:kern w:val="0"/>
                <w:sz w:val="24"/>
                <w:szCs w:val="24"/>
                <w:highlight w:val="none"/>
                <w:lang w:val="en-US" w:eastAsia="zh-CN" w:bidi="ar"/>
              </w:rPr>
              <w:t>风景园林专业设计负责人：</w:t>
            </w:r>
            <w:r>
              <w:rPr>
                <w:rFonts w:hint="eastAsia" w:ascii="宋体" w:hAnsi="宋体" w:eastAsia="宋体" w:cs="宋体"/>
                <w:color w:val="auto"/>
                <w:kern w:val="0"/>
                <w:sz w:val="24"/>
                <w:szCs w:val="24"/>
                <w:highlight w:val="none"/>
                <w:lang w:val="en-US" w:eastAsia="zh-CN" w:bidi="ar"/>
              </w:rPr>
              <w:t>具有风景园林高级工程师（或以上）职称的得1分，本小项最高得1分。</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hAnsi="宋体" w:eastAsia="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w:t>
            </w:r>
            <w:r>
              <w:rPr>
                <w:rFonts w:hint="eastAsia" w:ascii="宋体" w:hAnsi="宋体" w:eastAsia="宋体" w:cs="宋体"/>
                <w:b/>
                <w:bCs/>
                <w:color w:val="auto"/>
                <w:kern w:val="0"/>
                <w:sz w:val="24"/>
                <w:szCs w:val="24"/>
                <w:highlight w:val="none"/>
                <w:lang w:val="en-US" w:eastAsia="zh-CN" w:bidi="ar"/>
              </w:rPr>
              <w:t>道路专业设计负责人</w:t>
            </w:r>
            <w:r>
              <w:rPr>
                <w:rFonts w:hint="eastAsia" w:ascii="宋体" w:hAnsi="宋体" w:eastAsia="宋体" w:cs="宋体"/>
                <w:color w:val="auto"/>
                <w:kern w:val="0"/>
                <w:sz w:val="24"/>
                <w:szCs w:val="24"/>
                <w:highlight w:val="none"/>
                <w:lang w:val="en-US" w:eastAsia="zh-CN" w:bidi="ar"/>
              </w:rPr>
              <w:t>：同时具有注册土木工程师（道路工程）执业资格和高级工程师（或以上）职称的得1分，本小项最高得1分。</w:t>
            </w:r>
          </w:p>
          <w:p>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napToGrid w:val="0"/>
                <w:color w:val="auto"/>
                <w:kern w:val="0"/>
                <w:sz w:val="24"/>
                <w:szCs w:val="24"/>
                <w:highlight w:val="none"/>
                <w:lang w:val="en-US" w:eastAsia="zh-CN" w:bidi="ar-SA"/>
              </w:rPr>
            </w:pPr>
            <w:r>
              <w:rPr>
                <w:rFonts w:hint="eastAsia" w:hAnsi="宋体" w:eastAsia="宋体" w:cs="宋体"/>
                <w:color w:val="auto"/>
                <w:kern w:val="0"/>
                <w:sz w:val="24"/>
                <w:szCs w:val="24"/>
                <w:highlight w:val="none"/>
                <w:lang w:val="en-US" w:eastAsia="zh-CN" w:bidi="ar"/>
              </w:rPr>
              <w:t>6</w:t>
            </w:r>
            <w:r>
              <w:rPr>
                <w:rFonts w:hint="eastAsia" w:ascii="宋体" w:hAnsi="宋体" w:eastAsia="宋体" w:cs="宋体"/>
                <w:color w:val="auto"/>
                <w:kern w:val="0"/>
                <w:sz w:val="24"/>
                <w:szCs w:val="24"/>
                <w:highlight w:val="none"/>
                <w:lang w:val="en-US" w:eastAsia="zh-CN" w:bidi="ar"/>
              </w:rPr>
              <w:t>.</w:t>
            </w:r>
            <w:r>
              <w:rPr>
                <w:rFonts w:hint="eastAsia" w:ascii="宋体" w:hAnsi="宋体" w:eastAsia="宋体" w:cs="宋体"/>
                <w:b/>
                <w:bCs/>
                <w:color w:val="auto"/>
                <w:kern w:val="0"/>
                <w:sz w:val="24"/>
                <w:szCs w:val="24"/>
                <w:highlight w:val="none"/>
                <w:lang w:val="en-US" w:eastAsia="zh-CN" w:bidi="ar"/>
              </w:rPr>
              <w:t>造价专业设计负责人</w:t>
            </w:r>
            <w:r>
              <w:rPr>
                <w:rFonts w:hint="eastAsia" w:ascii="宋体" w:hAnsi="宋体" w:eastAsia="宋体" w:cs="宋体"/>
                <w:color w:val="auto"/>
                <w:kern w:val="0"/>
                <w:sz w:val="24"/>
                <w:szCs w:val="24"/>
                <w:highlight w:val="none"/>
                <w:lang w:val="en-US" w:eastAsia="zh-CN" w:bidi="ar"/>
              </w:rPr>
              <w:t>：同时</w:t>
            </w:r>
            <w:r>
              <w:rPr>
                <w:rFonts w:hint="eastAsia" w:ascii="宋体" w:hAnsi="宋体" w:eastAsia="宋体" w:cs="宋体"/>
                <w:color w:val="auto"/>
                <w:sz w:val="24"/>
                <w:szCs w:val="24"/>
                <w:highlight w:val="none"/>
                <w:lang w:val="en-US" w:eastAsia="zh-CN"/>
              </w:rPr>
              <w:t>具有一级造价工程师注册证书和</w:t>
            </w:r>
            <w:r>
              <w:rPr>
                <w:rFonts w:hint="eastAsia" w:ascii="宋体" w:hAnsi="宋体" w:eastAsia="宋体" w:cs="宋体"/>
                <w:snapToGrid w:val="0"/>
                <w:color w:val="auto"/>
                <w:kern w:val="0"/>
                <w:sz w:val="24"/>
                <w:szCs w:val="24"/>
                <w:highlight w:val="none"/>
                <w:lang w:val="en-US" w:eastAsia="zh-CN" w:bidi="ar-SA"/>
              </w:rPr>
              <w:t>高级（或以上）工程师职称的得1分，</w:t>
            </w:r>
            <w:r>
              <w:rPr>
                <w:rFonts w:hint="eastAsia" w:ascii="宋体" w:hAnsi="宋体" w:eastAsia="宋体" w:cs="宋体"/>
                <w:color w:val="auto"/>
                <w:kern w:val="0"/>
                <w:sz w:val="24"/>
                <w:szCs w:val="24"/>
                <w:highlight w:val="none"/>
                <w:lang w:val="en-US" w:eastAsia="zh-CN" w:bidi="ar"/>
              </w:rPr>
              <w:t>本小项最高得1分。</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bCs/>
                <w:color w:val="auto"/>
                <w:kern w:val="0"/>
                <w:sz w:val="24"/>
                <w:szCs w:val="24"/>
                <w:highlight w:val="none"/>
                <w:lang w:val="en-US" w:eastAsia="zh-CN" w:bidi="ar"/>
              </w:rPr>
              <w:t xml:space="preserve">注：以上人员岗位不得相互兼任，本项最高得 </w:t>
            </w:r>
            <w:r>
              <w:rPr>
                <w:rFonts w:hint="eastAsia" w:hAnsi="宋体" w:eastAsia="宋体" w:cs="宋体"/>
                <w:b/>
                <w:bCs/>
                <w:color w:val="auto"/>
                <w:kern w:val="0"/>
                <w:sz w:val="24"/>
                <w:szCs w:val="24"/>
                <w:highlight w:val="none"/>
                <w:lang w:val="en-US" w:eastAsia="zh-CN" w:bidi="ar"/>
              </w:rPr>
              <w:t>6</w:t>
            </w:r>
            <w:r>
              <w:rPr>
                <w:rFonts w:hint="eastAsia" w:ascii="宋体" w:hAnsi="宋体" w:eastAsia="宋体" w:cs="宋体"/>
                <w:b/>
                <w:bCs/>
                <w:color w:val="auto"/>
                <w:kern w:val="0"/>
                <w:sz w:val="24"/>
                <w:szCs w:val="24"/>
                <w:highlight w:val="none"/>
                <w:lang w:val="en-US" w:eastAsia="zh-CN" w:bidi="ar"/>
              </w:rPr>
              <w:t>分。</w:t>
            </w:r>
          </w:p>
        </w:tc>
        <w:tc>
          <w:tcPr>
            <w:tcW w:w="3951" w:type="dxa"/>
            <w:gridSpan w:val="2"/>
            <w:shd w:val="clear" w:color="auto" w:fill="auto"/>
            <w:noWrap w:val="0"/>
            <w:vAlign w:val="center"/>
          </w:tcPr>
          <w:p>
            <w:pPr>
              <w:keepNext w:val="0"/>
              <w:keepLines w:val="0"/>
              <w:pageBreakBefore w:val="0"/>
              <w:widowControl/>
              <w:suppressLineNumbers w:val="0"/>
              <w:kinsoku/>
              <w:overflowPunct/>
              <w:topLinePunct w:val="0"/>
              <w:autoSpaceDN/>
              <w:bidi w:val="0"/>
              <w:spacing w:line="38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1.须提供相关证书彩色扫描件</w:t>
            </w:r>
            <w:r>
              <w:rPr>
                <w:rFonts w:hint="eastAsia" w:ascii="宋体" w:hAnsi="宋体" w:eastAsia="宋体" w:cs="宋体"/>
                <w:b w:val="0"/>
                <w:bCs w:val="0"/>
                <w:snapToGrid w:val="0"/>
                <w:color w:val="auto"/>
                <w:kern w:val="0"/>
                <w:sz w:val="24"/>
                <w:szCs w:val="24"/>
                <w:highlight w:val="none"/>
              </w:rPr>
              <w:t>（或打印件）</w:t>
            </w:r>
            <w:r>
              <w:rPr>
                <w:rFonts w:hint="eastAsia" w:ascii="宋体" w:hAnsi="宋体" w:eastAsia="宋体" w:cs="宋体"/>
                <w:snapToGrid w:val="0"/>
                <w:color w:val="auto"/>
                <w:kern w:val="0"/>
                <w:sz w:val="24"/>
                <w:szCs w:val="24"/>
                <w:highlight w:val="none"/>
                <w:lang w:val="en-US" w:eastAsia="zh-CN"/>
              </w:rPr>
              <w:t>并加盖单位公章</w:t>
            </w:r>
            <w:r>
              <w:rPr>
                <w:rFonts w:hint="eastAsia" w:ascii="宋体" w:hAnsi="宋体" w:eastAsia="宋体" w:cs="宋体"/>
                <w:color w:val="auto"/>
                <w:kern w:val="0"/>
                <w:sz w:val="24"/>
                <w:szCs w:val="24"/>
                <w:highlight w:val="none"/>
                <w:lang w:val="en-US" w:eastAsia="zh-CN" w:bidi="ar"/>
              </w:rPr>
              <w:t xml:space="preserve">。 </w:t>
            </w:r>
          </w:p>
          <w:p>
            <w:pPr>
              <w:keepNext w:val="0"/>
              <w:keepLines w:val="0"/>
              <w:pageBreakBefore w:val="0"/>
              <w:widowControl/>
              <w:suppressLineNumbers w:val="0"/>
              <w:kinsoku/>
              <w:overflowPunct/>
              <w:topLinePunct w:val="0"/>
              <w:autoSpaceDN/>
              <w:bidi w:val="0"/>
              <w:spacing w:line="38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2.须提供各专业负责人</w:t>
            </w:r>
            <w:r>
              <w:rPr>
                <w:rFonts w:hint="eastAsia" w:ascii="宋体" w:hAnsi="宋体" w:eastAsia="宋体" w:cs="宋体"/>
                <w:snapToGrid w:val="0"/>
                <w:color w:val="auto"/>
                <w:kern w:val="0"/>
                <w:sz w:val="24"/>
                <w:szCs w:val="24"/>
                <w:highlight w:val="none"/>
                <w:lang w:val="en-US" w:eastAsia="zh-CN"/>
              </w:rPr>
              <w:t>在本单位缴纳社保的证明（</w:t>
            </w:r>
            <w:r>
              <w:rPr>
                <w:rFonts w:hint="eastAsia" w:hAnsi="宋体" w:eastAsia="宋体" w:cs="宋体"/>
                <w:snapToGrid w:val="0"/>
                <w:color w:val="auto"/>
                <w:kern w:val="0"/>
                <w:sz w:val="24"/>
                <w:szCs w:val="24"/>
                <w:highlight w:val="none"/>
                <w:lang w:val="en-US" w:eastAsia="zh-CN"/>
              </w:rPr>
              <w:t>近一个月</w:t>
            </w:r>
            <w:r>
              <w:rPr>
                <w:rFonts w:hint="eastAsia" w:ascii="宋体" w:hAnsi="宋体" w:eastAsia="宋体" w:cs="宋体"/>
                <w:snapToGrid w:val="0"/>
                <w:color w:val="auto"/>
                <w:kern w:val="0"/>
                <w:sz w:val="24"/>
                <w:szCs w:val="24"/>
                <w:highlight w:val="none"/>
                <w:lang w:val="en-US" w:eastAsia="zh-CN"/>
              </w:rPr>
              <w:t>，其中必须有2026年08月）彩色扫描件（或打印件）并加盖单位公章（非独立法人分支机构出具社保，予以认可）；拟派人员为退休返聘人员无法提供社保证明的，提供退休证和劳动合同彩色扫描件（或打印件）并加盖单位公章。</w:t>
            </w:r>
            <w:r>
              <w:rPr>
                <w:rFonts w:hint="eastAsia" w:ascii="宋体" w:hAnsi="宋体" w:eastAsia="宋体" w:cs="宋体"/>
                <w:color w:val="auto"/>
                <w:kern w:val="0"/>
                <w:sz w:val="24"/>
                <w:szCs w:val="24"/>
                <w:highlight w:val="none"/>
                <w:lang w:val="en-US" w:eastAsia="zh-CN" w:bidi="ar"/>
              </w:rPr>
              <w:t xml:space="preserve"> </w:t>
            </w:r>
          </w:p>
          <w:p>
            <w:pPr>
              <w:keepNext w:val="0"/>
              <w:keepLines w:val="0"/>
              <w:pageBreakBefore w:val="0"/>
              <w:widowControl/>
              <w:suppressLineNumbers w:val="0"/>
              <w:kinsoku/>
              <w:overflowPunct/>
              <w:topLinePunct w:val="0"/>
              <w:autoSpaceDN/>
              <w:bidi w:val="0"/>
              <w:spacing w:line="38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3.不符合评分标准和备注规定的，不予计分。</w:t>
            </w:r>
          </w:p>
          <w:p>
            <w:pPr>
              <w:pStyle w:val="8"/>
              <w:keepNext w:val="0"/>
              <w:keepLines w:val="0"/>
              <w:pageBreakBefore w:val="0"/>
              <w:kinsoku/>
              <w:wordWrap w:val="0"/>
              <w:overflowPunct/>
              <w:topLinePunct w:val="0"/>
              <w:autoSpaceDN/>
              <w:bidi w:val="0"/>
              <w:adjustRightInd w:val="0"/>
              <w:snapToGrid w:val="0"/>
              <w:spacing w:after="0" w:line="380" w:lineRule="exact"/>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595"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1221" w:type="dxa"/>
            <w:shd w:val="clear" w:color="auto" w:fill="auto"/>
            <w:noWrap w:val="0"/>
            <w:vAlign w:val="center"/>
          </w:tcPr>
          <w:p>
            <w:pPr>
              <w:pStyle w:val="8"/>
              <w:keepNext w:val="0"/>
              <w:keepLines w:val="0"/>
              <w:pageBreakBefore w:val="0"/>
              <w:kinsoku/>
              <w:wordWrap w:val="0"/>
              <w:overflowPunct/>
              <w:topLinePunct w:val="0"/>
              <w:autoSpaceDN/>
              <w:bidi w:val="0"/>
              <w:adjustRightInd w:val="0"/>
              <w:snapToGrid w:val="0"/>
              <w:spacing w:after="0" w:afterLines="0" w:line="380" w:lineRule="exact"/>
              <w:jc w:val="both"/>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auto"/>
                <w:sz w:val="24"/>
                <w:szCs w:val="24"/>
                <w:highlight w:val="none"/>
                <w:lang w:val="en-US" w:eastAsia="zh-CN"/>
              </w:rPr>
              <w:t>企业管理体系</w:t>
            </w:r>
            <w:r>
              <w:rPr>
                <w:rFonts w:hint="eastAsia" w:ascii="宋体" w:hAnsi="宋体" w:eastAsia="宋体" w:cs="宋体"/>
                <w:b w:val="0"/>
                <w:bCs w:val="0"/>
                <w:color w:val="auto"/>
                <w:sz w:val="24"/>
                <w:szCs w:val="24"/>
                <w:highlight w:val="none"/>
              </w:rPr>
              <w:t>认证</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3分</w:t>
            </w:r>
            <w:r>
              <w:rPr>
                <w:rFonts w:hint="eastAsia" w:ascii="宋体" w:hAnsi="宋体" w:eastAsia="宋体" w:cs="宋体"/>
                <w:b w:val="0"/>
                <w:bCs w:val="0"/>
                <w:color w:val="auto"/>
                <w:sz w:val="24"/>
                <w:szCs w:val="24"/>
                <w:highlight w:val="none"/>
                <w:lang w:eastAsia="zh-CN"/>
              </w:rPr>
              <w:t>）</w:t>
            </w:r>
          </w:p>
        </w:tc>
        <w:tc>
          <w:tcPr>
            <w:tcW w:w="3063" w:type="dxa"/>
            <w:gridSpan w:val="2"/>
            <w:shd w:val="clear" w:color="auto" w:fill="auto"/>
            <w:noWrap w:val="0"/>
            <w:vAlign w:val="center"/>
          </w:tcPr>
          <w:p>
            <w:pPr>
              <w:pStyle w:val="8"/>
              <w:keepNext w:val="0"/>
              <w:keepLines w:val="0"/>
              <w:pageBreakBefore w:val="0"/>
              <w:widowControl w:val="0"/>
              <w:numPr>
                <w:ilvl w:val="0"/>
                <w:numId w:val="0"/>
              </w:numPr>
              <w:kinsoku/>
              <w:wordWrap w:val="0"/>
              <w:overflowPunct/>
              <w:topLinePunct w:val="0"/>
              <w:autoSpaceDE/>
              <w:autoSpaceDN/>
              <w:bidi w:val="0"/>
              <w:adjustRightInd w:val="0"/>
              <w:snapToGrid w:val="0"/>
              <w:spacing w:after="0" w:afterLines="0" w:line="380" w:lineRule="exact"/>
              <w:textAlignment w:val="auto"/>
              <w:rPr>
                <w:rFonts w:hint="eastAsia" w:ascii="宋体" w:hAnsi="宋体" w:eastAsia="宋体" w:cs="宋体"/>
                <w:b w:val="0"/>
                <w:bCs w:val="0"/>
                <w:color w:val="auto"/>
                <w:spacing w:val="-7"/>
                <w:sz w:val="24"/>
                <w:szCs w:val="24"/>
                <w:highlight w:val="none"/>
                <w:lang w:eastAsia="zh-CN"/>
              </w:rPr>
            </w:pPr>
            <w:r>
              <w:rPr>
                <w:rFonts w:hint="eastAsia" w:ascii="宋体" w:hAnsi="宋体" w:eastAsia="宋体" w:cs="宋体"/>
                <w:snapToGrid w:val="0"/>
                <w:color w:val="auto"/>
                <w:kern w:val="0"/>
                <w:sz w:val="24"/>
                <w:szCs w:val="24"/>
                <w:highlight w:val="none"/>
              </w:rPr>
              <w:t>投标人具有</w:t>
            </w:r>
            <w:r>
              <w:rPr>
                <w:rFonts w:hint="eastAsia" w:ascii="宋体" w:hAnsi="宋体" w:eastAsia="宋体" w:cs="宋体"/>
                <w:color w:val="auto"/>
                <w:spacing w:val="-6"/>
                <w:sz w:val="24"/>
                <w:szCs w:val="24"/>
                <w:highlight w:val="none"/>
              </w:rPr>
              <w:t>有效期内的质量管理体系认证证书、环境管理体系认证证书、职业健康安全管理体系认证证</w:t>
            </w:r>
            <w:r>
              <w:rPr>
                <w:rFonts w:hint="eastAsia" w:ascii="宋体" w:hAnsi="宋体" w:eastAsia="宋体" w:cs="宋体"/>
                <w:b w:val="0"/>
                <w:bCs w:val="0"/>
                <w:color w:val="auto"/>
                <w:spacing w:val="-6"/>
                <w:sz w:val="24"/>
                <w:szCs w:val="24"/>
                <w:highlight w:val="none"/>
              </w:rPr>
              <w:t>书</w:t>
            </w:r>
            <w:r>
              <w:rPr>
                <w:rFonts w:hint="eastAsia" w:ascii="宋体" w:hAnsi="宋体" w:eastAsia="宋体" w:cs="宋体"/>
                <w:b w:val="0"/>
                <w:bCs w:val="0"/>
                <w:color w:val="auto"/>
                <w:spacing w:val="-6"/>
                <w:sz w:val="24"/>
                <w:szCs w:val="24"/>
                <w:highlight w:val="none"/>
                <w:lang w:eastAsia="zh-CN"/>
              </w:rPr>
              <w:t>，</w:t>
            </w:r>
            <w:r>
              <w:rPr>
                <w:rFonts w:hint="eastAsia" w:ascii="宋体" w:hAnsi="宋体" w:eastAsia="宋体" w:cs="宋体"/>
                <w:b w:val="0"/>
                <w:bCs w:val="0"/>
                <w:color w:val="auto"/>
                <w:spacing w:val="-6"/>
                <w:sz w:val="24"/>
                <w:szCs w:val="24"/>
                <w:highlight w:val="none"/>
                <w:lang w:val="en-US" w:eastAsia="zh-CN"/>
              </w:rPr>
              <w:t>每个</w:t>
            </w:r>
            <w:r>
              <w:rPr>
                <w:rFonts w:hint="eastAsia" w:ascii="宋体" w:hAnsi="宋体" w:eastAsia="宋体" w:cs="宋体"/>
                <w:b w:val="0"/>
                <w:bCs w:val="0"/>
                <w:color w:val="auto"/>
                <w:spacing w:val="-7"/>
                <w:sz w:val="24"/>
                <w:szCs w:val="24"/>
                <w:highlight w:val="none"/>
              </w:rPr>
              <w:t>得</w:t>
            </w:r>
            <w:r>
              <w:rPr>
                <w:rFonts w:hint="eastAsia" w:ascii="宋体" w:hAnsi="宋体" w:eastAsia="宋体" w:cs="宋体"/>
                <w:b w:val="0"/>
                <w:bCs w:val="0"/>
                <w:color w:val="auto"/>
                <w:spacing w:val="-37"/>
                <w:sz w:val="24"/>
                <w:szCs w:val="24"/>
                <w:highlight w:val="none"/>
                <w:lang w:val="en-US" w:eastAsia="zh-CN"/>
              </w:rPr>
              <w:t>1</w:t>
            </w:r>
            <w:r>
              <w:rPr>
                <w:rFonts w:hint="eastAsia" w:ascii="宋体" w:hAnsi="宋体" w:eastAsia="宋体" w:cs="宋体"/>
                <w:b w:val="0"/>
                <w:bCs w:val="0"/>
                <w:color w:val="auto"/>
                <w:spacing w:val="-7"/>
                <w:sz w:val="24"/>
                <w:szCs w:val="24"/>
                <w:highlight w:val="none"/>
              </w:rPr>
              <w:t>分</w:t>
            </w:r>
            <w:r>
              <w:rPr>
                <w:rFonts w:hint="eastAsia" w:ascii="宋体" w:hAnsi="宋体" w:eastAsia="宋体" w:cs="宋体"/>
                <w:b w:val="0"/>
                <w:bCs w:val="0"/>
                <w:color w:val="auto"/>
                <w:spacing w:val="-7"/>
                <w:sz w:val="24"/>
                <w:szCs w:val="24"/>
                <w:highlight w:val="none"/>
                <w:lang w:eastAsia="zh-CN"/>
              </w:rPr>
              <w:t>。</w:t>
            </w:r>
          </w:p>
          <w:p>
            <w:pPr>
              <w:pStyle w:val="8"/>
              <w:keepNext w:val="0"/>
              <w:keepLines w:val="0"/>
              <w:pageBreakBefore w:val="0"/>
              <w:widowControl w:val="0"/>
              <w:numPr>
                <w:ilvl w:val="0"/>
                <w:numId w:val="0"/>
              </w:numPr>
              <w:kinsoku/>
              <w:wordWrap w:val="0"/>
              <w:overflowPunct/>
              <w:topLinePunct w:val="0"/>
              <w:autoSpaceDE/>
              <w:autoSpaceDN/>
              <w:bidi w:val="0"/>
              <w:adjustRightInd w:val="0"/>
              <w:snapToGrid w:val="0"/>
              <w:spacing w:after="0" w:afterLines="0" w:line="380" w:lineRule="exact"/>
              <w:ind w:left="0" w:leftChars="0" w:firstLine="0" w:firstLineChars="0"/>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bCs/>
                <w:color w:val="auto"/>
                <w:kern w:val="0"/>
                <w:sz w:val="24"/>
                <w:szCs w:val="24"/>
                <w:highlight w:val="none"/>
                <w:lang w:val="en-US" w:eastAsia="zh-CN" w:bidi="ar"/>
              </w:rPr>
              <w:t>本项最高得3分。</w:t>
            </w:r>
          </w:p>
        </w:tc>
        <w:tc>
          <w:tcPr>
            <w:tcW w:w="3951" w:type="dxa"/>
            <w:gridSpan w:val="2"/>
            <w:shd w:val="clear" w:color="auto" w:fill="auto"/>
            <w:noWrap w:val="0"/>
            <w:vAlign w:val="center"/>
          </w:tcPr>
          <w:p>
            <w:pPr>
              <w:pStyle w:val="8"/>
              <w:keepNext w:val="0"/>
              <w:keepLines w:val="0"/>
              <w:pageBreakBefore w:val="0"/>
              <w:numPr>
                <w:ilvl w:val="0"/>
                <w:numId w:val="0"/>
              </w:numPr>
              <w:kinsoku/>
              <w:wordWrap w:val="0"/>
              <w:overflowPunct/>
              <w:topLinePunct w:val="0"/>
              <w:autoSpaceDN/>
              <w:bidi w:val="0"/>
              <w:adjustRightInd w:val="0"/>
              <w:snapToGrid w:val="0"/>
              <w:spacing w:after="0" w:afterLines="0" w:line="380" w:lineRule="exact"/>
              <w:ind w:left="0" w:leftChars="0" w:firstLine="0" w:firstLineChars="0"/>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auto"/>
                <w:kern w:val="0"/>
                <w:sz w:val="24"/>
                <w:szCs w:val="24"/>
                <w:highlight w:val="none"/>
              </w:rPr>
              <w:t>须提供相关证书</w:t>
            </w:r>
            <w:r>
              <w:rPr>
                <w:rFonts w:hint="eastAsia" w:ascii="宋体" w:hAnsi="宋体" w:eastAsia="宋体" w:cs="宋体"/>
                <w:color w:val="auto"/>
                <w:sz w:val="24"/>
                <w:szCs w:val="24"/>
                <w:highlight w:val="none"/>
              </w:rPr>
              <w:t>彩色扫描件（或打印件）并加盖单位公章</w:t>
            </w:r>
            <w:r>
              <w:rPr>
                <w:rFonts w:hint="eastAsia" w:ascii="宋体" w:hAnsi="宋体" w:eastAsia="宋体" w:cs="宋体"/>
                <w:snapToGrid w:val="0"/>
                <w:color w:val="auto"/>
                <w:kern w:val="0"/>
                <w:sz w:val="24"/>
                <w:szCs w:val="24"/>
                <w:highlight w:val="none"/>
              </w:rPr>
              <w:t>。未按要求提供证明资料的或提供的证明材料不符合评审要求的，不得分。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595"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1221" w:type="dxa"/>
            <w:shd w:val="clear" w:color="auto" w:fill="auto"/>
            <w:noWrap w:val="0"/>
            <w:vAlign w:val="center"/>
          </w:tcPr>
          <w:p>
            <w:pPr>
              <w:pStyle w:val="8"/>
              <w:keepNext w:val="0"/>
              <w:keepLines w:val="0"/>
              <w:pageBreakBefore w:val="0"/>
              <w:kinsoku/>
              <w:wordWrap w:val="0"/>
              <w:overflowPunct/>
              <w:topLinePunct w:val="0"/>
              <w:autoSpaceDN/>
              <w:bidi w:val="0"/>
              <w:adjustRightInd w:val="0"/>
              <w:snapToGrid w:val="0"/>
              <w:spacing w:after="0" w:afterLines="0" w:line="380" w:lineRule="exact"/>
              <w:jc w:val="center"/>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kern w:val="0"/>
                <w:sz w:val="24"/>
                <w:szCs w:val="24"/>
                <w:highlight w:val="none"/>
                <w:lang w:val="en-US" w:eastAsia="zh-CN"/>
              </w:rPr>
              <w:t>企业纳税信用（</w:t>
            </w:r>
            <w:r>
              <w:rPr>
                <w:rFonts w:hint="eastAsia" w:hAnsi="宋体" w:eastAsia="宋体" w:cs="宋体"/>
                <w:b w:val="0"/>
                <w:bCs w:val="0"/>
                <w:snapToGrid w:val="0"/>
                <w:color w:val="000000"/>
                <w:kern w:val="0"/>
                <w:sz w:val="24"/>
                <w:szCs w:val="24"/>
                <w:highlight w:val="none"/>
                <w:lang w:val="en-US" w:eastAsia="zh-CN"/>
              </w:rPr>
              <w:t>3</w:t>
            </w:r>
            <w:r>
              <w:rPr>
                <w:rFonts w:hint="eastAsia" w:ascii="宋体" w:hAnsi="宋体" w:eastAsia="宋体" w:cs="宋体"/>
                <w:b w:val="0"/>
                <w:bCs w:val="0"/>
                <w:snapToGrid w:val="0"/>
                <w:color w:val="000000"/>
                <w:kern w:val="0"/>
                <w:sz w:val="24"/>
                <w:szCs w:val="24"/>
                <w:highlight w:val="none"/>
                <w:lang w:val="en-US" w:eastAsia="zh-CN"/>
              </w:rPr>
              <w:t>分）</w:t>
            </w:r>
          </w:p>
        </w:tc>
        <w:tc>
          <w:tcPr>
            <w:tcW w:w="3063" w:type="dxa"/>
            <w:gridSpan w:val="2"/>
            <w:shd w:val="clear" w:color="auto" w:fill="auto"/>
            <w:noWrap w:val="0"/>
            <w:vAlign w:val="center"/>
          </w:tcPr>
          <w:p>
            <w:pPr>
              <w:pStyle w:val="8"/>
              <w:keepNext w:val="0"/>
              <w:keepLines w:val="0"/>
              <w:pageBreakBefore w:val="0"/>
              <w:widowControl w:val="0"/>
              <w:numPr>
                <w:ilvl w:val="0"/>
                <w:numId w:val="0"/>
              </w:numPr>
              <w:kinsoku/>
              <w:wordWrap w:val="0"/>
              <w:overflowPunct/>
              <w:topLinePunct w:val="0"/>
              <w:autoSpaceDE/>
              <w:autoSpaceDN/>
              <w:bidi w:val="0"/>
              <w:adjustRightInd w:val="0"/>
              <w:snapToGrid w:val="0"/>
              <w:spacing w:after="0" w:afterLines="0" w:line="380" w:lineRule="exact"/>
              <w:ind w:left="0" w:leftChars="0" w:firstLine="0" w:firstLineChars="0"/>
              <w:textAlignment w:val="auto"/>
              <w:rPr>
                <w:rFonts w:hint="eastAsia" w:ascii="宋体" w:hAnsi="宋体" w:eastAsia="宋体" w:cs="宋体"/>
                <w:b w:val="0"/>
                <w:bCs w:val="0"/>
                <w:color w:val="000000"/>
                <w:kern w:val="0"/>
                <w:sz w:val="24"/>
                <w:szCs w:val="24"/>
                <w:highlight w:val="none"/>
                <w:lang w:val="en-US" w:eastAsia="zh-CN" w:bidi="ar"/>
              </w:rPr>
            </w:pPr>
            <w:r>
              <w:rPr>
                <w:rFonts w:hint="eastAsia" w:ascii="宋体" w:hAnsi="宋体" w:eastAsia="宋体" w:cs="宋体"/>
                <w:b w:val="0"/>
                <w:bCs w:val="0"/>
                <w:color w:val="000000"/>
                <w:kern w:val="0"/>
                <w:sz w:val="24"/>
                <w:szCs w:val="24"/>
                <w:highlight w:val="none"/>
                <w:lang w:val="en-US" w:eastAsia="zh-CN" w:bidi="ar"/>
              </w:rPr>
              <w:t>投标人连续3年或3年以上获得纳税信用A级纳税人的，得</w:t>
            </w:r>
            <w:r>
              <w:rPr>
                <w:rFonts w:hint="eastAsia" w:hAnsi="宋体" w:eastAsia="宋体" w:cs="宋体"/>
                <w:b w:val="0"/>
                <w:bCs w:val="0"/>
                <w:color w:val="000000"/>
                <w:kern w:val="0"/>
                <w:sz w:val="24"/>
                <w:szCs w:val="24"/>
                <w:highlight w:val="none"/>
                <w:lang w:val="en-US" w:eastAsia="zh-CN" w:bidi="ar"/>
              </w:rPr>
              <w:t>3</w:t>
            </w:r>
            <w:r>
              <w:rPr>
                <w:rFonts w:hint="eastAsia" w:ascii="宋体" w:hAnsi="宋体" w:eastAsia="宋体" w:cs="宋体"/>
                <w:b w:val="0"/>
                <w:bCs w:val="0"/>
                <w:color w:val="000000"/>
                <w:kern w:val="0"/>
                <w:sz w:val="24"/>
                <w:szCs w:val="24"/>
                <w:highlight w:val="none"/>
                <w:lang w:val="en-US" w:eastAsia="zh-CN" w:bidi="ar"/>
              </w:rPr>
              <w:t>分。(其中必须有2024年度)</w:t>
            </w:r>
          </w:p>
          <w:p>
            <w:pPr>
              <w:pStyle w:val="8"/>
              <w:keepNext w:val="0"/>
              <w:keepLines w:val="0"/>
              <w:pageBreakBefore w:val="0"/>
              <w:widowControl w:val="0"/>
              <w:numPr>
                <w:ilvl w:val="0"/>
                <w:numId w:val="0"/>
              </w:numPr>
              <w:kinsoku/>
              <w:wordWrap w:val="0"/>
              <w:overflowPunct/>
              <w:topLinePunct w:val="0"/>
              <w:autoSpaceDE/>
              <w:autoSpaceDN/>
              <w:bidi w:val="0"/>
              <w:adjustRightInd w:val="0"/>
              <w:snapToGrid w:val="0"/>
              <w:spacing w:after="0" w:afterLines="0" w:line="380" w:lineRule="exact"/>
              <w:ind w:left="0" w:leftChars="0" w:firstLine="0" w:firstLineChars="0"/>
              <w:textAlignment w:val="auto"/>
              <w:rPr>
                <w:rFonts w:hint="eastAsia" w:ascii="宋体" w:hAnsi="宋体" w:eastAsia="宋体" w:cs="宋体"/>
                <w:b w:val="0"/>
                <w:bCs w:val="0"/>
                <w:color w:val="000000"/>
                <w:kern w:val="0"/>
                <w:sz w:val="24"/>
                <w:szCs w:val="24"/>
                <w:highlight w:val="none"/>
                <w:lang w:val="en-US" w:eastAsia="zh-CN" w:bidi="ar"/>
              </w:rPr>
            </w:pPr>
            <w:r>
              <w:rPr>
                <w:rFonts w:hint="eastAsia" w:ascii="宋体" w:hAnsi="宋体" w:eastAsia="宋体" w:cs="宋体"/>
                <w:b w:val="0"/>
                <w:bCs w:val="0"/>
                <w:color w:val="000000"/>
                <w:kern w:val="0"/>
                <w:sz w:val="24"/>
                <w:szCs w:val="24"/>
                <w:highlight w:val="none"/>
                <w:lang w:val="en-US" w:eastAsia="zh-CN" w:bidi="ar"/>
              </w:rPr>
              <w:t>其他情形的，不予计分。</w:t>
            </w:r>
          </w:p>
          <w:p>
            <w:pPr>
              <w:pStyle w:val="8"/>
              <w:keepNext w:val="0"/>
              <w:keepLines w:val="0"/>
              <w:pageBreakBefore w:val="0"/>
              <w:widowControl w:val="0"/>
              <w:numPr>
                <w:ilvl w:val="0"/>
                <w:numId w:val="0"/>
              </w:numPr>
              <w:kinsoku/>
              <w:wordWrap w:val="0"/>
              <w:overflowPunct/>
              <w:topLinePunct w:val="0"/>
              <w:autoSpaceDE/>
              <w:autoSpaceDN/>
              <w:bidi w:val="0"/>
              <w:adjustRightInd w:val="0"/>
              <w:snapToGrid w:val="0"/>
              <w:spacing w:after="0" w:afterLines="0" w:line="380" w:lineRule="exact"/>
              <w:ind w:left="0" w:leftChars="0" w:firstLine="0" w:firstLineChars="0"/>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bCs/>
                <w:color w:val="000000"/>
                <w:kern w:val="0"/>
                <w:sz w:val="24"/>
                <w:szCs w:val="24"/>
                <w:highlight w:val="none"/>
                <w:lang w:val="en-US" w:eastAsia="zh-CN" w:bidi="ar"/>
              </w:rPr>
              <w:t>本项最高得</w:t>
            </w:r>
            <w:r>
              <w:rPr>
                <w:rFonts w:hint="eastAsia" w:hAnsi="宋体" w:eastAsia="宋体" w:cs="宋体"/>
                <w:b/>
                <w:bCs/>
                <w:color w:val="000000"/>
                <w:kern w:val="0"/>
                <w:sz w:val="24"/>
                <w:szCs w:val="24"/>
                <w:highlight w:val="none"/>
                <w:lang w:val="en-US" w:eastAsia="zh-CN" w:bidi="ar"/>
              </w:rPr>
              <w:t>3</w:t>
            </w:r>
            <w:r>
              <w:rPr>
                <w:rFonts w:hint="eastAsia" w:ascii="宋体" w:hAnsi="宋体" w:eastAsia="宋体" w:cs="宋体"/>
                <w:b/>
                <w:bCs/>
                <w:color w:val="000000"/>
                <w:kern w:val="0"/>
                <w:sz w:val="24"/>
                <w:szCs w:val="24"/>
                <w:highlight w:val="none"/>
                <w:lang w:val="en-US" w:eastAsia="zh-CN" w:bidi="ar"/>
              </w:rPr>
              <w:t>分。</w:t>
            </w:r>
          </w:p>
        </w:tc>
        <w:tc>
          <w:tcPr>
            <w:tcW w:w="3951" w:type="dxa"/>
            <w:gridSpan w:val="2"/>
            <w:shd w:val="clear" w:color="auto" w:fill="auto"/>
            <w:noWrap w:val="0"/>
            <w:vAlign w:val="center"/>
          </w:tcPr>
          <w:p>
            <w:pPr>
              <w:pStyle w:val="8"/>
              <w:keepNext w:val="0"/>
              <w:keepLines w:val="0"/>
              <w:pageBreakBefore w:val="0"/>
              <w:numPr>
                <w:ilvl w:val="0"/>
                <w:numId w:val="0"/>
              </w:numPr>
              <w:kinsoku/>
              <w:wordWrap w:val="0"/>
              <w:overflowPunct/>
              <w:topLinePunct w:val="0"/>
              <w:autoSpaceDN/>
              <w:bidi w:val="0"/>
              <w:adjustRightInd w:val="0"/>
              <w:snapToGrid w:val="0"/>
              <w:spacing w:after="0" w:afterLines="0" w:line="380" w:lineRule="exact"/>
              <w:ind w:left="0" w:leftChars="0" w:firstLine="0" w:firstLineChars="0"/>
              <w:textAlignment w:val="auto"/>
              <w:rPr>
                <w:rFonts w:hint="eastAsia" w:ascii="宋体" w:hAnsi="宋体" w:eastAsia="宋体" w:cs="宋体"/>
                <w:b w:val="0"/>
                <w:bCs w:val="0"/>
                <w:snapToGrid w:val="0"/>
                <w:color w:val="000000"/>
                <w:kern w:val="0"/>
                <w:sz w:val="24"/>
                <w:szCs w:val="24"/>
                <w:highlight w:val="none"/>
                <w:lang w:val="en-US" w:eastAsia="zh-CN"/>
              </w:rPr>
            </w:pPr>
            <w:r>
              <w:rPr>
                <w:rFonts w:hint="eastAsia" w:ascii="宋体" w:hAnsi="宋体" w:eastAsia="宋体" w:cs="宋体"/>
                <w:b w:val="0"/>
                <w:bCs w:val="0"/>
                <w:snapToGrid w:val="0"/>
                <w:color w:val="000000"/>
                <w:kern w:val="0"/>
                <w:sz w:val="24"/>
                <w:szCs w:val="24"/>
                <w:highlight w:val="none"/>
                <w:lang w:val="en-US" w:eastAsia="zh-CN"/>
              </w:rPr>
              <w:t>1.必须提供企业纳税信用 A 级纳税人证明材料(或证书)彩色扫描件(或打印件)及国家税务总局网上查询截图并加盖单位公章，否则不得分。</w:t>
            </w:r>
          </w:p>
          <w:p>
            <w:pPr>
              <w:pStyle w:val="8"/>
              <w:keepNext w:val="0"/>
              <w:keepLines w:val="0"/>
              <w:pageBreakBefore w:val="0"/>
              <w:numPr>
                <w:ilvl w:val="0"/>
                <w:numId w:val="0"/>
              </w:numPr>
              <w:kinsoku/>
              <w:wordWrap w:val="0"/>
              <w:overflowPunct/>
              <w:topLinePunct w:val="0"/>
              <w:autoSpaceDN/>
              <w:bidi w:val="0"/>
              <w:adjustRightInd w:val="0"/>
              <w:snapToGrid w:val="0"/>
              <w:spacing w:after="0" w:afterLines="0" w:line="380" w:lineRule="exact"/>
              <w:ind w:left="0" w:leftChars="0" w:firstLine="0" w:firstLineChars="0"/>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kern w:val="0"/>
                <w:sz w:val="24"/>
                <w:szCs w:val="24"/>
                <w:highlight w:val="none"/>
                <w:lang w:val="en-US" w:eastAsia="zh-CN"/>
              </w:rPr>
              <w:t>2.只计算投标人自身(不计算投标人的分公司、子公司及分支机构)。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0" w:type="dxa"/>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技术部分（10分）</w:t>
            </w:r>
          </w:p>
        </w:tc>
        <w:tc>
          <w:tcPr>
            <w:tcW w:w="595" w:type="dxa"/>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技术建议书（10分）</w:t>
            </w:r>
          </w:p>
        </w:tc>
        <w:tc>
          <w:tcPr>
            <w:tcW w:w="4117" w:type="dxa"/>
            <w:gridSpan w:val="2"/>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1.对项目基本情况的了解程度，包括对项目建设背景、项目建设的必要性及紧迫性等（2分）；</w:t>
            </w:r>
          </w:p>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2.总体设计方案是否合理可行（2分）；</w:t>
            </w:r>
          </w:p>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3.质量保证措施是否合理可行（2分）；</w:t>
            </w:r>
          </w:p>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4.进度保证措施是否合理可行（2分）；</w:t>
            </w:r>
          </w:p>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5.安全保证措施是否合理可行（2分）。</w:t>
            </w:r>
          </w:p>
        </w:tc>
        <w:tc>
          <w:tcPr>
            <w:tcW w:w="4118" w:type="dxa"/>
            <w:gridSpan w:val="3"/>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【优】得该项评分因素分值的90%～100%（含90%）。</w:t>
            </w:r>
          </w:p>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【良】得该项评分因素分值的80%～90%（含80%）。</w:t>
            </w:r>
          </w:p>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【中】得该项评分因素分值的70%～80%（含70%）。</w:t>
            </w:r>
          </w:p>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【差】得该项评分因素分值的60～70%（含60%）。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0" w:type="dxa"/>
            <w:vMerge w:val="restart"/>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投标报价得分</w:t>
            </w:r>
          </w:p>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0分）</w:t>
            </w:r>
          </w:p>
        </w:tc>
        <w:tc>
          <w:tcPr>
            <w:tcW w:w="595" w:type="dxa"/>
            <w:noWrap w:val="0"/>
            <w:vAlign w:val="center"/>
          </w:tcPr>
          <w:p>
            <w:pPr>
              <w:keepNext/>
              <w:keepLines w:val="0"/>
              <w:pageBreakBefore w:val="0"/>
              <w:widowControl/>
              <w:kinsoku/>
              <w:wordWrap w:val="0"/>
              <w:overflowPunct/>
              <w:topLinePunct w:val="0"/>
              <w:autoSpaceDE/>
              <w:autoSpaceDN/>
              <w:bidi w:val="0"/>
              <w:spacing w:line="360" w:lineRule="exact"/>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bookmarkStart w:id="262" w:name="_Toc5338"/>
            <w:r>
              <w:rPr>
                <w:rFonts w:hint="eastAsia" w:ascii="宋体" w:hAnsi="宋体" w:eastAsia="宋体" w:cs="宋体"/>
                <w:color w:val="000000" w:themeColor="text1"/>
                <w:sz w:val="24"/>
                <w:szCs w:val="24"/>
                <w:highlight w:val="none"/>
                <w14:textFill>
                  <w14:solidFill>
                    <w14:schemeClr w14:val="tx1"/>
                  </w14:solidFill>
                </w14:textFill>
              </w:rPr>
              <w:t>评标基准价D</w:t>
            </w:r>
            <w:bookmarkEnd w:id="262"/>
          </w:p>
        </w:tc>
        <w:tc>
          <w:tcPr>
            <w:tcW w:w="8235" w:type="dxa"/>
            <w:gridSpan w:val="5"/>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确定招标控制价下浮系数n：用1～21号球分别代表一个下浮系数，由评委代表从这21个号码中随机抽取3次，每次抽取1个号码，抽出的号球不参与下次抽取。所抽取的3个号码对应下浮系数的算术平均值作为招标控制价下浮系数n。具体号码对应的下浮系数可参考下表。</w:t>
            </w:r>
          </w:p>
          <w:tbl>
            <w:tblPr>
              <w:tblStyle w:val="22"/>
              <w:tblW w:w="7360" w:type="dxa"/>
              <w:tblInd w:w="113" w:type="dxa"/>
              <w:shd w:val="clear" w:color="auto" w:fill="FFFFFF"/>
              <w:tblLayout w:type="fixed"/>
              <w:tblCellMar>
                <w:top w:w="0" w:type="dxa"/>
                <w:left w:w="108" w:type="dxa"/>
                <w:bottom w:w="0" w:type="dxa"/>
                <w:right w:w="108" w:type="dxa"/>
              </w:tblCellMar>
            </w:tblPr>
            <w:tblGrid>
              <w:gridCol w:w="1408"/>
              <w:gridCol w:w="846"/>
              <w:gridCol w:w="760"/>
              <w:gridCol w:w="880"/>
              <w:gridCol w:w="831"/>
              <w:gridCol w:w="969"/>
              <w:gridCol w:w="913"/>
              <w:gridCol w:w="753"/>
            </w:tblGrid>
            <w:tr>
              <w:tblPrEx>
                <w:shd w:val="clear" w:color="auto" w:fill="FFFFFF"/>
                <w:tblCellMar>
                  <w:top w:w="0" w:type="dxa"/>
                  <w:left w:w="108" w:type="dxa"/>
                  <w:bottom w:w="0" w:type="dxa"/>
                  <w:right w:w="108" w:type="dxa"/>
                </w:tblCellMar>
              </w:tblPrEx>
              <w:trPr>
                <w:trHeight w:val="396"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号球</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p>
              </w:tc>
              <w:tc>
                <w:tcPr>
                  <w:tcW w:w="7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8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9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91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r>
            <w:tr>
              <w:tblPrEx>
                <w:shd w:val="clear" w:color="auto" w:fill="FFFFFF"/>
              </w:tblPrEx>
              <w:trPr>
                <w:trHeight w:val="408"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下浮系数（%）</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t>.0</w:t>
                  </w:r>
                </w:p>
              </w:tc>
              <w:tc>
                <w:tcPr>
                  <w:tcW w:w="7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t>.1</w:t>
                  </w:r>
                </w:p>
              </w:tc>
              <w:tc>
                <w:tcPr>
                  <w:tcW w:w="8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t>.2</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t>.3</w:t>
                  </w:r>
                </w:p>
              </w:tc>
              <w:tc>
                <w:tcPr>
                  <w:tcW w:w="9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t>.4</w:t>
                  </w:r>
                </w:p>
              </w:tc>
              <w:tc>
                <w:tcPr>
                  <w:tcW w:w="91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t>.5</w:t>
                  </w:r>
                </w:p>
              </w:tc>
              <w:tc>
                <w:tcPr>
                  <w:tcW w:w="7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t>.6</w:t>
                  </w:r>
                </w:p>
              </w:tc>
            </w:tr>
            <w:tr>
              <w:tblPrEx>
                <w:shd w:val="clear" w:color="auto" w:fill="FFFFFF"/>
                <w:tblCellMar>
                  <w:top w:w="0" w:type="dxa"/>
                  <w:left w:w="108" w:type="dxa"/>
                  <w:bottom w:w="0" w:type="dxa"/>
                  <w:right w:w="108" w:type="dxa"/>
                </w:tblCellMar>
              </w:tblPrEx>
              <w:trPr>
                <w:trHeight w:val="413"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号球</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8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w:t>
                  </w:r>
                </w:p>
              </w:tc>
              <w:tc>
                <w:tcPr>
                  <w:tcW w:w="9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w:t>
                  </w:r>
                </w:p>
              </w:tc>
              <w:tc>
                <w:tcPr>
                  <w:tcW w:w="91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w:t>
                  </w:r>
                </w:p>
              </w:tc>
              <w:tc>
                <w:tcPr>
                  <w:tcW w:w="7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w:t>
                  </w:r>
                </w:p>
              </w:tc>
            </w:tr>
            <w:tr>
              <w:tblPrEx>
                <w:shd w:val="clear" w:color="auto" w:fill="FFFFFF"/>
              </w:tblPrEx>
              <w:trPr>
                <w:trHeight w:val="408"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下浮系数（%）</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t>.8</w:t>
                  </w:r>
                </w:p>
              </w:tc>
              <w:tc>
                <w:tcPr>
                  <w:tcW w:w="8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t>.9</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.0</w:t>
                  </w:r>
                </w:p>
              </w:tc>
              <w:tc>
                <w:tcPr>
                  <w:tcW w:w="9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.1</w:t>
                  </w:r>
                </w:p>
              </w:tc>
              <w:tc>
                <w:tcPr>
                  <w:tcW w:w="91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.2</w:t>
                  </w:r>
                </w:p>
              </w:tc>
              <w:tc>
                <w:tcPr>
                  <w:tcW w:w="7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.3</w:t>
                  </w:r>
                </w:p>
              </w:tc>
            </w:tr>
            <w:tr>
              <w:tblPrEx>
                <w:shd w:val="clear" w:color="auto" w:fill="FFFFFF"/>
                <w:tblCellMar>
                  <w:top w:w="0" w:type="dxa"/>
                  <w:left w:w="108" w:type="dxa"/>
                  <w:bottom w:w="0" w:type="dxa"/>
                  <w:right w:w="108" w:type="dxa"/>
                </w:tblCellMar>
              </w:tblPrEx>
              <w:trPr>
                <w:trHeight w:val="396"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号球</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w:t>
                  </w:r>
                </w:p>
              </w:tc>
              <w:tc>
                <w:tcPr>
                  <w:tcW w:w="7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16</w:t>
                  </w:r>
                </w:p>
              </w:tc>
              <w:tc>
                <w:tcPr>
                  <w:tcW w:w="8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18</w:t>
                  </w:r>
                </w:p>
              </w:tc>
              <w:tc>
                <w:tcPr>
                  <w:tcW w:w="9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19</w:t>
                  </w:r>
                </w:p>
              </w:tc>
              <w:tc>
                <w:tcPr>
                  <w:tcW w:w="91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20</w:t>
                  </w:r>
                </w:p>
              </w:tc>
              <w:tc>
                <w:tcPr>
                  <w:tcW w:w="7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w:t>
                  </w:r>
                </w:p>
              </w:tc>
            </w:tr>
            <w:tr>
              <w:tblPrEx>
                <w:tblCellMar>
                  <w:top w:w="0" w:type="dxa"/>
                  <w:left w:w="108" w:type="dxa"/>
                  <w:bottom w:w="0" w:type="dxa"/>
                  <w:right w:w="108" w:type="dxa"/>
                </w:tblCellMar>
              </w:tblPrEx>
              <w:trPr>
                <w:trHeight w:val="417"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下浮系数（%）</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.4</w:t>
                  </w:r>
                </w:p>
              </w:tc>
              <w:tc>
                <w:tcPr>
                  <w:tcW w:w="7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.5</w:t>
                  </w:r>
                </w:p>
              </w:tc>
              <w:tc>
                <w:tcPr>
                  <w:tcW w:w="8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.6</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.7</w:t>
                  </w:r>
                </w:p>
              </w:tc>
              <w:tc>
                <w:tcPr>
                  <w:tcW w:w="9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.8</w:t>
                  </w:r>
                </w:p>
              </w:tc>
              <w:tc>
                <w:tcPr>
                  <w:tcW w:w="91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.9</w:t>
                  </w:r>
                </w:p>
              </w:tc>
              <w:tc>
                <w:tcPr>
                  <w:tcW w:w="7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.0</w:t>
                  </w:r>
                </w:p>
              </w:tc>
            </w:tr>
          </w:tbl>
          <w:p>
            <w:pPr>
              <w:outlineLvl w:val="9"/>
              <w:rPr>
                <w:rFonts w:hint="eastAsia" w:ascii="宋体" w:hAnsi="宋体" w:eastAsia="宋体" w:cs="Times New Roman"/>
                <w:kern w:val="2"/>
                <w:sz w:val="24"/>
                <w:szCs w:val="21"/>
                <w:highlight w:val="none"/>
                <w:lang w:val="en-US" w:eastAsia="zh-CN" w:bidi="ar-SA"/>
              </w:rPr>
            </w:pPr>
            <w:r>
              <w:rPr>
                <w:rFonts w:hint="eastAsia" w:ascii="宋体" w:hAnsi="宋体" w:eastAsia="宋体" w:cs="宋体"/>
                <w:color w:val="000000" w:themeColor="text1"/>
                <w:sz w:val="24"/>
                <w:szCs w:val="24"/>
                <w:highlight w:val="none"/>
                <w14:textFill>
                  <w14:solidFill>
                    <w14:schemeClr w14:val="tx1"/>
                  </w14:solidFill>
                </w14:textFill>
              </w:rPr>
              <w:t>（2）评标基准价D＝招标控制价×（1－n）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tc>
        <w:tc>
          <w:tcPr>
            <w:tcW w:w="595" w:type="dxa"/>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投标报价得分N</w:t>
            </w:r>
          </w:p>
        </w:tc>
        <w:tc>
          <w:tcPr>
            <w:tcW w:w="8235" w:type="dxa"/>
            <w:gridSpan w:val="5"/>
            <w:noWrap w:val="0"/>
            <w:vAlign w:val="center"/>
          </w:tcPr>
          <w:p>
            <w:pPr>
              <w:keepNext/>
              <w:keepLines w:val="0"/>
              <w:pageBreakBefore w:val="0"/>
              <w:widowControl/>
              <w:kinsoku/>
              <w:wordWrap w:val="0"/>
              <w:overflowPunct/>
              <w:topLinePunct w:val="0"/>
              <w:autoSpaceDE/>
              <w:autoSpaceDN/>
              <w:bidi w:val="0"/>
              <w:adjustRightInd/>
              <w:snapToGrid/>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采用内插法计算某投标人的投标报价得分N，即当投标人的投标总价等于评标基准价时得</w:t>
            </w:r>
            <w:r>
              <w:rPr>
                <w:rFonts w:hint="eastAsia"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0分，每高于评标基准价一个百分点扣</w:t>
            </w:r>
            <w:r>
              <w:rPr>
                <w:rFonts w:hint="eastAsia" w:hAnsi="宋体" w:eastAsia="宋体" w:cs="宋体"/>
                <w:color w:val="000000" w:themeColor="text1"/>
                <w:sz w:val="24"/>
                <w:szCs w:val="24"/>
                <w:highlight w:val="none"/>
                <w:lang w:val="en-US" w:eastAsia="zh-CN"/>
                <w14:textFill>
                  <w14:solidFill>
                    <w14:schemeClr w14:val="tx1"/>
                  </w14:solidFill>
                </w14:textFill>
              </w:rPr>
              <w:t>0.2</w:t>
            </w:r>
            <w:r>
              <w:rPr>
                <w:rFonts w:hint="eastAsia" w:ascii="宋体" w:hAnsi="宋体" w:eastAsia="宋体" w:cs="宋体"/>
                <w:color w:val="000000" w:themeColor="text1"/>
                <w:sz w:val="24"/>
                <w:szCs w:val="24"/>
                <w:highlight w:val="none"/>
                <w14:textFill>
                  <w14:solidFill>
                    <w14:schemeClr w14:val="tx1"/>
                  </w14:solidFill>
                </w14:textFill>
              </w:rPr>
              <w:t>分,每低于评标基准价一个百分点扣</w:t>
            </w:r>
            <w:r>
              <w:rPr>
                <w:rFonts w:hint="eastAsia" w:hAnsi="宋体" w:eastAsia="宋体" w:cs="宋体"/>
                <w:color w:val="000000" w:themeColor="text1"/>
                <w:sz w:val="24"/>
                <w:szCs w:val="24"/>
                <w:highlight w:val="none"/>
                <w:lang w:val="en-US" w:eastAsia="zh-CN"/>
                <w14:textFill>
                  <w14:solidFill>
                    <w14:schemeClr w14:val="tx1"/>
                  </w14:solidFill>
                </w14:textFill>
              </w:rPr>
              <w:t>0.1</w:t>
            </w:r>
            <w:r>
              <w:rPr>
                <w:rFonts w:hint="eastAsia" w:ascii="宋体" w:hAnsi="宋体" w:eastAsia="宋体" w:cs="宋体"/>
                <w:color w:val="000000" w:themeColor="text1"/>
                <w:sz w:val="24"/>
                <w:szCs w:val="24"/>
                <w:highlight w:val="none"/>
                <w14:textFill>
                  <w14:solidFill>
                    <w14:schemeClr w14:val="tx1"/>
                  </w14:solidFill>
                </w14:textFill>
              </w:rPr>
              <w:t>分，扣完为止。公式如下：</w:t>
            </w:r>
          </w:p>
          <w:p>
            <w:pPr>
              <w:keepNext/>
              <w:keepLines w:val="0"/>
              <w:pageBreakBefore w:val="0"/>
              <w:widowControl/>
              <w:kinsoku/>
              <w:wordWrap w:val="0"/>
              <w:overflowPunct/>
              <w:topLinePunct w:val="0"/>
              <w:autoSpaceDE/>
              <w:autoSpaceDN/>
              <w:bidi w:val="0"/>
              <w:adjustRightInd/>
              <w:snapToGrid/>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N＝</w:t>
            </w:r>
            <w:r>
              <w:rPr>
                <w:rFonts w:hint="eastAsia"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0－（|Di－D|÷D）×100×E</w:t>
            </w:r>
          </w:p>
          <w:p>
            <w:pPr>
              <w:keepNext/>
              <w:keepLines w:val="0"/>
              <w:pageBreakBefore w:val="0"/>
              <w:widowControl/>
              <w:kinsoku/>
              <w:wordWrap w:val="0"/>
              <w:overflowPunct/>
              <w:topLinePunct w:val="0"/>
              <w:autoSpaceDE/>
              <w:autoSpaceDN/>
              <w:bidi w:val="0"/>
              <w:adjustRightInd/>
              <w:snapToGrid/>
              <w:spacing w:before="0" w:beforeLines="0" w:after="0" w:afterLines="0" w:line="360" w:lineRule="exact"/>
              <w:textAlignment w:val="auto"/>
              <w:outlineLvl w:val="9"/>
              <w:rPr>
                <w:rFonts w:hint="eastAsia" w:ascii="宋体" w:hAnsi="宋体" w:eastAsia="宋体" w:cs="Times New Roman"/>
                <w:kern w:val="2"/>
                <w:sz w:val="24"/>
                <w:szCs w:val="21"/>
                <w:highlight w:val="none"/>
                <w:lang w:val="en-US" w:eastAsia="zh-CN" w:bidi="ar-SA"/>
              </w:rPr>
            </w:pPr>
            <w:bookmarkStart w:id="263" w:name="_Toc29477"/>
            <w:r>
              <w:rPr>
                <w:rFonts w:hint="eastAsia" w:ascii="宋体" w:hAnsi="宋体" w:eastAsia="宋体" w:cs="宋体"/>
                <w:color w:val="000000" w:themeColor="text1"/>
                <w:sz w:val="24"/>
                <w:szCs w:val="24"/>
                <w:highlight w:val="none"/>
                <w14:textFill>
                  <w14:solidFill>
                    <w14:schemeClr w14:val="tx1"/>
                  </w14:solidFill>
                </w14:textFill>
              </w:rPr>
              <w:t>式中：D为评标基准价；Di为某投标人的投标总价；E为扣分因子，当Di＞D时，E＝</w:t>
            </w:r>
            <w:r>
              <w:rPr>
                <w:rFonts w:hint="eastAsia" w:hAnsi="宋体" w:eastAsia="宋体" w:cs="宋体"/>
                <w:color w:val="000000" w:themeColor="text1"/>
                <w:sz w:val="24"/>
                <w:szCs w:val="24"/>
                <w:highlight w:val="none"/>
                <w:lang w:val="en-US" w:eastAsia="zh-CN"/>
                <w14:textFill>
                  <w14:solidFill>
                    <w14:schemeClr w14:val="tx1"/>
                  </w14:solidFill>
                </w14:textFill>
              </w:rPr>
              <w:t>0.2</w:t>
            </w:r>
            <w:r>
              <w:rPr>
                <w:rFonts w:hint="eastAsia" w:ascii="宋体" w:hAnsi="宋体" w:eastAsia="宋体" w:cs="宋体"/>
                <w:color w:val="000000" w:themeColor="text1"/>
                <w:sz w:val="24"/>
                <w:szCs w:val="24"/>
                <w:highlight w:val="none"/>
                <w14:textFill>
                  <w14:solidFill>
                    <w14:schemeClr w14:val="tx1"/>
                  </w14:solidFill>
                </w14:textFill>
              </w:rPr>
              <w:t>；当Di＜D时，E＝</w:t>
            </w:r>
            <w:r>
              <w:rPr>
                <w:rFonts w:hint="eastAsia" w:hAnsi="宋体" w:eastAsia="宋体" w:cs="宋体"/>
                <w:color w:val="000000" w:themeColor="text1"/>
                <w:sz w:val="24"/>
                <w:szCs w:val="24"/>
                <w:highlight w:val="none"/>
                <w:lang w:val="en-US" w:eastAsia="zh-CN"/>
                <w14:textFill>
                  <w14:solidFill>
                    <w14:schemeClr w14:val="tx1"/>
                  </w14:solidFill>
                </w14:textFill>
              </w:rPr>
              <w:t>0.1</w:t>
            </w:r>
            <w:r>
              <w:rPr>
                <w:rFonts w:hint="eastAsia" w:ascii="宋体" w:hAnsi="宋体" w:eastAsia="宋体" w:cs="宋体"/>
                <w:color w:val="000000" w:themeColor="text1"/>
                <w:sz w:val="24"/>
                <w:szCs w:val="24"/>
                <w:highlight w:val="none"/>
                <w14:textFill>
                  <w14:solidFill>
                    <w14:schemeClr w14:val="tx1"/>
                  </w14:solidFill>
                </w14:textFill>
              </w:rPr>
              <w:t>。</w:t>
            </w:r>
            <w:bookmarkEnd w:id="26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10" w:type="dxa"/>
            <w:gridSpan w:val="7"/>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商务技术得分+技术部分得分</w:t>
            </w:r>
            <w:r>
              <w:rPr>
                <w:rFonts w:hint="eastAsia"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投标报价得分=总得分</w:t>
            </w:r>
          </w:p>
        </w:tc>
      </w:tr>
    </w:tbl>
    <w:p>
      <w:pPr>
        <w:pageBreakBefore w:val="0"/>
        <w:kinsoku/>
        <w:wordWrap w:val="0"/>
        <w:overflowPunct/>
        <w:bidi w:val="0"/>
        <w:rPr>
          <w:rFonts w:hint="eastAsia"/>
          <w:color w:val="000000" w:themeColor="text1"/>
          <w:highlight w:val="none"/>
          <w14:textFill>
            <w14:solidFill>
              <w14:schemeClr w14:val="tx1"/>
            </w14:solidFill>
          </w14:textFill>
        </w:rPr>
      </w:pPr>
    </w:p>
    <w:p>
      <w:pPr>
        <w:pageBreakBefore w:val="0"/>
        <w:kinsoku/>
        <w:wordWrap w:val="0"/>
        <w:overflowPunct/>
        <w:bidi w:val="0"/>
        <w:spacing w:line="440" w:lineRule="exact"/>
        <w:rPr>
          <w:rFonts w:hint="eastAsia" w:asciiTheme="minorEastAsia" w:hAnsiTheme="minorEastAsia" w:eastAsiaTheme="minorEastAsia" w:cstheme="minorEastAsia"/>
          <w:color w:val="000000" w:themeColor="text1"/>
          <w:spacing w:val="10"/>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0"/>
          <w:kern w:val="0"/>
          <w:szCs w:val="24"/>
          <w:highlight w:val="none"/>
          <w14:textFill>
            <w14:solidFill>
              <w14:schemeClr w14:val="tx1"/>
            </w14:solidFill>
          </w14:textFill>
        </w:rPr>
        <w:t>备注：</w:t>
      </w:r>
    </w:p>
    <w:p>
      <w:pPr>
        <w:pageBreakBefore w:val="0"/>
        <w:kinsoku/>
        <w:wordWrap w:val="0"/>
        <w:overflowPunct/>
        <w:bidi w:val="0"/>
        <w:spacing w:line="440" w:lineRule="exact"/>
        <w:ind w:firstLine="482" w:firstLineChars="200"/>
        <w:rPr>
          <w:rFonts w:hint="eastAsia" w:asciiTheme="minorEastAsia" w:hAnsiTheme="minorEastAsia" w:eastAsiaTheme="minorEastAsia" w:cstheme="minorEastAsia"/>
          <w:b/>
          <w:bCs/>
          <w:color w:val="000000" w:themeColor="text1"/>
          <w:szCs w:val="24"/>
          <w:highlight w:val="none"/>
          <w:u w:val="doubl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w:t>
      </w:r>
      <w:r>
        <w:rPr>
          <w:rFonts w:hint="eastAsia" w:asciiTheme="minorEastAsia" w:hAnsiTheme="minorEastAsia" w:eastAsiaTheme="minorEastAsia" w:cstheme="minorEastAsia"/>
          <w:b/>
          <w:bCs/>
          <w:color w:val="000000" w:themeColor="text1"/>
          <w:szCs w:val="24"/>
          <w:highlight w:val="none"/>
          <w:u w:val="double"/>
          <w14:textFill>
            <w14:solidFill>
              <w14:schemeClr w14:val="tx1"/>
            </w14:solidFill>
          </w14:textFill>
        </w:rPr>
        <w:t>评分如出现小数点，则保留小数点后两位，第三位四舍五入。</w:t>
      </w:r>
    </w:p>
    <w:p>
      <w:pPr>
        <w:pageBreakBefore w:val="0"/>
        <w:kinsoku/>
        <w:wordWrap w:val="0"/>
        <w:overflowPunct/>
        <w:bidi w:val="0"/>
        <w:spacing w:line="440" w:lineRule="exact"/>
        <w:ind w:firstLine="482" w:firstLineChars="200"/>
        <w:rPr>
          <w:rFonts w:hint="eastAsia" w:asciiTheme="minorEastAsia" w:hAnsiTheme="minorEastAsia" w:eastAsiaTheme="minorEastAsia" w:cstheme="minorEastAsia"/>
          <w:b/>
          <w:color w:val="000000" w:themeColor="text1"/>
          <w:kern w:val="1"/>
          <w:highlight w:val="none"/>
          <w:u w:val="singl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w:t>
      </w:r>
      <w:r>
        <w:rPr>
          <w:rFonts w:hint="eastAsia" w:asciiTheme="minorEastAsia" w:hAnsiTheme="minorEastAsia" w:eastAsiaTheme="minorEastAsia" w:cstheme="minorEastAsia"/>
          <w:b/>
          <w:bCs/>
          <w:color w:val="000000" w:themeColor="text1"/>
          <w:szCs w:val="24"/>
          <w:highlight w:val="none"/>
          <w:u w:val="double"/>
          <w14:textFill>
            <w14:solidFill>
              <w14:schemeClr w14:val="tx1"/>
            </w14:solidFill>
          </w14:textFill>
        </w:rPr>
        <w:t>如果某投标人的建安工程费下浮率高于15%时，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p>
    <w:p>
      <w:pPr>
        <w:pageBreakBefore w:val="0"/>
        <w:kinsoku/>
        <w:wordWrap w:val="0"/>
        <w:overflowPunct/>
        <w:bidi w:val="0"/>
        <w:adjustRightInd w:val="0"/>
        <w:snapToGrid w:val="0"/>
        <w:spacing w:line="440" w:lineRule="exact"/>
        <w:ind w:firstLine="520" w:firstLineChars="200"/>
        <w:rPr>
          <w:rFonts w:hint="eastAsia" w:asciiTheme="minorEastAsia" w:hAnsiTheme="minorEastAsia" w:eastAsiaTheme="minorEastAsia" w:cstheme="minorEastAsia"/>
          <w:bCs/>
          <w:color w:val="000000" w:themeColor="text1"/>
          <w:spacing w:val="10"/>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ind w:firstLine="52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pacing w:val="10"/>
          <w:kern w:val="0"/>
          <w:szCs w:val="24"/>
          <w:highlight w:val="none"/>
          <w14:textFill>
            <w14:solidFill>
              <w14:schemeClr w14:val="tx1"/>
            </w14:solidFill>
          </w14:textFill>
        </w:rPr>
        <w:t>14.</w:t>
      </w:r>
      <w:r>
        <w:rPr>
          <w:rFonts w:hint="eastAsia" w:asciiTheme="minorEastAsia" w:hAnsiTheme="minorEastAsia" w:eastAsiaTheme="minorEastAsia" w:cstheme="minorEastAsia"/>
          <w:bCs/>
          <w:color w:val="000000" w:themeColor="text1"/>
          <w:spacing w:val="10"/>
          <w:kern w:val="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Cs/>
          <w:color w:val="000000" w:themeColor="text1"/>
          <w:spacing w:val="10"/>
          <w:kern w:val="0"/>
          <w:szCs w:val="24"/>
          <w:highlight w:val="none"/>
          <w14:textFill>
            <w14:solidFill>
              <w14:schemeClr w14:val="tx1"/>
            </w14:solidFill>
          </w14:textFill>
        </w:rPr>
        <w:t>.2</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否决投标说明</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详细评审阶段否决投标的全部条件，在本章第四节“否决投标条件”第1条至第4条中集中列示。投标人有其中所列任何一种情形的，由评标委员会否决其投标。经详细评审后，有效投标人数量不足3个时，招标人应依法重新组织招标。</w:t>
      </w:r>
    </w:p>
    <w:p>
      <w:pPr>
        <w:pStyle w:val="37"/>
        <w:pageBreakBefore w:val="0"/>
        <w:kinsoku/>
        <w:wordWrap w:val="0"/>
        <w:overflowPunct/>
        <w:bidi w:val="0"/>
        <w:spacing w:line="400" w:lineRule="exact"/>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注：投标人在详细评审阶段根据评分方法提供的佐证材料，其合法性、有效性和准确性不符合要求的，有关量化因素（或评分因素）的折算、调整（或评分）按相应量化标准（或评分标准）处理，但不否决投标。</w:t>
      </w:r>
    </w:p>
    <w:p>
      <w:pPr>
        <w:pStyle w:val="39"/>
        <w:keepNext/>
        <w:keepLines/>
        <w:pageBreakBefore w:val="0"/>
        <w:kinsoku/>
        <w:wordWrap w:val="0"/>
        <w:overflowPunct/>
        <w:bidi w:val="0"/>
        <w:ind w:firstLine="480"/>
        <w:jc w:val="both"/>
        <w:rPr>
          <w:rStyle w:val="52"/>
          <w:rFonts w:hint="eastAsia" w:ascii="宋体" w:hAnsi="宋体" w:eastAsia="宋体" w:cs="宋体"/>
          <w:b/>
          <w:bCs/>
          <w:color w:val="auto"/>
          <w:highlight w:val="none"/>
        </w:rPr>
      </w:pPr>
      <w:bookmarkStart w:id="264" w:name="_Toc21817"/>
      <w:r>
        <w:rPr>
          <w:rFonts w:hint="eastAsia" w:ascii="宋体" w:hAnsi="宋体" w:eastAsia="宋体" w:cs="宋体"/>
          <w:b/>
          <w:color w:val="000000" w:themeColor="text1"/>
          <w:highlight w:val="none"/>
          <w:lang w:val="en-US" w:eastAsia="zh-CN"/>
          <w14:textFill>
            <w14:solidFill>
              <w14:schemeClr w14:val="tx1"/>
            </w14:solidFill>
          </w14:textFill>
        </w:rPr>
        <w:t>15、</w:t>
      </w:r>
      <w:r>
        <w:rPr>
          <w:rStyle w:val="52"/>
          <w:rFonts w:hint="eastAsia" w:ascii="宋体" w:hAnsi="宋体" w:eastAsia="宋体" w:cs="宋体"/>
          <w:b/>
          <w:bCs/>
          <w:color w:val="auto"/>
          <w:highlight w:val="none"/>
          <w:lang w:val="en-US" w:eastAsia="zh-CN"/>
        </w:rPr>
        <w:t>评</w:t>
      </w:r>
      <w:r>
        <w:rPr>
          <w:rStyle w:val="52"/>
          <w:rFonts w:hint="eastAsia" w:ascii="宋体" w:hAnsi="宋体" w:eastAsia="宋体" w:cs="宋体"/>
          <w:b/>
          <w:bCs/>
          <w:color w:val="auto"/>
          <w:highlight w:val="none"/>
        </w:rPr>
        <w:t>标</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结果</w:t>
      </w:r>
      <w:r>
        <w:rPr>
          <w:rStyle w:val="52"/>
          <w:rFonts w:hint="eastAsia" w:ascii="宋体" w:hAnsi="宋体" w:eastAsia="宋体" w:cs="宋体"/>
          <w:b/>
          <w:bCs/>
          <w:color w:val="auto"/>
          <w:highlight w:val="none"/>
        </w:rPr>
        <w:t>公示</w:t>
      </w:r>
      <w:bookmarkEnd w:id="264"/>
    </w:p>
    <w:p>
      <w:pPr>
        <w:snapToGrid w:val="0"/>
        <w:spacing w:line="360" w:lineRule="auto"/>
        <w:ind w:firstLine="480" w:firstLineChars="200"/>
        <w:rPr>
          <w:rStyle w:val="52"/>
          <w:rFonts w:hint="eastAsia" w:ascii="宋体" w:hAnsi="宋体" w:eastAsia="宋体" w:cs="宋体"/>
          <w:b w:val="0"/>
          <w:bCs w:val="0"/>
          <w:color w:val="auto"/>
          <w:highlight w:val="none"/>
        </w:rPr>
      </w:pPr>
      <w:r>
        <w:rPr>
          <w:rStyle w:val="52"/>
          <w:rFonts w:hint="eastAsia" w:ascii="宋体" w:hAnsi="宋体" w:eastAsia="宋体" w:cs="宋体"/>
          <w:b w:val="0"/>
          <w:bCs w:val="0"/>
          <w:color w:val="auto"/>
          <w:highlight w:val="none"/>
        </w:rPr>
        <w:t>1</w:t>
      </w:r>
      <w:r>
        <w:rPr>
          <w:rStyle w:val="52"/>
          <w:rFonts w:hint="eastAsia" w:ascii="宋体" w:hAnsi="宋体" w:eastAsia="宋体" w:cs="宋体"/>
          <w:b w:val="0"/>
          <w:bCs w:val="0"/>
          <w:color w:val="auto"/>
          <w:highlight w:val="none"/>
          <w:lang w:val="en-US"/>
        </w:rPr>
        <w:t>5</w:t>
      </w:r>
      <w:r>
        <w:rPr>
          <w:rStyle w:val="52"/>
          <w:rFonts w:hint="eastAsia" w:ascii="宋体" w:hAnsi="宋体" w:eastAsia="宋体" w:cs="宋体"/>
          <w:b w:val="0"/>
          <w:bCs w:val="0"/>
          <w:color w:val="auto"/>
          <w:highlight w:val="none"/>
        </w:rPr>
        <w:t>.1 评标委员会按照投标人评审综合总得分由高到低的原则,向招标人推荐已明确的定标候选人数量（不标明排序）。评标委员会推荐定标候选人后，招标人应于评标会结束后3日内将定标候选人和评标情况在广东省招标投标监管网和韶关市公共资源交易中心建设工程交易系统上公示，公示时间不少于3日。公示主要内容包括：（1）定标候选人名称、投标报价、业绩奖项、质量、工期、拟派驻招标项目管理机构人员信息等；（2）定标候选人按照招标文件要求承诺的项目负责人姓名及相关证书名称和编号；（3）响应招标文件要求的资格能力条件；（4）提出异议的渠道和方式；（5）评标专家代码（评标专家姓名可用代码进行标示，如专家一、专家二等）及其对应的具体评标意见（含对否决投标人相关意见等）以及评标报告；（6）投标文件；（7）招标文件确认公示的其他内容。</w:t>
      </w:r>
    </w:p>
    <w:p>
      <w:pPr>
        <w:pStyle w:val="39"/>
        <w:keepNext/>
        <w:keepLines/>
        <w:pageBreakBefore w:val="0"/>
        <w:kinsoku/>
        <w:wordWrap w:val="0"/>
        <w:overflowPunct/>
        <w:bidi w:val="0"/>
        <w:ind w:firstLine="480"/>
        <w:jc w:val="both"/>
        <w:rPr>
          <w:rFonts w:hint="eastAsia" w:ascii="宋体" w:hAnsi="宋体" w:eastAsia="宋体" w:cs="宋体"/>
          <w:color w:val="auto"/>
          <w:spacing w:val="0"/>
          <w:sz w:val="24"/>
          <w:szCs w:val="24"/>
          <w:highlight w:val="none"/>
          <w:lang w:eastAsia="zh-CN"/>
        </w:rPr>
      </w:pPr>
      <w:bookmarkStart w:id="265" w:name="_Toc1221"/>
      <w:bookmarkStart w:id="266" w:name="_Toc6322"/>
      <w:bookmarkStart w:id="267" w:name="_Toc16384"/>
      <w:bookmarkStart w:id="268" w:name="_Toc31451"/>
      <w:r>
        <w:rPr>
          <w:rFonts w:hint="eastAsia" w:ascii="宋体" w:hAnsi="宋体" w:eastAsia="宋体" w:cs="宋体"/>
          <w:b/>
          <w:bCs/>
          <w:color w:val="auto"/>
          <w:spacing w:val="0"/>
          <w:sz w:val="24"/>
          <w:szCs w:val="24"/>
          <w:highlight w:val="none"/>
        </w:rPr>
        <w:t>16</w:t>
      </w:r>
      <w:r>
        <w:rPr>
          <w:rFonts w:hint="eastAsia" w:ascii="宋体" w:hAnsi="宋体" w:eastAsia="宋体" w:cs="宋体"/>
          <w:b/>
          <w:bCs/>
          <w:color w:val="auto"/>
          <w:spacing w:val="0"/>
          <w:sz w:val="24"/>
          <w:szCs w:val="24"/>
          <w:highlight w:val="none"/>
          <w:lang w:eastAsia="zh-CN"/>
        </w:rPr>
        <w:t>、</w:t>
      </w:r>
      <w:r>
        <w:rPr>
          <w:rFonts w:hint="eastAsia" w:asciiTheme="minorEastAsia" w:hAnsiTheme="minorEastAsia" w:eastAsiaTheme="minorEastAsia" w:cstheme="minorEastAsia"/>
          <w:b/>
          <w:color w:val="000000" w:themeColor="text1"/>
          <w:kern w:val="2"/>
          <w:highlight w:val="none"/>
          <w:lang w:val="en-US" w:eastAsia="zh-CN"/>
          <w14:textFill>
            <w14:solidFill>
              <w14:schemeClr w14:val="tx1"/>
            </w14:solidFill>
          </w14:textFill>
        </w:rPr>
        <w:t>定</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标</w:t>
      </w:r>
      <w:bookmarkEnd w:id="265"/>
      <w:bookmarkEnd w:id="266"/>
      <w:bookmarkEnd w:id="267"/>
      <w:bookmarkEnd w:id="268"/>
    </w:p>
    <w:p>
      <w:pPr>
        <w:keepNext w:val="0"/>
        <w:keepLines w:val="0"/>
        <w:pageBreakBefore w:val="0"/>
        <w:kinsoku/>
        <w:wordWrap/>
        <w:overflowPunct/>
        <w:topLinePunct w:val="0"/>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rPr>
        <w:t>16.</w:t>
      </w:r>
      <w:r>
        <w:rPr>
          <w:rFonts w:hint="eastAsia" w:ascii="宋体" w:hAnsi="宋体" w:eastAsia="宋体" w:cs="宋体"/>
          <w:b/>
          <w:bCs/>
          <w:color w:val="auto"/>
          <w:spacing w:val="0"/>
          <w:sz w:val="24"/>
          <w:szCs w:val="24"/>
          <w:highlight w:val="none"/>
          <w:lang w:val="en-US" w:eastAsia="zh-CN"/>
        </w:rPr>
        <w:t>1</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定标办法</w:t>
      </w:r>
    </w:p>
    <w:p>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strike w:val="0"/>
          <w:dstrike w:val="0"/>
          <w:color w:val="auto"/>
          <w:kern w:val="2"/>
          <w:sz w:val="24"/>
          <w:szCs w:val="24"/>
          <w:highlight w:val="none"/>
          <w:u w:val="none"/>
          <w:lang w:val="en-US" w:eastAsia="zh-CN" w:bidi="ar-SA"/>
        </w:rPr>
      </w:pPr>
      <w:r>
        <w:rPr>
          <w:rFonts w:hint="eastAsia" w:ascii="宋体" w:hAnsi="宋体" w:eastAsia="宋体" w:cs="宋体"/>
          <w:strike w:val="0"/>
          <w:dstrike w:val="0"/>
          <w:color w:val="auto"/>
          <w:kern w:val="2"/>
          <w:sz w:val="24"/>
          <w:szCs w:val="24"/>
          <w:highlight w:val="none"/>
          <w:u w:val="none"/>
          <w:lang w:val="en-US" w:eastAsia="zh-CN" w:bidi="ar-SA"/>
        </w:rPr>
        <w:t>本项目定标办法由招标人按投标人须知前附表的规定确定。</w:t>
      </w:r>
    </w:p>
    <w:p>
      <w:pPr>
        <w:snapToGrid w:val="0"/>
        <w:spacing w:line="360" w:lineRule="auto"/>
        <w:ind w:firstLine="482" w:firstLineChars="200"/>
        <w:rPr>
          <w:rFonts w:hint="eastAsia" w:ascii="宋体" w:hAnsi="宋体" w:eastAsia="宋体" w:cs="宋体"/>
          <w:b/>
          <w:bCs/>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rPr>
        <w:t>1</w:t>
      </w:r>
      <w:r>
        <w:rPr>
          <w:rFonts w:hint="eastAsia" w:ascii="宋体" w:hAnsi="宋体" w:eastAsia="宋体" w:cs="宋体"/>
          <w:b/>
          <w:bCs/>
          <w:color w:val="auto"/>
          <w:spacing w:val="0"/>
          <w:sz w:val="24"/>
          <w:szCs w:val="24"/>
          <w:highlight w:val="none"/>
          <w:lang w:val="en-US" w:eastAsia="zh-CN"/>
        </w:rPr>
        <w:t>6</w:t>
      </w:r>
      <w:r>
        <w:rPr>
          <w:rFonts w:hint="eastAsia" w:ascii="宋体" w:hAnsi="宋体" w:eastAsia="宋体" w:cs="宋体"/>
          <w:b/>
          <w:bCs/>
          <w:color w:val="auto"/>
          <w:spacing w:val="0"/>
          <w:sz w:val="24"/>
          <w:szCs w:val="24"/>
          <w:highlight w:val="none"/>
        </w:rPr>
        <w:t>.</w:t>
      </w:r>
      <w:r>
        <w:rPr>
          <w:rFonts w:hint="eastAsia" w:ascii="宋体" w:hAnsi="宋体" w:eastAsia="宋体" w:cs="宋体"/>
          <w:b/>
          <w:bCs/>
          <w:color w:val="auto"/>
          <w:spacing w:val="0"/>
          <w:sz w:val="24"/>
          <w:szCs w:val="24"/>
          <w:highlight w:val="none"/>
          <w:lang w:val="en-US" w:eastAsia="zh-CN"/>
        </w:rPr>
        <w:t>2</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定标依据：</w:t>
      </w:r>
    </w:p>
    <w:p>
      <w:pPr>
        <w:snapToGrid w:val="0"/>
        <w:spacing w:line="360" w:lineRule="auto"/>
        <w:ind w:firstLine="480" w:firstLineChars="200"/>
        <w:rPr>
          <w:rStyle w:val="52"/>
          <w:rFonts w:hint="eastAsia" w:ascii="宋体" w:hAnsi="宋体" w:eastAsia="宋体" w:cs="宋体"/>
          <w:b w:val="0"/>
          <w:bCs w:val="0"/>
          <w:color w:val="auto"/>
          <w:szCs w:val="20"/>
          <w:highlight w:val="none"/>
          <w:lang w:val="en-US" w:eastAsia="zh-CN"/>
        </w:rPr>
      </w:pPr>
      <w:r>
        <w:rPr>
          <w:rStyle w:val="52"/>
          <w:rFonts w:hint="eastAsia" w:ascii="宋体" w:hAnsi="宋体" w:eastAsia="宋体" w:cs="宋体"/>
          <w:b w:val="0"/>
          <w:bCs w:val="0"/>
          <w:color w:val="auto"/>
          <w:szCs w:val="20"/>
          <w:highlight w:val="none"/>
          <w:lang w:val="en-US" w:eastAsia="zh-CN"/>
        </w:rPr>
        <w:t>（1）现行的法律、法规、规章、规范性文件及国家、省、市各级政府部门工作文件规定；</w:t>
      </w:r>
    </w:p>
    <w:p>
      <w:pPr>
        <w:snapToGrid w:val="0"/>
        <w:spacing w:line="360" w:lineRule="auto"/>
        <w:ind w:firstLine="480" w:firstLineChars="200"/>
        <w:rPr>
          <w:rStyle w:val="52"/>
          <w:rFonts w:hint="eastAsia" w:ascii="宋体" w:hAnsi="宋体" w:eastAsia="宋体" w:cs="宋体"/>
          <w:b w:val="0"/>
          <w:bCs w:val="0"/>
          <w:color w:val="auto"/>
          <w:szCs w:val="20"/>
          <w:highlight w:val="none"/>
          <w:lang w:val="en-US" w:eastAsia="zh-CN"/>
        </w:rPr>
      </w:pPr>
      <w:r>
        <w:rPr>
          <w:rStyle w:val="52"/>
          <w:rFonts w:hint="eastAsia" w:ascii="宋体" w:hAnsi="宋体" w:eastAsia="宋体" w:cs="宋体"/>
          <w:b w:val="0"/>
          <w:bCs w:val="0"/>
          <w:color w:val="auto"/>
          <w:szCs w:val="20"/>
          <w:highlight w:val="none"/>
          <w:lang w:val="en-US" w:eastAsia="zh-CN"/>
        </w:rPr>
        <w:t>（2）招标文件及其他补充通知和补充资料；</w:t>
      </w:r>
    </w:p>
    <w:p>
      <w:pPr>
        <w:snapToGrid w:val="0"/>
        <w:spacing w:line="360" w:lineRule="auto"/>
        <w:ind w:firstLine="480" w:firstLineChars="200"/>
        <w:rPr>
          <w:rStyle w:val="52"/>
          <w:rFonts w:hint="eastAsia" w:ascii="宋体" w:hAnsi="宋体" w:eastAsia="宋体" w:cs="宋体"/>
          <w:b w:val="0"/>
          <w:bCs w:val="0"/>
          <w:color w:val="auto"/>
          <w:szCs w:val="20"/>
          <w:highlight w:val="none"/>
          <w:lang w:val="en-US" w:eastAsia="zh-CN"/>
        </w:rPr>
      </w:pPr>
      <w:r>
        <w:rPr>
          <w:rStyle w:val="52"/>
          <w:rFonts w:hint="eastAsia" w:ascii="宋体" w:hAnsi="宋体" w:eastAsia="宋体" w:cs="宋体"/>
          <w:b w:val="0"/>
          <w:bCs w:val="0"/>
          <w:color w:val="auto"/>
          <w:szCs w:val="20"/>
          <w:highlight w:val="none"/>
          <w:lang w:val="en-US" w:eastAsia="zh-CN"/>
        </w:rPr>
        <w:t>（3）评标报告以及定标候选人推荐名单；</w:t>
      </w:r>
    </w:p>
    <w:p>
      <w:pPr>
        <w:snapToGrid w:val="0"/>
        <w:spacing w:line="360" w:lineRule="auto"/>
        <w:ind w:firstLine="480" w:firstLineChars="200"/>
        <w:rPr>
          <w:rStyle w:val="52"/>
          <w:rFonts w:hint="eastAsia" w:ascii="宋体" w:hAnsi="宋体" w:eastAsia="宋体" w:cs="宋体"/>
          <w:b w:val="0"/>
          <w:bCs w:val="0"/>
          <w:color w:val="auto"/>
          <w:szCs w:val="20"/>
          <w:highlight w:val="none"/>
          <w:lang w:val="en-US" w:eastAsia="zh-CN"/>
        </w:rPr>
      </w:pPr>
      <w:r>
        <w:rPr>
          <w:rStyle w:val="52"/>
          <w:rFonts w:hint="eastAsia" w:ascii="宋体" w:hAnsi="宋体" w:eastAsia="宋体" w:cs="宋体"/>
          <w:b w:val="0"/>
          <w:bCs w:val="0"/>
          <w:color w:val="auto"/>
          <w:szCs w:val="20"/>
          <w:highlight w:val="none"/>
          <w:lang w:val="en-US" w:eastAsia="zh-CN"/>
        </w:rPr>
        <w:t>（4）定标候选人的</w:t>
      </w:r>
      <w:r>
        <w:rPr>
          <w:rStyle w:val="52"/>
          <w:rFonts w:hint="eastAsia" w:hAnsi="宋体" w:eastAsia="宋体" w:cs="宋体"/>
          <w:b w:val="0"/>
          <w:bCs w:val="0"/>
          <w:color w:val="auto"/>
          <w:szCs w:val="20"/>
          <w:highlight w:val="none"/>
          <w:lang w:val="en-US" w:eastAsia="zh-CN"/>
        </w:rPr>
        <w:t>定标</w:t>
      </w:r>
      <w:r>
        <w:rPr>
          <w:rStyle w:val="52"/>
          <w:rFonts w:hint="eastAsia" w:ascii="宋体" w:hAnsi="宋体" w:eastAsia="宋体" w:cs="宋体"/>
          <w:b w:val="0"/>
          <w:bCs w:val="0"/>
          <w:color w:val="auto"/>
          <w:szCs w:val="20"/>
          <w:highlight w:val="none"/>
          <w:lang w:val="en-US" w:eastAsia="zh-CN"/>
        </w:rPr>
        <w:t>文件；</w:t>
      </w:r>
    </w:p>
    <w:p>
      <w:pPr>
        <w:snapToGrid w:val="0"/>
        <w:spacing w:line="360" w:lineRule="auto"/>
        <w:ind w:firstLine="480" w:firstLineChars="200"/>
        <w:rPr>
          <w:rStyle w:val="52"/>
          <w:rFonts w:hint="eastAsia" w:ascii="宋体" w:hAnsi="宋体" w:eastAsia="宋体" w:cs="宋体"/>
          <w:b w:val="0"/>
          <w:bCs w:val="0"/>
          <w:color w:val="auto"/>
          <w:szCs w:val="20"/>
          <w:highlight w:val="none"/>
          <w:lang w:val="en-US" w:eastAsia="zh-CN"/>
        </w:rPr>
      </w:pPr>
      <w:r>
        <w:rPr>
          <w:rStyle w:val="52"/>
          <w:rFonts w:hint="eastAsia" w:ascii="宋体" w:hAnsi="宋体" w:eastAsia="宋体" w:cs="宋体"/>
          <w:b w:val="0"/>
          <w:bCs w:val="0"/>
          <w:color w:val="auto"/>
          <w:szCs w:val="20"/>
          <w:highlight w:val="none"/>
          <w:lang w:val="en-US" w:eastAsia="zh-CN"/>
        </w:rPr>
        <w:t>（5）开、评标全过程资料；</w:t>
      </w:r>
    </w:p>
    <w:p>
      <w:pPr>
        <w:snapToGrid w:val="0"/>
        <w:spacing w:line="360" w:lineRule="auto"/>
        <w:ind w:firstLine="480" w:firstLineChars="200"/>
        <w:rPr>
          <w:rStyle w:val="52"/>
          <w:rFonts w:hint="eastAsia" w:ascii="宋体" w:hAnsi="宋体" w:eastAsia="宋体" w:cs="宋体"/>
          <w:b w:val="0"/>
          <w:bCs w:val="0"/>
          <w:color w:val="auto"/>
          <w:szCs w:val="20"/>
          <w:highlight w:val="none"/>
          <w:lang w:val="en-US" w:eastAsia="zh-CN"/>
        </w:rPr>
      </w:pPr>
      <w:r>
        <w:rPr>
          <w:rStyle w:val="52"/>
          <w:rFonts w:hint="eastAsia" w:ascii="宋体" w:hAnsi="宋体" w:eastAsia="宋体" w:cs="宋体"/>
          <w:b w:val="0"/>
          <w:bCs w:val="0"/>
          <w:color w:val="auto"/>
          <w:szCs w:val="20"/>
          <w:highlight w:val="none"/>
          <w:lang w:val="en-US" w:eastAsia="zh-CN"/>
        </w:rPr>
        <w:t>（6）对定标候选人的考察评价资料（如有）；</w:t>
      </w:r>
    </w:p>
    <w:p>
      <w:pPr>
        <w:snapToGrid w:val="0"/>
        <w:spacing w:line="360" w:lineRule="auto"/>
        <w:ind w:firstLine="480" w:firstLineChars="200"/>
        <w:rPr>
          <w:rFonts w:hint="eastAsia" w:ascii="宋体" w:hAnsi="宋体" w:eastAsia="宋体" w:cs="宋体"/>
          <w:b/>
          <w:color w:val="auto"/>
          <w:highlight w:val="none"/>
        </w:rPr>
      </w:pPr>
      <w:r>
        <w:rPr>
          <w:rStyle w:val="52"/>
          <w:rFonts w:hint="eastAsia" w:ascii="宋体" w:hAnsi="宋体" w:eastAsia="宋体" w:cs="宋体"/>
          <w:b w:val="0"/>
          <w:bCs w:val="0"/>
          <w:color w:val="auto"/>
          <w:szCs w:val="20"/>
          <w:highlight w:val="none"/>
          <w:lang w:val="en-US" w:eastAsia="zh-CN"/>
        </w:rPr>
        <w:t>（7）关于本工程的其他相关资料。</w:t>
      </w:r>
      <w:r>
        <w:rPr>
          <w:rStyle w:val="52"/>
          <w:rFonts w:hint="eastAsia" w:ascii="宋体" w:hAnsi="宋体" w:eastAsia="宋体" w:cs="宋体"/>
          <w:b w:val="0"/>
          <w:bCs w:val="0"/>
          <w:color w:val="auto"/>
          <w:szCs w:val="20"/>
          <w:highlight w:val="none"/>
          <w:lang w:val="en-US" w:eastAsia="zh-CN"/>
        </w:rPr>
        <w:br w:type="textWrapping"/>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b/>
          <w:bCs/>
          <w:color w:val="auto"/>
          <w:spacing w:val="0"/>
          <w:sz w:val="24"/>
          <w:szCs w:val="24"/>
          <w:highlight w:val="none"/>
        </w:rPr>
        <w:t>1</w:t>
      </w:r>
      <w:r>
        <w:rPr>
          <w:rFonts w:hint="eastAsia" w:ascii="宋体" w:hAnsi="宋体" w:eastAsia="宋体" w:cs="宋体"/>
          <w:b/>
          <w:bCs/>
          <w:color w:val="auto"/>
          <w:spacing w:val="0"/>
          <w:sz w:val="24"/>
          <w:szCs w:val="24"/>
          <w:highlight w:val="none"/>
          <w:lang w:val="en-US" w:eastAsia="zh-CN"/>
        </w:rPr>
        <w:t>6</w:t>
      </w:r>
      <w:r>
        <w:rPr>
          <w:rFonts w:hint="eastAsia" w:ascii="宋体" w:hAnsi="宋体" w:eastAsia="宋体" w:cs="宋体"/>
          <w:b/>
          <w:bCs/>
          <w:color w:val="auto"/>
          <w:spacing w:val="0"/>
          <w:sz w:val="24"/>
          <w:szCs w:val="24"/>
          <w:highlight w:val="none"/>
        </w:rPr>
        <w:t>.</w:t>
      </w:r>
      <w:r>
        <w:rPr>
          <w:rFonts w:hint="eastAsia" w:ascii="宋体" w:hAnsi="宋体" w:eastAsia="宋体" w:cs="宋体"/>
          <w:b/>
          <w:bCs/>
          <w:color w:val="auto"/>
          <w:spacing w:val="0"/>
          <w:sz w:val="24"/>
          <w:szCs w:val="24"/>
          <w:highlight w:val="none"/>
          <w:lang w:val="en-US" w:eastAsia="zh-CN"/>
        </w:rPr>
        <w:t>2</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定标监督小组：</w:t>
      </w:r>
      <w:r>
        <w:rPr>
          <w:rFonts w:hint="eastAsia" w:ascii="宋体" w:hAnsi="宋体" w:eastAsia="宋体" w:cs="宋体"/>
          <w:b/>
          <w:bCs/>
          <w:color w:val="auto"/>
          <w:spacing w:val="0"/>
          <w:sz w:val="24"/>
          <w:szCs w:val="24"/>
          <w:highlight w:val="none"/>
          <w:lang w:val="en-US" w:eastAsia="zh-CN"/>
        </w:rPr>
        <w:br w:type="textWrapping"/>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strike w:val="0"/>
          <w:dstrike w:val="0"/>
          <w:color w:val="auto"/>
          <w:kern w:val="2"/>
          <w:sz w:val="24"/>
          <w:szCs w:val="24"/>
          <w:highlight w:val="none"/>
          <w:u w:val="none"/>
          <w:lang w:val="en-US" w:eastAsia="zh-CN"/>
        </w:rPr>
        <w:t>招标人应组建招标监督小组，招标</w:t>
      </w:r>
      <w:r>
        <w:rPr>
          <w:rFonts w:hint="eastAsia" w:hAnsi="宋体" w:eastAsia="宋体" w:cs="宋体"/>
          <w:b w:val="0"/>
          <w:bCs w:val="0"/>
          <w:color w:val="auto"/>
          <w:sz w:val="24"/>
          <w:szCs w:val="24"/>
          <w:highlight w:val="none"/>
          <w:u w:val="none"/>
          <w:lang w:val="en-US" w:eastAsia="zh-CN"/>
        </w:rPr>
        <w:t>监督小组应当推荐一名组长，</w:t>
      </w:r>
      <w:r>
        <w:rPr>
          <w:rFonts w:hint="eastAsia" w:ascii="宋体" w:hAnsi="宋体" w:eastAsia="宋体" w:cs="宋体"/>
          <w:strike w:val="0"/>
          <w:dstrike w:val="0"/>
          <w:color w:val="auto"/>
          <w:kern w:val="2"/>
          <w:sz w:val="24"/>
          <w:szCs w:val="24"/>
          <w:highlight w:val="none"/>
          <w:u w:val="none"/>
          <w:lang w:val="en-US" w:eastAsia="zh-CN"/>
        </w:rPr>
        <w:t>对招标投标活动全过程进行监督，及时指出、制止违反程序及纪律的行为，但不得就评标、定标涉及的实质内容发表意见或者参与定标委员会的讨论。相关人员存在违反程序及纪律的行为被指出后仍拒绝纠正的、发现招标投标活动存在其他违反相关规定行为的，招标监督小组应如实记录并及时报告招标人单位主要负责人、行政监督部门。</w:t>
      </w:r>
    </w:p>
    <w:p>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360" w:lineRule="auto"/>
        <w:ind w:left="0" w:leftChars="0" w:firstLine="480" w:firstLineChars="200"/>
        <w:jc w:val="both"/>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b/>
          <w:bCs/>
          <w:color w:val="auto"/>
          <w:spacing w:val="0"/>
          <w:sz w:val="24"/>
          <w:szCs w:val="24"/>
          <w:highlight w:val="none"/>
        </w:rPr>
        <w:t>1</w:t>
      </w:r>
      <w:r>
        <w:rPr>
          <w:rFonts w:hint="eastAsia" w:ascii="宋体" w:hAnsi="宋体" w:eastAsia="宋体" w:cs="宋体"/>
          <w:b/>
          <w:bCs/>
          <w:color w:val="auto"/>
          <w:spacing w:val="0"/>
          <w:sz w:val="24"/>
          <w:szCs w:val="24"/>
          <w:highlight w:val="none"/>
          <w:lang w:val="en-US" w:eastAsia="zh-CN"/>
        </w:rPr>
        <w:t>6</w:t>
      </w:r>
      <w:r>
        <w:rPr>
          <w:rFonts w:hint="eastAsia" w:ascii="宋体" w:hAnsi="宋体" w:eastAsia="宋体" w:cs="宋体"/>
          <w:b/>
          <w:bCs/>
          <w:color w:val="auto"/>
          <w:spacing w:val="0"/>
          <w:sz w:val="24"/>
          <w:szCs w:val="24"/>
          <w:highlight w:val="none"/>
        </w:rPr>
        <w:t>.</w:t>
      </w:r>
      <w:r>
        <w:rPr>
          <w:rFonts w:hint="eastAsia" w:ascii="宋体" w:hAnsi="宋体" w:eastAsia="宋体" w:cs="宋体"/>
          <w:b/>
          <w:bCs/>
          <w:color w:val="auto"/>
          <w:spacing w:val="0"/>
          <w:sz w:val="24"/>
          <w:szCs w:val="24"/>
          <w:highlight w:val="none"/>
          <w:lang w:val="en-US" w:eastAsia="zh-CN"/>
        </w:rPr>
        <w:t>3</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定标委员会：</w:t>
      </w:r>
      <w:r>
        <w:rPr>
          <w:rFonts w:hint="eastAsia" w:ascii="宋体" w:hAnsi="宋体" w:eastAsia="宋体" w:cs="宋体"/>
          <w:b/>
          <w:bCs/>
          <w:color w:val="auto"/>
          <w:spacing w:val="0"/>
          <w:sz w:val="24"/>
          <w:szCs w:val="24"/>
          <w:highlight w:val="none"/>
          <w:lang w:val="en-US" w:eastAsia="zh-CN"/>
        </w:rPr>
        <w:br w:type="textWrapping"/>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b w:val="0"/>
          <w:bCs w:val="0"/>
          <w:color w:val="auto"/>
          <w:sz w:val="24"/>
          <w:szCs w:val="24"/>
          <w:highlight w:val="none"/>
          <w:u w:val="none"/>
          <w:lang w:val="en-US" w:eastAsia="zh-CN"/>
        </w:rPr>
        <w:t>招标人负责组建定标委员会，</w:t>
      </w:r>
      <w:r>
        <w:rPr>
          <w:rFonts w:hint="eastAsia" w:hAnsi="宋体" w:eastAsia="宋体" w:cs="宋体"/>
          <w:b w:val="0"/>
          <w:bCs w:val="0"/>
          <w:color w:val="auto"/>
          <w:sz w:val="24"/>
          <w:szCs w:val="24"/>
          <w:highlight w:val="none"/>
          <w:u w:val="none"/>
          <w:lang w:val="en-US" w:eastAsia="zh-CN"/>
        </w:rPr>
        <w:t>定标委员会应当推荐一名组长（若</w:t>
      </w:r>
      <w:r>
        <w:rPr>
          <w:rFonts w:hint="eastAsia" w:ascii="宋体" w:hAnsi="宋体" w:eastAsia="宋体" w:cs="宋体"/>
          <w:b w:val="0"/>
          <w:bCs w:val="0"/>
          <w:color w:val="auto"/>
          <w:sz w:val="24"/>
          <w:szCs w:val="24"/>
          <w:highlight w:val="none"/>
          <w:u w:val="none"/>
          <w:lang w:val="en-US" w:eastAsia="zh-CN"/>
        </w:rPr>
        <w:t>招标人的法定代表人或者主要负责人</w:t>
      </w:r>
      <w:r>
        <w:rPr>
          <w:rFonts w:hint="eastAsia" w:hAnsi="宋体" w:eastAsia="宋体" w:cs="宋体"/>
          <w:b w:val="0"/>
          <w:bCs w:val="0"/>
          <w:color w:val="auto"/>
          <w:sz w:val="24"/>
          <w:szCs w:val="24"/>
          <w:highlight w:val="none"/>
          <w:u w:val="none"/>
          <w:lang w:val="en-US" w:eastAsia="zh-CN"/>
        </w:rPr>
        <w:t>参加定标的由其直接</w:t>
      </w:r>
      <w:r>
        <w:rPr>
          <w:rFonts w:hint="eastAsia" w:ascii="宋体" w:hAnsi="宋体" w:eastAsia="宋体" w:cs="宋体"/>
          <w:b w:val="0"/>
          <w:bCs w:val="0"/>
          <w:color w:val="auto"/>
          <w:sz w:val="24"/>
          <w:szCs w:val="24"/>
          <w:highlight w:val="none"/>
          <w:u w:val="none"/>
          <w:lang w:val="en-US" w:eastAsia="zh-CN"/>
        </w:rPr>
        <w:t>担任定标委员会组长</w:t>
      </w:r>
      <w:r>
        <w:rPr>
          <w:rFonts w:hint="eastAsia" w:hAnsi="宋体" w:eastAsia="宋体" w:cs="宋体"/>
          <w:b w:val="0"/>
          <w:bCs w:val="0"/>
          <w:color w:val="auto"/>
          <w:sz w:val="24"/>
          <w:szCs w:val="24"/>
          <w:highlight w:val="none"/>
          <w:u w:val="none"/>
          <w:lang w:val="en-US" w:eastAsia="zh-CN"/>
        </w:rPr>
        <w:t>）</w:t>
      </w:r>
      <w:r>
        <w:rPr>
          <w:rFonts w:hint="eastAsia" w:ascii="宋体" w:hAnsi="宋体" w:eastAsia="宋体" w:cs="宋体"/>
          <w:b w:val="0"/>
          <w:bCs w:val="0"/>
          <w:color w:val="auto"/>
          <w:sz w:val="24"/>
          <w:szCs w:val="24"/>
          <w:highlight w:val="none"/>
          <w:u w:val="none"/>
          <w:lang w:val="en-US" w:eastAsia="zh-CN"/>
        </w:rPr>
        <w:t>。定标委员会的组成方式和人员由招标人按相关规定自行确定。招标项目对技术、商务等有特别要求的可从广东省综合评标评审专家库抽取专家(外部人员）补足，成员数量为7人及以上单数，成员数量应在招标文件中明确。专家人数原则上不超过2人。定标委员会成员数量在本投标人须知前附表中约定。</w:t>
      </w:r>
    </w:p>
    <w:p>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360" w:lineRule="auto"/>
        <w:ind w:left="0" w:leftChars="0" w:firstLine="482" w:firstLineChars="200"/>
        <w:jc w:val="both"/>
        <w:textAlignment w:val="auto"/>
        <w:outlineLvl w:val="9"/>
        <w:rPr>
          <w:rFonts w:hint="default" w:ascii="宋体" w:hAnsi="宋体" w:eastAsia="宋体" w:cs="宋体"/>
          <w:color w:val="auto"/>
          <w:spacing w:val="0"/>
          <w:sz w:val="24"/>
          <w:szCs w:val="24"/>
          <w:highlight w:val="none"/>
          <w:lang w:val="en-US"/>
        </w:rPr>
      </w:pPr>
      <w:r>
        <w:rPr>
          <w:rFonts w:hint="eastAsia" w:ascii="宋体" w:hAnsi="宋体" w:eastAsia="宋体" w:cs="宋体"/>
          <w:b/>
          <w:bCs/>
          <w:color w:val="auto"/>
          <w:spacing w:val="0"/>
          <w:sz w:val="24"/>
          <w:szCs w:val="24"/>
          <w:highlight w:val="none"/>
          <w:lang w:val="en-US" w:eastAsia="zh-CN"/>
        </w:rPr>
        <w:t>16.4</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w:t>
      </w:r>
      <w:r>
        <w:rPr>
          <w:rFonts w:hint="eastAsia" w:ascii="宋体" w:hAnsi="宋体" w:eastAsia="宋体" w:cs="宋体"/>
          <w:b/>
          <w:bCs/>
          <w:color w:val="auto"/>
          <w:spacing w:val="0"/>
          <w:sz w:val="24"/>
          <w:szCs w:val="24"/>
          <w:highlight w:val="none"/>
        </w:rPr>
        <w:t>标</w:t>
      </w:r>
      <w:r>
        <w:rPr>
          <w:rFonts w:hint="eastAsia" w:ascii="宋体" w:hAnsi="宋体" w:eastAsia="宋体" w:cs="宋体"/>
          <w:b/>
          <w:bCs/>
          <w:color w:val="auto"/>
          <w:spacing w:val="0"/>
          <w:sz w:val="24"/>
          <w:szCs w:val="24"/>
          <w:highlight w:val="none"/>
          <w:lang w:val="en-US" w:eastAsia="zh-CN"/>
        </w:rPr>
        <w:t>细则</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本项目采用票决数量法定标。</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eastAsia="zh-CN"/>
        </w:rPr>
      </w:pPr>
      <w:r>
        <w:rPr>
          <w:rFonts w:hint="eastAsia" w:ascii="宋体" w:hAnsi="宋体" w:eastAsia="宋体" w:cs="宋体"/>
          <w:b/>
          <w:bCs/>
          <w:color w:val="auto"/>
          <w:spacing w:val="0"/>
          <w:position w:val="0"/>
          <w:sz w:val="24"/>
          <w:szCs w:val="24"/>
          <w:highlight w:val="none"/>
          <w:u w:val="none" w:color="auto"/>
          <w:lang w:val="en-US" w:eastAsia="zh-CN"/>
        </w:rPr>
        <w:t>16.4.1票决数量法程序</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i w:val="0"/>
          <w:snapToGrid/>
          <w:color w:val="auto"/>
          <w:sz w:val="24"/>
          <w:szCs w:val="24"/>
          <w:highlight w:val="none"/>
          <w:u w:val="none"/>
          <w:shd w:val="clear" w:color="auto" w:fill="FFFFFF"/>
          <w:lang w:eastAsia="zh-CN"/>
        </w:rPr>
        <w:t>定标委员会根据定标因素对定标候选人</w:t>
      </w:r>
      <w:r>
        <w:rPr>
          <w:rFonts w:hint="eastAsia" w:hAnsi="宋体" w:eastAsia="宋体" w:cs="宋体"/>
          <w:b w:val="0"/>
          <w:i w:val="0"/>
          <w:snapToGrid/>
          <w:color w:val="auto"/>
          <w:sz w:val="24"/>
          <w:szCs w:val="24"/>
          <w:highlight w:val="none"/>
          <w:u w:val="none"/>
          <w:shd w:val="clear" w:color="auto" w:fill="FFFFFF"/>
          <w:lang w:val="en-US" w:eastAsia="zh-CN"/>
        </w:rPr>
        <w:t>的定标文件</w:t>
      </w:r>
      <w:r>
        <w:rPr>
          <w:rFonts w:hint="eastAsia" w:ascii="宋体" w:hAnsi="宋体" w:eastAsia="宋体" w:cs="宋体"/>
          <w:b w:val="0"/>
          <w:i w:val="0"/>
          <w:snapToGrid/>
          <w:color w:val="auto"/>
          <w:sz w:val="24"/>
          <w:szCs w:val="24"/>
          <w:highlight w:val="none"/>
          <w:u w:val="none"/>
          <w:shd w:val="clear" w:color="auto" w:fill="FFFFFF"/>
          <w:lang w:eastAsia="zh-CN"/>
        </w:rPr>
        <w:t>进行评审比较后，每名定标委员会成员</w:t>
      </w:r>
      <w:r>
        <w:rPr>
          <w:rFonts w:hint="eastAsia" w:ascii="宋体" w:hAnsi="宋体" w:eastAsia="宋体" w:cs="宋体"/>
          <w:color w:val="auto"/>
          <w:sz w:val="24"/>
          <w:szCs w:val="24"/>
          <w:highlight w:val="none"/>
          <w:u w:val="none"/>
          <w:lang w:val="en-US" w:eastAsia="zh-CN"/>
        </w:rPr>
        <w:t>有且仅有投出1票的权利，1票只能投1名定标候选人，</w:t>
      </w:r>
      <w:r>
        <w:rPr>
          <w:rFonts w:hint="eastAsia" w:ascii="宋体" w:hAnsi="宋体" w:eastAsia="宋体" w:cs="宋体"/>
          <w:b w:val="0"/>
          <w:i w:val="0"/>
          <w:snapToGrid/>
          <w:color w:val="auto"/>
          <w:sz w:val="24"/>
          <w:szCs w:val="24"/>
          <w:highlight w:val="none"/>
          <w:u w:val="none"/>
          <w:shd w:val="clear" w:color="auto" w:fill="FFFFFF"/>
          <w:lang w:eastAsia="zh-CN"/>
        </w:rPr>
        <w:t>进行票决排名确定排序的中标候选人。即各定标委员会成员对定标候选人进行投票，按得票高低推荐排序的前三名中标候选人。</w:t>
      </w:r>
      <w:r>
        <w:rPr>
          <w:rFonts w:hint="eastAsia" w:ascii="宋体" w:hAnsi="宋体" w:eastAsia="宋体" w:cs="宋体"/>
          <w:color w:val="auto"/>
          <w:sz w:val="24"/>
          <w:szCs w:val="24"/>
          <w:highlight w:val="none"/>
          <w:u w:val="none"/>
          <w:lang w:val="en-US" w:eastAsia="zh-CN"/>
        </w:rPr>
        <w:t>若第一轮投票中前三名中标候选人有</w:t>
      </w:r>
      <w:r>
        <w:rPr>
          <w:rFonts w:hint="eastAsia" w:ascii="宋体" w:hAnsi="宋体" w:eastAsia="宋体" w:cs="宋体"/>
          <w:color w:val="auto"/>
          <w:sz w:val="24"/>
          <w:szCs w:val="24"/>
          <w:highlight w:val="none"/>
          <w:u w:val="none"/>
          <w:shd w:val="clear" w:color="auto" w:fill="FFFFFF"/>
          <w:lang w:val="en-US" w:eastAsia="zh-CN"/>
        </w:rPr>
        <w:t>得票相同且影响中标候选人排序确定的，由定标委员会对总票数相同的单位进行再次票决确定排序,</w:t>
      </w:r>
      <w:r>
        <w:rPr>
          <w:rFonts w:hint="eastAsia" w:ascii="宋体" w:hAnsi="宋体" w:eastAsia="宋体" w:cs="宋体"/>
          <w:color w:val="auto"/>
          <w:sz w:val="24"/>
          <w:szCs w:val="24"/>
          <w:highlight w:val="none"/>
          <w:u w:val="none"/>
          <w:lang w:val="en-US" w:eastAsia="zh-CN"/>
        </w:rPr>
        <w:t>直至决出排序的前三名中标候选人。若定标候选人中没有符合评审要求的三名中标候选人，则宣告本次招标失败。</w:t>
      </w:r>
      <w:r>
        <w:rPr>
          <w:rFonts w:hint="eastAsia" w:ascii="宋体" w:hAnsi="宋体" w:eastAsia="宋体" w:cs="宋体"/>
          <w:b w:val="0"/>
          <w:i w:val="0"/>
          <w:snapToGrid/>
          <w:color w:val="auto"/>
          <w:sz w:val="24"/>
          <w:szCs w:val="24"/>
          <w:highlight w:val="none"/>
          <w:u w:val="none"/>
          <w:shd w:val="clear" w:color="auto" w:fill="FFFFFF"/>
          <w:lang w:eastAsia="zh-CN"/>
        </w:rPr>
        <w:t>票决采用记名方式并注明投票理由。</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16.4.2</w:t>
      </w:r>
      <w:r>
        <w:rPr>
          <w:rFonts w:hint="eastAsia" w:ascii="宋体" w:hAnsi="宋体" w:eastAsia="宋体" w:cs="宋体"/>
          <w:b/>
          <w:bCs/>
          <w:color w:val="auto"/>
          <w:sz w:val="24"/>
          <w:szCs w:val="24"/>
          <w:highlight w:val="none"/>
          <w:u w:val="none"/>
          <w:shd w:val="clear" w:color="auto" w:fill="FFFFFF"/>
        </w:rPr>
        <w:t>项目情况介绍</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招标人</w:t>
      </w:r>
      <w:r>
        <w:rPr>
          <w:rFonts w:hint="eastAsia" w:hAnsi="宋体" w:eastAsia="宋体" w:cs="宋体"/>
          <w:b w:val="0"/>
          <w:bCs w:val="0"/>
          <w:color w:val="auto"/>
          <w:spacing w:val="0"/>
          <w:position w:val="0"/>
          <w:sz w:val="24"/>
          <w:szCs w:val="24"/>
          <w:highlight w:val="none"/>
          <w:u w:val="none" w:color="auto"/>
          <w:lang w:eastAsia="zh-CN"/>
        </w:rPr>
        <w:t>（</w:t>
      </w:r>
      <w:r>
        <w:rPr>
          <w:rFonts w:hint="eastAsia" w:hAnsi="宋体" w:eastAsia="宋体" w:cs="宋体"/>
          <w:b w:val="0"/>
          <w:bCs w:val="0"/>
          <w:color w:val="auto"/>
          <w:spacing w:val="0"/>
          <w:position w:val="0"/>
          <w:sz w:val="24"/>
          <w:szCs w:val="24"/>
          <w:highlight w:val="none"/>
          <w:u w:val="none" w:color="auto"/>
          <w:lang w:val="en-US" w:eastAsia="zh-CN"/>
        </w:rPr>
        <w:t>招标代理机构</w:t>
      </w:r>
      <w:r>
        <w:rPr>
          <w:rFonts w:hint="eastAsia" w:hAnsi="宋体" w:eastAsia="宋体" w:cs="宋体"/>
          <w:b w:val="0"/>
          <w:bCs w:val="0"/>
          <w:color w:val="auto"/>
          <w:spacing w:val="0"/>
          <w:position w:val="0"/>
          <w:sz w:val="24"/>
          <w:szCs w:val="24"/>
          <w:highlight w:val="none"/>
          <w:u w:val="none" w:color="auto"/>
          <w:lang w:eastAsia="zh-CN"/>
        </w:rPr>
        <w:t>）</w:t>
      </w:r>
      <w:r>
        <w:rPr>
          <w:rFonts w:hint="eastAsia" w:ascii="宋体" w:hAnsi="宋体" w:eastAsia="宋体" w:cs="宋体"/>
          <w:b w:val="0"/>
          <w:bCs w:val="0"/>
          <w:color w:val="auto"/>
          <w:spacing w:val="0"/>
          <w:position w:val="0"/>
          <w:sz w:val="24"/>
          <w:szCs w:val="24"/>
          <w:highlight w:val="none"/>
          <w:u w:val="none" w:color="auto"/>
          <w:lang w:eastAsia="zh-CN"/>
        </w:rPr>
        <w:t>代表介绍项目的概况及招标要求，以及定标方法与定标工作规则，不得发表具有倾向性的言论。</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16.4.3</w:t>
      </w:r>
      <w:r>
        <w:rPr>
          <w:rFonts w:hint="eastAsia" w:ascii="宋体" w:hAnsi="宋体" w:eastAsia="宋体" w:cs="宋体"/>
          <w:b/>
          <w:bCs/>
          <w:color w:val="auto"/>
          <w:sz w:val="24"/>
          <w:szCs w:val="24"/>
          <w:highlight w:val="none"/>
          <w:u w:val="none"/>
          <w:shd w:val="clear" w:color="auto" w:fill="FFFFFF"/>
        </w:rPr>
        <w:t>审阅定标资料</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定标委员会成员对各定标候选人的</w:t>
      </w:r>
      <w:r>
        <w:rPr>
          <w:rFonts w:hint="eastAsia" w:ascii="宋体" w:hAnsi="宋体" w:eastAsia="宋体" w:cs="宋体"/>
          <w:b w:val="0"/>
          <w:bCs w:val="0"/>
          <w:color w:val="auto"/>
          <w:spacing w:val="0"/>
          <w:position w:val="0"/>
          <w:sz w:val="24"/>
          <w:szCs w:val="24"/>
          <w:highlight w:val="none"/>
          <w:u w:val="none" w:color="auto"/>
          <w:lang w:val="en-US" w:eastAsia="zh-CN"/>
        </w:rPr>
        <w:t>定标</w:t>
      </w:r>
      <w:r>
        <w:rPr>
          <w:rFonts w:hint="eastAsia" w:ascii="宋体" w:hAnsi="宋体" w:eastAsia="宋体" w:cs="宋体"/>
          <w:b w:val="0"/>
          <w:bCs w:val="0"/>
          <w:color w:val="auto"/>
          <w:spacing w:val="0"/>
          <w:position w:val="0"/>
          <w:sz w:val="24"/>
          <w:szCs w:val="24"/>
          <w:highlight w:val="none"/>
          <w:u w:val="none" w:color="auto"/>
          <w:lang w:eastAsia="zh-CN"/>
        </w:rPr>
        <w:t>文件进行审阅，审阅内容主要是定标工作规则所规定的定标因素，</w:t>
      </w:r>
      <w:r>
        <w:rPr>
          <w:rFonts w:hint="eastAsia" w:ascii="宋体" w:hAnsi="宋体" w:eastAsia="宋体" w:cs="宋体"/>
          <w:b w:val="0"/>
          <w:bCs w:val="0"/>
          <w:color w:val="auto"/>
          <w:spacing w:val="0"/>
          <w:position w:val="0"/>
          <w:sz w:val="24"/>
          <w:szCs w:val="24"/>
          <w:highlight w:val="none"/>
          <w:u w:val="none" w:color="auto"/>
          <w:lang w:val="en-US" w:eastAsia="zh-CN"/>
        </w:rPr>
        <w:t>聚焦于项目需求与候选人能力的匹配度</w:t>
      </w:r>
      <w:r>
        <w:rPr>
          <w:rFonts w:hint="eastAsia" w:ascii="宋体" w:hAnsi="宋体" w:eastAsia="宋体" w:cs="宋体"/>
          <w:color w:val="auto"/>
          <w:sz w:val="24"/>
          <w:szCs w:val="24"/>
          <w:highlight w:val="none"/>
          <w:u w:val="none"/>
          <w:shd w:val="clear" w:color="auto" w:fill="FFFFFF"/>
          <w:lang w:eastAsia="zh-CN"/>
        </w:rPr>
        <w:t>。</w:t>
      </w:r>
    </w:p>
    <w:p>
      <w:pPr>
        <w:pStyle w:val="20"/>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exact"/>
        <w:ind w:leftChars="228"/>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16.4.4</w:t>
      </w:r>
      <w:r>
        <w:rPr>
          <w:rFonts w:hint="eastAsia" w:ascii="宋体" w:hAnsi="宋体" w:eastAsia="宋体" w:cs="宋体"/>
          <w:b/>
          <w:bCs/>
          <w:color w:val="auto"/>
          <w:sz w:val="24"/>
          <w:szCs w:val="24"/>
          <w:highlight w:val="none"/>
          <w:u w:val="none"/>
          <w:shd w:val="clear" w:color="auto" w:fill="FFFFFF"/>
        </w:rPr>
        <w:t>疑问澄清</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color w:val="auto"/>
          <w:sz w:val="24"/>
          <w:szCs w:val="24"/>
          <w:highlight w:val="none"/>
          <w:u w:val="none"/>
          <w:shd w:val="clear" w:color="auto" w:fill="FFFFFF"/>
        </w:rPr>
        <w:t>讨论过程中，若成员对</w:t>
      </w:r>
      <w:r>
        <w:rPr>
          <w:rFonts w:hint="eastAsia" w:hAnsi="宋体" w:eastAsia="宋体" w:cs="宋体"/>
          <w:color w:val="auto"/>
          <w:sz w:val="24"/>
          <w:szCs w:val="24"/>
          <w:highlight w:val="none"/>
          <w:u w:val="none"/>
          <w:shd w:val="clear" w:color="auto" w:fill="FFFFFF"/>
          <w:lang w:val="en-US" w:eastAsia="zh-CN"/>
        </w:rPr>
        <w:t>定标</w:t>
      </w:r>
      <w:r>
        <w:rPr>
          <w:rFonts w:hint="eastAsia" w:ascii="宋体" w:hAnsi="宋体" w:eastAsia="宋体" w:cs="宋体"/>
          <w:color w:val="auto"/>
          <w:sz w:val="24"/>
          <w:szCs w:val="24"/>
          <w:highlight w:val="none"/>
          <w:u w:val="none"/>
          <w:shd w:val="clear" w:color="auto" w:fill="FFFFFF"/>
        </w:rPr>
        <w:t>文件内容或项目细节存在疑问，可向招标人</w:t>
      </w:r>
      <w:r>
        <w:rPr>
          <w:rFonts w:hint="eastAsia" w:hAnsi="宋体" w:eastAsia="宋体" w:cs="宋体"/>
          <w:b w:val="0"/>
          <w:bCs w:val="0"/>
          <w:color w:val="auto"/>
          <w:spacing w:val="0"/>
          <w:position w:val="0"/>
          <w:sz w:val="24"/>
          <w:szCs w:val="24"/>
          <w:highlight w:val="none"/>
          <w:u w:val="none" w:color="auto"/>
          <w:lang w:eastAsia="zh-CN"/>
        </w:rPr>
        <w:t>（</w:t>
      </w:r>
      <w:r>
        <w:rPr>
          <w:rFonts w:hint="eastAsia" w:hAnsi="宋体" w:eastAsia="宋体" w:cs="宋体"/>
          <w:b w:val="0"/>
          <w:bCs w:val="0"/>
          <w:color w:val="auto"/>
          <w:spacing w:val="0"/>
          <w:position w:val="0"/>
          <w:sz w:val="24"/>
          <w:szCs w:val="24"/>
          <w:highlight w:val="none"/>
          <w:u w:val="none" w:color="auto"/>
          <w:lang w:val="en-US" w:eastAsia="zh-CN"/>
        </w:rPr>
        <w:t>招标代理机构</w:t>
      </w:r>
      <w:r>
        <w:rPr>
          <w:rFonts w:hint="eastAsia" w:hAnsi="宋体" w:eastAsia="宋体" w:cs="宋体"/>
          <w:b w:val="0"/>
          <w:bCs w:val="0"/>
          <w:color w:val="auto"/>
          <w:spacing w:val="0"/>
          <w:position w:val="0"/>
          <w:sz w:val="24"/>
          <w:szCs w:val="24"/>
          <w:highlight w:val="none"/>
          <w:u w:val="none" w:color="auto"/>
          <w:lang w:eastAsia="zh-CN"/>
        </w:rPr>
        <w:t>）</w:t>
      </w:r>
      <w:r>
        <w:rPr>
          <w:rFonts w:hint="eastAsia" w:ascii="宋体" w:hAnsi="宋体" w:eastAsia="宋体" w:cs="宋体"/>
          <w:color w:val="auto"/>
          <w:sz w:val="24"/>
          <w:szCs w:val="24"/>
          <w:highlight w:val="none"/>
          <w:u w:val="none"/>
          <w:shd w:val="clear" w:color="auto" w:fill="FFFFFF"/>
        </w:rPr>
        <w:t>代表提出。招标人</w:t>
      </w:r>
      <w:r>
        <w:rPr>
          <w:rFonts w:hint="eastAsia" w:hAnsi="宋体" w:eastAsia="宋体" w:cs="宋体"/>
          <w:b w:val="0"/>
          <w:bCs w:val="0"/>
          <w:color w:val="auto"/>
          <w:spacing w:val="0"/>
          <w:position w:val="0"/>
          <w:sz w:val="24"/>
          <w:szCs w:val="24"/>
          <w:highlight w:val="none"/>
          <w:u w:val="none" w:color="auto"/>
          <w:lang w:eastAsia="zh-CN"/>
        </w:rPr>
        <w:t>（</w:t>
      </w:r>
      <w:r>
        <w:rPr>
          <w:rFonts w:hint="eastAsia" w:hAnsi="宋体" w:eastAsia="宋体" w:cs="宋体"/>
          <w:b w:val="0"/>
          <w:bCs w:val="0"/>
          <w:color w:val="auto"/>
          <w:spacing w:val="0"/>
          <w:position w:val="0"/>
          <w:sz w:val="24"/>
          <w:szCs w:val="24"/>
          <w:highlight w:val="none"/>
          <w:u w:val="none" w:color="auto"/>
          <w:lang w:val="en-US" w:eastAsia="zh-CN"/>
        </w:rPr>
        <w:t>招标代理机构</w:t>
      </w:r>
      <w:r>
        <w:rPr>
          <w:rFonts w:hint="eastAsia" w:hAnsi="宋体" w:eastAsia="宋体" w:cs="宋体"/>
          <w:b w:val="0"/>
          <w:bCs w:val="0"/>
          <w:color w:val="auto"/>
          <w:spacing w:val="0"/>
          <w:position w:val="0"/>
          <w:sz w:val="24"/>
          <w:szCs w:val="24"/>
          <w:highlight w:val="none"/>
          <w:u w:val="none" w:color="auto"/>
          <w:lang w:eastAsia="zh-CN"/>
        </w:rPr>
        <w:t>）</w:t>
      </w:r>
      <w:r>
        <w:rPr>
          <w:rFonts w:hint="eastAsia" w:ascii="宋体" w:hAnsi="宋体" w:eastAsia="宋体" w:cs="宋体"/>
          <w:color w:val="auto"/>
          <w:sz w:val="24"/>
          <w:szCs w:val="24"/>
          <w:highlight w:val="none"/>
          <w:u w:val="none"/>
          <w:shd w:val="clear" w:color="auto" w:fill="FFFFFF"/>
        </w:rPr>
        <w:t>代表应现场作出答复，答复内容不得改变招标</w:t>
      </w:r>
      <w:r>
        <w:rPr>
          <w:rFonts w:hint="eastAsia" w:hAnsi="宋体" w:eastAsia="宋体" w:cs="宋体"/>
          <w:color w:val="auto"/>
          <w:sz w:val="24"/>
          <w:szCs w:val="24"/>
          <w:highlight w:val="none"/>
          <w:u w:val="none"/>
          <w:shd w:val="clear" w:color="auto" w:fill="FFFFFF"/>
          <w:lang w:val="en-US" w:eastAsia="zh-CN"/>
        </w:rPr>
        <w:t>投标</w:t>
      </w:r>
      <w:r>
        <w:rPr>
          <w:rFonts w:hint="eastAsia" w:ascii="宋体" w:hAnsi="宋体" w:eastAsia="宋体" w:cs="宋体"/>
          <w:color w:val="auto"/>
          <w:sz w:val="24"/>
          <w:szCs w:val="24"/>
          <w:highlight w:val="none"/>
          <w:u w:val="none"/>
          <w:shd w:val="clear" w:color="auto" w:fill="FFFFFF"/>
        </w:rPr>
        <w:t>实质性内容，不得明示或暗示中标人。问答过程需形成书面记录，并由提问人与答复人签字确认。</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kern w:val="0"/>
          <w:sz w:val="24"/>
          <w:szCs w:val="24"/>
          <w:highlight w:val="none"/>
          <w:u w:val="none"/>
          <w:shd w:val="clear" w:color="auto" w:fill="FFFFFF"/>
          <w:lang w:val="en-US" w:eastAsia="zh-CN" w:bidi="ar-SA"/>
        </w:rPr>
        <w:t>16.4.5投票，收票，点票和汇总</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按照票决定标法程序，根据公平、公正、择优原则，独立完成票决后，统一由定标工作人员收集、清点，并对票数进行汇总排名。得票相同且影响中标候选人排序确定的，可由定标委员会对总票数相同的单位进行再次票决确定排序。</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bCs/>
          <w:color w:val="auto"/>
          <w:kern w:val="0"/>
          <w:sz w:val="24"/>
          <w:szCs w:val="24"/>
          <w:highlight w:val="none"/>
          <w:u w:val="none"/>
          <w:shd w:val="clear" w:color="auto" w:fill="FFFFFF"/>
          <w:lang w:val="en-US" w:eastAsia="zh-CN" w:bidi="ar-SA"/>
        </w:rPr>
        <w:t>16.4.6公布结果和出具定标报告</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color w:val="auto"/>
          <w:sz w:val="24"/>
          <w:szCs w:val="24"/>
          <w:highlight w:val="none"/>
          <w:lang w:eastAsia="zh-CN"/>
        </w:rPr>
        <w:t>点票工作完成后，定标委员会组长汇总定标结果，编制定标报告，确定中标候选人，全体成员签名。</w:t>
      </w:r>
    </w:p>
    <w:p>
      <w:pPr>
        <w:pStyle w:val="20"/>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exact"/>
        <w:ind w:left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16.4.7</w:t>
      </w:r>
      <w:r>
        <w:rPr>
          <w:rFonts w:hint="eastAsia" w:ascii="宋体" w:hAnsi="宋体" w:eastAsia="宋体" w:cs="宋体"/>
          <w:b/>
          <w:bCs/>
          <w:color w:val="auto"/>
          <w:sz w:val="24"/>
          <w:szCs w:val="24"/>
          <w:highlight w:val="none"/>
          <w:u w:val="none"/>
          <w:shd w:val="clear" w:color="auto" w:fill="FFFFFF"/>
        </w:rPr>
        <w:t>全程监督</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招标监督小组对集体议定的全过程进行监督，确保程序合规、讨论充分、记录完整，结论形成过程公正、透明。</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16.5定标因素</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i/>
          <w:iCs/>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在同等条件下，择优的定标因素和相对标准有以下几个方面：</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w:t>
      </w:r>
      <w:r>
        <w:rPr>
          <w:rFonts w:hint="eastAsia" w:hAnsi="宋体" w:eastAsia="宋体" w:cs="宋体"/>
          <w:b/>
          <w:bCs/>
          <w:color w:val="auto"/>
          <w:spacing w:val="0"/>
          <w:position w:val="0"/>
          <w:sz w:val="24"/>
          <w:szCs w:val="24"/>
          <w:highlight w:val="none"/>
          <w:u w:val="none" w:color="auto"/>
          <w:lang w:val="en-US" w:eastAsia="zh-CN"/>
        </w:rPr>
        <w:t>1</w:t>
      </w:r>
      <w:r>
        <w:rPr>
          <w:rFonts w:hint="eastAsia" w:ascii="宋体" w:hAnsi="宋体" w:eastAsia="宋体" w:cs="宋体"/>
          <w:b w:val="0"/>
          <w:bCs w:val="0"/>
          <w:color w:val="auto"/>
          <w:spacing w:val="0"/>
          <w:position w:val="0"/>
          <w:sz w:val="24"/>
          <w:szCs w:val="24"/>
          <w:highlight w:val="none"/>
          <w:u w:val="none" w:color="auto"/>
          <w:lang w:val="en-US" w:eastAsia="zh-CN"/>
        </w:rPr>
        <w:t>企业信誉</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相对标准：企业信誉评价好的定标候选人优于企业信誉评价一般的定标候选人。</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w:t>
      </w:r>
      <w:r>
        <w:rPr>
          <w:rFonts w:hint="eastAsia" w:hAnsi="宋体" w:eastAsia="宋体" w:cs="宋体"/>
          <w:b/>
          <w:bCs/>
          <w:color w:val="auto"/>
          <w:spacing w:val="0"/>
          <w:position w:val="0"/>
          <w:sz w:val="24"/>
          <w:szCs w:val="24"/>
          <w:highlight w:val="none"/>
          <w:u w:val="none" w:color="auto"/>
          <w:lang w:val="en-US" w:eastAsia="zh-CN"/>
        </w:rPr>
        <w:t>2</w:t>
      </w:r>
      <w:r>
        <w:rPr>
          <w:rFonts w:hint="eastAsia" w:ascii="宋体" w:hAnsi="宋体" w:eastAsia="宋体" w:cs="宋体"/>
          <w:b w:val="0"/>
          <w:bCs w:val="0"/>
          <w:color w:val="auto"/>
          <w:spacing w:val="0"/>
          <w:position w:val="0"/>
          <w:sz w:val="24"/>
          <w:szCs w:val="24"/>
          <w:highlight w:val="none"/>
          <w:u w:val="none" w:color="auto"/>
          <w:lang w:val="en-US" w:eastAsia="zh-CN"/>
        </w:rPr>
        <w:t>农民工工资保障情况</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default"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相对标准：农民工工资保障情况好的定标候选人优于农民工工资保障情况差的定标候选人（结合定标候选人提交的证明材料和招标人查询的材料进行评审）。</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w:t>
      </w:r>
      <w:r>
        <w:rPr>
          <w:rFonts w:hint="eastAsia" w:hAnsi="宋体" w:eastAsia="宋体" w:cs="宋体"/>
          <w:b/>
          <w:bCs/>
          <w:color w:val="auto"/>
          <w:spacing w:val="0"/>
          <w:position w:val="0"/>
          <w:sz w:val="24"/>
          <w:szCs w:val="24"/>
          <w:highlight w:val="none"/>
          <w:u w:val="none" w:color="auto"/>
          <w:lang w:val="en-US" w:eastAsia="zh-CN"/>
        </w:rPr>
        <w:t>3</w:t>
      </w:r>
      <w:r>
        <w:rPr>
          <w:rFonts w:hint="eastAsia" w:ascii="宋体" w:hAnsi="宋体" w:eastAsia="宋体" w:cs="宋体"/>
          <w:b w:val="0"/>
          <w:bCs w:val="0"/>
          <w:color w:val="auto"/>
          <w:spacing w:val="0"/>
          <w:position w:val="0"/>
          <w:sz w:val="24"/>
          <w:szCs w:val="24"/>
          <w:highlight w:val="none"/>
          <w:u w:val="none" w:color="auto"/>
          <w:lang w:val="en-US" w:eastAsia="zh-CN"/>
        </w:rPr>
        <w:t>拟派团队管理能力与水平（履约能力）</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相对标准：拟派团队管理能力与水平（履约能力）强的定标候选人优于拟派团队管理能力与水平（履约能力）一般的定标候选人。</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w:t>
      </w:r>
      <w:r>
        <w:rPr>
          <w:rFonts w:hint="eastAsia" w:hAnsi="宋体" w:eastAsia="宋体" w:cs="宋体"/>
          <w:b/>
          <w:bCs/>
          <w:color w:val="auto"/>
          <w:spacing w:val="0"/>
          <w:position w:val="0"/>
          <w:sz w:val="24"/>
          <w:szCs w:val="24"/>
          <w:highlight w:val="none"/>
          <w:u w:val="none" w:color="auto"/>
          <w:lang w:val="en-US" w:eastAsia="zh-CN"/>
        </w:rPr>
        <w:t>4</w:t>
      </w:r>
      <w:r>
        <w:rPr>
          <w:rFonts w:hint="eastAsia" w:ascii="宋体" w:hAnsi="宋体" w:eastAsia="宋体" w:cs="宋体"/>
          <w:b w:val="0"/>
          <w:bCs w:val="0"/>
          <w:color w:val="auto"/>
          <w:spacing w:val="0"/>
          <w:position w:val="0"/>
          <w:sz w:val="24"/>
          <w:szCs w:val="24"/>
          <w:highlight w:val="none"/>
          <w:u w:val="none" w:color="auto"/>
          <w:lang w:val="en-US" w:eastAsia="zh-CN"/>
        </w:rPr>
        <w:t>评标报告</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color w:val="auto"/>
          <w:highlight w:val="none"/>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相对标准：评标委员会评审意见为具有优势</w:t>
      </w:r>
      <w:r>
        <w:rPr>
          <w:rFonts w:hint="eastAsia" w:ascii="宋体" w:hAnsi="宋体" w:eastAsia="宋体" w:cs="宋体"/>
          <w:color w:val="auto"/>
          <w:sz w:val="24"/>
          <w:szCs w:val="24"/>
          <w:highlight w:val="none"/>
        </w:rPr>
        <w:t>风险</w:t>
      </w:r>
      <w:r>
        <w:rPr>
          <w:rFonts w:hint="eastAsia" w:ascii="宋体" w:hAnsi="宋体" w:eastAsia="宋体" w:cs="宋体"/>
          <w:color w:val="auto"/>
          <w:sz w:val="24"/>
          <w:szCs w:val="24"/>
          <w:highlight w:val="none"/>
          <w:lang w:val="en-US" w:eastAsia="zh-CN"/>
        </w:rPr>
        <w:t>低</w:t>
      </w:r>
      <w:r>
        <w:rPr>
          <w:rFonts w:hint="eastAsia" w:ascii="宋体" w:hAnsi="宋体" w:eastAsia="宋体" w:cs="宋体"/>
          <w:b w:val="0"/>
          <w:bCs w:val="0"/>
          <w:color w:val="auto"/>
          <w:spacing w:val="0"/>
          <w:position w:val="0"/>
          <w:sz w:val="24"/>
          <w:szCs w:val="24"/>
          <w:highlight w:val="none"/>
          <w:u w:val="none" w:color="auto"/>
          <w:lang w:val="en-US" w:eastAsia="zh-CN"/>
        </w:rPr>
        <w:t>的定标候选人优于评标委员会评审意见为没有优势</w:t>
      </w:r>
      <w:r>
        <w:rPr>
          <w:rFonts w:hint="eastAsia" w:ascii="宋体" w:hAnsi="宋体" w:eastAsia="宋体" w:cs="宋体"/>
          <w:color w:val="auto"/>
          <w:sz w:val="24"/>
          <w:szCs w:val="24"/>
          <w:highlight w:val="none"/>
        </w:rPr>
        <w:t>风险</w:t>
      </w:r>
      <w:r>
        <w:rPr>
          <w:rFonts w:hint="eastAsia" w:ascii="宋体" w:hAnsi="宋体" w:eastAsia="宋体" w:cs="宋体"/>
          <w:color w:val="auto"/>
          <w:sz w:val="24"/>
          <w:szCs w:val="24"/>
          <w:highlight w:val="none"/>
          <w:lang w:val="en-US" w:eastAsia="zh-CN"/>
        </w:rPr>
        <w:t>高</w:t>
      </w:r>
      <w:r>
        <w:rPr>
          <w:rFonts w:hint="eastAsia" w:ascii="宋体" w:hAnsi="宋体" w:eastAsia="宋体" w:cs="宋体"/>
          <w:b w:val="0"/>
          <w:bCs w:val="0"/>
          <w:color w:val="auto"/>
          <w:spacing w:val="0"/>
          <w:position w:val="0"/>
          <w:sz w:val="24"/>
          <w:szCs w:val="24"/>
          <w:highlight w:val="none"/>
          <w:u w:val="none" w:color="auto"/>
          <w:lang w:val="en-US" w:eastAsia="zh-CN"/>
        </w:rPr>
        <w:t>的</w:t>
      </w:r>
      <w:r>
        <w:rPr>
          <w:rFonts w:hint="eastAsia" w:ascii="宋体" w:hAnsi="宋体" w:eastAsia="宋体" w:cs="宋体"/>
          <w:color w:val="auto"/>
          <w:sz w:val="24"/>
          <w:szCs w:val="24"/>
          <w:highlight w:val="none"/>
        </w:rPr>
        <w:t>定标候选人</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pacing w:val="0"/>
          <w:position w:val="0"/>
          <w:sz w:val="24"/>
          <w:szCs w:val="24"/>
          <w:highlight w:val="none"/>
          <w:u w:val="none" w:color="auto"/>
          <w:lang w:val="en-US" w:eastAsia="zh-CN"/>
        </w:rPr>
        <w:t>综合考虑评标委员会的评审意见，对各定标候选人</w:t>
      </w:r>
      <w:r>
        <w:rPr>
          <w:rFonts w:hint="eastAsia" w:ascii="宋体" w:hAnsi="宋体" w:eastAsia="宋体" w:cs="宋体"/>
          <w:color w:val="auto"/>
          <w:sz w:val="24"/>
          <w:szCs w:val="24"/>
          <w:highlight w:val="none"/>
        </w:rPr>
        <w:t>的优势、风险等评审情况</w:t>
      </w:r>
      <w:r>
        <w:rPr>
          <w:rFonts w:hint="eastAsia" w:ascii="宋体" w:hAnsi="宋体" w:eastAsia="宋体" w:cs="宋体"/>
          <w:b w:val="0"/>
          <w:bCs w:val="0"/>
          <w:color w:val="auto"/>
          <w:spacing w:val="0"/>
          <w:position w:val="0"/>
          <w:sz w:val="24"/>
          <w:szCs w:val="24"/>
          <w:highlight w:val="none"/>
          <w:u w:val="none" w:color="auto"/>
          <w:lang w:val="en-US" w:eastAsia="zh-CN"/>
        </w:rPr>
        <w:t>进行评审比较</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pacing w:val="0"/>
          <w:position w:val="0"/>
          <w:sz w:val="24"/>
          <w:szCs w:val="24"/>
          <w:highlight w:val="none"/>
          <w:u w:val="none" w:color="auto"/>
          <w:lang w:val="en-US" w:eastAsia="zh-CN"/>
        </w:rPr>
        <w:t>。</w:t>
      </w:r>
    </w:p>
    <w:p>
      <w:pPr>
        <w:pStyle w:val="39"/>
        <w:keepNext/>
        <w:keepLines/>
        <w:pageBreakBefore w:val="0"/>
        <w:kinsoku/>
        <w:wordWrap w:val="0"/>
        <w:overflowPunct/>
        <w:bidi w:val="0"/>
        <w:ind w:firstLine="480"/>
        <w:jc w:val="both"/>
        <w:rPr>
          <w:rFonts w:hint="eastAsia" w:ascii="宋体" w:hAnsi="宋体" w:eastAsia="宋体" w:cs="宋体"/>
          <w:b/>
          <w:bCs/>
          <w:color w:val="auto"/>
          <w:spacing w:val="0"/>
          <w:sz w:val="24"/>
          <w:szCs w:val="24"/>
          <w:highlight w:val="none"/>
        </w:rPr>
      </w:pPr>
      <w:bookmarkStart w:id="269" w:name="_Toc15459"/>
      <w:bookmarkStart w:id="270" w:name="_Toc6260"/>
      <w:r>
        <w:rPr>
          <w:rFonts w:hint="eastAsia" w:ascii="宋体" w:hAnsi="宋体" w:eastAsia="宋体" w:cs="宋体"/>
          <w:b/>
          <w:bCs/>
          <w:color w:val="auto"/>
          <w:spacing w:val="0"/>
          <w:sz w:val="24"/>
          <w:szCs w:val="24"/>
          <w:highlight w:val="none"/>
          <w:lang w:val="en-US" w:eastAsia="zh-CN"/>
        </w:rPr>
        <w:t>17</w:t>
      </w: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b/>
          <w:bCs/>
          <w:color w:val="auto"/>
          <w:spacing w:val="0"/>
          <w:sz w:val="24"/>
          <w:szCs w:val="24"/>
          <w:highlight w:val="none"/>
          <w:lang w:val="en-US" w:eastAsia="zh-CN"/>
        </w:rPr>
        <w:t>定</w:t>
      </w:r>
      <w:r>
        <w:rPr>
          <w:rFonts w:hint="eastAsia" w:ascii="宋体" w:hAnsi="宋体" w:eastAsia="宋体" w:cs="宋体"/>
          <w:b/>
          <w:bCs/>
          <w:color w:val="auto"/>
          <w:spacing w:val="0"/>
          <w:sz w:val="24"/>
          <w:szCs w:val="24"/>
          <w:highlight w:val="none"/>
        </w:rPr>
        <w:t>标</w:t>
      </w:r>
      <w:r>
        <w:rPr>
          <w:rFonts w:hint="eastAsia" w:asciiTheme="minorEastAsia" w:hAnsiTheme="minorEastAsia" w:eastAsiaTheme="minorEastAsia" w:cstheme="minorEastAsia"/>
          <w:b/>
          <w:color w:val="000000" w:themeColor="text1"/>
          <w:kern w:val="2"/>
          <w:highlight w:val="none"/>
          <w:lang w:val="en-US" w:eastAsia="zh-CN"/>
          <w14:textFill>
            <w14:solidFill>
              <w14:schemeClr w14:val="tx1"/>
            </w14:solidFill>
          </w14:textFill>
        </w:rPr>
        <w:t>结果</w:t>
      </w:r>
      <w:r>
        <w:rPr>
          <w:rFonts w:hint="eastAsia" w:ascii="宋体" w:hAnsi="宋体" w:eastAsia="宋体" w:cs="宋体"/>
          <w:b/>
          <w:bCs/>
          <w:color w:val="auto"/>
          <w:spacing w:val="0"/>
          <w:sz w:val="24"/>
          <w:szCs w:val="24"/>
          <w:highlight w:val="none"/>
        </w:rPr>
        <w:t>公示</w:t>
      </w:r>
      <w:bookmarkEnd w:id="269"/>
      <w:bookmarkEnd w:id="270"/>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pacing w:val="0"/>
          <w:sz w:val="24"/>
          <w:szCs w:val="24"/>
          <w:highlight w:val="none"/>
        </w:rPr>
      </w:pPr>
      <w:r>
        <w:rPr>
          <w:rFonts w:hint="eastAsia" w:ascii="宋体" w:hAnsi="宋体" w:eastAsia="宋体" w:cs="宋体"/>
          <w:strike w:val="0"/>
          <w:dstrike w:val="0"/>
          <w:color w:val="auto"/>
          <w:kern w:val="2"/>
          <w:sz w:val="24"/>
          <w:szCs w:val="24"/>
          <w:highlight w:val="none"/>
          <w:u w:val="none"/>
          <w:lang w:val="en-US" w:eastAsia="zh-CN" w:bidi="ar-SA"/>
        </w:rPr>
        <w:t>定标</w:t>
      </w:r>
      <w:r>
        <w:rPr>
          <w:rFonts w:hint="eastAsia" w:ascii="宋体" w:hAnsi="宋体" w:eastAsia="宋体" w:cs="宋体"/>
          <w:b w:val="0"/>
          <w:bCs w:val="0"/>
          <w:color w:val="auto"/>
          <w:spacing w:val="0"/>
          <w:position w:val="0"/>
          <w:sz w:val="24"/>
          <w:szCs w:val="24"/>
          <w:highlight w:val="none"/>
          <w:u w:val="none" w:color="auto"/>
          <w:lang w:val="en-US" w:eastAsia="zh-CN"/>
        </w:rPr>
        <w:t>委员会</w:t>
      </w:r>
      <w:r>
        <w:rPr>
          <w:rFonts w:hint="eastAsia" w:ascii="宋体" w:hAnsi="宋体" w:eastAsia="宋体" w:cs="宋体"/>
          <w:strike w:val="0"/>
          <w:dstrike w:val="0"/>
          <w:color w:val="auto"/>
          <w:kern w:val="2"/>
          <w:sz w:val="24"/>
          <w:szCs w:val="24"/>
          <w:highlight w:val="none"/>
          <w:u w:val="none"/>
          <w:lang w:val="en-US" w:eastAsia="zh-CN" w:bidi="ar-SA"/>
        </w:rPr>
        <w:t>完成定标后，招标人应于定标会结束后3日内将中标候选人和定标情况在</w:t>
      </w:r>
      <w:r>
        <w:rPr>
          <w:rFonts w:hint="eastAsia" w:ascii="宋体" w:hAnsi="宋体" w:eastAsia="宋体" w:cs="宋体"/>
          <w:color w:val="auto"/>
          <w:spacing w:val="0"/>
          <w:sz w:val="24"/>
          <w:szCs w:val="24"/>
          <w:highlight w:val="none"/>
        </w:rPr>
        <w:t>广东省招标投标监管网（http://zbtb.gd.gov.cn）、全国公共资源交易平台（广东省 ·韶关市）（https://ygp.gdzwfw.gov.cn/ggzy-portal/#/440200/index）进行公示。</w:t>
      </w:r>
    </w:p>
    <w:p>
      <w:pPr>
        <w:pStyle w:val="37"/>
        <w:pageBreakBefore w:val="0"/>
        <w:kinsoku/>
        <w:wordWrap w:val="0"/>
        <w:overflowPunct/>
        <w:bidi w:val="0"/>
        <w:spacing w:line="400" w:lineRule="exact"/>
        <w:ind w:firstLine="480" w:firstLineChars="200"/>
        <w:rPr>
          <w:rFonts w:hint="eastAsia" w:asciiTheme="minorEastAsia" w:hAnsiTheme="minorEastAsia" w:eastAsiaTheme="minorEastAsia" w:cstheme="minorEastAsia"/>
          <w:bCs/>
          <w:snapToGrid w:val="0"/>
          <w:color w:val="000000" w:themeColor="text1"/>
          <w:kern w:val="0"/>
          <w:highlight w:val="none"/>
          <w14:textFill>
            <w14:solidFill>
              <w14:schemeClr w14:val="tx1"/>
            </w14:solidFill>
          </w14:textFill>
        </w:rPr>
      </w:pPr>
    </w:p>
    <w:p>
      <w:pPr>
        <w:pStyle w:val="37"/>
        <w:pageBreakBefore w:val="0"/>
        <w:kinsoku/>
        <w:wordWrap w:val="0"/>
        <w:overflowPunct/>
        <w:bidi w:val="0"/>
        <w:spacing w:line="400" w:lineRule="exact"/>
        <w:ind w:firstLine="480" w:firstLineChars="200"/>
        <w:rPr>
          <w:rFonts w:hint="eastAsia" w:asciiTheme="minorEastAsia" w:hAnsiTheme="minorEastAsia" w:eastAsiaTheme="minorEastAsia" w:cstheme="minorEastAsia"/>
          <w:bCs/>
          <w:snapToGrid w:val="0"/>
          <w:color w:val="000000" w:themeColor="text1"/>
          <w:kern w:val="0"/>
          <w:highlight w:val="none"/>
          <w14:textFill>
            <w14:solidFill>
              <w14:schemeClr w14:val="tx1"/>
            </w14:solidFill>
          </w14:textFill>
        </w:rPr>
      </w:pPr>
    </w:p>
    <w:p>
      <w:pP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bookmarkStart w:id="271" w:name="_Hlt69669771"/>
      <w:bookmarkEnd w:id="271"/>
      <w:bookmarkStart w:id="272" w:name="_Hlt112206772"/>
      <w:bookmarkEnd w:id="272"/>
      <w:bookmarkStart w:id="273" w:name="_Toc16203"/>
      <w:bookmarkStart w:id="274" w:name="_Toc24184"/>
      <w:bookmarkStart w:id="275" w:name="_Toc21045"/>
      <w:bookmarkStart w:id="276" w:name="_Toc16300"/>
      <w:bookmarkStart w:id="277" w:name="_Toc13416"/>
      <w:bookmarkStart w:id="278" w:name="_Toc9083"/>
      <w:bookmarkStart w:id="279" w:name="_Toc16649"/>
      <w:bookmarkStart w:id="280" w:name="_Toc11519"/>
      <w:bookmarkStart w:id="281" w:name="_Hlt69698713"/>
      <w:bookmarkStart w:id="282" w:name="_Hlt69698765"/>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br w:type="page"/>
      </w:r>
    </w:p>
    <w:p>
      <w:pPr>
        <w:pageBreakBefore w:val="0"/>
        <w:kinsoku/>
        <w:wordWrap w:val="0"/>
        <w:overflowPunct/>
        <w:bidi w:val="0"/>
        <w:adjustRightInd w:val="0"/>
        <w:snapToGrid w:val="0"/>
        <w:spacing w:line="440" w:lineRule="exact"/>
        <w:outlineLvl w:val="1"/>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第四节 否决投标条件</w:t>
      </w:r>
    </w:p>
    <w:p>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本节所集中列示的否决投标条件，是本章第三节“投标人须知正文”的组成部分，是对本章第三节所规定的否决投标条件的总结和补充。投标人未有列入本节情形的，评标时一律不得否决其投标。本节所称“规定”均指招标文件的规定。</w:t>
      </w:r>
    </w:p>
    <w:p>
      <w:pPr>
        <w:pageBreakBefore w:val="0"/>
        <w:kinsoku/>
        <w:wordWrap w:val="0"/>
        <w:overflowPunct/>
        <w:bidi w:val="0"/>
        <w:adjustRightInd w:val="0"/>
        <w:snapToGrid w:val="0"/>
        <w:spacing w:line="440" w:lineRule="exact"/>
        <w:outlineLvl w:val="1"/>
        <w:rPr>
          <w:rFonts w:hint="eastAsia" w:asciiTheme="minorEastAsia" w:hAnsiTheme="minorEastAsia" w:eastAsiaTheme="minorEastAsia" w:cstheme="minorEastAsia"/>
          <w:b/>
          <w:bCs/>
          <w:snapToGrid w:val="0"/>
          <w:color w:val="auto"/>
          <w:kern w:val="0"/>
          <w:szCs w:val="24"/>
          <w:highlight w:val="none"/>
        </w:rPr>
      </w:pPr>
      <w:bookmarkStart w:id="283" w:name="_Toc25868"/>
      <w:r>
        <w:rPr>
          <w:rFonts w:hint="eastAsia" w:asciiTheme="minorEastAsia" w:hAnsiTheme="minorEastAsia" w:eastAsiaTheme="minorEastAsia" w:cstheme="minorEastAsia"/>
          <w:b/>
          <w:bCs/>
          <w:snapToGrid w:val="0"/>
          <w:color w:val="auto"/>
          <w:kern w:val="0"/>
          <w:szCs w:val="24"/>
          <w:highlight w:val="none"/>
        </w:rPr>
        <w:t>1．资格评审环节</w:t>
      </w:r>
      <w:bookmarkEnd w:id="283"/>
    </w:p>
    <w:p>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投标人有下列情形之一的，评标委员会应否决其投标。被否决的投标人，不进入形式评审环节。</w:t>
      </w:r>
    </w:p>
    <w:p>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（1）有本章第三节第4.4条“禁止投标条款”规定的任何一种情形；</w:t>
      </w:r>
    </w:p>
    <w:p>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（2）投标人资质不符合规定的；</w:t>
      </w:r>
    </w:p>
    <w:p>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3）投标人名称与营业执照、资质证书、安全生产许可证上的企业名称相互不一致的；其资质证书、安全生产许可证不是由住房城乡建设主管部门颁发的；营业执照、资质证书、安全生产许可证被吊销、暂扣或不在有效期内的；</w:t>
      </w:r>
    </w:p>
    <w:p>
      <w:pPr>
        <w:pageBreakBefore w:val="0"/>
        <w:kinsoku/>
        <w:wordWrap w:val="0"/>
        <w:overflowPunct/>
        <w:bidi w:val="0"/>
        <w:adjustRightInd w:val="0"/>
        <w:snapToGrid w:val="0"/>
        <w:spacing w:line="440" w:lineRule="exact"/>
        <w:ind w:firstLine="723" w:firstLineChars="300"/>
        <w:rPr>
          <w:rFonts w:hint="eastAsia" w:asciiTheme="minorEastAsia" w:hAnsiTheme="minorEastAsia" w:eastAsiaTheme="minorEastAsia" w:cstheme="minorEastAsia"/>
          <w:b/>
          <w:bCs/>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pPr>
        <w:pageBreakBefore w:val="0"/>
        <w:kinsoku/>
        <w:wordWrap w:val="0"/>
        <w:overflowPunct/>
        <w:bidi w:val="0"/>
        <w:adjustRightInd w:val="0"/>
        <w:snapToGrid w:val="0"/>
        <w:spacing w:line="440" w:lineRule="exact"/>
        <w:ind w:firstLine="482"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根据有关文件精神，投标人的企业相关证书到期的，均按该证书的发证机构相关行政主管部门最新文件执行（如自动顺延或推迟办理延期业务的通知等）投标人须提供相关证明材料附在该证书后面，证明在开标日继续有效的。</w:t>
      </w:r>
    </w:p>
    <w:p>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（4）拟派项目经理、项目技术负责人、专职安全员、设计负责人的条件不符合规定的；拟派专职安全员数量不符合规定的；</w:t>
      </w:r>
    </w:p>
    <w:p>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（5）《项目经理简历表》中拟派项目经理与《开标一览表》不一致的；建造师的注册证书不是</w:t>
      </w:r>
      <w:r>
        <w:rPr>
          <w:rFonts w:hint="eastAsia" w:asciiTheme="minorEastAsia" w:hAnsiTheme="minorEastAsia" w:eastAsiaTheme="minorEastAsia" w:cstheme="minorEastAsia"/>
          <w:snapToGrid w:val="0"/>
          <w:color w:val="auto"/>
          <w:kern w:val="0"/>
          <w:szCs w:val="24"/>
          <w:highlight w:val="none"/>
          <w:lang w:eastAsia="zh-CN"/>
        </w:rPr>
        <w:t>住房和城乡建设部</w:t>
      </w:r>
      <w:r>
        <w:rPr>
          <w:rFonts w:hint="eastAsia" w:asciiTheme="minorEastAsia" w:hAnsiTheme="minorEastAsia" w:eastAsiaTheme="minorEastAsia" w:cstheme="minorEastAsia"/>
          <w:snapToGrid w:val="0"/>
          <w:color w:val="auto"/>
          <w:kern w:val="0"/>
          <w:szCs w:val="24"/>
          <w:highlight w:val="none"/>
        </w:rPr>
        <w:t>门颁发的；建造师</w:t>
      </w:r>
      <w:r>
        <w:rPr>
          <w:rFonts w:hint="eastAsia" w:asciiTheme="minorEastAsia" w:hAnsiTheme="minorEastAsia" w:eastAsiaTheme="minorEastAsia" w:cstheme="minorEastAsia"/>
          <w:snapToGrid w:val="0"/>
          <w:color w:val="auto"/>
          <w:kern w:val="0"/>
          <w:szCs w:val="24"/>
          <w:highlight w:val="none"/>
          <w:lang w:eastAsia="zh-CN"/>
        </w:rPr>
        <w:t>、</w:t>
      </w:r>
      <w:r>
        <w:rPr>
          <w:rFonts w:hint="eastAsia" w:asciiTheme="minorEastAsia" w:hAnsiTheme="minorEastAsia" w:eastAsiaTheme="minorEastAsia" w:cstheme="minorEastAsia"/>
          <w:snapToGrid w:val="0"/>
          <w:color w:val="auto"/>
          <w:kern w:val="0"/>
          <w:szCs w:val="24"/>
          <w:highlight w:val="none"/>
          <w:lang w:val="en-US" w:eastAsia="zh-CN"/>
        </w:rPr>
        <w:t>设计负责人</w:t>
      </w:r>
      <w:r>
        <w:rPr>
          <w:rFonts w:hint="eastAsia" w:asciiTheme="minorEastAsia" w:hAnsiTheme="minorEastAsia" w:eastAsiaTheme="minorEastAsia" w:cstheme="minorEastAsia"/>
          <w:snapToGrid w:val="0"/>
          <w:color w:val="auto"/>
          <w:kern w:val="0"/>
          <w:szCs w:val="24"/>
          <w:highlight w:val="none"/>
        </w:rPr>
        <w:t>的注册单位与投标人不一致的；项目管理班子组成人员的各类证书、证件、证明不在有效期内的（建造师注册证书不在使用有效期内的）；擅自修改、遗漏《项目经理任职声明》实质性内容的；</w:t>
      </w:r>
    </w:p>
    <w:p>
      <w:pPr>
        <w:pageBreakBefore w:val="0"/>
        <w:kinsoku/>
        <w:wordWrap w:val="0"/>
        <w:overflowPunct/>
        <w:bidi w:val="0"/>
        <w:adjustRightInd w:val="0"/>
        <w:snapToGrid w:val="0"/>
        <w:spacing w:line="440" w:lineRule="exact"/>
        <w:ind w:firstLine="723" w:firstLineChars="300"/>
        <w:rPr>
          <w:rFonts w:hint="eastAsia" w:asciiTheme="minorEastAsia" w:hAnsiTheme="minorEastAsia" w:eastAsiaTheme="minorEastAsia" w:cstheme="minorEastAsia"/>
          <w:b/>
          <w:bCs/>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注：投标人已经工商变更，但其员工执业资格注册证书的注册单位名称未完成变更的，不得否决其投标。</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（6）联合体投标，未提交《联合体协议书》的；擅自修改、遗漏《联合体协议书》实质性内容的；联合体成员的数量、资质不符合规定的；联合体成员同时以自己名义单独投标或者参加其他联合体投标的；</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（7）投标人为外省建筑企业，但未提供“进粤企业和人员诚信信息登记平台”企业和拟派人员信息情况打印页或网页截图的。</w:t>
      </w:r>
    </w:p>
    <w:p>
      <w:pPr>
        <w:pageBreakBefore w:val="0"/>
        <w:kinsoku/>
        <w:wordWrap w:val="0"/>
        <w:overflowPunct/>
        <w:bidi w:val="0"/>
        <w:adjustRightInd w:val="0"/>
        <w:snapToGrid w:val="0"/>
        <w:spacing w:line="440" w:lineRule="exact"/>
        <w:outlineLvl w:val="1"/>
        <w:rPr>
          <w:rFonts w:hint="eastAsia" w:asciiTheme="minorEastAsia" w:hAnsiTheme="minorEastAsia" w:eastAsiaTheme="minorEastAsia" w:cstheme="minorEastAsia"/>
          <w:b/>
          <w:bCs/>
          <w:snapToGrid w:val="0"/>
          <w:color w:val="auto"/>
          <w:kern w:val="0"/>
          <w:szCs w:val="24"/>
          <w:highlight w:val="none"/>
        </w:rPr>
      </w:pPr>
      <w:bookmarkStart w:id="284" w:name="_Toc16862"/>
      <w:r>
        <w:rPr>
          <w:rFonts w:hint="eastAsia" w:asciiTheme="minorEastAsia" w:hAnsiTheme="minorEastAsia" w:eastAsiaTheme="minorEastAsia" w:cstheme="minorEastAsia"/>
          <w:b/>
          <w:bCs/>
          <w:snapToGrid w:val="0"/>
          <w:color w:val="auto"/>
          <w:kern w:val="0"/>
          <w:szCs w:val="24"/>
          <w:highlight w:val="none"/>
        </w:rPr>
        <w:t>2．形式评审环节</w:t>
      </w:r>
      <w:bookmarkEnd w:id="284"/>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投标人有下列情形之一的，评标委员会应否决其投标。被否决的投标人，不进入响应性评审环节。</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1</w:t>
      </w:r>
      <w:r>
        <w:rPr>
          <w:rFonts w:hint="eastAsia" w:asciiTheme="minorEastAsia" w:hAnsiTheme="minorEastAsia" w:eastAsiaTheme="minorEastAsia" w:cstheme="minorEastAsia"/>
          <w:snapToGrid w:val="0"/>
          <w:color w:val="auto"/>
          <w:kern w:val="0"/>
          <w:szCs w:val="24"/>
          <w:highlight w:val="none"/>
        </w:rPr>
        <w:t>）本章第三节第11.2.2目中规定的“所有投标人均应提供”的组成内容（包括该组成内容的所附资料）中，任何一项有缺漏的；</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2</w:t>
      </w:r>
      <w:r>
        <w:rPr>
          <w:rFonts w:hint="eastAsia" w:asciiTheme="minorEastAsia" w:hAnsiTheme="minorEastAsia" w:eastAsiaTheme="minorEastAsia" w:cstheme="minorEastAsia"/>
          <w:snapToGrid w:val="0"/>
          <w:color w:val="auto"/>
          <w:kern w:val="0"/>
          <w:szCs w:val="24"/>
          <w:highlight w:val="none"/>
        </w:rPr>
        <w:t>）关键字迹模糊、无法辨认，且该种过错将导致评标委员会无法判断投标文件是否响应招标文件实质性要求的；出现手工涂改、行间插字或删除，但未加盖单位章或由投标人的法定代表人或其委托代理人签字确认的；</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3</w:t>
      </w:r>
      <w:r>
        <w:rPr>
          <w:rFonts w:hint="eastAsia" w:asciiTheme="minorEastAsia" w:hAnsiTheme="minorEastAsia" w:eastAsiaTheme="minorEastAsia" w:cstheme="minorEastAsia"/>
          <w:snapToGrid w:val="0"/>
          <w:color w:val="auto"/>
          <w:kern w:val="0"/>
          <w:szCs w:val="24"/>
          <w:highlight w:val="none"/>
        </w:rPr>
        <w:t>）投标文件未按规定签字、盖章的；</w:t>
      </w:r>
    </w:p>
    <w:p>
      <w:pPr>
        <w:pageBreakBefore w:val="0"/>
        <w:kinsoku/>
        <w:wordWrap w:val="0"/>
        <w:overflowPunct/>
        <w:bidi w:val="0"/>
        <w:adjustRightInd w:val="0"/>
        <w:snapToGrid w:val="0"/>
        <w:spacing w:line="440" w:lineRule="exact"/>
        <w:outlineLvl w:val="1"/>
        <w:rPr>
          <w:rFonts w:hint="eastAsia" w:asciiTheme="minorEastAsia" w:hAnsiTheme="minorEastAsia" w:eastAsiaTheme="minorEastAsia" w:cstheme="minorEastAsia"/>
          <w:b/>
          <w:bCs/>
          <w:snapToGrid w:val="0"/>
          <w:color w:val="auto"/>
          <w:kern w:val="0"/>
          <w:szCs w:val="24"/>
          <w:highlight w:val="none"/>
        </w:rPr>
      </w:pPr>
      <w:bookmarkStart w:id="285" w:name="_Toc11607"/>
      <w:r>
        <w:rPr>
          <w:rFonts w:hint="eastAsia" w:asciiTheme="minorEastAsia" w:hAnsiTheme="minorEastAsia" w:eastAsiaTheme="minorEastAsia" w:cstheme="minorEastAsia"/>
          <w:b/>
          <w:bCs/>
          <w:snapToGrid w:val="0"/>
          <w:color w:val="auto"/>
          <w:kern w:val="0"/>
          <w:szCs w:val="24"/>
          <w:highlight w:val="none"/>
        </w:rPr>
        <w:t>3．响应性评审环节</w:t>
      </w:r>
      <w:bookmarkEnd w:id="285"/>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投标人有下列情形之一的，评标委员会应否决其投标。被否决的投标人，不进入详细评审阶段。</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（1）承诺的投标有效期短于规定的；工期超出规定的；擅自修改、遗漏《投标函》《各项承诺一览表》实质性内容的；</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2</w:t>
      </w:r>
      <w:r>
        <w:rPr>
          <w:rFonts w:hint="eastAsia" w:asciiTheme="minorEastAsia" w:hAnsiTheme="minorEastAsia" w:eastAsiaTheme="minorEastAsia" w:cstheme="minorEastAsia"/>
          <w:snapToGrid w:val="0"/>
          <w:color w:val="auto"/>
          <w:kern w:val="0"/>
          <w:szCs w:val="24"/>
          <w:highlight w:val="none"/>
        </w:rPr>
        <w:t>）两个或两个以上投标总价的（同一个投标总价大、小写不一致的除外）；投标总价超出最高投标限价的；投标总价下浮率超过15%，又未提供相应书面说明和佐证材料或提供的书面说明和佐证材料不能令人信服，被评标委员会认定以低于成本报价竞标的；</w:t>
      </w:r>
    </w:p>
    <w:p>
      <w:pPr>
        <w:pageBreakBefore w:val="0"/>
        <w:kinsoku/>
        <w:wordWrap w:val="0"/>
        <w:overflowPunct/>
        <w:bidi w:val="0"/>
        <w:adjustRightInd w:val="0"/>
        <w:snapToGrid w:val="0"/>
        <w:spacing w:line="440" w:lineRule="exact"/>
        <w:outlineLvl w:val="1"/>
        <w:rPr>
          <w:rFonts w:hint="eastAsia" w:asciiTheme="minorEastAsia" w:hAnsiTheme="minorEastAsia" w:eastAsiaTheme="minorEastAsia" w:cstheme="minorEastAsia"/>
          <w:b/>
          <w:bCs/>
          <w:snapToGrid w:val="0"/>
          <w:color w:val="auto"/>
          <w:kern w:val="0"/>
          <w:szCs w:val="24"/>
          <w:highlight w:val="none"/>
        </w:rPr>
      </w:pPr>
      <w:bookmarkStart w:id="286" w:name="_Toc29578"/>
      <w:r>
        <w:rPr>
          <w:rFonts w:hint="eastAsia" w:asciiTheme="minorEastAsia" w:hAnsiTheme="minorEastAsia" w:eastAsiaTheme="minorEastAsia" w:cstheme="minorEastAsia"/>
          <w:b/>
          <w:bCs/>
          <w:snapToGrid w:val="0"/>
          <w:color w:val="auto"/>
          <w:kern w:val="0"/>
          <w:szCs w:val="24"/>
          <w:highlight w:val="none"/>
        </w:rPr>
        <w:t>4．其他</w:t>
      </w:r>
      <w:bookmarkEnd w:id="286"/>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在任何评标环节（或阶段），投标人有下列情形之一的，评标委员会应否决其投标。被否决的投标人，不进入下一环节（或阶段）。</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1</w:t>
      </w:r>
      <w:r>
        <w:rPr>
          <w:rFonts w:hint="eastAsia" w:asciiTheme="minorEastAsia" w:hAnsiTheme="minorEastAsia" w:eastAsiaTheme="minorEastAsia" w:cstheme="minorEastAsia"/>
          <w:snapToGrid w:val="0"/>
          <w:color w:val="auto"/>
          <w:kern w:val="0"/>
          <w:szCs w:val="24"/>
          <w:highlight w:val="none"/>
        </w:rPr>
        <w:t>）不按评标委员会要求澄清、说明或补正的；</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2</w:t>
      </w:r>
      <w:r>
        <w:rPr>
          <w:rFonts w:hint="eastAsia" w:asciiTheme="minorEastAsia" w:hAnsiTheme="minorEastAsia" w:eastAsiaTheme="minorEastAsia" w:cstheme="minorEastAsia"/>
          <w:snapToGrid w:val="0"/>
          <w:color w:val="auto"/>
          <w:kern w:val="0"/>
          <w:szCs w:val="24"/>
          <w:highlight w:val="none"/>
        </w:rPr>
        <w:t>）有下列情形之一，被评标委员会认定属于串通投标的：</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①不同投标人的投标文件两处以上（含两处）错、漏一致；</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②不同投标人的投标总价相近且各分项报价、综合单价分析表内容混乱不能相互对应、乱调乱压或乱抬的，而在询标时没有合理的解释或者不能提供计算依据和报价依据；</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③不同投标人的投标各项报价存在异常一致或者呈规律性变化；</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④不同投标人的投标文件由同一单位或者同一个人编制；</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⑤不同投标人的投标文件中投标资料（包括电子资料）相互混装或项目班子成员出现同一人；</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⑥不同投标人的投标文件由同一电脑编制或同一台附属设备打印，或投标报价用同一个预算编制软件密码锁制作或出自同一电子文档；</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⑦不同投标人的投标保证由同一企业或同一账户资金缴纳；</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⑧不同投标人委托同一个人或注册在同一家企业的注册人员或同一家企业为其投标提供投标咨询、商务报价、技术咨询（招标工程本身要求采用专有技术的除外）等服务。</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auto"/>
          <w:kern w:val="0"/>
          <w:szCs w:val="24"/>
          <w:highlight w:val="none"/>
        </w:rPr>
        <w:sectPr>
          <w:footerReference r:id="rId5" w:type="default"/>
          <w:endnotePr>
            <w:numFmt w:val="decimal"/>
          </w:endnotePr>
          <w:pgSz w:w="11906" w:h="16838"/>
          <w:pgMar w:top="1701" w:right="1531" w:bottom="1417" w:left="1531" w:header="850" w:footer="992" w:gutter="0"/>
          <w:pgNumType w:fmt="decimal" w:start="1"/>
          <w:cols w:space="720" w:num="1"/>
          <w:docGrid w:linePitch="327" w:charSpace="0"/>
        </w:sectPr>
      </w:pPr>
    </w:p>
    <w:p>
      <w:pPr>
        <w:pStyle w:val="38"/>
        <w:keepNext/>
        <w:keepLines/>
        <w:pageBreakBefore w:val="0"/>
        <w:tabs>
          <w:tab w:val="left" w:pos="885"/>
        </w:tabs>
        <w:kinsoku/>
        <w:wordWrap w:val="0"/>
        <w:overflowPunct/>
        <w:bidi w:val="0"/>
        <w:spacing w:line="400" w:lineRule="exact"/>
        <w:jc w:val="cente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pPr>
      <w:bookmarkStart w:id="287" w:name="_Toc21677"/>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第二章</w:t>
      </w:r>
      <w:bookmarkStart w:id="288" w:name="_Hlt87793831"/>
      <w:bookmarkEnd w:id="288"/>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 xml:space="preserve"> 拟签订合同的主要条款</w:t>
      </w:r>
      <w:bookmarkEnd w:id="273"/>
      <w:bookmarkEnd w:id="274"/>
      <w:bookmarkEnd w:id="275"/>
      <w:bookmarkEnd w:id="276"/>
      <w:bookmarkEnd w:id="277"/>
      <w:bookmarkEnd w:id="278"/>
      <w:bookmarkEnd w:id="279"/>
      <w:bookmarkEnd w:id="280"/>
      <w:bookmarkEnd w:id="287"/>
    </w:p>
    <w:p>
      <w:pPr>
        <w:pStyle w:val="37"/>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p>
    <w:bookmarkEnd w:id="281"/>
    <w:bookmarkEnd w:id="282"/>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289" w:name="_Toc26552"/>
      <w:bookmarkStart w:id="290" w:name="_Toc22682"/>
      <w:bookmarkStart w:id="291" w:name="_Toc18454"/>
      <w:bookmarkStart w:id="292" w:name="_Toc21667"/>
      <w:bookmarkStart w:id="293" w:name="_Toc22879"/>
      <w:bookmarkStart w:id="294" w:name="_Toc28378"/>
      <w:bookmarkStart w:id="295" w:name="_Toc19931"/>
      <w:bookmarkStart w:id="296" w:name="_Toc326916629"/>
      <w:bookmarkStart w:id="297" w:name="_Toc322793288"/>
      <w:bookmarkStart w:id="298" w:name="_Toc8407"/>
      <w:bookmarkStart w:id="299" w:name="_Toc7347"/>
      <w:bookmarkStart w:id="300" w:name="_Toc12651"/>
      <w:bookmarkStart w:id="301" w:name="_Hlt69698769"/>
      <w:bookmarkStart w:id="302" w:name="_Hlt69698741"/>
      <w:bookmarkStart w:id="303" w:name="_Hlt69698722"/>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1</w:t>
      </w:r>
      <w:r>
        <w:rPr>
          <w:rFonts w:hint="eastAsia" w:asciiTheme="minorEastAsia" w:hAnsiTheme="minorEastAsia" w:eastAsiaTheme="minorEastAsia" w:cstheme="minorEastAsia"/>
          <w:b/>
          <w:color w:val="000000" w:themeColor="text1"/>
          <w:kern w:val="2"/>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工程承包方式</w:t>
      </w:r>
      <w:bookmarkEnd w:id="289"/>
      <w:bookmarkEnd w:id="290"/>
      <w:bookmarkEnd w:id="291"/>
      <w:bookmarkEnd w:id="292"/>
      <w:bookmarkEnd w:id="293"/>
      <w:bookmarkEnd w:id="294"/>
      <w:bookmarkEnd w:id="295"/>
      <w:bookmarkEnd w:id="296"/>
      <w:bookmarkEnd w:id="297"/>
      <w:bookmarkEnd w:id="298"/>
      <w:bookmarkEnd w:id="299"/>
      <w:bookmarkEnd w:id="300"/>
    </w:p>
    <w:p>
      <w:pPr>
        <w:pStyle w:val="37"/>
        <w:pageBreakBefore w:val="0"/>
        <w:kinsoku/>
        <w:wordWrap w:val="0"/>
        <w:overflowPunct/>
        <w:bidi w:val="0"/>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1.1承包人按中标价以总承包方式在规定的期限内对</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设计、施工</w:t>
      </w:r>
      <w:r>
        <w:rPr>
          <w:rFonts w:hint="eastAsia" w:asciiTheme="minorEastAsia" w:hAnsiTheme="minorEastAsia" w:eastAsiaTheme="minorEastAsia" w:cstheme="minorEastAsia"/>
          <w:color w:val="000000" w:themeColor="text1"/>
          <w:highlight w:val="none"/>
          <w14:textFill>
            <w14:solidFill>
              <w14:schemeClr w14:val="tx1"/>
            </w14:solidFill>
          </w14:textFill>
        </w:rPr>
        <w:t>（包工</w:t>
      </w:r>
      <w:bookmarkStart w:id="304" w:name="_Hlt87948212"/>
      <w:bookmarkEnd w:id="304"/>
      <w:r>
        <w:rPr>
          <w:rFonts w:hint="eastAsia" w:asciiTheme="minorEastAsia" w:hAnsiTheme="minorEastAsia" w:eastAsiaTheme="minorEastAsia" w:cstheme="minorEastAsia"/>
          <w:color w:val="000000" w:themeColor="text1"/>
          <w:highlight w:val="none"/>
          <w14:textFill>
            <w14:solidFill>
              <w14:schemeClr w14:val="tx1"/>
            </w14:solidFill>
          </w14:textFill>
        </w:rPr>
        <w:t>包料、包质量、包机械、包绿色安全文明施工、包工期等）进行总承包，不允许转包和违法分包，如承包人无相应专业资质，确需分包须与发包人协商并得到发包人和监理人同意并报工程主管部门备案。</w:t>
      </w:r>
    </w:p>
    <w:p>
      <w:pPr>
        <w:pStyle w:val="37"/>
        <w:pageBreakBefore w:val="0"/>
        <w:kinsoku/>
        <w:wordWrap w:val="0"/>
        <w:overflowPunct/>
        <w:bidi w:val="0"/>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1.1.1 包工包料：材料符合招标文件要求</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及合同的相关约定</w:t>
      </w:r>
      <w:r>
        <w:rPr>
          <w:rFonts w:hint="eastAsia" w:asciiTheme="minorEastAsia" w:hAnsiTheme="minorEastAsia" w:eastAsiaTheme="minorEastAsia" w:cstheme="minorEastAsia"/>
          <w:color w:val="000000" w:themeColor="text1"/>
          <w:highlight w:val="none"/>
          <w14:textFill>
            <w14:solidFill>
              <w14:schemeClr w14:val="tx1"/>
            </w14:solidFill>
          </w14:textFill>
        </w:rPr>
        <w:t>，报验使用；办理用工保险。</w:t>
      </w:r>
    </w:p>
    <w:p>
      <w:pPr>
        <w:pStyle w:val="37"/>
        <w:pageBreakBefore w:val="0"/>
        <w:kinsoku/>
        <w:wordWrap w:val="0"/>
        <w:overflowPunct/>
        <w:bidi w:val="0"/>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1.1.2 包质量：符合招标文件要求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及合同有关质量的相关约定</w:t>
      </w:r>
      <w:r>
        <w:rPr>
          <w:rFonts w:hint="eastAsia" w:asciiTheme="minorEastAsia" w:hAnsiTheme="minorEastAsia" w:eastAsiaTheme="minorEastAsia" w:cstheme="minorEastAsia"/>
          <w:color w:val="000000" w:themeColor="text1"/>
          <w:highlight w:val="none"/>
          <w14:textFill>
            <w14:solidFill>
              <w14:schemeClr w14:val="tx1"/>
            </w14:solidFill>
          </w14:textFill>
        </w:rPr>
        <w:t>。</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1.1.3 包安全包文明施工：符合国家及省、市的相关规定及招标文件、合同的相关约定要求。</w:t>
      </w:r>
    </w:p>
    <w:p>
      <w:pPr>
        <w:pStyle w:val="37"/>
        <w:pageBreakBefore w:val="0"/>
        <w:kinsoku/>
        <w:wordWrap w:val="0"/>
        <w:overflowPunct/>
        <w:bidi w:val="0"/>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1.1.4 包工期：</w:t>
      </w:r>
      <w:r>
        <w:rPr>
          <w:rFonts w:hint="eastAsia"/>
          <w:snapToGrid w:val="0"/>
          <w:color w:val="000000" w:themeColor="text1"/>
          <w:kern w:val="0"/>
          <w:szCs w:val="21"/>
          <w:highlight w:val="none"/>
          <w14:textFill>
            <w14:solidFill>
              <w14:schemeClr w14:val="tx1"/>
            </w14:solidFill>
          </w14:textFill>
        </w:rPr>
        <w:t>本招标工程</w:t>
      </w:r>
      <w:r>
        <w:rPr>
          <w:rFonts w:hint="eastAsia" w:hAnsi="宋体" w:cs="宋体"/>
          <w:bCs/>
          <w:color w:val="000000" w:themeColor="text1"/>
          <w:szCs w:val="21"/>
          <w:highlight w:val="none"/>
          <w:lang w:eastAsia="zh-CN"/>
          <w14:textFill>
            <w14:solidFill>
              <w14:schemeClr w14:val="tx1"/>
            </w14:solidFill>
          </w14:textFill>
        </w:rPr>
        <w:t>设计、施工</w:t>
      </w:r>
      <w:r>
        <w:rPr>
          <w:rFonts w:hint="eastAsia"/>
          <w:snapToGrid w:val="0"/>
          <w:color w:val="000000" w:themeColor="text1"/>
          <w:kern w:val="0"/>
          <w:szCs w:val="21"/>
          <w:highlight w:val="none"/>
          <w14:textFill>
            <w14:solidFill>
              <w14:schemeClr w14:val="tx1"/>
            </w14:solidFill>
          </w14:textFill>
        </w:rPr>
        <w:t>必须在招标</w:t>
      </w:r>
      <w:r>
        <w:rPr>
          <w:rFonts w:hint="eastAsia"/>
          <w:snapToGrid w:val="0"/>
          <w:color w:val="000000" w:themeColor="text1"/>
          <w:kern w:val="0"/>
          <w:szCs w:val="21"/>
          <w:highlight w:val="none"/>
          <w:lang w:val="en-US" w:eastAsia="zh-CN"/>
          <w14:textFill>
            <w14:solidFill>
              <w14:schemeClr w14:val="tx1"/>
            </w14:solidFill>
          </w14:textFill>
        </w:rPr>
        <w:t>文件</w:t>
      </w:r>
      <w:r>
        <w:rPr>
          <w:rFonts w:hint="eastAsia" w:ascii="宋体" w:hAnsi="宋体" w:eastAsia="宋体" w:cs="宋体"/>
          <w:color w:val="000000" w:themeColor="text1"/>
          <w:highlight w:val="none"/>
          <w14:textFill>
            <w14:solidFill>
              <w14:schemeClr w14:val="tx1"/>
            </w14:solidFill>
          </w14:textFill>
        </w:rPr>
        <w:t>规定</w:t>
      </w:r>
      <w:r>
        <w:rPr>
          <w:rFonts w:hint="eastAsia" w:ascii="宋体" w:hAnsi="宋体" w:eastAsia="宋体" w:cs="宋体"/>
          <w:color w:val="000000" w:themeColor="text1"/>
          <w:highlight w:val="none"/>
          <w:lang w:val="en-US" w:eastAsia="zh-CN"/>
          <w14:textFill>
            <w14:solidFill>
              <w14:schemeClr w14:val="tx1"/>
            </w14:solidFill>
          </w14:textFill>
        </w:rPr>
        <w:t>的</w:t>
      </w:r>
      <w:r>
        <w:rPr>
          <w:rFonts w:hint="eastAsia"/>
          <w:snapToGrid w:val="0"/>
          <w:color w:val="000000" w:themeColor="text1"/>
          <w:kern w:val="0"/>
          <w:szCs w:val="21"/>
          <w:highlight w:val="none"/>
          <w14:textFill>
            <w14:solidFill>
              <w14:schemeClr w14:val="tx1"/>
            </w14:solidFill>
          </w14:textFill>
        </w:rPr>
        <w:t>工期内完成</w:t>
      </w:r>
      <w:r>
        <w:rPr>
          <w:rFonts w:hint="eastAsia" w:asciiTheme="minorEastAsia" w:hAnsiTheme="minorEastAsia" w:eastAsiaTheme="minorEastAsia" w:cstheme="minorEastAsia"/>
          <w:color w:val="000000" w:themeColor="text1"/>
          <w:highlight w:val="none"/>
          <w14:textFill>
            <w14:solidFill>
              <w14:schemeClr w14:val="tx1"/>
            </w14:solidFill>
          </w14:textFill>
        </w:rPr>
        <w:t>。</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 xml:space="preserve">1.2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限额设计要求：</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1.2.1若造价咨询单位按施工图编制或审核的建安工程费高于</w:t>
      </w:r>
      <w:r>
        <w:rPr>
          <w:rFonts w:hint="eastAsia" w:ascii="宋体" w:hAnsi="宋体" w:eastAsia="宋体" w:cs="宋体"/>
          <w:color w:val="000000" w:themeColor="text1"/>
          <w:sz w:val="24"/>
          <w:szCs w:val="24"/>
          <w:highlight w:val="none"/>
          <w14:textFill>
            <w14:solidFill>
              <w14:schemeClr w14:val="tx1"/>
            </w14:solidFill>
          </w14:textFill>
        </w:rPr>
        <w:t>建安工程费的中标价</w:t>
      </w:r>
      <w:r>
        <w:rPr>
          <w:rFonts w:hint="eastAsia" w:ascii="宋体" w:hAnsi="宋体" w:eastAsia="宋体" w:cs="宋体"/>
          <w:snapToGrid w:val="0"/>
          <w:color w:val="000000" w:themeColor="text1"/>
          <w:kern w:val="0"/>
          <w:sz w:val="24"/>
          <w:szCs w:val="24"/>
          <w:highlight w:val="none"/>
          <w14:textFill>
            <w14:solidFill>
              <w14:schemeClr w14:val="tx1"/>
            </w14:solidFill>
          </w14:textFill>
        </w:rPr>
        <w:t>时</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，承包人必须无条件对施工图进行修改，直至满足限额设计要求，不另行增加设计费，且由此造成发包人委托的造价咨询单位重复编制或审核施工图预算的费用由承包人承担，结算时在设计费中扣除。</w:t>
      </w:r>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1.2.2</w:t>
      </w:r>
      <w:r>
        <w:rPr>
          <w:rFonts w:hint="eastAsia" w:ascii="宋体" w:hAnsi="宋体" w:eastAsia="宋体" w:cs="宋体"/>
          <w:color w:val="000000" w:themeColor="text1"/>
          <w:sz w:val="24"/>
          <w:szCs w:val="24"/>
          <w:highlight w:val="none"/>
          <w14:textFill>
            <w14:solidFill>
              <w14:schemeClr w14:val="tx1"/>
            </w14:solidFill>
          </w14:textFill>
        </w:rPr>
        <w:t>中标人在施工图设计前，要充分进行市场调查，主要材料、设备在满足设计规范及建设标准的情况下，尽量采用造价管理机构发布的信息价中有相应型号、规格的标准材料，若必须采用非标准材料的，必须经招标人同意，否则参照信息价中相近且低于其标准的材料信息价作为该项材料的结算价。</w:t>
      </w:r>
    </w:p>
    <w:p>
      <w:pPr>
        <w:pStyle w:val="4"/>
        <w:keepNext/>
        <w:keepLines/>
        <w:pageBreakBefore w:val="0"/>
        <w:kinsoku/>
        <w:wordWrap w:val="0"/>
        <w:overflowPunct/>
        <w:bidi w:val="0"/>
        <w:spacing w:line="360" w:lineRule="auto"/>
        <w:ind w:firstLine="480"/>
        <w:jc w:val="both"/>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pPr>
      <w:bookmarkStart w:id="305" w:name="_Toc2286"/>
      <w:bookmarkStart w:id="306" w:name="_Toc31781"/>
      <w:bookmarkStart w:id="307" w:name="_Toc25565"/>
      <w:bookmarkStart w:id="308" w:name="_Toc755"/>
      <w:bookmarkStart w:id="309" w:name="_Toc30405"/>
      <w:bookmarkStart w:id="310" w:name="_Toc3958"/>
      <w:bookmarkStart w:id="311" w:name="_Toc11307"/>
      <w:bookmarkStart w:id="312" w:name="_Toc28537"/>
      <w:bookmarkStart w:id="313" w:name="_Toc6675"/>
      <w:bookmarkStart w:id="314" w:name="_Toc466640604"/>
      <w:bookmarkStart w:id="315" w:name="_Toc13437"/>
      <w:bookmarkStart w:id="316" w:name="_Hlt87948449"/>
      <w:bookmarkStart w:id="317" w:name="_Hlt87948447"/>
      <w:r>
        <w:rPr>
          <w:rFonts w:hint="eastAsia" w:asciiTheme="minorEastAsia" w:hAnsiTheme="minorEastAsia" w:eastAsiaTheme="minorEastAsia" w:cstheme="minorEastAsia"/>
          <w:b/>
          <w:color w:val="000000" w:themeColor="text1"/>
          <w:kern w:val="2"/>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b/>
          <w:color w:val="000000" w:themeColor="text1"/>
          <w:kern w:val="2"/>
          <w:szCs w:val="24"/>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t>工程结算原则</w:t>
      </w:r>
      <w:bookmarkEnd w:id="305"/>
      <w:bookmarkEnd w:id="306"/>
      <w:bookmarkEnd w:id="307"/>
      <w:bookmarkEnd w:id="308"/>
      <w:bookmarkEnd w:id="309"/>
      <w:bookmarkEnd w:id="310"/>
      <w:bookmarkEnd w:id="311"/>
      <w:bookmarkEnd w:id="312"/>
      <w:bookmarkEnd w:id="313"/>
      <w:bookmarkEnd w:id="314"/>
      <w:bookmarkEnd w:id="315"/>
    </w:p>
    <w:p>
      <w:pPr>
        <w:pageBreakBefore w:val="0"/>
        <w:kinsoku/>
        <w:wordWrap w:val="0"/>
        <w:overflowPunct/>
        <w:bidi w:val="0"/>
        <w:spacing w:line="360" w:lineRule="auto"/>
        <w:ind w:firstLine="480" w:firstLineChars="200"/>
        <w:jc w:val="left"/>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设计</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费结算原则</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中标价即结算价，设计费总价包干结算时不做调整</w:t>
      </w:r>
      <w:r>
        <w:rPr>
          <w:rFonts w:hint="eastAsia" w:asciiTheme="minorEastAsia" w:hAnsiTheme="minorEastAsia" w:eastAsiaTheme="minorEastAsia" w:cstheme="minorEastAsia"/>
          <w:color w:val="000000" w:themeColor="text1"/>
          <w:kern w:val="1"/>
          <w:szCs w:val="24"/>
          <w:highlight w:val="none"/>
          <w14:textFill>
            <w14:solidFill>
              <w14:schemeClr w14:val="tx1"/>
            </w14:solidFill>
          </w14:textFill>
        </w:rPr>
        <w:t>。</w:t>
      </w:r>
    </w:p>
    <w:p>
      <w:pPr>
        <w:pageBreakBefore w:val="0"/>
        <w:kinsoku/>
        <w:wordWrap w:val="0"/>
        <w:overflowPunct/>
        <w:bidi w:val="0"/>
        <w:spacing w:line="360" w:lineRule="auto"/>
        <w:ind w:firstLine="480" w:firstLineChars="200"/>
        <w:jc w:val="left"/>
        <w:rPr>
          <w:rFonts w:hint="eastAsia" w:asciiTheme="minorEastAsia" w:hAnsiTheme="minorEastAsia" w:eastAsiaTheme="minorEastAsia" w:cstheme="minorEastAsia"/>
          <w:strike/>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建安</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工程费用结算基准价的确定：以经审核后的预算价乘以（1－承包人中标下浮率）作为此工程项目的建安工程结算基准价（不含预备费），其分部分项工程量清单对应的综合单价即为结算基准单价。</w:t>
      </w:r>
    </w:p>
    <w:p>
      <w:pPr>
        <w:pageBreakBefore w:val="0"/>
        <w:kinsoku/>
        <w:wordWrap w:val="0"/>
        <w:overflowPunct/>
        <w:bidi w:val="0"/>
        <w:spacing w:line="360" w:lineRule="auto"/>
        <w:ind w:firstLine="480" w:firstLineChars="200"/>
        <w:jc w:val="left"/>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.3</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工程</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费用结算原则：发包人在不增减建设规模的情况下，结算价即为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结算基准价</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，但下列情形除外：</w:t>
      </w:r>
    </w:p>
    <w:p>
      <w:pPr>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.3.1 国家政策性人工价差调整：</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调整方式按省、市有关规定调整。</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.3.2 当后继相关法律、法规、规章和政策引起安全文明施工费发生变化时，应当按照省建设行政主管部门或省、韶关市、</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工程造价管理机构据此发布的规定调整；</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.3.3 当后继相关法律、法规、规章和政策引起规费、税金等发生变化时，应当按照省政府或省、韶关市、</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有关主管部门据此发布的规定调整；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.3.4 当施工期间市场物价发生涨落，引起工程所在地工程造价管理机构发布的价格信息中材料价格变化，主要建筑材料价格浮动超过±5%（指钢材、商品砼、商品砂浆、水泥、砂、石等主要材料），则双方同意调整5％以外部分价差；</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人工费</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根据国家政策按实调整；机械费浮动超过±10%，双方同意调整10％以外部分价差。其工、料、机消耗量以发包人确认的</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施工图工程量清单预算</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及进度中的消耗量为准。</w:t>
      </w:r>
    </w:p>
    <w:p>
      <w:pPr>
        <w:pageBreakBefore w:val="0"/>
        <w:kinsoku/>
        <w:wordWrap w:val="0"/>
        <w:overflowPunct/>
        <w:bidi w:val="0"/>
        <w:spacing w:line="440" w:lineRule="exact"/>
        <w:ind w:firstLine="482" w:firstLineChars="200"/>
        <w:rPr>
          <w:rFonts w:hint="eastAsia" w:asciiTheme="minorEastAsia" w:hAnsiTheme="minorEastAsia" w:eastAsiaTheme="minorEastAsia" w:cstheme="minorEastAsia"/>
          <w:b/>
          <w:bCs/>
          <w:color w:val="000000" w:themeColor="text1"/>
          <w:kern w:val="0"/>
          <w:szCs w:val="24"/>
          <w:highlight w:val="none"/>
          <w:u w:val="singl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4"/>
          <w:highlight w:val="none"/>
          <w:u w:val="single"/>
          <w14:textFill>
            <w14:solidFill>
              <w14:schemeClr w14:val="tx1"/>
            </w14:solidFill>
          </w14:textFill>
        </w:rPr>
        <w:t>注：人工费、材料单价、机械台班的价差调整基数是以施工当季《</w:t>
      </w:r>
      <w:r>
        <w:rPr>
          <w:rFonts w:hint="eastAsia" w:asciiTheme="minorEastAsia" w:hAnsiTheme="minorEastAsia" w:eastAsiaTheme="minorEastAsia" w:cstheme="minorEastAsia"/>
          <w:b/>
          <w:bCs/>
          <w:color w:val="000000" w:themeColor="text1"/>
          <w:kern w:val="0"/>
          <w:szCs w:val="24"/>
          <w:highlight w:val="none"/>
          <w:u w:val="single"/>
          <w:lang w:val="en-US" w:eastAsia="zh-CN"/>
          <w14:textFill>
            <w14:solidFill>
              <w14:schemeClr w14:val="tx1"/>
            </w14:solidFill>
          </w14:textFill>
        </w:rPr>
        <w:t>南雄市</w:t>
      </w:r>
      <w:r>
        <w:rPr>
          <w:rFonts w:hint="eastAsia" w:asciiTheme="minorEastAsia" w:hAnsiTheme="minorEastAsia" w:eastAsiaTheme="minorEastAsia" w:cstheme="minorEastAsia"/>
          <w:b/>
          <w:bCs/>
          <w:color w:val="000000" w:themeColor="text1"/>
          <w:kern w:val="0"/>
          <w:szCs w:val="24"/>
          <w:highlight w:val="none"/>
          <w:u w:val="single"/>
          <w14:textFill>
            <w14:solidFill>
              <w14:schemeClr w14:val="tx1"/>
            </w14:solidFill>
          </w14:textFill>
        </w:rPr>
        <w:t>建筑工程造价信息》</w:t>
      </w:r>
      <w:r>
        <w:rPr>
          <w:rFonts w:hint="eastAsia" w:asciiTheme="minorEastAsia" w:hAnsiTheme="minorEastAsia" w:eastAsiaTheme="minorEastAsia" w:cstheme="minorEastAsia"/>
          <w:b/>
          <w:bCs/>
          <w:color w:val="000000" w:themeColor="text1"/>
          <w:szCs w:val="24"/>
          <w:highlight w:val="none"/>
          <w:u w:val="single"/>
          <w14:textFill>
            <w14:solidFill>
              <w14:schemeClr w14:val="tx1"/>
            </w14:solidFill>
          </w14:textFill>
        </w:rPr>
        <w:t>（如信息价没有时参考施工当月&lt;韶关建筑工程造价信息&gt;）</w:t>
      </w:r>
      <w:r>
        <w:rPr>
          <w:rFonts w:hint="eastAsia" w:asciiTheme="minorEastAsia" w:hAnsiTheme="minorEastAsia" w:eastAsiaTheme="minorEastAsia" w:cstheme="minorEastAsia"/>
          <w:b/>
          <w:bCs/>
          <w:color w:val="000000" w:themeColor="text1"/>
          <w:kern w:val="0"/>
          <w:szCs w:val="24"/>
          <w:highlight w:val="none"/>
          <w:u w:val="single"/>
          <w14:textFill>
            <w14:solidFill>
              <w14:schemeClr w14:val="tx1"/>
            </w14:solidFill>
          </w14:textFill>
        </w:rPr>
        <w:t>公布的信息价（包括人工费、材料单价、机械台班）为F1与编制施工图工程量清单预算当季</w:t>
      </w:r>
      <w:r>
        <w:rPr>
          <w:rFonts w:hint="eastAsia" w:asciiTheme="minorEastAsia" w:hAnsiTheme="minorEastAsia" w:eastAsiaTheme="minorEastAsia" w:cstheme="minorEastAsia"/>
          <w:b/>
          <w:color w:val="000000" w:themeColor="text1"/>
          <w:kern w:val="0"/>
          <w:szCs w:val="24"/>
          <w:highlight w:val="none"/>
          <w:u w:val="single"/>
          <w14:textFill>
            <w14:solidFill>
              <w14:schemeClr w14:val="tx1"/>
            </w14:solidFill>
          </w14:textFill>
        </w:rPr>
        <w:t>（招标文件所规定的设计预算编制工期内）</w:t>
      </w:r>
      <w:r>
        <w:rPr>
          <w:rFonts w:hint="eastAsia" w:asciiTheme="minorEastAsia" w:hAnsiTheme="minorEastAsia" w:eastAsiaTheme="minorEastAsia" w:cstheme="minorEastAsia"/>
          <w:b/>
          <w:bCs/>
          <w:color w:val="000000" w:themeColor="text1"/>
          <w:kern w:val="0"/>
          <w:szCs w:val="24"/>
          <w:highlight w:val="none"/>
          <w:u w:val="single"/>
          <w14:textFill>
            <w14:solidFill>
              <w14:schemeClr w14:val="tx1"/>
            </w14:solidFill>
          </w14:textFill>
        </w:rPr>
        <w:t>《</w:t>
      </w:r>
      <w:r>
        <w:rPr>
          <w:rFonts w:hint="eastAsia" w:asciiTheme="minorEastAsia" w:hAnsiTheme="minorEastAsia" w:eastAsiaTheme="minorEastAsia" w:cstheme="minorEastAsia"/>
          <w:b/>
          <w:bCs/>
          <w:color w:val="000000" w:themeColor="text1"/>
          <w:kern w:val="0"/>
          <w:szCs w:val="24"/>
          <w:highlight w:val="none"/>
          <w:u w:val="single"/>
          <w:lang w:val="en-US" w:eastAsia="zh-CN"/>
          <w14:textFill>
            <w14:solidFill>
              <w14:schemeClr w14:val="tx1"/>
            </w14:solidFill>
          </w14:textFill>
        </w:rPr>
        <w:t>南雄市</w:t>
      </w:r>
      <w:r>
        <w:rPr>
          <w:rFonts w:hint="eastAsia" w:asciiTheme="minorEastAsia" w:hAnsiTheme="minorEastAsia" w:eastAsiaTheme="minorEastAsia" w:cstheme="minorEastAsia"/>
          <w:b/>
          <w:bCs/>
          <w:color w:val="000000" w:themeColor="text1"/>
          <w:kern w:val="0"/>
          <w:szCs w:val="24"/>
          <w:highlight w:val="none"/>
          <w:u w:val="single"/>
          <w14:textFill>
            <w14:solidFill>
              <w14:schemeClr w14:val="tx1"/>
            </w14:solidFill>
          </w14:textFill>
        </w:rPr>
        <w:t>建筑工程造价信息》</w:t>
      </w:r>
      <w:r>
        <w:rPr>
          <w:rFonts w:hint="eastAsia" w:asciiTheme="minorEastAsia" w:hAnsiTheme="minorEastAsia" w:eastAsiaTheme="minorEastAsia" w:cstheme="minorEastAsia"/>
          <w:b/>
          <w:bCs/>
          <w:color w:val="000000" w:themeColor="text1"/>
          <w:szCs w:val="24"/>
          <w:highlight w:val="none"/>
          <w:u w:val="single"/>
          <w14:textFill>
            <w14:solidFill>
              <w14:schemeClr w14:val="tx1"/>
            </w14:solidFill>
          </w14:textFill>
        </w:rPr>
        <w:t>（如信息价没有时参考预算编制当月</w:t>
      </w:r>
      <w:r>
        <w:rPr>
          <w:rFonts w:hint="eastAsia" w:asciiTheme="minorEastAsia" w:hAnsiTheme="minorEastAsia" w:eastAsiaTheme="minorEastAsia" w:cstheme="minorEastAsia"/>
          <w:b/>
          <w:color w:val="000000" w:themeColor="text1"/>
          <w:kern w:val="0"/>
          <w:szCs w:val="24"/>
          <w:highlight w:val="none"/>
          <w:u w:val="single"/>
          <w14:textFill>
            <w14:solidFill>
              <w14:schemeClr w14:val="tx1"/>
            </w14:solidFill>
          </w14:textFill>
        </w:rPr>
        <w:t>（招标文件所规定的设计预算编制工期内）</w:t>
      </w:r>
      <w:r>
        <w:rPr>
          <w:rFonts w:hint="eastAsia" w:asciiTheme="minorEastAsia" w:hAnsiTheme="minorEastAsia" w:eastAsiaTheme="minorEastAsia" w:cstheme="minorEastAsia"/>
          <w:b/>
          <w:bCs/>
          <w:color w:val="000000" w:themeColor="text1"/>
          <w:szCs w:val="24"/>
          <w:highlight w:val="none"/>
          <w:u w:val="single"/>
          <w14:textFill>
            <w14:solidFill>
              <w14:schemeClr w14:val="tx1"/>
            </w14:solidFill>
          </w14:textFill>
        </w:rPr>
        <w:t>&lt;韶关建筑工程造价信息&gt;）</w:t>
      </w:r>
      <w:r>
        <w:rPr>
          <w:rFonts w:hint="eastAsia" w:asciiTheme="minorEastAsia" w:hAnsiTheme="minorEastAsia" w:eastAsiaTheme="minorEastAsia" w:cstheme="minorEastAsia"/>
          <w:b/>
          <w:bCs/>
          <w:color w:val="000000" w:themeColor="text1"/>
          <w:kern w:val="0"/>
          <w:szCs w:val="24"/>
          <w:highlight w:val="none"/>
          <w:u w:val="single"/>
          <w14:textFill>
            <w14:solidFill>
              <w14:schemeClr w14:val="tx1"/>
            </w14:solidFill>
          </w14:textFill>
        </w:rPr>
        <w:t>公布的信息价（包括人工费、材料单价、机械台班）F0比较。</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1）人工费调整方式：按省、市有关规定调整。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2）材料补差方式：</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调价系数A=（F1-F0）÷F0×100%</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当材料涨价时，材料补差= F0×（A-5%），当材料跌价时，材料补差= F0×（A+5%），材料补差只计算相应的规费和税金。</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3）施工机械使用费补差方式：</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调价系数A=（F1-F0）÷F0×100%</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当施工机械台班费涨价时，机械台班补差= F0×（A-10%），当施工机械台班费跌价时，机械台班补差= F0×（A+10%）， 施工机械使用费补差只计算相应的规费和税金。</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4）若项目规模、建设标准等发生变化，因变化而发生的措施项目费结算时进行相应增减。</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5）施工合同履行期间，由于非承包人原因导致工程变更的，发、承包双方应当按照GB50500-2013年《建设工程工程量清单计价规范》和省的有关规定，依据实际变更项目调整工程价款。工程变更引起工程量发生变化，出现本合同价款调整方式第3.3.5款情形的，应当按照其规定调整；其他情形的，按照以下规定调整：</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①结算基准价中有适用于变更工程项目的，按照该项目的单价或合价调整；</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②结算基准价中没有适用、只有类似于变更工程项目的，可在合理范围内参照类似项目的单价或合价调整；</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③结算基准价中没有适用也没有类似于变更工程项目的，根据变更工程资料、计量规则和计价办法、施工期间工程造价管理机构发布的价格信息，按本结算原则第3.3.5款重新确定综合单价后，相应调整工程价款；</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④结算基准价中没有适用也没有类似于变更工程项目，且施工期间工程造价管理机构发布的价格信息缺项的，根据变更工程资料、计量规则、计价办法和通过市场调查等的有合法依据的市场价格，按本原则第3.3.5条提出变更工程项目的单价或合价，经发、承包双方确认后调整；</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⑤如发包人只调整材料的等级、规格或品牌，则其综合单价按结算基准价中单价＋该项材料的价差（经发包人审定后的材料单价-结算基准价中的材料单价）进行调整，规费、税金按有关规定调整。</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6）建设工程完工后，发、承包双方和受其委托具有相应资质的工程造价咨询企业必须按照GB50500-2013年《建设工程工程量清单计价规范》和省的有关规定办理竣工结算。</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.3.5 工程造价调整项目若是结算基准价中没有的项目，其造价调整如下：</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按（1）GB50500-2013年《建设工程工程量清单计价规范》、（2）2018年广东省建设工程计价依据（包括2018年《广东省市政工程综合定额》、2018年《广东省房屋建筑与装饰工程综合定额》、2018年《广东省通用安装工程综合定额》、2018年《广东省园林绿化工程综合定额》、2018年《广东省建设工程施工机具台班费用编制规则》），工程量按发、承包双方签证确认的、应予计量的实际完成的工程量计算，主要材料价格按施工同期工程所在地工程造价管理机构发布的价格信息中的综合单价计算，工程所在地工程造价管理机构发布的价格信息中参考价没有的材料价由发、承包双方市场询价确定，规费、税金等其它费用则按有关规定计算（费率有上、下限的以下限计算），预算包干费及赶工措施费不予计算。经发包人或其指定的有关单位审核，经审核后的造价按承包人的建安工程费中标下浮率下浮后作为工程结算价。</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清单项目如只单独调整人工、材料、机械台班价差的，其人工、材料、机械台班消耗量均以审定施工图预算中的该清单项目的人工、材料、机械台班消耗量为准。</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承包人不得以不完全了解现场情况为理由，提出额外付款或延长工期等要求。对此类要求，发包人不作任何考虑及答复。</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合同履行期间，由于承包人原因导致发生设计变更或现场签证的，由此增加的工程造价费用，由承包人自行承担，发包人不予以考虑和补偿，同时按相关违约条款处罚。</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.4 如发包人减少建设规模，则</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根据</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经发包人确认的预算书</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扣减减少</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部分工程造价。</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最终结算价由</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财政局投资评审中心审定为准</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 xml:space="preserve">。 </w:t>
      </w:r>
    </w:p>
    <w:p>
      <w:pPr>
        <w:pageBreakBefore w:val="0"/>
        <w:kinsoku/>
        <w:wordWrap w:val="0"/>
        <w:overflowPunct/>
        <w:bidi w:val="0"/>
        <w:spacing w:line="360" w:lineRule="auto"/>
        <w:rPr>
          <w:rFonts w:hint="eastAsia" w:asciiTheme="minorEastAsia" w:hAnsiTheme="minorEastAsia" w:eastAsiaTheme="minorEastAsia" w:cstheme="minorEastAsia"/>
          <w:strike/>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.5 预备费：</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由发包人掌握使用，不发生时不计入结算总价。使用范围用于以下情形：</w:t>
      </w:r>
    </w:p>
    <w:p>
      <w:pPr>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（1）由于发包人的要求导致发生设计变更或合同约定调整因素出现时的工程价款调整以及发生的索赔、现场签证等，其工程量按实调整，结算时按实际施工工作量及招标文件、合同约定进行结算，</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不发生时不计入结算总价</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w:t>
      </w:r>
    </w:p>
    <w:p>
      <w:pPr>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（2）国家政策变化导致的调整。</w:t>
      </w:r>
    </w:p>
    <w:p>
      <w:pPr>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（3）施工期间市场物价涨落，引起工程所在地工程造价管理机构发布的价格信息中材料价格变化，主要建筑材料（具体参照第3.3.4条款）价格浮动超过+5%的。</w:t>
      </w:r>
    </w:p>
    <w:p>
      <w:pPr>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（4）施工合同签订时尚未确定或者不可预见的所需材料、设备、服务的采购。结算时按实际发生根据本招标文件的工程结算原则第3.3.5款进行结算。</w:t>
      </w:r>
    </w:p>
    <w:p>
      <w:pPr>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（5）因不可预见的原因施工局部调整或施工技术工艺调整或应急工作需要发生的工程量。</w:t>
      </w:r>
    </w:p>
    <w:p>
      <w:pPr>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（6）土石方工程等相应的投资概算范围之外的及因地质情况引起的基础变更的工程价款调整：其工程量按实调整，结算时按实际施工工作量及招标文件、合同约定进行结算。</w:t>
      </w:r>
    </w:p>
    <w:p>
      <w:pPr>
        <w:pageBreakBefore w:val="0"/>
        <w:kinsoku/>
        <w:wordWrap w:val="0"/>
        <w:overflowPunct/>
        <w:bidi w:val="0"/>
        <w:spacing w:line="500" w:lineRule="exact"/>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本工程结算不另行计取高温补贴费用、专业分包总包服务及配合费、设计优化及修改增加的费用。</w:t>
      </w:r>
    </w:p>
    <w:p>
      <w:pPr>
        <w:pageBreakBefore w:val="0"/>
        <w:kinsoku/>
        <w:wordWrap w:val="0"/>
        <w:overflowPunct/>
        <w:bidi w:val="0"/>
        <w:spacing w:line="500" w:lineRule="exact"/>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2.7</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本工程暂估价（若有）为发包人用于支付必然发生但暂时不能确定价格的材料、工程设备的单价以及专业工程的金额，其结算原则按本章“2～3 工程结算原则”有关条款进行结算，结算时不得超过预算中所列相应的暂估价。</w:t>
      </w:r>
    </w:p>
    <w:p>
      <w:pPr>
        <w:pageBreakBefore w:val="0"/>
        <w:kinsoku/>
        <w:wordWrap w:val="0"/>
        <w:overflowPunct/>
        <w:bidi w:val="0"/>
        <w:spacing w:line="500" w:lineRule="exact"/>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2.8</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因本项目为设计、施工总承包，如果施工图由于设计深度原因导致的设计变更，不另行增加费用。</w:t>
      </w:r>
    </w:p>
    <w:p>
      <w:pPr>
        <w:pageBreakBefore w:val="0"/>
        <w:kinsoku/>
        <w:wordWrap w:val="0"/>
        <w:overflowPunct/>
        <w:bidi w:val="0"/>
        <w:spacing w:line="500" w:lineRule="exact"/>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2.9</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项目工程费用最终结算价以</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财政局投资评审中心的审定意见为准：若最终结算价超过中标价，则按中标价结算；若最终结算价未超过中标价，则按</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财政局投资评审中心审定的结算价进行结算。</w:t>
      </w:r>
    </w:p>
    <w:bookmarkEnd w:id="316"/>
    <w:bookmarkEnd w:id="317"/>
    <w:p>
      <w:pPr>
        <w:pStyle w:val="39"/>
        <w:keepNext/>
        <w:keepLines/>
        <w:pageBreakBefore w:val="0"/>
        <w:kinsoku/>
        <w:wordWrap w:val="0"/>
        <w:overflowPunct/>
        <w:bidi w:val="0"/>
        <w:spacing w:line="500" w:lineRule="exact"/>
        <w:ind w:firstLine="480"/>
        <w:jc w:val="both"/>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pPr>
      <w:bookmarkStart w:id="318" w:name="_Hlt112206782"/>
      <w:bookmarkEnd w:id="318"/>
      <w:bookmarkStart w:id="319" w:name="_Toc15300"/>
      <w:bookmarkStart w:id="320" w:name="_Toc24211"/>
      <w:bookmarkStart w:id="321" w:name="_Toc23408"/>
      <w:bookmarkStart w:id="322" w:name="_Toc30894"/>
      <w:bookmarkStart w:id="323" w:name="_Toc16793"/>
      <w:bookmarkStart w:id="324" w:name="_Toc322793290"/>
      <w:bookmarkStart w:id="325" w:name="_Toc11208"/>
      <w:bookmarkStart w:id="326" w:name="_Toc29998"/>
      <w:bookmarkStart w:id="327" w:name="_Toc2973"/>
      <w:bookmarkStart w:id="328" w:name="_Toc20983"/>
      <w:bookmarkStart w:id="329" w:name="_Toc636"/>
      <w:bookmarkStart w:id="330" w:name="_Toc326916631"/>
      <w:bookmarkStart w:id="331" w:name="_Hlt87951777"/>
      <w:r>
        <w:rPr>
          <w:rFonts w:hint="eastAsia" w:asciiTheme="minorEastAsia" w:hAnsiTheme="minorEastAsia" w:eastAsiaTheme="minorEastAsia" w:cstheme="minorEastAsia"/>
          <w:b/>
          <w:color w:val="000000" w:themeColor="text1"/>
          <w:kern w:val="2"/>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b/>
          <w:color w:val="000000" w:themeColor="text1"/>
          <w:kern w:val="2"/>
          <w:szCs w:val="24"/>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t>工程付款办法</w:t>
      </w:r>
      <w:bookmarkEnd w:id="319"/>
      <w:bookmarkEnd w:id="320"/>
      <w:bookmarkEnd w:id="321"/>
      <w:bookmarkEnd w:id="322"/>
      <w:bookmarkEnd w:id="323"/>
      <w:bookmarkEnd w:id="324"/>
      <w:bookmarkEnd w:id="325"/>
      <w:bookmarkEnd w:id="326"/>
      <w:bookmarkEnd w:id="327"/>
      <w:bookmarkEnd w:id="328"/>
      <w:bookmarkEnd w:id="329"/>
      <w:bookmarkEnd w:id="330"/>
    </w:p>
    <w:bookmarkEnd w:id="331"/>
    <w:p>
      <w:pPr>
        <w:pStyle w:val="37"/>
        <w:pageBreakBefore w:val="0"/>
        <w:kinsoku/>
        <w:wordWrap w:val="0"/>
        <w:overflowPunct/>
        <w:bidi w:val="0"/>
        <w:spacing w:line="500" w:lineRule="exact"/>
        <w:ind w:firstLine="480"/>
        <w:rPr>
          <w:rFonts w:hint="eastAsia" w:asciiTheme="minorEastAsia" w:hAnsiTheme="minorEastAsia" w:eastAsiaTheme="minorEastAsia" w:cstheme="minorEastAsia"/>
          <w:color w:val="000000" w:themeColor="text1"/>
          <w:szCs w:val="22"/>
          <w:highlight w:val="none"/>
          <w14:textFill>
            <w14:solidFill>
              <w14:schemeClr w14:val="tx1"/>
            </w14:solidFill>
          </w14:textFill>
        </w:rPr>
      </w:pPr>
      <w:bookmarkStart w:id="332" w:name="_Hlt70150985"/>
      <w:bookmarkEnd w:id="332"/>
      <w:bookmarkStart w:id="333" w:name="_Hlt69669774"/>
      <w:bookmarkEnd w:id="333"/>
      <w:bookmarkStart w:id="334" w:name="_Hlt66591689"/>
      <w:bookmarkEnd w:id="334"/>
      <w:bookmarkStart w:id="335" w:name="_Hlt66608388"/>
      <w:bookmarkEnd w:id="335"/>
      <w:bookmarkStart w:id="336" w:name="_Hlt69114106"/>
      <w:bookmarkEnd w:id="336"/>
      <w:bookmarkStart w:id="337" w:name="_Hlt66593437"/>
      <w:bookmarkEnd w:id="337"/>
      <w:bookmarkStart w:id="338" w:name="_Hlt88976467"/>
      <w:bookmarkEnd w:id="338"/>
      <w:bookmarkStart w:id="339" w:name="_Hlt69700007"/>
      <w:bookmarkEnd w:id="339"/>
      <w:r>
        <w:rPr>
          <w:rFonts w:hint="eastAsia" w:asciiTheme="minorEastAsia" w:hAnsiTheme="minorEastAsia" w:eastAsiaTheme="minorEastAsia" w:cstheme="minorEastAsia"/>
          <w:b/>
          <w:bCs/>
          <w:color w:val="000000" w:themeColor="text1"/>
          <w:szCs w:val="22"/>
          <w:highlight w:val="none"/>
          <w:lang w:val="en-US" w:eastAsia="zh-CN"/>
          <w14:textFill>
            <w14:solidFill>
              <w14:schemeClr w14:val="tx1"/>
            </w14:solidFill>
          </w14:textFill>
        </w:rPr>
        <w:t>3</w:t>
      </w:r>
      <w:r>
        <w:rPr>
          <w:rFonts w:hint="eastAsia" w:asciiTheme="minorEastAsia" w:hAnsiTheme="minorEastAsia" w:eastAsiaTheme="minorEastAsia" w:cstheme="minorEastAsia"/>
          <w:b/>
          <w:bCs/>
          <w:color w:val="000000" w:themeColor="text1"/>
          <w:szCs w:val="22"/>
          <w:highlight w:val="none"/>
          <w14:textFill>
            <w14:solidFill>
              <w14:schemeClr w14:val="tx1"/>
            </w14:solidFill>
          </w14:textFill>
        </w:rPr>
        <w:t>.1</w:t>
      </w: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设计费的支付</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w:t>
      </w:r>
    </w:p>
    <w:p>
      <w:pPr>
        <w:pStyle w:val="37"/>
        <w:pageBreakBefore w:val="0"/>
        <w:kinsoku/>
        <w:wordWrap w:val="0"/>
        <w:overflowPunct/>
        <w:bidi w:val="0"/>
        <w:spacing w:line="500" w:lineRule="exact"/>
        <w:ind w:firstLine="480" w:firstLineChars="200"/>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3.1.1完成施工图设计及交付施工图设计成果文件并经审查合格后1个月内发包人支付设计费的80%；</w:t>
      </w:r>
    </w:p>
    <w:p>
      <w:pPr>
        <w:pStyle w:val="37"/>
        <w:pageBreakBefore w:val="0"/>
        <w:kinsoku/>
        <w:wordWrap w:val="0"/>
        <w:overflowPunct/>
        <w:bidi w:val="0"/>
        <w:spacing w:line="500" w:lineRule="exact"/>
        <w:ind w:firstLine="480" w:firstLineChars="200"/>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3.1.2 工程竣工验收合格后，发包人支付余下20%的设计费。</w:t>
      </w:r>
    </w:p>
    <w:p>
      <w:pPr>
        <w:pStyle w:val="37"/>
        <w:pageBreakBefore w:val="0"/>
        <w:kinsoku/>
        <w:wordWrap w:val="0"/>
        <w:overflowPunct/>
        <w:bidi w:val="0"/>
        <w:spacing w:line="500" w:lineRule="exact"/>
        <w:ind w:firstLine="482"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b/>
          <w:bCs/>
          <w:color w:val="000000" w:themeColor="text1"/>
          <w:highlight w:val="none"/>
          <w14:textFill>
            <w14:solidFill>
              <w14:schemeClr w14:val="tx1"/>
            </w14:solidFill>
          </w14:textFill>
        </w:rPr>
        <w:t xml:space="preserve">.2 </w:t>
      </w: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建安工程款的支付</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w:t>
      </w:r>
    </w:p>
    <w:p>
      <w:pPr>
        <w:pStyle w:val="37"/>
        <w:pageBreakBefore w:val="0"/>
        <w:kinsoku/>
        <w:wordWrap w:val="0"/>
        <w:overflowPunct/>
        <w:bidi w:val="0"/>
        <w:spacing w:line="50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highlight w:val="none"/>
          <w14:textFill>
            <w14:solidFill>
              <w14:schemeClr w14:val="tx1"/>
            </w14:solidFill>
          </w14:textFill>
        </w:rPr>
        <w:t>.2.1 本工程</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支付</w:t>
      </w:r>
      <w:r>
        <w:rPr>
          <w:rFonts w:hint="eastAsia" w:asciiTheme="minorEastAsia" w:hAnsiTheme="minorEastAsia" w:eastAsiaTheme="minorEastAsia" w:cstheme="minorEastAsia"/>
          <w:color w:val="000000" w:themeColor="text1"/>
          <w:highlight w:val="none"/>
          <w14:textFill>
            <w14:solidFill>
              <w14:schemeClr w14:val="tx1"/>
            </w14:solidFill>
          </w14:textFill>
        </w:rPr>
        <w:t>施工预付款。</w:t>
      </w:r>
    </w:p>
    <w:p>
      <w:pPr>
        <w:pStyle w:val="37"/>
        <w:pageBreakBefore w:val="0"/>
        <w:kinsoku/>
        <w:wordWrap w:val="0"/>
        <w:overflowPunct/>
        <w:bidi w:val="0"/>
        <w:spacing w:line="500" w:lineRule="exact"/>
        <w:ind w:firstLine="480"/>
        <w:rPr>
          <w:rFonts w:hint="eastAsia" w:asciiTheme="minorEastAsia" w:hAnsiTheme="minorEastAsia" w:eastAsiaTheme="minorEastAsia" w:cstheme="minorEastAsia"/>
          <w:i/>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.2.2 </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施工预付款必须专用于合同工程，并按以下原则支付和抵扣：</w:t>
      </w:r>
    </w:p>
    <w:p>
      <w:pPr>
        <w:pageBreakBefore w:val="0"/>
        <w:kinsoku/>
        <w:wordWrap w:val="0"/>
        <w:overflowPunct/>
        <w:bidi w:val="0"/>
        <w:adjustRightInd w:val="0"/>
        <w:snapToGrid w:val="0"/>
        <w:spacing w:line="500" w:lineRule="exact"/>
        <w:ind w:firstLine="56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 施工预付款支付比例为：按施工合同价（预备费除外）的</w:t>
      </w:r>
      <w:r>
        <w:rPr>
          <w:rFonts w:hint="eastAsia" w:asciiTheme="minorEastAsia" w:hAnsiTheme="minorEastAsia" w:eastAsiaTheme="minorEastAsia" w:cstheme="minorEastAsia"/>
          <w:snapToGrid w:val="0"/>
          <w:color w:val="auto"/>
          <w:kern w:val="0"/>
          <w:szCs w:val="24"/>
          <w:highlight w:val="none"/>
          <w:u w:val="single"/>
        </w:rPr>
        <w:t xml:space="preserve">30% </w:t>
      </w:r>
      <w:r>
        <w:rPr>
          <w:rFonts w:hint="eastAsia" w:asciiTheme="minorEastAsia" w:hAnsiTheme="minorEastAsia" w:eastAsiaTheme="minorEastAsia" w:cstheme="minorEastAsia"/>
          <w:snapToGrid w:val="0"/>
          <w:color w:val="auto"/>
          <w:kern w:val="0"/>
          <w:szCs w:val="24"/>
          <w:highlight w:val="none"/>
        </w:rPr>
        <w:t>支付（视资金到位情况为准）。</w:t>
      </w:r>
    </w:p>
    <w:p>
      <w:pPr>
        <w:pageBreakBefore w:val="0"/>
        <w:kinsoku/>
        <w:wordWrap w:val="0"/>
        <w:overflowPunct/>
        <w:bidi w:val="0"/>
        <w:adjustRightInd w:val="0"/>
        <w:snapToGrid w:val="0"/>
        <w:spacing w:line="500" w:lineRule="exact"/>
        <w:ind w:firstLine="560"/>
        <w:rPr>
          <w:rFonts w:hint="eastAsia" w:asciiTheme="minorEastAsia" w:hAnsiTheme="minorEastAsia" w:eastAsiaTheme="minorEastAsia" w:cstheme="minorEastAsia"/>
          <w:b/>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（2）本工程</w:t>
      </w:r>
      <w:r>
        <w:rPr>
          <w:rFonts w:hint="eastAsia" w:asciiTheme="minorEastAsia" w:hAnsiTheme="minorEastAsia" w:eastAsiaTheme="minorEastAsia" w:cstheme="minorEastAsia"/>
          <w:b/>
          <w:bCs/>
          <w:snapToGrid w:val="0"/>
          <w:color w:val="auto"/>
          <w:kern w:val="0"/>
          <w:szCs w:val="24"/>
          <w:highlight w:val="none"/>
          <w:u w:val="single"/>
          <w:lang w:val="en-US" w:eastAsia="zh-CN"/>
        </w:rPr>
        <w:t>不</w:t>
      </w:r>
      <w:r>
        <w:rPr>
          <w:rFonts w:hint="eastAsia" w:asciiTheme="minorEastAsia" w:hAnsiTheme="minorEastAsia" w:eastAsiaTheme="minorEastAsia" w:cstheme="minorEastAsia"/>
          <w:b/>
          <w:bCs/>
          <w:snapToGrid w:val="0"/>
          <w:color w:val="auto"/>
          <w:kern w:val="0"/>
          <w:szCs w:val="24"/>
          <w:highlight w:val="none"/>
          <w:u w:val="single"/>
        </w:rPr>
        <w:t>要求</w:t>
      </w:r>
      <w:r>
        <w:rPr>
          <w:rFonts w:hint="eastAsia" w:asciiTheme="minorEastAsia" w:hAnsiTheme="minorEastAsia" w:eastAsiaTheme="minorEastAsia" w:cstheme="minorEastAsia"/>
          <w:snapToGrid w:val="0"/>
          <w:color w:val="auto"/>
          <w:kern w:val="0"/>
          <w:szCs w:val="24"/>
          <w:highlight w:val="none"/>
        </w:rPr>
        <w:t>承包人提供与预付款等额的预付款银行保函</w:t>
      </w:r>
      <w:r>
        <w:rPr>
          <w:rFonts w:hint="eastAsia" w:asciiTheme="minorEastAsia" w:hAnsiTheme="minorEastAsia" w:eastAsiaTheme="minorEastAsia" w:cstheme="minorEastAsia"/>
          <w:b/>
          <w:snapToGrid w:val="0"/>
          <w:color w:val="auto"/>
          <w:kern w:val="0"/>
          <w:szCs w:val="24"/>
          <w:highlight w:val="none"/>
        </w:rPr>
        <w:t>。</w:t>
      </w:r>
    </w:p>
    <w:p>
      <w:pPr>
        <w:pageBreakBefore w:val="0"/>
        <w:kinsoku/>
        <w:wordWrap w:val="0"/>
        <w:overflowPunct/>
        <w:bidi w:val="0"/>
        <w:adjustRightInd w:val="0"/>
        <w:snapToGrid w:val="0"/>
        <w:spacing w:line="500" w:lineRule="exact"/>
        <w:ind w:firstLine="560"/>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snapToGrid w:val="0"/>
          <w:color w:val="auto"/>
          <w:kern w:val="0"/>
          <w:szCs w:val="24"/>
          <w:highlight w:val="none"/>
        </w:rPr>
        <w:t>（3）承包人应在签订施工合同后，在提供等额的预付款保函及具备施工条件的前</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提下（如承包人主要人员及主要机械进场到位），向发包人提交预付款支付申请。</w:t>
      </w:r>
    </w:p>
    <w:p>
      <w:pPr>
        <w:pageBreakBefore w:val="0"/>
        <w:kinsoku/>
        <w:wordWrap w:val="0"/>
        <w:overflowPunct/>
        <w:bidi w:val="0"/>
        <w:adjustRightInd w:val="0"/>
        <w:snapToGrid w:val="0"/>
        <w:spacing w:line="500" w:lineRule="exact"/>
        <w:ind w:firstLine="560"/>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发包人在收到支付申请的7天内进行核实后，按程序向财政部门申请一次性支付预付款（工人工资预付款单独支付至工人工资专用账户）。</w:t>
      </w:r>
      <w:r>
        <w:rPr>
          <w:rFonts w:hint="eastAsia" w:asciiTheme="minorEastAsia" w:hAnsiTheme="minorEastAsia" w:eastAsiaTheme="minorEastAsia" w:cstheme="minorEastAsia"/>
          <w:b/>
          <w:snapToGrid w:val="0"/>
          <w:color w:val="000000" w:themeColor="text1"/>
          <w:kern w:val="0"/>
          <w:highlight w:val="none"/>
          <w14:textFill>
            <w14:solidFill>
              <w14:schemeClr w14:val="tx1"/>
            </w14:solidFill>
          </w14:textFill>
        </w:rPr>
        <w:t>凡未签订合同、未提供预付款保函或不具备施工条件的工程，发包人不预付工程款。</w:t>
      </w:r>
    </w:p>
    <w:p>
      <w:pPr>
        <w:pageBreakBefore w:val="0"/>
        <w:kinsoku/>
        <w:wordWrap w:val="0"/>
        <w:overflowPunct/>
        <w:bidi w:val="0"/>
        <w:adjustRightInd w:val="0"/>
        <w:snapToGrid w:val="0"/>
        <w:spacing w:line="500" w:lineRule="exact"/>
        <w:ind w:firstLine="560"/>
        <w:rPr>
          <w:rFonts w:hint="eastAsia" w:asciiTheme="minorEastAsia" w:hAnsiTheme="minorEastAsia" w:eastAsiaTheme="minorEastAsia" w:cstheme="minorEastAsia"/>
          <w:bCs/>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bCs/>
          <w:snapToGrid w:val="0"/>
          <w:color w:val="000000" w:themeColor="text1"/>
          <w:kern w:val="0"/>
          <w:highlight w:val="none"/>
          <w14:textFill>
            <w14:solidFill>
              <w14:schemeClr w14:val="tx1"/>
            </w14:solidFill>
          </w14:textFill>
        </w:rPr>
        <w:t>（4）预付款应从每支付期应支付给承包人的工程进度款中扣回，扣回比例为每支付期的工程进度款的</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50</w:t>
      </w:r>
      <w:r>
        <w:rPr>
          <w:rFonts w:hint="eastAsia" w:asciiTheme="minorEastAsia" w:hAnsiTheme="minorEastAsia" w:eastAsiaTheme="minorEastAsia" w:cstheme="minorEastAsia"/>
          <w:bCs/>
          <w:snapToGrid w:val="0"/>
          <w:color w:val="000000" w:themeColor="text1"/>
          <w:kern w:val="0"/>
          <w:highlight w:val="none"/>
          <w14:textFill>
            <w14:solidFill>
              <w14:schemeClr w14:val="tx1"/>
            </w14:solidFill>
          </w14:textFill>
        </w:rPr>
        <w:t>%，直到扣回的金额达到合同约定的预付款金额为止。</w:t>
      </w:r>
    </w:p>
    <w:p>
      <w:pPr>
        <w:pStyle w:val="37"/>
        <w:pageBreakBefore w:val="0"/>
        <w:kinsoku/>
        <w:wordWrap w:val="0"/>
        <w:overflowPunct/>
        <w:bidi w:val="0"/>
        <w:ind w:firstLine="480" w:firstLineChars="200"/>
        <w:rPr>
          <w:rFonts w:hint="eastAsia" w:asciiTheme="minorEastAsia" w:hAnsiTheme="minorEastAsia" w:eastAsiaTheme="minorEastAsia" w:cstheme="minorEastAsia"/>
          <w:bCs/>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highlight w:val="none"/>
          <w14:textFill>
            <w14:solidFill>
              <w14:schemeClr w14:val="tx1"/>
            </w14:solidFill>
          </w14:textFill>
        </w:rPr>
        <w:t>.2.3</w:t>
      </w:r>
      <w:r>
        <w:rPr>
          <w:rFonts w:hint="eastAsia" w:hAnsi="宋体" w:cs="宋体"/>
          <w:color w:val="000000" w:themeColor="text1"/>
          <w:kern w:val="0"/>
          <w:szCs w:val="24"/>
          <w:highlight w:val="none"/>
          <w:lang w:bidi="ar"/>
          <w14:textFill>
            <w14:solidFill>
              <w14:schemeClr w14:val="tx1"/>
            </w14:solidFill>
          </w14:textFill>
        </w:rPr>
        <w:t>施工过程中按</w:t>
      </w:r>
      <w:r>
        <w:rPr>
          <w:rFonts w:hint="eastAsia" w:hAnsi="宋体" w:cs="宋体"/>
          <w:strike w:val="0"/>
          <w:dstrike w:val="0"/>
          <w:color w:val="000000" w:themeColor="text1"/>
          <w:kern w:val="0"/>
          <w:szCs w:val="24"/>
          <w:highlight w:val="none"/>
          <w:lang w:val="en-US" w:eastAsia="zh-CN" w:bidi="ar"/>
          <w14:textFill>
            <w14:solidFill>
              <w14:schemeClr w14:val="tx1"/>
            </w14:solidFill>
          </w14:textFill>
        </w:rPr>
        <w:t>工程进度</w:t>
      </w:r>
      <w:r>
        <w:rPr>
          <w:rFonts w:hint="eastAsia" w:hAnsi="宋体" w:cs="宋体"/>
          <w:color w:val="000000" w:themeColor="text1"/>
          <w:kern w:val="0"/>
          <w:szCs w:val="24"/>
          <w:highlight w:val="none"/>
          <w:lang w:bidi="ar"/>
          <w14:textFill>
            <w14:solidFill>
              <w14:schemeClr w14:val="tx1"/>
            </w14:solidFill>
          </w14:textFill>
        </w:rPr>
        <w:t>支付工程进度款：承包人按工程实际完成工程量（含变更及增加工程）申报，承包人必须将《已完成工程量报表》和《工程付款申请书》报监理单位核实。经监理单位审核、发包人审定后的工程进度款（指已经按照合同约定，扣除该支付期内因承包人违约而应扣除的管理费），</w:t>
      </w:r>
      <w:r>
        <w:rPr>
          <w:rFonts w:hint="eastAsia" w:hAnsi="宋体" w:cs="宋体"/>
          <w:color w:val="000000" w:themeColor="text1"/>
          <w:kern w:val="0"/>
          <w:szCs w:val="24"/>
          <w:highlight w:val="none"/>
          <w:lang w:val="en-US" w:eastAsia="zh-CN" w:bidi="ar"/>
          <w14:textFill>
            <w14:solidFill>
              <w14:schemeClr w14:val="tx1"/>
            </w14:solidFill>
          </w14:textFill>
        </w:rPr>
        <w:t>方可</w:t>
      </w:r>
      <w:r>
        <w:rPr>
          <w:rFonts w:hint="eastAsia" w:hAnsi="宋体" w:cs="宋体"/>
          <w:color w:val="000000" w:themeColor="text1"/>
          <w:kern w:val="0"/>
          <w:szCs w:val="24"/>
          <w:highlight w:val="none"/>
          <w:lang w:bidi="ar"/>
          <w14:textFill>
            <w14:solidFill>
              <w14:schemeClr w14:val="tx1"/>
            </w14:solidFill>
          </w14:textFill>
        </w:rPr>
        <w:t>支付工程进度款</w:t>
      </w:r>
      <w:r>
        <w:rPr>
          <w:rFonts w:hint="eastAsia" w:asciiTheme="minorEastAsia" w:hAnsiTheme="minorEastAsia" w:eastAsiaTheme="minorEastAsia" w:cstheme="minorEastAsia"/>
          <w:color w:val="000000" w:themeColor="text1"/>
          <w:highlight w:val="none"/>
          <w14:textFill>
            <w14:solidFill>
              <w14:schemeClr w14:val="tx1"/>
            </w14:solidFill>
          </w14:textFill>
        </w:rPr>
        <w:t>。</w:t>
      </w:r>
    </w:p>
    <w:p>
      <w:pPr>
        <w:pStyle w:val="37"/>
        <w:pageBreakBefore w:val="0"/>
        <w:kinsoku/>
        <w:wordWrap w:val="0"/>
        <w:overflowPunct/>
        <w:bidi w:val="0"/>
        <w:ind w:firstLine="480" w:firstLineChars="200"/>
        <w:rPr>
          <w:rFonts w:hint="eastAsia" w:asciiTheme="minorEastAsia" w:hAnsiTheme="minorEastAsia" w:eastAsiaTheme="minorEastAsia" w:cstheme="minorEastAsia"/>
          <w:strike/>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.2.4</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施工过程中按月支付工程进度款：承包人每月按</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工程形象进度申</w:t>
      </w:r>
      <w:r>
        <w:rPr>
          <w:rFonts w:hint="eastAsia" w:asciiTheme="minorEastAsia" w:hAnsiTheme="minorEastAsia" w:eastAsiaTheme="minorEastAsia" w:cstheme="minorEastAsia"/>
          <w:color w:val="000000" w:themeColor="text1"/>
          <w:highlight w:val="none"/>
          <w14:textFill>
            <w14:solidFill>
              <w14:schemeClr w14:val="tx1"/>
            </w14:solidFill>
          </w14:textFill>
        </w:rPr>
        <w:t>报，截止日为当月26日，形象进度和</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《工程付款申请书》</w:t>
      </w:r>
      <w:r>
        <w:rPr>
          <w:rFonts w:hint="eastAsia" w:asciiTheme="minorEastAsia" w:hAnsiTheme="minorEastAsia" w:eastAsiaTheme="minorEastAsia" w:cstheme="minorEastAsia"/>
          <w:color w:val="000000" w:themeColor="text1"/>
          <w:highlight w:val="none"/>
          <w14:textFill>
            <w14:solidFill>
              <w14:schemeClr w14:val="tx1"/>
            </w14:solidFill>
          </w14:textFill>
        </w:rPr>
        <w:t>由监理单位核实确认，经</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造价咨询单位（如有造价单位）审核，</w:t>
      </w:r>
      <w:r>
        <w:rPr>
          <w:rFonts w:hint="eastAsia" w:asciiTheme="minorEastAsia" w:hAnsiTheme="minorEastAsia" w:eastAsiaTheme="minorEastAsia" w:cstheme="minorEastAsia"/>
          <w:color w:val="000000" w:themeColor="text1"/>
          <w:highlight w:val="none"/>
          <w14:textFill>
            <w14:solidFill>
              <w14:schemeClr w14:val="tx1"/>
            </w14:solidFill>
          </w14:textFill>
        </w:rPr>
        <w:t>再经发包人审核确认后于申报工程进度款的次月支付。</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.2.5</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每月的工程进度款按应付金额的 80 ％支付，工程进度款中的作业工人工资款项暂为该月工程进度款的 30 ％，具体工人工资拨付金额以该月实际审核确认的为准，由发包人将该月审核确认后的作业工人工资款项单独足额拨付到承包人的工资专户。</w:t>
      </w:r>
    </w:p>
    <w:p>
      <w:pPr>
        <w:pStyle w:val="37"/>
        <w:pageBreakBefore w:val="0"/>
        <w:kinsoku/>
        <w:wordWrap w:val="0"/>
        <w:overflowPunct/>
        <w:bidi w:val="0"/>
        <w:ind w:firstLine="480" w:firstLineChars="200"/>
        <w:rPr>
          <w:rFonts w:hint="eastAsia" w:asciiTheme="minorEastAsia" w:hAnsiTheme="minorEastAsia" w:eastAsiaTheme="minorEastAsia" w:cstheme="minorEastAsia"/>
          <w:strike/>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highlight w:val="none"/>
          <w14:textFill>
            <w14:solidFill>
              <w14:schemeClr w14:val="tx1"/>
            </w14:solidFill>
          </w14:textFill>
        </w:rPr>
        <w:t>.3</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措施项目费中的“绿色施工安全防护措施费”拨付按照《广东省建设工程计价依据（2018）》执行，按照</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韶关市住房和城乡建设管理局《关于明确建筑工程安全防护、文明施工措施费用具体管理办法的通知》韶市建字〔2015〕26号文的</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有关规定支付。发生一般事故及以上等级重大安全事故的，发包人可扣除承包人金额相当于所有“绿色施工安全防护措施费”的工程管理费。</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trike/>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变更工程造价必须经监理单位核实及造价咨询单位（如有造价单位）审核，并经发包人核定后方可支付。</w:t>
      </w:r>
    </w:p>
    <w:p>
      <w:pPr>
        <w:pStyle w:val="37"/>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highlight w:val="none"/>
          <w14:textFill>
            <w14:solidFill>
              <w14:schemeClr w14:val="tx1"/>
            </w14:solidFill>
          </w14:textFill>
        </w:rPr>
        <w:t>.5 工程完工后可支付至80％（但不局限于80％）</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结算审核完成后，于次月支付至审定总造价的97%。</w:t>
      </w:r>
    </w:p>
    <w:p>
      <w:pPr>
        <w:pStyle w:val="37"/>
        <w:pageBreakBefore w:val="0"/>
        <w:kinsoku/>
        <w:wordWrap w:val="0"/>
        <w:overflowPunct/>
        <w:bidi w:val="0"/>
        <w:rPr>
          <w:rFonts w:hint="eastAsia" w:asciiTheme="minorEastAsia" w:hAnsiTheme="minorEastAsia" w:eastAsiaTheme="minorEastAsia" w:cstheme="minorEastAsia"/>
          <w:strike/>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highlight w:val="none"/>
          <w14:textFill>
            <w14:solidFill>
              <w14:schemeClr w14:val="tx1"/>
            </w14:solidFill>
          </w14:textFill>
        </w:rPr>
        <w:t>.6 剩余3%为工程质量保证金，从工程竣工验收合格之日起满</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若未发现质量问题，</w:t>
      </w:r>
      <w:r>
        <w:rPr>
          <w:rFonts w:hint="eastAsia" w:asciiTheme="minorEastAsia" w:hAnsiTheme="minorEastAsia" w:eastAsiaTheme="minorEastAsia" w:cstheme="minorEastAsia"/>
          <w:bCs/>
          <w:snapToGrid w:val="0"/>
          <w:color w:val="000000" w:themeColor="text1"/>
          <w:kern w:val="0"/>
          <w:highlight w:val="none"/>
          <w14:textFill>
            <w14:solidFill>
              <w14:schemeClr w14:val="tx1"/>
            </w14:solidFill>
          </w14:textFill>
        </w:rPr>
        <w:t>承包人向发包人申请退还质量保证（或保证金），发包人按照《建设工程质量保证金管理办法》及合同的有关规定和约定将质量保证（或保证金）</w:t>
      </w:r>
      <w:r>
        <w:rPr>
          <w:rFonts w:hint="eastAsia" w:asciiTheme="minorEastAsia" w:hAnsiTheme="minorEastAsia" w:eastAsiaTheme="minorEastAsia" w:cstheme="minorEastAsia"/>
          <w:bCs/>
          <w:color w:val="000000" w:themeColor="text1"/>
          <w:kern w:val="0"/>
          <w:highlight w:val="none"/>
          <w14:textFill>
            <w14:solidFill>
              <w14:schemeClr w14:val="tx1"/>
            </w14:solidFill>
          </w14:textFill>
        </w:rPr>
        <w:t>于次月</w:t>
      </w:r>
      <w:r>
        <w:rPr>
          <w:rFonts w:hint="eastAsia" w:asciiTheme="minorEastAsia" w:hAnsiTheme="minorEastAsia" w:eastAsiaTheme="minorEastAsia" w:cstheme="minorEastAsia"/>
          <w:bCs/>
          <w:snapToGrid w:val="0"/>
          <w:color w:val="000000" w:themeColor="text1"/>
          <w:kern w:val="0"/>
          <w:highlight w:val="none"/>
          <w14:textFill>
            <w14:solidFill>
              <w14:schemeClr w14:val="tx1"/>
            </w14:solidFill>
          </w14:textFill>
        </w:rPr>
        <w:t>退还给承包人</w:t>
      </w:r>
      <w:r>
        <w:rPr>
          <w:rFonts w:hint="eastAsia" w:asciiTheme="minorEastAsia" w:hAnsiTheme="minorEastAsia" w:eastAsiaTheme="minorEastAsia" w:cstheme="minorEastAsia"/>
          <w:bCs/>
          <w:color w:val="000000" w:themeColor="text1"/>
          <w:kern w:val="0"/>
          <w:highlight w:val="none"/>
          <w14:textFill>
            <w14:solidFill>
              <w14:schemeClr w14:val="tx1"/>
            </w14:solidFill>
          </w14:textFill>
        </w:rPr>
        <w:t>（不计息）。</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.7承包人提供的工程款发票必须按照发包人要求提供相应增值税发票给发包人，发包人收到符合要求的发票后方可支付工程款。</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如果承包人无法提供符合要求的发票，由此造成的相应损失由承包人承担。</w:t>
      </w:r>
    </w:p>
    <w:p>
      <w:pPr>
        <w:pStyle w:val="37"/>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highlight w:val="none"/>
          <w14:textFill>
            <w14:solidFill>
              <w14:schemeClr w14:val="tx1"/>
            </w14:solidFill>
          </w14:textFill>
        </w:rPr>
        <w:t>.8本项目为政府全额投资，所有支付手续经发包人审批后，还须报政府财政部门审批完毕方可支付，如经发包人审批后已及时履行了向财政部门申报审批手续，则发包人不支付延期付</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款的利息，承包人也不得因政府财政部门履行审批程序所造成的延期付款而暂停施工和相关服务。</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pPr>
      <w:r>
        <w:rPr>
          <w:rFonts w:hint="eastAsia" w:asciiTheme="minorEastAsia" w:hAnsiTheme="minorEastAsia" w:eastAsiaTheme="minorEastAsia" w:cstheme="minorEastAsia"/>
          <w:b w:val="0"/>
          <w:bCs w:val="0"/>
          <w:color w:val="000000" w:themeColor="text1"/>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b w:val="0"/>
          <w:bCs w:val="0"/>
          <w:color w:val="000000" w:themeColor="text1"/>
          <w:szCs w:val="24"/>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14:textFill>
            <w14:solidFill>
              <w14:schemeClr w14:val="tx1"/>
            </w14:solidFill>
          </w14:textFill>
        </w:rPr>
        <w:t>预备费支付方式：与每个月的工程进度款一并报送（若发生符合使用范围的情形需使用预备费时），在预备费的范围内由监理单位进行签认，造价咨询单位审核，发包人确认，进度款中需要列明涉及预备费的部分。在预备费的范围内由监理单位进行签证，造价咨询单位审核后，经发包人确认后按该进度款项的50％支付，其余部分待结算完成审核后支付。预备费如有余额归发包人，不发生时不计入结算总价。</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b w:val="0"/>
          <w:bCs/>
          <w:color w:val="000000" w:themeColor="text1"/>
          <w:szCs w:val="24"/>
          <w:highlight w:val="none"/>
          <w14:textFill>
            <w14:solidFill>
              <w14:schemeClr w14:val="tx1"/>
            </w14:solidFill>
          </w14:textFill>
        </w:rPr>
        <w:t>.10</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本工程按政府有关要求或资金安排情况、合同有关约定，经双方协商可调整建安费支付办法。</w:t>
      </w:r>
    </w:p>
    <w:p>
      <w:pPr>
        <w:pStyle w:val="37"/>
        <w:pageBreakBefore w:val="0"/>
        <w:kinsoku/>
        <w:wordWrap w:val="0"/>
        <w:overflowPunct/>
        <w:bidi w:val="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补充条款：</w:t>
      </w:r>
    </w:p>
    <w:p>
      <w:pPr>
        <w:pStyle w:val="37"/>
        <w:pageBreakBefore w:val="0"/>
        <w:kinsoku/>
        <w:wordWrap w:val="0"/>
        <w:overflowPunct/>
        <w:bidi w:val="0"/>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施工部分</w:t>
      </w:r>
    </w:p>
    <w:p>
      <w:pPr>
        <w:pStyle w:val="55"/>
        <w:pageBreakBefore w:val="0"/>
        <w:widowControl/>
        <w:kinsoku/>
        <w:wordWrap w:val="0"/>
        <w:overflowPunct/>
        <w:bidi w:val="0"/>
        <w:spacing w:line="360" w:lineRule="auto"/>
        <w:ind w:firstLine="482" w:firstLineChars="200"/>
        <w:jc w:val="left"/>
        <w:rPr>
          <w:rFonts w:hint="eastAsia" w:asciiTheme="minorEastAsia" w:hAnsiTheme="minorEastAsia" w:eastAsiaTheme="minorEastAsia" w:cstheme="minorEastAsia"/>
          <w:b/>
          <w:bCs/>
          <w:color w:val="000000" w:themeColor="text1"/>
          <w:highlight w:val="none"/>
          <w:lang w:val="zh-CN"/>
          <w14:textFill>
            <w14:solidFill>
              <w14:schemeClr w14:val="tx1"/>
            </w14:solidFill>
          </w14:textFill>
        </w:rPr>
      </w:pPr>
      <w:r>
        <w:rPr>
          <w:rFonts w:hint="eastAsia" w:asciiTheme="minorEastAsia" w:hAnsiTheme="minorEastAsia" w:eastAsiaTheme="minorEastAsia" w:cstheme="minorEastAsia"/>
          <w:b/>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highlight w:val="none"/>
          <w14:textFill>
            <w14:solidFill>
              <w14:schemeClr w14:val="tx1"/>
            </w14:solidFill>
          </w14:textFill>
        </w:rPr>
        <w:t>.1</w:t>
      </w:r>
      <w:r>
        <w:rPr>
          <w:rFonts w:hint="eastAsia" w:asciiTheme="minorEastAsia" w:hAnsiTheme="minorEastAsia" w:eastAsiaTheme="minorEastAsia" w:cstheme="minorEastAsia"/>
          <w:b/>
          <w:bCs/>
          <w:color w:val="000000" w:themeColor="text1"/>
          <w:highlight w:val="none"/>
          <w:lang w:val="zh-CN"/>
          <w14:textFill>
            <w14:solidFill>
              <w14:schemeClr w14:val="tx1"/>
            </w14:solidFill>
          </w14:textFill>
        </w:rPr>
        <w:t>项目管理</w:t>
      </w:r>
    </w:p>
    <w:p>
      <w:pPr>
        <w:pStyle w:val="55"/>
        <w:pageBreakBefore w:val="0"/>
        <w:widowControl/>
        <w:kinsoku/>
        <w:wordWrap w:val="0"/>
        <w:overflowPunct/>
        <w:bidi w:val="0"/>
        <w:spacing w:line="360" w:lineRule="auto"/>
        <w:ind w:firstLine="480" w:firstLineChars="200"/>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highlight w:val="none"/>
          <w14:textFill>
            <w14:solidFill>
              <w14:schemeClr w14:val="tx1"/>
            </w14:solidFill>
          </w14:textFill>
        </w:rPr>
        <w:t>.1.1项目经理要求：</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项目经理与投标文件承诺不一致或未及时到位，发包人将按照下列方式对承包人进行处罚：</w:t>
      </w:r>
    </w:p>
    <w:p>
      <w:pPr>
        <w:pStyle w:val="55"/>
        <w:pageBreakBefore w:val="0"/>
        <w:widowControl/>
        <w:numPr>
          <w:ilvl w:val="0"/>
          <w:numId w:val="3"/>
        </w:numPr>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担任项目经理的注册建造师与投标书承诺不一致，将视为承包人严重违约。除符合广东省住房和城乡建设厅《关于建设工程项目招标中标后监督检查的办法》〔2009〕8号文第九条规定的情形外，项目经理一律不得更换。承包人未经监理工程师和发包人书面同意，擅自更换投标书中确认的本工程项目经理的，监理工程师或发包人有权责令承包人三天内整改，且发包人有权提请建设行政主管部门对其作不良行为记录，有权给予承包人履约评价为不合格，同时发包人有权拒绝承包人3年内参加发包人其它工程的投标。</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擅自更换本工程项目经理的，</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即使发包人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事后</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批准同意更换，承包人仍需支付每换一次15万元的违约金（仅被羁押或判处刑罚、身亡可免责）。</w:t>
      </w:r>
    </w:p>
    <w:p>
      <w:pPr>
        <w:pStyle w:val="55"/>
        <w:pageBreakBefore w:val="0"/>
        <w:widowControl/>
        <w:numPr>
          <w:ilvl w:val="0"/>
          <w:numId w:val="3"/>
        </w:numPr>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项目经理每延迟到位一天承包人应向发包人支付违约金5万元/天，超过10天（含10天）发包人有权单方解除合同，并要求承包人承担由此造成的一切损失。</w:t>
      </w:r>
    </w:p>
    <w:p>
      <w:pPr>
        <w:pStyle w:val="55"/>
        <w:pageBreakBefore w:val="0"/>
        <w:widowControl/>
        <w:numPr>
          <w:ilvl w:val="0"/>
          <w:numId w:val="3"/>
        </w:numPr>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项目经理必须按时参加工程例会、图纸会审和技术交底、现场协调会、方案论证会、专项工作碰头会，以及发包人要求其参加的会议。未经发包人同意不到会者，承包人每次向发包人支付1万元违约金，并承担一般违约责任1次。</w:t>
      </w:r>
    </w:p>
    <w:p>
      <w:pPr>
        <w:pStyle w:val="55"/>
        <w:pageBreakBefore w:val="0"/>
        <w:widowControl/>
        <w:numPr>
          <w:ilvl w:val="0"/>
          <w:numId w:val="3"/>
        </w:numPr>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项目经理若需离开施工现场1日以上（含1日）需经发包人批准。在其请假离开的时间段内应委托项目副经理或项目总工全权代表其行使职权，否则每违约一次，承包人应当承担一般违约责任1次。项目经理每月的出勤天数不得少于22天，如少于22天的，按每缺勤一天向发包人支付违约金人民币3仟元，并承担一般违约责任1次。</w:t>
      </w:r>
    </w:p>
    <w:p>
      <w:pPr>
        <w:pStyle w:val="55"/>
        <w:pageBreakBefore w:val="0"/>
        <w:widowControl/>
        <w:kinsoku/>
        <w:wordWrap w:val="0"/>
        <w:overflowPunct/>
        <w:bidi w:val="0"/>
        <w:spacing w:line="360" w:lineRule="auto"/>
        <w:ind w:firstLine="480" w:firstLineChars="200"/>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5）对于难以胜任工作项目经理，发包人有权要求承包人进行更换，直至发包人满意为止，且更换人员应在接到书面通知后的3天内到位。更换项目经理期间延误的工期不予顺延，所有费用由承包人承担，给发包人造成的损失由承包人承担。</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上述违约金由承包人直接向发包人支付，未付清之前，发包人有权暂停支付工程款。</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highlight w:val="none"/>
          <w14:textFill>
            <w14:solidFill>
              <w14:schemeClr w14:val="tx1"/>
            </w14:solidFill>
          </w14:textFill>
        </w:rPr>
        <w:t>.1.2承包人必须遵守国家相关法律法规、政府相关规定及</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南雄市水口镇人民政府</w:t>
      </w:r>
      <w:r>
        <w:rPr>
          <w:rFonts w:hint="eastAsia" w:asciiTheme="minorEastAsia" w:hAnsiTheme="minorEastAsia" w:eastAsiaTheme="minorEastAsia" w:cstheme="minorEastAsia"/>
          <w:color w:val="000000" w:themeColor="text1"/>
          <w:highlight w:val="none"/>
          <w14:textFill>
            <w14:solidFill>
              <w14:schemeClr w14:val="tx1"/>
            </w14:solidFill>
          </w14:textFill>
        </w:rPr>
        <w:t>的工程管理制度。</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.1.3承包人应根据工程实际需要，配备满足进度要求的施工机械，自备发电机保证供电稳定，所有费用已包含在合同价中。</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1.4如果承包人未能按照规定的工期完成合同工程（含材料、设备采购等），或者未能在相应的工期内完成某区段或某单项工程，经发包人书面发出通知要求承包人在规定时间内完成前述工程后，承包人仍未完成，则发包人有权直接雇用他人执行该项指令，并向其支付有关费用，所发生的费用从承包人合同总价中扣除，同时，在工程结算时发包人有权扣除承包人向发包人支付所发生费用10%的违约金，并由承包人承担影响工期的一切责任。</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.1.5在合同履行中如发包人、承包人双方发生争议，应协商、调解解决。协商、</w:t>
      </w:r>
    </w:p>
    <w:p>
      <w:pPr>
        <w:pStyle w:val="55"/>
        <w:pageBreakBefore w:val="0"/>
        <w:widowControl/>
        <w:kinsoku/>
        <w:wordWrap w:val="0"/>
        <w:overflowPunct/>
        <w:bidi w:val="0"/>
        <w:spacing w:line="360" w:lineRule="auto"/>
        <w:ind w:left="0" w:leftChars="0" w:firstLine="0" w:firstLineChars="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调解不成的，双方均可向工程所在地的人民法院提起诉讼，承包人不得以争议未解决为由擅自停工，否则将视为违约，由此产生工期的延误不予顺延。</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1.6对于隐蔽工程，若发现承包人在验收合格后到隐蔽施工前，对合格部分做任何改动，应重新进行验收；若承包人同一分项工程验收两次仍不合格，则以后每增加一次验收，承包人向发包人支付违约金5000元。如出现未经验收就进行隐蔽施工，承包人向发包人支付10万元/次的违约金，并且发包人有权暂停支付该部分进度款，直至发包人确认该部分工程合格为止，并通报相关部门，由此产生质量、工期延误等等均由承包人负责。</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经承包人的自检确认隐蔽工程和工程的隐蔽部位具备覆盖条件后的24小时内，承包人应通知监理人进行检查，通知应按规定的格式说明检查地点、内容和检查时间，并附有承包人自检记录和必要的检查资料。监理人应按通知约定的时间派员到场进行检查，在监理人员确认质量符合要求，并在检查记录上签字后，承包人才能进行覆盖。</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承包人未及时通知监理人到场检查，私自将隐蔽部位覆盖，监理人有权指示承包人采用钻孔探测揭开进行检查，由此增加的费用和工期延误责任由承包人承担。</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.1.7承包人必须编制合理的交通维护方案并负责实施，保证施工期间的交通组织符合</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公安交通管理的有关规定，确保施工安全，其费用包含在合同价中。</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.1.8发生伤亡事故，承包人应在第一时间通知发包人，并按规定立即上报有关部门，同时按法律、法规及相关规定的要求及时处理，否则记承包人严重违约责任一次。</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因承包人原因，承包人施工现场发生工伤或其他责任事故的，除按相关法律法规依法接受处理和赔偿所造成的损失外，承包人还须按下列标准向发包人支付惩罚性违约金：</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（1）一次事故或全年累计死亡3人及以上：安全第一责任人在韶关市地区建设范围内公开检查；承包人必须撤换项目经理、安全主管，同时支付合同价款15％的惩罚性违约金。</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（2）一次事故或全年累计死亡2人：安全第一责任人在韶关市地区建设范围内公开检查；承包人必须撤换项目经理、安全主管，同时支付合同价款10％的惩罚性违约金。</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（3）全年死亡1人：安全第一责任人在韶关市地区建设范围内公开检查，并报其上级单位；承包人必须撤换项目经理、安全主管；同时支付合同价款5％的惩罚性违约金。</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（4）重伤事故、造成10人及以上集体中毒住院、经济损失重大的火灾、设备及交通事故，依法由承包人承担责任，并支付惩罚性违约金3万元。</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（5）因施工造成的道路交通中断、通讯中断、管线漏水漏气等全部责任事故，依法由承包人承担责任，并支付惩罚性违约金2万元。</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.1.9 承包人必须遵守有关环境保护的法律法规，并采取有效措施控制施工现场的各种粉尘、废气、废弃物、噪声、振动等对身体健康和周边环境造成的危害和污染，有关费用已包含在合同价中。 </w:t>
      </w:r>
    </w:p>
    <w:p>
      <w:pPr>
        <w:pageBreakBefore w:val="0"/>
        <w:kinsoku/>
        <w:wordWrap w:val="0"/>
        <w:overflowPunct/>
        <w:autoSpaceDE w:val="0"/>
        <w:autoSpaceDN w:val="0"/>
        <w:bidi w:val="0"/>
        <w:adjustRightInd w:val="0"/>
        <w:snapToGrid w:val="0"/>
        <w:spacing w:beforeLines="50"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.1.10 工程竣工验收合格后30天内，承包人必须及时</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按</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韶关市城市建设档案要求及发包人要求提交真实完整的竣工图纸等竣工资料，并由承包人负责汇总后，移交相关管理部门，且办理完成相关移交手续，否则每延迟１天，承包人向发包人支付2000元/天的违约金。同时，承包人向发包人提供完整的竣工图纸等竣工资料各8套（包括声像及电子文件），档案的制作费用由承包人承担。 </w:t>
      </w:r>
    </w:p>
    <w:p>
      <w:pPr>
        <w:pageBreakBefore w:val="0"/>
        <w:kinsoku/>
        <w:wordWrap w:val="0"/>
        <w:overflowPunct/>
        <w:autoSpaceDE w:val="0"/>
        <w:autoSpaceDN w:val="0"/>
        <w:bidi w:val="0"/>
        <w:adjustRightInd w:val="0"/>
        <w:snapToGrid w:val="0"/>
        <w:spacing w:beforeLines="50"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.1.11 如承包人不按合同内容及条款施工，或违反正常施工程序、施工工艺进行施工，或施工质量、安全、环保等达不到有关要求，或施工用材料设备不符合规定，发包人有权勒令承包人暂停施工，承包人必须停工整改，一切责任由承包人负责。</w:t>
      </w:r>
    </w:p>
    <w:p>
      <w:pPr>
        <w:pageBreakBefore w:val="0"/>
        <w:kinsoku/>
        <w:wordWrap w:val="0"/>
        <w:overflowPunct/>
        <w:autoSpaceDE w:val="0"/>
        <w:autoSpaceDN w:val="0"/>
        <w:bidi w:val="0"/>
        <w:adjustRightInd w:val="0"/>
        <w:snapToGrid w:val="0"/>
        <w:spacing w:beforeLines="50"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.1.12 承包人全体现场施工人员佩戴安全帽，全部施工人员佩戴工作牌。</w:t>
      </w:r>
    </w:p>
    <w:p>
      <w:pPr>
        <w:pageBreakBefore w:val="0"/>
        <w:kinsoku/>
        <w:wordWrap w:val="0"/>
        <w:overflowPunct/>
        <w:autoSpaceDE w:val="0"/>
        <w:autoSpaceDN w:val="0"/>
        <w:bidi w:val="0"/>
        <w:adjustRightInd w:val="0"/>
        <w:snapToGrid w:val="0"/>
        <w:spacing w:beforeLines="50"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.1.13 未经发包人书面许可，承包人不得在施工现场布置任何与本项目工程无关的商业广告，否则发包人有权要求承包人予以拆除，承包人并向发包人每次支付违约金10000元。</w:t>
      </w:r>
    </w:p>
    <w:p>
      <w:pPr>
        <w:pageBreakBefore w:val="0"/>
        <w:kinsoku/>
        <w:wordWrap w:val="0"/>
        <w:overflowPunct/>
        <w:autoSpaceDE w:val="0"/>
        <w:autoSpaceDN w:val="0"/>
        <w:bidi w:val="0"/>
        <w:adjustRightInd w:val="0"/>
        <w:snapToGrid w:val="0"/>
        <w:spacing w:beforeLines="50"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.1.14 承包人下列人员有以下情形的，承包人必须在24小时内将其调离，并应在3天内补充经发包人批准的相关合格人员。若承包人不及时履行，发包人则有权要求承包人按每人每次支付违约金1000元/天，具体情形如下：</w:t>
      </w:r>
    </w:p>
    <w:p>
      <w:pPr>
        <w:pageBreakBefore w:val="0"/>
        <w:kinsoku/>
        <w:wordWrap w:val="0"/>
        <w:overflowPunct/>
        <w:autoSpaceDE w:val="0"/>
        <w:autoSpaceDN w:val="0"/>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（1）发包人确认无法胜任工作者，包括：对分部分项工程施工进度及施工质量达不到合同要求负有责任的施工人员、不熟悉本专业的施工人员、工作责任心不强的施工人员等；</w:t>
      </w:r>
    </w:p>
    <w:p>
      <w:pPr>
        <w:pageBreakBefore w:val="0"/>
        <w:kinsoku/>
        <w:wordWrap w:val="0"/>
        <w:overflowPunct/>
        <w:autoSpaceDE w:val="0"/>
        <w:autoSpaceDN w:val="0"/>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（2）不积极配合发包人、监理工程师正常工作人员；</w:t>
      </w:r>
    </w:p>
    <w:p>
      <w:pPr>
        <w:pageBreakBefore w:val="0"/>
        <w:kinsoku/>
        <w:wordWrap w:val="0"/>
        <w:overflowPunct/>
        <w:autoSpaceDE w:val="0"/>
        <w:autoSpaceDN w:val="0"/>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（3）违反承包人或发包人工地现场管理规定的人员；</w:t>
      </w:r>
    </w:p>
    <w:p>
      <w:pPr>
        <w:pageBreakBefore w:val="0"/>
        <w:kinsoku/>
        <w:wordWrap w:val="0"/>
        <w:overflowPunct/>
        <w:autoSpaceDE w:val="0"/>
        <w:autoSpaceDN w:val="0"/>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（4）无证上岗人员（适用于按规定必须有上岗证的）；</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（5）与本工程施工无关的人员。</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.1.15 本工程禁止转包，若发包人和监理人认为承包人有转包行为，且经行政主管部门落实认定。发包人有权勒令承包人停工、驱逐其出现场，并提请建设行政主管部门对承包人按相关法律法规进行行政处罚；发包人还有权给予承包人履约评价为不合格，及有权拒绝承包人3年内参加发包人其它工程的投标；同时发包人有权单方面解除本合同。由此造成的损失均由承包人承担。 </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.2 用工和劳务</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.2.1承包人不得从为发包人或工程师服务的人员中招雇任何人员。</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2.2承包人不得以任何理由延期支付雇员的工资和劳务分包人的劳务费用。对发包人支付的工程款，承包人须优先用于支付工人劳动报酬，确保不发生因拖欠工人工资、劳务费而停工、上访，或因此在媒体曝光等事件。如果发生因拖欠工人工资、劳务费而停工上访，或因此在媒体曝光等事件，视为承包人违约，发包人有权要求承包人支付违约金20万元/次。</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2.3承包人应避免发包人因施工工人追索劳务费或工程款而将发包人诉至法庭或仲裁庭，否则一切责任由承包人承担，所发生的所有费用（包括但不限于诉讼费、调查费、律师费、赔偿费、违约金等）全部由承包人承担，发包人有权将此等费用从任何应支付的工程款中扣除或没收履约保函中的相应金额。</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2.4如果现场工程师需要了解承包人在现场的管理人员和各种劳务工种操作人员情况，以及工程师要求的有关承包人机械设备、主要施工机具、周转材料等的详细资料。承包人则应向工程师提交一份详细的统计表，其格式和提交的间隔时间应符合工程师的规定。</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.3施工准备工作</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.3.1承包人应充分认识到本工程的特殊性和复杂性，施工前应切实做好各项准备工作，包括但不限于以下（1）、（2）、（3）的内容：</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（1）必须按要求完成临时设施建设和现场指挥部建设。</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（2）按照相关规定及发包人要求做好现场申报、宣传、走访、排查和解释工作。</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（3）根据现场实际环境，做好防火、防盗、防坠落等各项措施，排除安全隐患，确保施工期间施工的安全。</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.3.2存在设计图纸疑问，必须在施工前30日提出，不得在施工时临时提出，也不得以此手段要求任何索赔，由此造成的一切损失由承包人承担。</w:t>
      </w:r>
    </w:p>
    <w:p>
      <w:pPr>
        <w:pageBreakBefore w:val="0"/>
        <w:kinsoku/>
        <w:wordWrap w:val="0"/>
        <w:overflowPunct/>
        <w:bidi w:val="0"/>
        <w:spacing w:line="360" w:lineRule="auto"/>
        <w:ind w:left="480" w:leftChars="200"/>
        <w:rPr>
          <w:rFonts w:hint="eastAsia" w:asciiTheme="minorEastAsia" w:hAnsiTheme="minorEastAsia" w:eastAsiaTheme="minorEastAsia" w:cstheme="minorEastAsia"/>
          <w:strike/>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.4工程变更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4.1承包人报送的变更价款，应实事求是，不得虚报数量，增加或变更的工程内容按招标文件中约定计价办法进行计量。若其报送金额超出建设工程造价管理部门或政府审核部门审定金额15%以上的，每次承包人向发包人支付人民币伍仟（￥5000）元的违约金，并在结算中予以扣除。</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4.2承包人应充分考虑工程设计变更带来的风险。工程变更须按政府及发包人的有关规定、审批权限和审批程序进行审批，凡未经发包人审批同意，承包人擅自实施的，一律视为无效变更，结算时发包人不予承认。</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.4.3承包人应按</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人民政府办公室《关于加强市本级政府投资项目财政投资评审监督管理的实施意见》雄府办函[2023]5号的规定及时申报办理工程变更审批手续，并于申请当期工程款之前或一并申报完整的工程变更资料予以备案；凡不符合实施意见要求的变更均为无效变更。</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.5工程量计量的约定：</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①承包人不得自行取消施工图或清单中的任何项目，发包人根据需要取消的未施工项目，经监理工程师核实后予以扣减，相应的措施费用予以扣减。</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②承包人自身原因造成的返工工程量，不予计量。</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③凡超出图纸范围又未经变更审批的工程量，不予计量。</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④不符合工程质量标准的工程量，不予计量。</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⑤发包人书面通知承包人取消的工程量，不予计量。</w:t>
      </w:r>
    </w:p>
    <w:p>
      <w:pPr>
        <w:pStyle w:val="32"/>
        <w:pageBreakBefore w:val="0"/>
        <w:kinsoku/>
        <w:wordWrap w:val="0"/>
        <w:overflowPunct/>
        <w:bidi w:val="0"/>
        <w:spacing w:line="360" w:lineRule="auto"/>
        <w:jc w:val="left"/>
        <w:rPr>
          <w:rFonts w:hint="eastAsia" w:asciiTheme="minorEastAsia" w:hAnsiTheme="minorEastAsia" w:eastAsiaTheme="minorEastAsia" w:cstheme="minorEastAsia"/>
          <w:b w:val="0"/>
          <w:bCs/>
          <w:color w:val="000000" w:themeColor="text1"/>
          <w:highlight w:val="none"/>
          <w14:textFill>
            <w14:solidFill>
              <w14:schemeClr w14:val="tx1"/>
            </w14:solidFill>
          </w14:textFill>
        </w:rPr>
      </w:pPr>
      <w:r>
        <w:rPr>
          <w:rFonts w:hint="eastAsia" w:asciiTheme="minorEastAsia" w:hAnsiTheme="minorEastAsia" w:eastAsiaTheme="minorEastAsia" w:cstheme="minorEastAsia"/>
          <w:b w:val="0"/>
          <w:bCs/>
          <w:snapToGrid w:val="0"/>
          <w:color w:val="000000" w:themeColor="text1"/>
          <w:kern w:val="0"/>
          <w:sz w:val="24"/>
          <w:highlight w:val="none"/>
          <w14:textFill>
            <w14:solidFill>
              <w14:schemeClr w14:val="tx1"/>
            </w14:solidFill>
          </w14:textFill>
        </w:rPr>
        <w:t>承包人编制的工程量预算清单中的综合单价为按技术规范与技术要求完成一个规定计量单位的工程所需的人工费、材料费、机械使用费、管理费、利润并考虑风险因素。按技术规范、招标文件、设计图纸、国标《建设工程工程量清单计价规范》、省市现行计价规程等要求为完成一个规定计量单位的工程量所需的其他一切费用，承包人不得以综合单价和措施费所含工作内容缺漏项为由，向发包人提出任何变更工程价款的要求。</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u w:val="singl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.6承包人对专业分包的总要求</w:t>
      </w:r>
    </w:p>
    <w:p>
      <w:pPr>
        <w:pageBreakBefore w:val="0"/>
        <w:kinsoku/>
        <w:wordWrap w:val="0"/>
        <w:overflowPunct/>
        <w:bidi w:val="0"/>
        <w:adjustRightInd w:val="0"/>
        <w:snapToGrid w:val="0"/>
        <w:spacing w:beforeLines="50"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.6.1承包人对本工程所有分包人的管理费和相互间的配合费用由承包人与分包人自行商定，已含在承包人的投标报价中，发包人不予任何补偿。承包人承担全部管理、组织、协调和配合工作。</w:t>
      </w:r>
    </w:p>
    <w:p>
      <w:pPr>
        <w:pageBreakBefore w:val="0"/>
        <w:kinsoku/>
        <w:wordWrap w:val="0"/>
        <w:overflowPunct/>
        <w:bidi w:val="0"/>
        <w:spacing w:line="360" w:lineRule="auto"/>
        <w:ind w:firstLine="495"/>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6.2若承包人的施工承包资质缺少本工程的专业承包资质，应按照有关规定事先报发包人和监理工程师审查并取得发包人批准后分包给具有相应资质的专业承包人（如果分包工程按规定需要进行招标的，由承包人在建设交易中心自行组织），由此产生的一切分包费用、配合费、招标费用以及其他可能存在风险所产生的费用都含在合同价中。承包人因上述情况提出的任何索赔或工期延长申请将不获批准。若承包人在施工过程中由于自身缺少本工程要求的专业承包资质，而又不能按规定时间发包给具有资质的专业承包企业或者分包企业不能按照设计要求实施专业工程的，由此造成工期延误，每延误1天承包人向发包人支付违约金3万元；给发包人造成质量损失的，承包人负责赔偿，同时发包人有权从合同价中按分包工程的审定预算价扣除，并委托其他施工单位实施，承包人须无条件与分包人签订合同。</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6.3若同一分包工程的分包申请被否定二次，发包人有权就该分包工程采用单独招标形式确定分包人或直接指定分包人，承包人须无条件与分包人签订合同，并不得收取任何费用。同时发包人有权从合同价中按分包工程的审定预算价扣除，并委托其他施工单位实施，承包人须无条件与分包人签订合同。同时由此造成工期延误，每延误1天承包人向发包人支付违约金3万元；给发包人造成质量损失的，承包人负责赔偿。</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6.4经工程师、发包人认可，承包人与分包人签订分包合同后的5天内，承包人必须将分包合同等相关资料按规定送建设行政主管部门及其他相关管理部门备案，分包合同与本施工合同发生抵触，以本施工合同为准。承包人对分包合同承担连带责任。分包合同不解除承包人任何义务与责任，承包人在分包现场应派驻监督管理人员，保证合同的履行。分包人的任何违约或疏忽，均视为承包人违约或疏忽。</w:t>
      </w:r>
    </w:p>
    <w:p>
      <w:pPr>
        <w:pageBreakBefore w:val="0"/>
        <w:kinsoku/>
        <w:wordWrap w:val="0"/>
        <w:overflowPunct/>
        <w:bidi w:val="0"/>
        <w:adjustRightInd w:val="0"/>
        <w:snapToGrid w:val="0"/>
        <w:spacing w:line="360" w:lineRule="auto"/>
        <w:ind w:firstLine="600" w:firstLineChars="25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6.5若发包人和监理均认定承包人有未经发包人同意的分包行为（无须承包人认可，除非承包人在发包人发出通知后3天内提出有效举证），发包人有权勒令其停工、驱逐出现场等，由此造成的损失均由承包人承担，同时承包人向发包人支付违约金30万元/每次。发包人有权提请建设行政主管部门对其作不良行为记录，有权给予承包人履约评价为不合格，同时发包人有权拒绝承包人3年内参加发包人其它工程的投标。 </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.7 措施项目</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.7.1现场安全文明设计必须满足国家、省市相关的要求，除此之外，尚应满足如下要求：</w:t>
      </w:r>
    </w:p>
    <w:p>
      <w:pPr>
        <w:pageBreakBefore w:val="0"/>
        <w:numPr>
          <w:ilvl w:val="0"/>
          <w:numId w:val="4"/>
        </w:numPr>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安全、文明、临时设施要求：①主要管理人员与投标文件内填写的应一致；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②施工现场应封闭施工。进出口要设大门、门卫和门卫制度。主进出口门头设企业标志，两侧要挂“七牌一图”，标牌应规范、整齐；</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③施工场地及生活区的所有临时道路，无污水、积水，地面要平整，路面满足施工及生活需要；排水要通畅，要有防止泥浆、污物堵塞排水管道的措施；按要求张挂各种安全标志牌和标语，设宣传栏，读报栏和黑板报并设有吸烟处；有绿化布置；</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④施工期间，承包人应随时根据现场情况对围挡进行维修和保护，确保施工界面达到韶关市、</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和建设部有关规定的标准。为确保施工安全，防止无关人员进入现场，承包人必须对施工范围（特殊情况除外）进行全封闭围挡，并设置车辆进出口，若确因条件限制或环境要求无法实施封闭围挡，承包人应切实做好安全防护及安全通道，设置合理科学的安全警示标志。如果承包人开工后经监理工程师下达整改通知后3天内仍未按规定实施，发包人有权安排其他施工队伍进场作好封闭围挡，相应费用从本合同总价中的现场安全文明措施费中扣除。承包人承诺按发包人制定的此条款执行，不得有任何异议；</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⑤施工场内，建筑材料、构件和料具要按施工现场平面图的布置要求堆放整齐，并挂物料名称，品种，规格等标牌，施工现场渣土和垃圾清运应当采取喷淋压尘装载；</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⑥承包人必须按照粤建安字〔2009〕20号文件要求，在开工前按有关规定要求，编制施工组织设计和施工现场消防设施平面布置图，按规定配备合格的消防器材等，满足施工现场所需的消防措施、制度和灭火器材，灭火器材配置、消防水源所有器材和设备应合理、合格，使用明火应有动火审批手续和动火监护，所发生的费用已含合同中；</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⑦施工现场的施工区、 办公区、生活区应当分开设置，实行区划管理，临时办公和生活用房应采用轻钢板房，并要具有抗强台风的措施，确保安全；</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⑧工地内要配备经培训的急救人员、保健医药箱、安全急救措施和急救器材，要开展卫生、防病自救、互救宣传教育；</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⑨要建立治安保卫制度，责任要分解到人。承包人在施工过程中的施工人员应配备必要的劳动、安全保护用品并佩戴工作证，以及满足招标文件中其他相关规定。</w:t>
      </w:r>
    </w:p>
    <w:p>
      <w:pPr>
        <w:pageBreakBefore w:val="0"/>
        <w:numPr>
          <w:ilvl w:val="0"/>
          <w:numId w:val="4"/>
        </w:numPr>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环保要求：承包人在施工过程中必须根据环保部门和城管部门的要求采取一切可能的措施做好环境保护和水土保持工作，有效控制施工现场的各种粉尘、废气、废弃物、噪音、振动、雨污水等对周边环境造成的污染和危害，避免对周围的管线、道路、构筑物、建筑物造成损坏，环境保护所采用的措施包括但不局限于：</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①环境污染防治措施：禁止向周边和雨水口、河道倾倒一切废物，包括生产和生活污水、生产和生活垃圾等；生活废水要自建生活污水处理装置；生活垃圾要收集在有防雨棚和防地表径流冲刷的临时垃圾池内，及时集中、清运；堆土区表面进行覆盖；</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②大气污染防治措施：采用洒水湿法抑尘；重点时段防护如：对</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工地进出运输</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车辆进行冲洗；运送散装物料的机动车、存放散装物料的堆放场地必须用棚布遮盖，拌和设备尽量封闭；</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③施工噪音防护措施：施工噪音执行《建筑施工噪音标准限值》（GB12523-90）规定的有关标准，未经环保部门批准中午和夜间不得施工作业；对高噪音的施工机械或加工环节尽量安排在远离民居的地方；</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instrText xml:space="preserve"> = 4 \* GB3 </w:instrTex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④</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针对固体废物可能产生的多种环境影响，须采取必要的措施分类收集，运至指定地点和按规定进行处理；</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instrText xml:space="preserve"> = 5 \* GB3 </w:instrTex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⑤</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制定建筑废弃物管理计划，达到绿色安全文明施工的要求；</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instrText xml:space="preserve"> = 6 \* GB3 </w:instrTex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⑥</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红线范围内必须落实雨污分流，生活污水须经过化粪池处理后接入市政管网排放。</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由于承包人原因导致的投诉、索赔、指控，由承包人承担全部责任，同时造成工期延误的，发包人将按照合同条款相关约定进行索赔。</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以上须采取的所有措施费用及相关的费用已含在合同价中。</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第三、承包人须按建设主管部门的相关规定，在工地安装视频监控系统，覆盖全场，保证正常使用。采取相应保卫措施防止出现财、物被盗行为，相关费用已包括在安全文明施工措施费中，发包人不再另行支付此类费用。</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.7.2已完工程及设备保护费</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①承包人应充分考虑本工程的</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已完工程及设备保护，其费用已包含在合同价内，结算不再调整；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②承包人应充分考虑施工影响范围内的地上、地下设施，建筑物的临时保护等措施，</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以及</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对周围建筑物、周围道路管线的沉降和位移按照施工规范进行质量、安全性检查，对于现场及周边临近的可能发生的危险情况及时向监理工程师或主管部门报告，在施工现场根据相关要求准备应急物资并及时采取有效措施，保护费用已包含在合同价中，结算时不再调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.7.3施工降排水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承包人应按照地质报告、设计图纸要求、降水水位要求、现场实际和工程经验等对降排水进行深化设计、维护和加固，其深化应经过设计单位的审批、监理工程师和发包人的同意，施工降排水应包括设计、施工、加固、维护直至竣工的全部施工和抽排水工作，同时</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保证护栏的安全性。</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 xml:space="preserve">本工程施工期间地表及地下水采用有组织的排放，尤其是主体结构工程施工期间，应确保满足低于设计抗浮水位要求并满足防水工程需要，采取的施工排水、降水应确保周边建（构）筑物的安全等有效措施。 </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承包人应综合考虑施工期间除不可抗力原因外的气候条件造成的现场工程量的增加及其它风险（如发包人提供的地质报告等相关资料可能存在与实际不符）。</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雨季施工随时与气象部门保持联系，在大雨、台风到来之前按有关主管部门规定的防洪防汛应急措施等。</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以上有关费用已含在合同价中，结算不作调整。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.7.4水土保持</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承包人必须按照水土保持方案以及监理和检测单位的要求，采取设置排水沟、排洪沟、沉砂池、砂袋、植草等水土保持和防洪排涝措施，优化挖方填方，对土石方合理利用；对已完工土石方工程裸露表面，及时采取防护措施、严格控制水土流失，实现水土流失防治目标；及时做好排水导流工作，使地表径流和工程用水经沉砂池沉降后方可排放，沉砂池要定期清理，减轻水流对裸露地表的冲刷，防止泥砂流出对周边区域造成危害；临时堆土要全面覆盖，减少粉尘及雨水冲刷，堆土清理后或其他裸露地要采取恢复植被或其他防止水土流失措施。</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.7.5施工用水、用电等</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（1）承包人根据现场条件和工程情况，接通生活和生产区场内外的给水、排水、施工用电、通讯等工作，</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同时承包人应自备充足的发电机，确保施工过程中的水、电安全稳定供应，结算费用不作调整。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（2）所有施工范围内涉及的清理、外运全部拆除物与垃圾，以及场地平整。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（3）为建设单位、监理单位提供施工现场临时办公用房和办公必须品，并开通通讯线路。</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（4）合同工期和顺延工期内临时用地（含占道）、房屋租赁的手续费和租金。</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承包人在投标报价时应充分考虑施工场地现状与地形图不符的风险，谨慎报价，该部分报价为包干费用，承包人不得以任何理由提出增加费用。</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.7.6与其他工程的衔接、管理与配合费</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由承包人负责工程衔接各专业工程进度安排、施工现场管理协调等工作。对安全、文明、施工、运输、仓储、住宿统筹管理；确定合理的工序和进度计划、安排作业面与通道、提供场地；工程完工后的整体调试、验收和竣工资料整理；按专业设计图纸要求配合做好埋件、预留洞、预埋管等工作；提供脚手架供专业承包人使用；提供照明、临时水电等设施。其费用在对其他工程的衔接、管理和配合费用中报价，结算不做调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.7.7因承包人原因而引起的罚款、索赔和指控等责任由承包人自行承担。</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.7.8工程完工后需要恢复的建筑物、构筑物，承包人必须及时恢复，并使监理工程师和发包人满意，满足政府管理部门的规定和要求。</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7.9承包人必须按有关法规、标准、规定或发包人的合理要求实施有关措施项目，若以上设施或措施达不到要求，工程师发出指令后，承包人应按照要求予以整改，其费用由承包人承担。承包人拒绝整改的，发包人有权要求承包人支付违约金50万元，并将其列入履约考评不良记录，同时发包人有权委托第三方实施，所有费用由承包人承担。由于承包人原因导致的投诉、索赔、指控，由承包人承担全部责任，同时造成工期延误的，发包人将按照合同条款相关约定进行索赔。</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7.10承包人必须按照《建设工程安全生产管理条例》和《危险性较大的分部分项工程安全管理办法》进行施工，应按有关规定提供相应的防护措施且在施工前编制危险性较大分部分项工程的专项施工方案，有关费用已含在合同价中。因承包人原因，导致的安全事故，由承包人承担相应责任及发生的费用。</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7.11承包人必须严格按照相关规定和安全规范等，以及设计图纸，结合实际情况对施工作业面进行处理，以保证各施工机械有效支撑，确保其施工安全和正常使用。任何对支护的修改必须经设计单位、发包人和监理工程师同意，方可实施，同时承包人必须对周边建筑物、周边道路管线的沉降和位移进行巡查和跟踪，如因承包人的措施无法满足施工安全、正常施工的要求，有关的责任、损失、补救费用全部由承包人自行承担。</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.7.12根据广东省、韶关市、</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建设主管部门的相关文件规定，承包人须在工程施工现场安装使用视频监控系统、工人实名制系统并接入至</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住建主管部门建筑工地视频监控专网及发包人视频监控系统。</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以上措施项目有关费用已含在合同价中，结算不作调整。</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.8 解除合同后续工程的补充约定</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8.1发包人向承包人发出解除或部分解除合同通知到达后，本合同即解除或部分解除，承包人必须在3日内停止施工，5日内将现场施工材料设备、工程用机具设备和人员等撤出施工场地，完成现场和有关资料的移交，并于完成交接工作当日内离场。承包人应保护好已完工程、已购设备材料，保证所移交的资料齐全完整。承包人无特殊原因未在规定期限内移交、离场或移交完整资料，发包人有权处理其留在现场的材料、设备和其他物件，处理费用由承包人承担。</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对于部分解除合同的情形，承包人拒不履行配合，发包人有权全部解除合同，如果引致发包人工期延误和其他方面的损失，发包人将要求承包人赔偿有关损失。发包人在发出解除合同的通知后，发包人即可清理现场、委托重新招标或委托新的承包人承接该工程。同时，承包人不得影响或阻碍新的承包人办理进场手续和相关工作。</w:t>
      </w:r>
    </w:p>
    <w:p>
      <w:pPr>
        <w:pageBreakBefore w:val="0"/>
        <w:kinsoku/>
        <w:wordWrap w:val="0"/>
        <w:overflowPunct/>
        <w:bidi w:val="0"/>
        <w:spacing w:line="360" w:lineRule="auto"/>
        <w:ind w:left="-2" w:leftChars="-1" w:firstLine="424" w:firstLineChars="177"/>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8.2由于承包人原因导致的合同解除或部分合同解除，承包人已经订货的材料、设备，以及已进场尚未安装的材料设备均由承包人负责退货或解除订货合同，不能退还的货款、定金、订金，因退货和解除订货合同发生的费用以及因无法退货造成的损失均由承包人承担，发包人不予补偿。</w:t>
      </w:r>
    </w:p>
    <w:p>
      <w:pPr>
        <w:pageBreakBefore w:val="0"/>
        <w:kinsoku/>
        <w:wordWrap w:val="0"/>
        <w:overflowPunct/>
        <w:bidi w:val="0"/>
        <w:spacing w:line="360" w:lineRule="auto"/>
        <w:ind w:left="-2" w:leftChars="-1" w:firstLine="424" w:firstLineChars="177"/>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承包人没有正当合理的理由中途退场，除扣除合同价款20％作为履约违约金外，承包人还须承当因其无故中途退场所造成的全部损失责任。</w:t>
      </w:r>
    </w:p>
    <w:p>
      <w:pPr>
        <w:pageBreakBefore w:val="0"/>
        <w:kinsoku/>
        <w:wordWrap w:val="0"/>
        <w:overflowPunct/>
        <w:bidi w:val="0"/>
        <w:spacing w:line="360" w:lineRule="auto"/>
        <w:ind w:left="-2" w:leftChars="-1" w:firstLine="424" w:firstLineChars="177"/>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8.3非承包人原因导致的合同解除或部分合同解除，承包人已经签订订货合同，但尚未进场的材料、设备；或虽已进场但发包人或监理工程师验货不合格的，解除订货合同或退货发生的费用以及因无法退货造成的损失均由承包人承担，发包人不予补偿。</w:t>
      </w:r>
    </w:p>
    <w:p>
      <w:pPr>
        <w:pageBreakBefore w:val="0"/>
        <w:kinsoku/>
        <w:wordWrap w:val="0"/>
        <w:overflowPunct/>
        <w:bidi w:val="0"/>
        <w:spacing w:line="360" w:lineRule="auto"/>
        <w:ind w:left="-2" w:leftChars="-1" w:firstLine="424" w:firstLineChars="177"/>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经发包人或监理工程验货、签收，且已进场的材料设备但尚未安装的材料设备，费用由发包人承担。数量按发包人、监理工程师审核确认的数量；原投标设备材料表中已列明单价，单价按投标报价计算，原投标设备材料表中未列明单价的，按预算审定价中的材料设备价*（1－下浮率）计算。</w:t>
      </w:r>
    </w:p>
    <w:p>
      <w:pPr>
        <w:pageBreakBefore w:val="0"/>
        <w:kinsoku/>
        <w:wordWrap w:val="0"/>
        <w:overflowPunct/>
        <w:bidi w:val="0"/>
        <w:spacing w:line="360" w:lineRule="auto"/>
        <w:ind w:left="-2" w:leftChars="-1" w:firstLine="424" w:firstLineChars="177"/>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.8.4承包人的已完工程结算时间由发包人确定。按本合同结算条款约定办理结算，同时必须按合同约定扣除违约金、赔偿金。</w:t>
      </w:r>
    </w:p>
    <w:p>
      <w:pPr>
        <w:pageBreakBefore w:val="0"/>
        <w:kinsoku/>
        <w:wordWrap w:val="0"/>
        <w:overflowPunct/>
        <w:bidi w:val="0"/>
        <w:spacing w:line="360" w:lineRule="auto"/>
        <w:ind w:left="-2" w:leftChars="-1" w:firstLine="424" w:firstLineChars="17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.8.5因承包人原因导致解除合同，发包人所遭受的一切损失，由承包人承担全部赔偿责任。</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.9承包人违约责任追究补充细则</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.9.1工程质量达不到合同约定的质量标准承包人违约责任：如未达到合格标准，除则按合同价款的</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1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%向发包人返纳质量违约金外，发包人有权利选择以下方式返工或修复，承包人不得异议：</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（1）发包人要求承包人在监理工程师和发包人要求的合理时间内，完成质量不合格工程的返工或修复工作，直至合同约定的质量标准，由此造成的工期延误和所有费用，全部由承包人承担；</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（2）发包人直接委托其它承包人完成质量不合格部分工程的返工或修复工作，由此造成的工期延误和所有费用，全部由承包人承担。</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（3）无论采取以上何种方式返工或修复，发包人均有权提请建设行政主管部门对其作不良行为记录，有权给予承包人履约评价为不合格，同时发包人有权拒绝承包人3年内参加发包人其它工程的投标。</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.9.2承包人违反本合同的约定，应当按约定向发包人承担相应的违约责任。本合同违约责任形式按以下情况分类：</w:t>
      </w:r>
    </w:p>
    <w:p>
      <w:pPr>
        <w:pageBreakBefore w:val="0"/>
        <w:kinsoku/>
        <w:wordWrap w:val="0"/>
        <w:overflowPunct/>
        <w:bidi w:val="0"/>
        <w:adjustRightInd w:val="0"/>
        <w:snapToGrid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（1） 限期改正。承包人未履行或未按时履行或未按质履行义务时，发包人有权提出书面警告，承包人必须在发包人限定的时间内履行义务。每一次书面警告扣除违约金人民币壹仟元（￥1000）。</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（2）一般违约责任。承包人按本合同约定应当承担一般违约责任时，在发包人提出书面警告或通知后扣除违约金人民币伍仟元（￥5000）/次。合同另有约定的除外。</w:t>
      </w:r>
    </w:p>
    <w:p>
      <w:pPr>
        <w:pageBreakBefore w:val="0"/>
        <w:kinsoku/>
        <w:wordWrap w:val="0"/>
        <w:overflowPunct/>
        <w:bidi w:val="0"/>
        <w:adjustRightInd w:val="0"/>
        <w:snapToGrid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（3）严重违约责任。承包人按本合同约定应当承担严重违约责任时，在发包人提出书面警告或通知后扣除违约金伍万元（￥50000）/次。合同另有约定的除外。</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（4）部分解除合同。三次受到发包人书面警告，发包人有权直接解除合同或部分解除合同，按承包人违约解除合同的条款执行。</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9.3三次限期改正责任相当于一次一般违约责任，三次一般违约责任相当于一次严重违约责任；累计三次严重违约责任，发包人有权单方部分解除合同；累计五次严重违约责任，发包人有权全部解除合同。合同另有约定的除外。</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.9.4承包人未按合同要求建立组织架构、派驻项目管理人员和投入设备，承包人必须按发包人要求限期整改，并承担相应违约责任。具体约定为：</w:t>
      </w:r>
    </w:p>
    <w:p>
      <w:pPr>
        <w:pageBreakBefore w:val="0"/>
        <w:kinsoku/>
        <w:wordWrap w:val="0"/>
        <w:overflowPunct/>
        <w:bidi w:val="0"/>
        <w:adjustRightInd w:val="0"/>
        <w:snapToGrid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1）在中标通知书发出后3日内，承包人承诺的项目技术负责人（总工）不到位，或到位后又离开，造成该岗位空缺。发包人一旦发现，将要求承包人做出书面解释并保证限期到位，同时将承担一般违约责任1次；若承包人拒不配合，未在发包人提出限期改正的期限内进行整改的，应承担严重违约责任1次，发包人有权单方提出解除合同，并要求承包人承担由此造成的一切损失。</w:t>
      </w:r>
    </w:p>
    <w:p>
      <w:pPr>
        <w:pageBreakBefore w:val="0"/>
        <w:kinsoku/>
        <w:wordWrap w:val="0"/>
        <w:overflowPunct/>
        <w:bidi w:val="0"/>
        <w:adjustRightInd w:val="0"/>
        <w:snapToGrid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2）在规定的时间内施工人员和设备进场后3日内，承包人在投标文件中承诺的其他主要管理人员未能足额到位，或到位后又离开，造成该岗位空缺，以及未按承诺依时、足额投入有关设备，发包人一旦发现将要求承包人做出书面解释并保证人员、设备限期到位。上述情况每发生1次，承包人应承担限期改正责任1次。如果承包人拒不配合，未在发包人提出限期改正的期限内进行整改的，承包人应承担一般违约责任1次，连续二次书面通知整改拒不配合的，承包人应承担严重违约责任1次。</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9.5承包人如需要调换除项目经理外的其他主要管理人员，必须事先征得发包人书面同意。如承包人未经发包人书面同意，擅自调换项目主要管理人员，除必须限期改正外，承包人必须承担严重违约责任，发包人有权暂停支付工程款，并保留索赔的权利。</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9.6除项目经理外的其他主要管理人员需离开施工现场3日以上（含3日）需报发包人批准。在其请假离开的时间段内应书面委托其他驻场管理人员全权代表其行使相应职权。否则，每违约一次，承包人应当承担限期整改责任1次。在国家法定节假日期间，承包人应做好管理人员的轮休，并保证现场管理人员不少于3名。在工程实施期间，承包人应对现场主要管理人员进行考勤，并在每月1日前将前一月考勤表报送甲方审核。现场主要管理人员出勤天数均不得少于22天，若少于22天将按每缺勤一天扣减工程费用叁仟元（￥3000）/每人次处理。</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.9.7承包人项目经理和主要管理人员的考勤实行实名制打卡，承包人项目经理和主要管理人员的考勤若发现有弄虚作假行为，发现一次，承包人应承担一般违约责任1次。</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.9.8对于难以胜任工作的承包人管理人员和主要操作技术人员，发包人有权要求承包人进行更换，直至发包人满意为止，且更换人员应在接到书面通知后的3天内到位。</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9.9承包人未按招标文件及合同要求按期提交发包人工程指挥部所需要的各项设施，应承担限期整改责任1次，若限期整改仍不提交，应承担一般违约责任1次，发包人有权自行安排临时设施的建设，所有费用由承包人工程费用中扣减。</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.9.10承包人未按合同及投标书所作的承诺投入机械、设备、材料等，被监理工程师或发包人发现后，承包人除必须限期改正外，应承担限期改正责任1次。</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9.11工程承包人每次的进场材料，若出现不合格材料使用于工程上并造成质量缺陷，承包人必须承担一般违约责任1次。若出现质量事故或经济损失一次人民币壹拾万元（￥100,000）以上的，必须承担严重违约责任1次。造成重大质量安全事故（按国家安监部门规定界定），发包人视情况部分或全部解除合同。同时，发包人有权追究当事人和承包人的法律责任。</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9.12承包人的工程质量，经监理工程师、发包人或工程质量监督机构抽查，发现质量有不合格、或未按设计要求和有关规范进行施工的，每发现一处承包人应承担一般违约责任1次；出现大面积质量不合格（占比达30％及以上），每发现一处承包人应承担严重违约责任1次，发包人将情况通报纪检监察和建设行政主管部门，必要时申请调查责任相关人员，且承包人应赔偿发包人的经济损失。</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9.13承包人没有按投标承诺和有关规定做好文明施工措施及安全生产，当发生包括但不限于以下情况：工人不统一着装、施工临时材料如脚手架、泥网等过于陈旧、现场垃圾未安排专人清理、现场排水不畅污水横流、交通组织不力现场交通严重拥挤、材料设备堆放混乱、安全防护不符合要求、既有管线被破坏、野蛮施工造成周边环境破坏及警示安全标志不齐等，被监理工程师、发包人发现后，承包人除必须限期改正外， 每发生一次（或一处），承包人必须承担限期改正责任1次。由此而被上级主管部门通报批评、被新闻媒体曝光的，承包人应承担一般违约责任1次；若由此发生安全生产事故，承包人应承担严重违约责任1次；造成严重安全事故等情节严重的，发包人有权部分或全部解除合同。</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.9.14因承包人原因造成工程投资增加的，承包人应赔偿发包人由此遭受的实际损失，情况严重时发包人有权单方解除本施工合同。</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若因承包人未按设计规定和施工技术规程要求认真做好施工现场的临时降水、排水（尤其是雨季施工期间）工作导致需要进行地基处理、边坡加固等情况时，每发生一处承包人应负严重违约责任1次，由此造成的工程投资增加由承包人承担。</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（2）若承包人未严格按施工进度计划要求组织施工造成工期拖延，导致一些工程项目被迫进入雨季施工而引起投资增加的，承包人应承担严重违约责任1次，由此造成的投资增加由承包人负责。</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（3）承包人未经监理工程师、发包人同意擅自改变施工技术方案和工艺，造成投资增加的，应承担严重违约责任1次，由此造成的投资增加由承包人负责。</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承包人未拟定临时设施方案并经监理工程师、发包人审批同意擅自实施临时设施建设，若此临时设施建设经核实无法达到合同规定的要求，承包人应承担限期整改责任1次，若承包人拒绝限期整改应当承担一般违约责任1次，同时发包人有权按实际发生重新核定安全文明施工措施费。</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（5）承包人提供虚假情况或制造现场假象造成设计变更及投资增加时，经监理公司、发包人发现，承包人应承担严重违约责任1次，造成的投资增加由承包人承担。 </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.10、</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发包人将根据承包人的投标文件，严格考核施工项目管理人员的日常到位情况，并定期按照发包人的合同履约评价管理办法、质量安全评估管理办法对承包人的合同履行情况进行评价和评估，评价和评估内容包含人员到位情况、服务配合程度、工程质量、安全、项目后期服务及信用评价结果、评估结果的运用等。履约评价为不合格的，发包人有权拒绝承包人3年内参加发包人任何其它工程的投标，有权报请建设行政主管部门对其作不良行为记录。</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.11 承包人提供竣工资料的约定：</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本工程具备竣工验收条件后14天内，承包人按国家建设部、广东省及</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的有关规定和发包人的要求编制工程竣工资料（包括施工原始记录、照片等资料），向工程师提供完整竣工验收资料8套、竣工验收报告和相应的声像、电子文件，并由承包人及时向主管部门和监督部门备案。工程师收到竣工验收资料后，应在10天内审核，若不符合要求，工程师可提出整改意见。承包人按要求整改合格后报工程师，工程师在整改验收合格后10天内应组织有关单位进行初步验收，并在10天内对工程质量予以认可或提出再次整改意见。承包人按要求再次整改，并承担由其自身原因造成的整改费用。编制竣工图、竣工资料的费用已含在合同价中。</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竣工验收资料包括全部工程（包括项目单位发包项目及其他分包工程）的竣工图纸和竣工资料，以及经确认的深化设计图纸和技术资料。各类分包工程的竣工资料均由承包人负责编制、指导、审阅、汇总、整理、归档，费用由本合同承包人自行承担。    </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.12工程移交及档案管理</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.12.1工程完工后，承包人必须及时按城建相关档案管理规定整理及移交竣工档案，承包人办理工程结算需提交相关工程档案移交签字单，否则结算不予办理。</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.12.2工程竣工验收合格后承包人必须将成品移交给发包人指定的接管单位。在移交工作完成前，现场所有安全及成品保护责任和费用由承包人承担。</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.12.3在向发包人指定的接管单位移交钥匙的同时提供下列清单：</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①办理钥匙移交清单（如有）；</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②双方抄好水表电表底数；</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③列出详细的设备、物件移交清单，标明名称、数量、外观、状态等基本资料</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.12.4按国家、省市和建设主管部门的相关规定应当移交的其他资料。</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13在质量缺陷保修期内，承包人必须在接到保修通知之日起7天内无条件派人先行保修，发生涉及结构安全、严重影响使用功能的质量缺陷或给排水、供电、燃气、通信及路灯等特殊工程的紧急抢修事故的，承包人接到保修通知后，必须立即到达现场实施保修。质量保修完成后，由发包人组织承包人和监理人，配合项目使用（管养）单位验收。涉及结构安全的，发包人将报当地相关行政主管部门备案，同时承包人应将其产生的原因、补救措施、完成保修情况以书面形式提交发包人。</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.14在工程质量缺陷保修期内，承包人的违约责任。</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14.1在保修期内发生质量缺陷或紧急抢修事故的时，如发包人无法联系到承包人，或联系到承包人但承包人不能及时履行保修义务时，无论缺陷责任是否属于承包人，承包人必须承担由此产生的一切保修费用、相关损失及违约责任。</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14.2若承包人未及时到达现场实施保修，发包人有权直接委托其他单位或管养单位代承包人组织实施保修，承包人必须承担由此发生的一切保修费用及相关损失。发包人将在缺陷质量保修金中扣除保修费，并处承包人保修费用30%的违约金，如缺陷质量保修金余额不足，发包人将向承包人索赔。发包人还将承包人不履行保修义务的不良行为报送相关行政主管部门。</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14.3若承包人及时到达现场，但认为自行无法按时完成保修义务，可与发包人协商，直接委托管养单位或发包人确认的其他单位实施保修。若承包人未及时与发包人完成协商事宜，又未能在规定时限内完成保修的，发包人有权通知管养单位或其他单位进行保修，承包人必须承担由此发生的一切保修费用及相关损失。发包人将在缺陷质量保修金中扣除保修费，并处承包人保修费用30%的违约金，如缺陷质量保修金余额不足，发包人将向承包人索赔。发包人还将承包人不履行保修义务的不良行为报送相关行政主管部门。</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14.4若承包人及时到达现场，并与发包人完成协商，同意直接委托管养单位或发包人确认的其他单位实施保修。承包人在收到支付工程保修费用的通知7天内，应将保修费用支付给代其实施保修的单位。如在规定时间内未支付有关费用的，发包人可直接从工程质量缺陷保修金中扣除该保修费用，并支付给保修单位，并处承包人保修费用30%的违约金，如缺陷质量保修金余额不足，发包人将向承包人索赔。发包人还将承包人不履行保修义务的不良行为报送相关行政主管部门。</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.14.5若承包人按照发包人的要求及时履行了保修义务，并能提供证据说明质量缺陷非承包人的责任，保修费用及相关损失由缺陷责任方承担。</w:t>
      </w:r>
    </w:p>
    <w:p>
      <w:pPr>
        <w:pStyle w:val="57"/>
        <w:pageBreakBefore w:val="0"/>
        <w:kinsoku/>
        <w:wordWrap w:val="0"/>
        <w:overflowPunct/>
        <w:bidi w:val="0"/>
        <w:adjustRightInd w:val="0"/>
        <w:snapToGrid w:val="0"/>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highlight w:val="none"/>
          <w14:textFill>
            <w14:solidFill>
              <w14:schemeClr w14:val="tx1"/>
            </w14:solidFill>
          </w14:textFill>
        </w:rPr>
        <w:t>.14.6对于涉及结构安全的工程质量问题，无论何时，在所有人、使用人或者第三方向当地建设行政主管部门报告并通知承包人后，承包人应立即采取安全防范措施，同时发包人将委托原设计单位或者具有相应资质等级的设计单位提出保修方案后，承包人应立即实施保修。承包人立即实施了有效的防范措施和保修的，保修费用、人身和财产损害赔偿，由经过法定程序确认的缺陷责任方承担。承包人拖延安全防范措施或者拖延保修，所造成的一切人身、财产损害责任和赔偿均由承包人承担，同时发包人将提请相关行政主管部门按相关法律、法规对承包人予以处罚。</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.15发包人有权根据有关管理制度对承包人的履约情况纳入履约信用评价和</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第三方质量安全评估</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体系进行履约信用评价和</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质量安全</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评估，并将评价结果和评估结果报送给有关监管部门。</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履约信用评价</w:t>
      </w: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t>和</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第三方质量安全评估按发包人履约信用评价</w:t>
      </w: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质量安全</w:t>
      </w: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t>评估</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管理规定执行，评价内容包含人员到位情况、服务配合程度、工程质量、安全、项目后期服务及信用评价结果、评估结果的运用等。</w:t>
      </w:r>
    </w:p>
    <w:p>
      <w:pPr>
        <w:pageBreakBefore w:val="0"/>
        <w:tabs>
          <w:tab w:val="left" w:pos="1260"/>
        </w:tabs>
        <w:kinsoku/>
        <w:wordWrap w:val="0"/>
        <w:overflowPunct/>
        <w:bidi w:val="0"/>
        <w:snapToGrid w:val="0"/>
        <w:spacing w:line="360" w:lineRule="auto"/>
        <w:ind w:firstLine="442" w:firstLineChars="200"/>
        <w:rPr>
          <w:rFonts w:hint="eastAsia" w:asciiTheme="minorEastAsia" w:hAnsiTheme="minorEastAsia" w:eastAsiaTheme="minorEastAsia" w:cstheme="minorEastAsia"/>
          <w:b/>
          <w:bCs/>
          <w:color w:val="000000" w:themeColor="text1"/>
          <w:spacing w:val="-10"/>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pacing w:val="-10"/>
          <w:szCs w:val="24"/>
          <w:highlight w:val="none"/>
          <w14:textFill>
            <w14:solidFill>
              <w14:schemeClr w14:val="tx1"/>
            </w14:solidFill>
          </w14:textFill>
        </w:rPr>
        <w:t>.设计部分：</w:t>
      </w:r>
    </w:p>
    <w:p>
      <w:pPr>
        <w:pageBreakBefore w:val="0"/>
        <w:tabs>
          <w:tab w:val="left" w:pos="1260"/>
        </w:tabs>
        <w:kinsoku/>
        <w:wordWrap w:val="0"/>
        <w:overflowPunct/>
        <w:bidi w:val="0"/>
        <w:snapToGrid w:val="0"/>
        <w:spacing w:line="360" w:lineRule="auto"/>
        <w:ind w:firstLine="440" w:firstLineChars="200"/>
        <w:rPr>
          <w:rFonts w:hint="eastAsia" w:asciiTheme="minorEastAsia" w:hAnsiTheme="minorEastAsia" w:eastAsiaTheme="minorEastAsia" w:cstheme="minorEastAsia"/>
          <w:color w:val="000000" w:themeColor="text1"/>
          <w:spacing w:val="-1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pacing w:val="-10"/>
          <w:szCs w:val="24"/>
          <w:highlight w:val="none"/>
          <w14:textFill>
            <w14:solidFill>
              <w14:schemeClr w14:val="tx1"/>
            </w14:solidFill>
          </w14:textFill>
        </w:rPr>
        <w:t>.1 本合同设计总价包括所有设计事务工作收费、技术工作收费、税金和完成合同约定的所有与工程设计有关的全部费用。</w:t>
      </w:r>
    </w:p>
    <w:p>
      <w:pPr>
        <w:pageBreakBefore w:val="0"/>
        <w:tabs>
          <w:tab w:val="left" w:pos="1260"/>
        </w:tabs>
        <w:kinsoku/>
        <w:wordWrap w:val="0"/>
        <w:overflowPunct/>
        <w:bidi w:val="0"/>
        <w:snapToGrid w:val="0"/>
        <w:spacing w:line="360" w:lineRule="auto"/>
        <w:ind w:firstLine="44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pacing w:val="-10"/>
          <w:szCs w:val="24"/>
          <w:highlight w:val="none"/>
          <w14:textFill>
            <w14:solidFill>
              <w14:schemeClr w14:val="tx1"/>
            </w14:solidFill>
          </w14:textFill>
        </w:rPr>
        <w:t>.2 承包人必须严格按有关设计规范设</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计图纸，承包人必须秉承合理、经济、环保、适用等原则进行施工图设计，发包人有权委托第三方对承包人每阶段的设计成果（含节能、结构计算模型等）进行精细化审图、各专业优化工作，承包人需无条件根据经发包人确认的精细化审图、结构优化报告进行设计文件修改，费用不另计。</w:t>
      </w:r>
    </w:p>
    <w:p>
      <w:pPr>
        <w:pageBreakBefore w:val="0"/>
        <w:tabs>
          <w:tab w:val="left" w:pos="1260"/>
        </w:tabs>
        <w:kinsoku/>
        <w:wordWrap w:val="0"/>
        <w:overflowPunct/>
        <w:bidi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 xml:space="preserve">.3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承包人未经发包人同意擅自对工程设计进行分包的，发包人有权收回未经发包人同意的设计分包内容，已支付该部分分包内容设计费用的在下次支付设计费时扣除，未支付的将不予支付该部分分包内容设计费 。如需其他专业分包，需提前向发包人报备，并提供相应专业资质文件，发包人同意后方可进行分包。</w:t>
      </w:r>
    </w:p>
    <w:p>
      <w:pPr>
        <w:pageBreakBefore w:val="0"/>
        <w:tabs>
          <w:tab w:val="left" w:pos="1260"/>
        </w:tabs>
        <w:kinsoku/>
        <w:wordWrap w:val="0"/>
        <w:overflowPunct/>
        <w:bidi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bookmarkStart w:id="340" w:name="_Toc390613831"/>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.4.知识产权和专利权</w:t>
      </w:r>
      <w:bookmarkEnd w:id="340"/>
    </w:p>
    <w:p>
      <w:pPr>
        <w:pageBreakBefore w:val="0"/>
        <w:tabs>
          <w:tab w:val="left" w:pos="1260"/>
        </w:tabs>
        <w:kinsoku/>
        <w:wordWrap w:val="0"/>
        <w:overflowPunct/>
        <w:bidi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4.1承包人保证投标文件及资料均未侵犯他人的知识产权，否则必须承担全部责任。若承包人使用了他人的专利、专有技术，涉及的费用由承包人负责。合同价包括所有应支付的对专利权和版权、设计和其他知识产权而需要向其他方支付的版税。</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4.2承包人应保护发包人的知识产权，不得向第三人泄露、转让发包人提交的产品图纸等技术经济资料。未经发包人同意，承包人不得将设计成果转让给第三方。如发生以上情况并给发包人造成经济损失，发包人有权向承包人索赔。</w:t>
      </w:r>
    </w:p>
    <w:p>
      <w:pPr>
        <w:pageBreakBefore w:val="0"/>
        <w:kinsoku/>
        <w:wordWrap w:val="0"/>
        <w:overflowPunct/>
        <w:bidi w:val="0"/>
        <w:spacing w:beforeLines="50" w:line="360" w:lineRule="auto"/>
        <w:ind w:firstLine="472" w:firstLineChars="19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.4.3承包人应保证发包人在本项目建设过程中使用其设计文件和设计文件的任何一部分时，发包人免受第三方提出侵犯其专利权、商标权或其他知识产权的起诉。</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承包人保证发包人使用承包人设计成果将不会对任何第三方构成侵权，如因此引起任何第三方向发包人提出侵权之诉讼或索赔，均由承包人承担处理、应诉和赔偿责任。</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.4.4承包人提交给发包人的设计文件，其著作权、版权、专利权和使用权归发包人所有（署名权除外）。   </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.5.</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承包人在合同有效期内，应当履行合同约定的义务，如因承包人的原因产生设计质量事故、工期延误或设计缺陷，造成损失的应承担赔偿责任。</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（1）因设计错误而造成一般质量事故的，承包人除应免收受损失部分的设计费外，还应无偿修改和完善设计，并承担给发包人造成的直接损失。</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（2）因设计错误而造成重大质量事故的，承包人承担给发包人造成的直接损失，发包人有权解除设计合同，并报请有关主管部门视事故造成的损失情况给予其他处罚。</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.6.</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若因承包人原因导致提交的设计成果文件无法通过发包人组织的设计审查，发包人有权发出如下任何指令，承包人必须遵照执行。</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对不合格部分进行重新设计或修改，由此引起的费用增加和工期延误由承包人负全部责任，发包人还可视造成的时间延误和费用损失，承包人按合同价的5%～10%向甲方支付违约金；同时发包人有权解除设计合同。</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如果重新设计或修改后的设计成果仍不能通过设计审查，或承包人没有能力完成该部分设计，发包人解除该不合格部分的合同，发包人将该不合格部分指定分包给其他设计单位，并扣除设计单位合同总价中此部分的设计费用；</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（3）承包人须在发包人书面同意后，将该部分内容另行委托给其他具有相应资质等级的单位设计，直至通过设计审查，该部分设计费用已包含在合同价中，不另行计算，造成损失的依法承担赔偿责任。</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.7.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承包人应赔偿因设计质量或设计图纸不完善带来的设计变更所引发的工程费增加、施工返工费、误工费等，处理原则如下：</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（1）由于设计质量或设计图纸不完善引起的施工返工，承包人应及时处理，并每次扣减设计合同价的2%作为违约金。</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由于设计质量或设计图纸不完善引起的施工返工、停工，承包人未能及时处理，每次扣减设计合同价的2%作为违约金，对施工工期造成较大影响，还须按设计合同价的15%赔偿，经监理单位和发包人确认后，承包人在申请当期设计费之前支付给发包人。</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由于设计质量或设计图纸不完善导致的设计变更引起工程造价增加，以至超出审批的概算投资额，如设计变更未对施工工期造成影响，承包人按超额部分的5%赔偿发包人；如设计变更对施工工期造成影响，承包人按超额部分的10%赔偿发包人。承包人还应对设计进行修改或调整，以保证工程总费用控制在总投资计划内或限额设计指标内。</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由于设计质量设计图纸不完善所引起的工程费增加，超出审批的概算投资额，承包人无法调整到限额内，发包人有权不支付设计费，已支付的设计费承包人应返还发包人，发包人有权拒绝承包人参加发包人的任何设计项目的投标，并将承包人的不良行为上报行业主管部门。</w:t>
      </w:r>
    </w:p>
    <w:p>
      <w:pPr>
        <w:pStyle w:val="70"/>
        <w:pageBreakBefore w:val="0"/>
        <w:kinsoku/>
        <w:wordWrap w:val="0"/>
        <w:overflowPunct/>
        <w:bidi w:val="0"/>
        <w:ind w:firstLine="602" w:firstLineChars="25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.7.1</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工程变更的程序和管理按</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项目所在地的</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政府投资项目财政投资评审</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相关文件</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执行。如因设计人的责任引起变更造成投资规模增加，按如下规定追究设计人的违约责任：</w:t>
      </w:r>
    </w:p>
    <w:p>
      <w:pPr>
        <w:pStyle w:val="70"/>
        <w:pageBreakBefore w:val="0"/>
        <w:kinsoku/>
        <w:wordWrap w:val="0"/>
        <w:overflowPunct/>
        <w:bidi w:val="0"/>
        <w:ind w:firstLine="600" w:firstLineChars="25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（1）因设计人责任引起变更造成投资规模增加10%以上的，扣减设计人设计合同价20%的违约金；</w:t>
      </w:r>
    </w:p>
    <w:p>
      <w:pPr>
        <w:pStyle w:val="70"/>
        <w:pageBreakBefore w:val="0"/>
        <w:kinsoku/>
        <w:wordWrap w:val="0"/>
        <w:overflowPunct/>
        <w:bidi w:val="0"/>
        <w:ind w:firstLine="600" w:firstLineChars="25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（2）因设计人责任引起变更造成投资规模增加15%以上的，扣减设计人设计合同价30%的违约金；</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（3）因设计人责任引起变更造成投资规模增加20%以上的，扣减设计人设计合同价40%的违约金。</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.8</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承包人未按照国家及建设部现行的强制性技术标准、规范和规程进行设计，或承包人在设计成果中未经发包人认可擅自指定或变相指定材料或设备生产厂商、供应商的，承包人按合同价的5%～10%向发包人支付违约金。</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.9</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承包人保证，未经发包人书面同意，不得将本合同项下的任何工作任务委托第三人履行，对于工程设计内容中超出承包人资质条件的分部、分项工程，承包人不得超越自身资质条件进行设计或自行将设计任务转包、分包，否则，发包人可以立即解除本合同，并且不需要向承包人支付任何费用。发包人将有权终止合同，承包人按合同价的5%～10%向发包人支付违约金。</w:t>
      </w:r>
    </w:p>
    <w:p>
      <w:pPr>
        <w:pStyle w:val="8"/>
        <w:pageBreakBefore w:val="0"/>
        <w:kinsoku/>
        <w:wordWrap w:val="0"/>
        <w:overflowPunct/>
        <w:bidi w:val="0"/>
        <w:snapToGrid w:val="0"/>
        <w:spacing w:line="360" w:lineRule="auto"/>
        <w:ind w:left="63" w:right="63" w:firstLine="482" w:firstLineChars="200"/>
        <w:jc w:val="left"/>
        <w:rPr>
          <w:rFonts w:hint="eastAsia" w:asciiTheme="minorEastAsia" w:hAnsiTheme="minorEastAsia" w:eastAsiaTheme="minorEastAsia" w:cstheme="minorEastAsia"/>
          <w:b/>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color w:val="000000" w:themeColor="text1"/>
          <w:kern w:val="0"/>
          <w:szCs w:val="24"/>
          <w:highlight w:val="none"/>
          <w14:textFill>
            <w14:solidFill>
              <w14:schemeClr w14:val="tx1"/>
            </w14:solidFill>
          </w14:textFill>
        </w:rPr>
        <w:t>.10 除招标文件规定的服务内容外，承包人还须完成以下各阶段服务内容：</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.10.1 施工图设计阶段</w:t>
      </w:r>
    </w:p>
    <w:p>
      <w:pPr>
        <w:pStyle w:val="37"/>
        <w:pageBreakBefore w:val="0"/>
        <w:kinsoku/>
        <w:wordWrap w:val="0"/>
        <w:overflowPunct/>
        <w:bidi w:val="0"/>
        <w:ind w:firstLine="240" w:firstLineChars="100"/>
        <w:jc w:val="left"/>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（1）负责完成并制作</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所有专项设计及红线范围内的所有工程及相关配套工程、设施等本项目涉及的全部专业的施工图设计文件；</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（2）对发包人的审核修改意见进行修改、完善，保证其设计意图的最终实现； </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（3）根据项目开发进度要求及时提供各阶段报审图纸，协助发包人进行报审工作，根据审查结果在本合同约定的范围内进行修改调整，直至审查通过，并最终向发包人提交正式的施工图设计文件； </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（4）协助发包人进行工程招标答疑。</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.10.2 施工配合阶段</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（1）负责工程设计交底，解答施工过程中施工承包人有关施工图的问题，项目负责人及各专业设计负责人，及时对施工中与设计有关的问题做出回应，保证设计满足施工要求； </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（2）根据发包人要求，及时参加与设计有关的专题会，现场解决技术问题； </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（3）协助发包人处理工程洽商和设计变更，负责有关设计修改，及时办理相关手续； </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（4）参与与承包人相关的必要的验收以及项目竣工验收工作，并及时办理相关手续； </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（5）提供产品选型、设备加工订货、建筑材料选择以及分包商考察等技术咨询工作； </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（6）应发包人要求协助审核各分包商的设计文件是否满足接口条件并签署意见，以保证其与总体设计协调一致，并满足工程要求。</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.11 </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承包人义务及违约责任</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.11.1 承包人义务</w:t>
      </w:r>
    </w:p>
    <w:p>
      <w:pPr>
        <w:pageBreakBefore w:val="0"/>
        <w:kinsoku/>
        <w:wordWrap w:val="0"/>
        <w:overflowPunct/>
        <w:bidi w:val="0"/>
        <w:adjustRightInd w:val="0"/>
        <w:snapToGrid w:val="0"/>
        <w:spacing w:line="360" w:lineRule="auto"/>
        <w:ind w:firstLine="360" w:firstLineChars="150"/>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（1）中标通知书发出后30天内第一中标候选人不按招标文件约定条款签订设计合同的，视为自动放弃中标资格，没收投标保证金，并确定第二中标候选人为承包人，以此类推。并上报建设行政主管部门。</w:t>
      </w:r>
    </w:p>
    <w:p>
      <w:pPr>
        <w:pageBreakBefore w:val="0"/>
        <w:kinsoku/>
        <w:wordWrap w:val="0"/>
        <w:overflowPunct/>
        <w:bidi w:val="0"/>
        <w:adjustRightInd w:val="0"/>
        <w:snapToGrid w:val="0"/>
        <w:spacing w:line="360" w:lineRule="auto"/>
        <w:ind w:firstLine="360" w:firstLineChars="150"/>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（2）合同生效后，承包人要求终止或解除合同视为承包人违约，扣除履约保证金。</w:t>
      </w:r>
    </w:p>
    <w:p>
      <w:pPr>
        <w:pageBreakBefore w:val="0"/>
        <w:kinsoku/>
        <w:wordWrap w:val="0"/>
        <w:overflowPunct/>
        <w:bidi w:val="0"/>
        <w:adjustRightInd w:val="0"/>
        <w:snapToGrid w:val="0"/>
        <w:spacing w:line="360" w:lineRule="auto"/>
        <w:ind w:firstLine="360" w:firstLineChars="150"/>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承包人负责按照合同规定承包范围、内容和方式，在规定时间内提交满足规定质量要求的设计成果，并完成约定的服务内容。承包人交付设计文件后，按规定参加有关的设计审查，并根据审查结论负责不超出原定范围的内容做必要调整补充。承包人按合同规定时限交付设计文件，负责向发包人及施工单位进行设计交底、处理有关设计问题和参加竣工验收。施工过程中负责有关工程变更的变更设计和变更预算编制。</w:t>
      </w:r>
    </w:p>
    <w:p>
      <w:pPr>
        <w:pageBreakBefore w:val="0"/>
        <w:kinsoku/>
        <w:wordWrap w:val="0"/>
        <w:overflowPunct/>
        <w:bidi w:val="0"/>
        <w:adjustRightInd w:val="0"/>
        <w:snapToGrid w:val="0"/>
        <w:spacing w:line="360" w:lineRule="auto"/>
        <w:ind w:firstLine="360" w:firstLineChars="15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（4）承包人应对发包人提供的文件、资料进行认真研究，对本项目的特点和不确定因素进行认真考虑，并提出合理建议和评价，对影响设计稳定的重大问题要进行多方案比较选择。</w:t>
      </w:r>
    </w:p>
    <w:p>
      <w:pPr>
        <w:pageBreakBefore w:val="0"/>
        <w:kinsoku/>
        <w:wordWrap w:val="0"/>
        <w:overflowPunct/>
        <w:bidi w:val="0"/>
        <w:adjustRightInd w:val="0"/>
        <w:snapToGrid w:val="0"/>
        <w:spacing w:line="360" w:lineRule="auto"/>
        <w:ind w:firstLine="360" w:firstLineChars="15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（5）设计应尽可能减少施工难度，为施工创造方便合理的施工条件；应尽量减少施工对城市交通、市民生活以及水利、通航的干扰，并尽可能减少对施工期的影响。</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（6）未经发包人书面同意，承包人不得对已批准的设计和勘探点布置方案作重大修改、增减或删除。</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（7）承包人提交的全部设计文件应考虑地质因素、正常施工中可能出现的各种因素，对设计文件出现的遗漏或错误负责修改或补充。</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（8）承包人承诺在交付项目的部分或全部设计文件后，如有更好的新工艺、新技术、新材料、新设备等适用于本项目，应及时向发包人推荐并提供科学的评估和来源证明。</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（9）承包人驻</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南雄市</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办公的项目负责人（即投标文件所拟派的项目负责人）必须负责本项目设计全过程（包括施工图设计审查、施工图设计修编、图纸会审和技术交底）。</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10）承包人应委派1名参与并熟悉本项目设计任务，有现场处理经验的设计代表常驻项目现场。承包人应为派驻现场的设计工作人员提供工作、生活及交通等方面的便利条件及准备必要的劳动保护装备。在正常施工阶段，每月应保证最少20天在现场。</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（11）承包人要按照批准的设计任务书，按照批准的总概算控制施工图设计，即限额设计。承包人要无条件对设计文件出现的遗漏或错误负责修改或补充，直到满足要求。</w:t>
      </w:r>
    </w:p>
    <w:p>
      <w:pPr>
        <w:pageBreakBefore w:val="0"/>
        <w:kinsoku/>
        <w:wordWrap w:val="0"/>
        <w:overflowPunct/>
        <w:bidi w:val="0"/>
        <w:adjustRightInd w:val="0"/>
        <w:snapToGrid w:val="0"/>
        <w:spacing w:line="360" w:lineRule="auto"/>
        <w:ind w:firstLine="244" w:firstLineChars="1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szCs w:val="24"/>
          <w:highlight w:val="none"/>
          <w14:textFill>
            <w14:solidFill>
              <w14:schemeClr w14:val="tx1"/>
            </w14:solidFill>
          </w14:textFill>
        </w:rPr>
        <w:t xml:space="preserve"> （12）发包人及咨询</w:t>
      </w:r>
      <w:r>
        <w:rPr>
          <w:rFonts w:hint="eastAsia" w:asciiTheme="minorEastAsia" w:hAnsiTheme="minorEastAsia" w:eastAsiaTheme="minorEastAsia" w:cstheme="minorEastAsia"/>
          <w:color w:val="000000" w:themeColor="text1"/>
          <w:spacing w:val="1"/>
          <w:szCs w:val="24"/>
          <w:highlight w:val="none"/>
          <w14:textFill>
            <w14:solidFill>
              <w14:schemeClr w14:val="tx1"/>
            </w14:solidFill>
          </w14:textFill>
        </w:rPr>
        <w:t>单</w:t>
      </w:r>
      <w:r>
        <w:rPr>
          <w:rFonts w:hint="eastAsia" w:asciiTheme="minorEastAsia" w:hAnsiTheme="minorEastAsia" w:eastAsiaTheme="minorEastAsia" w:cstheme="minorEastAsia"/>
          <w:color w:val="000000" w:themeColor="text1"/>
          <w:spacing w:val="2"/>
          <w:szCs w:val="24"/>
          <w:highlight w:val="none"/>
          <w14:textFill>
            <w14:solidFill>
              <w14:schemeClr w14:val="tx1"/>
            </w14:solidFill>
          </w14:textFill>
        </w:rPr>
        <w:t>位、上级</w:t>
      </w:r>
      <w:r>
        <w:rPr>
          <w:rFonts w:hint="eastAsia" w:asciiTheme="minorEastAsia" w:hAnsiTheme="minorEastAsia" w:eastAsiaTheme="minorEastAsia" w:cstheme="minorEastAsia"/>
          <w:color w:val="000000" w:themeColor="text1"/>
          <w:spacing w:val="1"/>
          <w:szCs w:val="24"/>
          <w:highlight w:val="none"/>
          <w14:textFill>
            <w14:solidFill>
              <w14:schemeClr w14:val="tx1"/>
            </w14:solidFill>
          </w14:textFill>
        </w:rPr>
        <w:t>主</w:t>
      </w:r>
      <w:r>
        <w:rPr>
          <w:rFonts w:hint="eastAsia" w:asciiTheme="minorEastAsia" w:hAnsiTheme="minorEastAsia" w:eastAsiaTheme="minorEastAsia" w:cstheme="minorEastAsia"/>
          <w:color w:val="000000" w:themeColor="text1"/>
          <w:spacing w:val="2"/>
          <w:szCs w:val="24"/>
          <w:highlight w:val="none"/>
          <w14:textFill>
            <w14:solidFill>
              <w14:schemeClr w14:val="tx1"/>
            </w14:solidFill>
          </w14:textFill>
        </w:rPr>
        <w:t>管部门对设计</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文件的审查并不免除承包人的责任。</w:t>
      </w:r>
    </w:p>
    <w:p>
      <w:pPr>
        <w:pageBreakBefore w:val="0"/>
        <w:kinsoku/>
        <w:wordWrap w:val="0"/>
        <w:overflowPunct/>
        <w:bidi w:val="0"/>
        <w:adjustRightInd w:val="0"/>
        <w:snapToGrid w:val="0"/>
        <w:spacing w:line="360" w:lineRule="auto"/>
        <w:ind w:firstLine="360" w:firstLineChars="15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（13）中标通知书发出后三天内，中标单位法定代表人及主要负责人、项目经理、设计负责人应积极主动与发包人接洽工作，迅速有效推动工程前期工作顺利开展，逾期未履行，作违约处理。</w:t>
      </w:r>
    </w:p>
    <w:p>
      <w:pPr>
        <w:pageBreakBefore w:val="0"/>
        <w:kinsoku/>
        <w:wordWrap w:val="0"/>
        <w:overflowPunct/>
        <w:bidi w:val="0"/>
        <w:adjustRightInd w:val="0"/>
        <w:snapToGrid w:val="0"/>
        <w:spacing w:line="360" w:lineRule="auto"/>
        <w:ind w:firstLine="120" w:firstLineChars="50"/>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.11.2 </w:t>
      </w: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t>承包人违约的处理</w:t>
      </w:r>
    </w:p>
    <w:p>
      <w:pPr>
        <w:pageBreakBefore w:val="0"/>
        <w:kinsoku/>
        <w:wordWrap w:val="0"/>
        <w:overflowPunct/>
        <w:bidi w:val="0"/>
        <w:spacing w:line="360" w:lineRule="auto"/>
        <w:ind w:firstLine="360" w:firstLineChars="15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（1）承包人发生合同约定的违约情况时，无论发包人是否解除合同，发包人均有权按相关规定</w:t>
      </w:r>
      <w:r>
        <w:rPr>
          <w:rFonts w:hint="eastAsia" w:asciiTheme="minorEastAsia" w:hAnsiTheme="minorEastAsia" w:eastAsiaTheme="minorEastAsia" w:cstheme="minorEastAsia"/>
          <w:color w:val="000000" w:themeColor="text1"/>
          <w:highlight w:val="none"/>
          <w14:textFill>
            <w14:solidFill>
              <w14:schemeClr w14:val="tx1"/>
            </w14:solidFill>
          </w14:textFill>
        </w:rPr>
        <w:t>扣除</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承包人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违约金，并由发包人将其违约行为记录在合同履约评价报告中，作为合同履约综合评价的依据。同时，发包人将</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承包人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的违约行为</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上报建设行政主管部门。</w:t>
      </w:r>
    </w:p>
    <w:p>
      <w:pPr>
        <w:pageBreakBefore w:val="0"/>
        <w:kinsoku/>
        <w:wordWrap w:val="0"/>
        <w:overflowPunct/>
        <w:bidi w:val="0"/>
        <w:spacing w:line="360" w:lineRule="auto"/>
        <w:ind w:firstLine="360" w:firstLineChars="15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（2）发包人按合同规定向</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承包人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开出的任何违约金，除合同另有规定外，均从发包人应向</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承包人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支付的</w:t>
      </w:r>
      <w:r>
        <w:rPr>
          <w:rFonts w:hint="eastAsia" w:asciiTheme="minorEastAsia" w:hAnsiTheme="minorEastAsia" w:eastAsiaTheme="minorEastAsia" w:cstheme="minorEastAsia"/>
          <w:color w:val="000000" w:themeColor="text1"/>
          <w:highlight w:val="none"/>
          <w14:textFill>
            <w14:solidFill>
              <w14:schemeClr w14:val="tx1"/>
            </w14:solidFill>
          </w14:textFill>
        </w:rPr>
        <w:t>服务费</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中直接扣除。除非合同另有规定，发包人向</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承包人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开出的任何违约金将导致承包人最终的应得结算价款相应地减少。</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承包人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必须完全接受上述条款。</w:t>
      </w:r>
    </w:p>
    <w:p>
      <w:pPr>
        <w:pageBreakBefore w:val="0"/>
        <w:kinsoku/>
        <w:wordWrap w:val="0"/>
        <w:overflowPunct/>
        <w:bidi w:val="0"/>
        <w:spacing w:line="360" w:lineRule="auto"/>
        <w:ind w:firstLine="360" w:firstLineChars="15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（3）发包人按合同规定向</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承包人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开出的任何违约金的扣除时间，可以在发包人认为合适的任何一个期中支付月份中扣除。发包人扣除违约金时间的延迟或滞后并不代表对</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承包人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当时各种行为的认可或默认。</w:t>
      </w:r>
    </w:p>
    <w:p>
      <w:pPr>
        <w:pageBreakBefore w:val="0"/>
        <w:kinsoku/>
        <w:wordWrap w:val="0"/>
        <w:overflowPunct/>
        <w:bidi w:val="0"/>
        <w:spacing w:line="360" w:lineRule="auto"/>
        <w:ind w:firstLine="360" w:firstLineChars="15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承包人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的违约金由发包人掌握使用。</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.12发包人有权根据有关管理制度对承包人的履约情况纳入履约信用评价体系进行履约信用评价，并将评价结果报送给有关监管部门。</w:t>
      </w:r>
    </w:p>
    <w:p>
      <w:pPr>
        <w:pStyle w:val="7"/>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履约信用评价按发包人履约信用评价管理规定执行，评价内容包含人员到位情况、服务配合程度、服务成果质量、项目后期服务及履约信用评价结果的运用等。</w:t>
      </w:r>
    </w:p>
    <w:p>
      <w:pPr>
        <w:pStyle w:val="38"/>
        <w:keepNext/>
        <w:keepLines/>
        <w:pageBreakBefore w:val="0"/>
        <w:tabs>
          <w:tab w:val="left" w:pos="885"/>
        </w:tabs>
        <w:kinsoku/>
        <w:wordWrap w:val="0"/>
        <w:overflowPunct/>
        <w:bidi w:val="0"/>
        <w:spacing w:line="400" w:lineRule="exact"/>
        <w:jc w:val="center"/>
        <w:rPr>
          <w:rFonts w:hint="eastAsia" w:asciiTheme="minorEastAsia" w:hAnsiTheme="minorEastAsia" w:eastAsiaTheme="minorEastAsia" w:cstheme="minorEastAsia"/>
          <w:b/>
          <w:color w:val="000000" w:themeColor="text1"/>
          <w:kern w:val="44"/>
          <w:sz w:val="24"/>
          <w:highlight w:val="none"/>
          <w14:textFill>
            <w14:solidFill>
              <w14:schemeClr w14:val="tx1"/>
            </w14:solidFill>
          </w14:textFill>
        </w:rPr>
      </w:pPr>
      <w:bookmarkStart w:id="341" w:name="_Toc11306"/>
      <w:r>
        <w:rPr>
          <w:rFonts w:hint="eastAsia" w:asciiTheme="minorEastAsia" w:hAnsiTheme="minorEastAsia" w:eastAsiaTheme="minorEastAsia" w:cstheme="minorEastAsia"/>
          <w:b/>
          <w:color w:val="000000" w:themeColor="text1"/>
          <w:kern w:val="44"/>
          <w:sz w:val="24"/>
          <w:highlight w:val="none"/>
          <w14:textFill>
            <w14:solidFill>
              <w14:schemeClr w14:val="tx1"/>
            </w14:solidFill>
          </w14:textFill>
        </w:rPr>
        <w:br w:type="page"/>
      </w:r>
      <w:bookmarkStart w:id="342" w:name="_Toc24515"/>
      <w:bookmarkStart w:id="343" w:name="_Toc18208"/>
      <w:bookmarkStart w:id="344" w:name="_Toc28950"/>
      <w:bookmarkStart w:id="345" w:name="_Toc16036"/>
      <w:bookmarkStart w:id="346" w:name="_Toc5081"/>
      <w:bookmarkStart w:id="347" w:name="_Toc31905"/>
      <w:bookmarkStart w:id="348" w:name="_Toc15865"/>
      <w:bookmarkStart w:id="349" w:name="_Toc10003"/>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第三</w:t>
      </w:r>
      <w:bookmarkStart w:id="350" w:name="_Hlt69669171"/>
      <w:bookmarkEnd w:id="350"/>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章</w:t>
      </w:r>
      <w:bookmarkStart w:id="351" w:name="_Hlt87793839"/>
      <w:bookmarkEnd w:id="351"/>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 xml:space="preserve"> 中标人须知</w:t>
      </w:r>
      <w:bookmarkEnd w:id="341"/>
      <w:bookmarkEnd w:id="342"/>
      <w:bookmarkEnd w:id="343"/>
      <w:bookmarkEnd w:id="344"/>
      <w:bookmarkEnd w:id="345"/>
      <w:bookmarkEnd w:id="346"/>
      <w:bookmarkEnd w:id="347"/>
      <w:bookmarkEnd w:id="348"/>
      <w:bookmarkEnd w:id="349"/>
    </w:p>
    <w:p>
      <w:pPr>
        <w:pStyle w:val="37"/>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p>
    <w:bookmarkEnd w:id="301"/>
    <w:bookmarkEnd w:id="302"/>
    <w:bookmarkEnd w:id="303"/>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招标人向中标人发出的《中标通知书》对招标人和中标人均具有法律约束力。中标通知书发出后，招标人改变中标结果和中标人放弃中标的，应当承担法律责任。</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3.2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中标人不与招标人签订合同，招标人可以取消其中标人资格。给招标人造成经济损失的，招标人可以向中标人索赔。</w:t>
      </w:r>
    </w:p>
    <w:p>
      <w:pPr>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3.3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中标人在施工期间应严格遵守国家、省、市有关防火、爆破和施工安全以及文明施工、深夜施工、环卫城管等规定，建立规章制度和防护措施。否则，由此造成的经济损失和法律责任，均由中标人负责。</w:t>
      </w:r>
    </w:p>
    <w:p>
      <w:pPr>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中标人必须做好施工场地地下地上管线和邻近建筑物、构筑物（包括文物保护建筑）、名树名木（如有）的保护工作。</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3.4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中标人应按安全施工的要求，采取严格科学的安全措施，确保施工安全和第三者的安全，承担由于自身安全措施不力所造成的事故责任和发生的费用。</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bookmarkStart w:id="352" w:name="_Hlt93117969"/>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3.5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为保证施工现场的环境卫生，中标人在本项目施工过程中，所有的车辆必须按招标人规定的行车路线行驶。</w:t>
      </w:r>
    </w:p>
    <w:bookmarkEnd w:id="352"/>
    <w:p>
      <w:pPr>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3.6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中标人的投标书所报的项目管理班子人员（项目经理、技术负责人、施工员、质量员、安全员等）必须是</w:t>
      </w:r>
      <w:bookmarkStart w:id="353" w:name="_Hlt66261069"/>
      <w:bookmarkEnd w:id="353"/>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中标后实际的项目管理班子人员，否则招标人有权终止合同。</w:t>
      </w:r>
    </w:p>
    <w:p>
      <w:pPr>
        <w:pStyle w:val="7"/>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 w:val="24"/>
          <w:szCs w:val="24"/>
          <w:highlight w:val="none"/>
          <w14:textFill>
            <w14:solidFill>
              <w14:schemeClr w14:val="tx1"/>
            </w14:solidFill>
          </w14:textFill>
        </w:rPr>
        <w:t>根据项目实施进度情况，招标人有权要求中标人增派项目管理人员，以满足项目的现场管理工作要求。</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3.7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项目竣工验收合格后三十个工作日内必须向招标人提供一式八份符合韶关市及</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城市建设档案馆要求的工程竣工档案（含纸质、声像及电子等形式的档案），声像及电子档案的制作费用由中标人承担。</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3.8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合同范围内的工程项目未经招标人同意一律不得分包，一经发现，取消中标人的承包资格，中标人承担由此引起的一切责任和经济损失。</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3.9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现场应自设检验实验室，用于对建筑材料、构件和建筑物进行一般性鉴定、检查等。</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3.10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中标人须服从工程监理单位对工程质量全方位的监理，施工中的年度计划、季度计划、月度计划、施工方案等应报送监理单位审批和招标人备案。施工中的质量保证等资料均应及时报送监理单位和招标人备案。</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3.11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招标文件、招标答疑书、投标文件和中标通知书是招标人与中标人双方签订的施工合同的主要组成部分，并与合同一样，具有相同的法律效力。</w:t>
      </w:r>
      <w:bookmarkStart w:id="354" w:name="_Hlt66508904"/>
      <w:bookmarkEnd w:id="354"/>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如中标通知书发出后，发现中标人的投标文件中有与招标文件所述内容及要求不符的，按招标文件执行。</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3.12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中标之后，若招标范围内有专业工程必须分包的，招标人不另行支付总包服务费；其分包合同由中标人与分包人双方签订，招标人不参与中标人与分包人之间的结算，该部分工程的造价仍按中标人与招标人签订的合同的有关结算条款进行结算。</w:t>
      </w:r>
    </w:p>
    <w:p>
      <w:pPr>
        <w:pageBreakBefore w:val="0"/>
        <w:kinsoku/>
        <w:wordWrap w:val="0"/>
        <w:overflowPunct/>
        <w:bidi w:val="0"/>
        <w:spacing w:line="360" w:lineRule="auto"/>
        <w:ind w:firstLine="354"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3.13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若设计超过了限额标准，中标人必须无条件优化，直至达到限额要求为止，设计及施工工期不予以顺延，招标人不再支付由此而增加的设计费。</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3.14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提交的施工图阶段的设计成果必须经招标人组织的专家委员会评审确认后，再送有资质的审图单位的进行审查，若由于专家委员会和审图单位在审查过程中提出的设计修改或变更，中标人必须无条件进行修改或优化设计，招标人不再支付由此而增加的设计费用。</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3.15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增加工程造价在施工14天前中标人必须提供详细的报价书（含工程项目名称、变更部位、理由、预计造价等）给监理单位核实并报招标人或有关审核部门核定后，方可施工。</w:t>
      </w:r>
    </w:p>
    <w:p>
      <w:pPr>
        <w:pageBreakBefore w:val="0"/>
        <w:kinsoku/>
        <w:wordWrap w:val="0"/>
        <w:overflowPunct/>
        <w:bidi w:val="0"/>
        <w:spacing w:line="360" w:lineRule="auto"/>
        <w:ind w:firstLine="354"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3.16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中标人中标后，必须按规定到韶关市公共资源交易中心办理相关手续方可领取中标通知书。</w:t>
      </w:r>
    </w:p>
    <w:p>
      <w:pPr>
        <w:pageBreakBefore w:val="0"/>
        <w:kinsoku/>
        <w:wordWrap w:val="0"/>
        <w:overflowPunct/>
        <w:bidi w:val="0"/>
        <w:spacing w:line="360" w:lineRule="auto"/>
        <w:ind w:firstLine="354"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3.17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中标人中标后必须按招标人的要求采购材料及设备。</w:t>
      </w:r>
    </w:p>
    <w:p>
      <w:pPr>
        <w:pageBreakBefore w:val="0"/>
        <w:kinsoku/>
        <w:wordWrap w:val="0"/>
        <w:overflowPunct/>
        <w:bidi w:val="0"/>
        <w:spacing w:line="360" w:lineRule="auto"/>
        <w:ind w:firstLine="354" w:firstLineChars="147"/>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3.18 </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中标通知书发出后，中标方应在30个日历天内缴工人工资保证金、意外伤害险等。</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中标人必须在项目开工前，在项目所在地银行</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设立工人工资支付专用账户和安全文明施工措施费专用帐户</w:t>
      </w:r>
      <w:r>
        <w:rPr>
          <w:rFonts w:hint="eastAsia" w:asciiTheme="minorEastAsia" w:hAnsiTheme="minorEastAsia" w:eastAsiaTheme="minorEastAsia" w:cstheme="minorEastAsia"/>
          <w:b/>
          <w:bCs/>
          <w:snapToGrid w:val="0"/>
          <w:color w:val="000000" w:themeColor="text1"/>
          <w:kern w:val="0"/>
          <w:highlight w:val="none"/>
          <w14:textFill>
            <w14:solidFill>
              <w14:schemeClr w14:val="tx1"/>
            </w14:solidFill>
          </w14:textFill>
        </w:rPr>
        <w:t>，</w:t>
      </w: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中标人应在工资专户开立后2个工作日内，将开户银行及其账号、开户协议等资料提交给招标人。</w:t>
      </w:r>
    </w:p>
    <w:p>
      <w:pPr>
        <w:pageBreakBefore w:val="0"/>
        <w:kinsoku/>
        <w:wordWrap w:val="0"/>
        <w:overflowPunct/>
        <w:bidi w:val="0"/>
        <w:spacing w:line="360" w:lineRule="auto"/>
        <w:ind w:firstLine="354" w:firstLineChars="147"/>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中标人应建立劳动用工管理台账，并按月将工人工资支付明细表报招标人备案。若中标人拖延按工期延误处理，拖延一天，则计算工期延误一天。</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中标人必须按相关规定做好用工实名制管理，建立考勤机制，并实施实名信息化管理。</w:t>
      </w:r>
    </w:p>
    <w:p>
      <w:pPr>
        <w:pageBreakBefore w:val="0"/>
        <w:kinsoku/>
        <w:wordWrap w:val="0"/>
        <w:overflowPunct/>
        <w:bidi w:val="0"/>
        <w:spacing w:line="360" w:lineRule="auto"/>
        <w:ind w:firstLine="354"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3.19</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本项目各个阶段的设计成果必须经招标人及有关审批部门同意后方可进行下一工序的设计工作，若招标人或有关审批部门在审批过程中提出的设计修改或变更，中标人必须无条件进行修改或变更，招标人不再支付由此而增加的设计费用。</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3.20 </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若中标人自中标通知书发出之日起20个工作日内仍未提供履约担保的，视同中标单位自动放弃中标资格，招标人通报建设行政主管部门后有权另行选择中标人。</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3.21 </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若中标人自中标通知书发出之日起30天内仍未签订合同，视同中标人自动放弃中标权利，招标人通报建设行政主管部门后有权另行选择中标人。</w:t>
      </w:r>
    </w:p>
    <w:p>
      <w:pPr>
        <w:pStyle w:val="37"/>
        <w:pageBreakBefore w:val="0"/>
        <w:kinsoku/>
        <w:wordWrap w:val="0"/>
        <w:overflowPunct/>
        <w:bidi w:val="0"/>
        <w:ind w:firstLine="482" w:firstLineChars="200"/>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3.22 中标人应按招标人确认后的主要材料的规格、颜色要求采购。如变更规格或颜色，必须经招标人、业主同意，并报有关审核部门重新核定单价后方可采购，并相应调整工程造价。主要材料必须先提供样板或有关资料给招标人、业主确定其规格、颜色、等级等，然后方可使用。</w:t>
      </w:r>
    </w:p>
    <w:p>
      <w:pPr>
        <w:pageBreakBefore w:val="0"/>
        <w:kinsoku/>
        <w:wordWrap w:val="0"/>
        <w:overflowPunct/>
        <w:bidi w:val="0"/>
        <w:snapToGrid w:val="0"/>
        <w:spacing w:line="360" w:lineRule="auto"/>
        <w:ind w:firstLine="472" w:firstLineChars="196"/>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 xml:space="preserve"> 3.23 </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根据《</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印发〈广东省住房和城乡建设厅 广东省发展改革委关于房屋建筑和市政基础设施工程建设项目招标投标全过程信息公开的管理规定〉的通知</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》（粤建规范〔2018〕6号）文件精神，产生中标候选人后，招标人应将中标候选人投标文件商务部分除涉及商业秘密的其他资料在广东省招标投标监管网</w:t>
      </w:r>
      <w:r>
        <w:rPr>
          <w:rFonts w:hint="eastAsia" w:asciiTheme="minorEastAsia" w:hAnsiTheme="minorEastAsia" w:eastAsiaTheme="minorEastAsia" w:cstheme="minorEastAsia"/>
          <w:b/>
          <w:bCs/>
          <w:color w:val="000000" w:themeColor="text1"/>
          <w:kern w:val="0"/>
          <w:szCs w:val="24"/>
          <w:highlight w:val="none"/>
          <w14:textFill>
            <w14:solidFill>
              <w14:schemeClr w14:val="tx1"/>
            </w14:solidFill>
          </w14:textFill>
        </w:rPr>
        <w:t>、广东省公共资源交易平台（韶关市）</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公示，公示期不得少于3日。</w:t>
      </w:r>
    </w:p>
    <w:p>
      <w:pPr>
        <w:pageBreakBefore w:val="0"/>
        <w:kinsoku/>
        <w:wordWrap w:val="0"/>
        <w:overflowPunct/>
        <w:bidi w:val="0"/>
        <w:snapToGrid w:val="0"/>
        <w:spacing w:line="360" w:lineRule="auto"/>
        <w:ind w:firstLine="560"/>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招标人应当在发出中标通知书15日内，将中标结果依法在广东省招标投标监管网、</w:t>
      </w:r>
      <w:r>
        <w:rPr>
          <w:rFonts w:hint="eastAsia" w:asciiTheme="minorEastAsia" w:hAnsiTheme="minorEastAsia" w:eastAsiaTheme="minorEastAsia" w:cstheme="minorEastAsia"/>
          <w:b/>
          <w:bCs/>
          <w:color w:val="000000" w:themeColor="text1"/>
          <w:kern w:val="0"/>
          <w:szCs w:val="24"/>
          <w:highlight w:val="none"/>
          <w14:textFill>
            <w14:solidFill>
              <w14:schemeClr w14:val="tx1"/>
            </w14:solidFill>
          </w14:textFill>
        </w:rPr>
        <w:t>广东省公共资源交易平台（韶关市）</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公示。</w:t>
      </w:r>
    </w:p>
    <w:p>
      <w:pPr>
        <w:pStyle w:val="37"/>
        <w:pageBreakBefore w:val="0"/>
        <w:kinsoku/>
        <w:wordWrap w:val="0"/>
        <w:overflowPunct/>
        <w:bidi w:val="0"/>
        <w:ind w:firstLine="590" w:firstLineChars="245"/>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如果其他投标人或其他利害关系人对公示内容有异议，一经查实有虚假内容等违法违规情况的，将取消其中标候选人资格，并由招投标监管部门按有关规定处理。 </w:t>
      </w:r>
    </w:p>
    <w:p>
      <w:pPr>
        <w:pageBreakBefore w:val="0"/>
        <w:kinsoku/>
        <w:wordWrap w:val="0"/>
        <w:overflowPunct/>
        <w:bidi w:val="0"/>
        <w:spacing w:line="360" w:lineRule="auto"/>
        <w:ind w:firstLine="352"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3.24中标人须按韶关市、</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关于建筑垃圾运输、建筑渣土管理和扬尘治理等有关规定执行。</w:t>
      </w:r>
    </w:p>
    <w:p>
      <w:pPr>
        <w:pageBreakBefore w:val="0"/>
        <w:kinsoku/>
        <w:wordWrap w:val="0"/>
        <w:overflowPunct/>
        <w:bidi w:val="0"/>
        <w:spacing w:line="360" w:lineRule="auto"/>
        <w:ind w:firstLine="352"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3.25中标人须按相关规定要求，设置本工程符合相关要求的永久性标牌及规划公示牌，投标人在投标报价时综合考虑在报价内，招标人不另行支付该部分费用。</w:t>
      </w:r>
    </w:p>
    <w:p>
      <w:pPr>
        <w:pageBreakBefore w:val="0"/>
        <w:kinsoku/>
        <w:wordWrap w:val="0"/>
        <w:overflowPunct/>
        <w:bidi w:val="0"/>
        <w:spacing w:line="360" w:lineRule="auto"/>
        <w:ind w:firstLine="352"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3.26中标人须服从招标人的项目管理方式；中标人须无条件组织施工班组按招标人提供的管理软件（如有）及管理流程进行施工管理。</w:t>
      </w:r>
    </w:p>
    <w:p>
      <w:pPr>
        <w:pStyle w:val="7"/>
        <w:pageBreakBefore w:val="0"/>
        <w:kinsoku/>
        <w:wordWrap w:val="0"/>
        <w:overflowPunct/>
        <w:bidi w:val="0"/>
        <w:spacing w:line="360" w:lineRule="auto"/>
        <w:ind w:firstLine="482" w:firstLineChars="200"/>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中标</w:t>
      </w:r>
      <w:r>
        <w:rPr>
          <w:rFonts w:hint="eastAsia" w:asciiTheme="minorEastAsia" w:hAnsiTheme="minorEastAsia" w:eastAsiaTheme="minorEastAsia" w:cstheme="minorEastAsia"/>
          <w:b/>
          <w:snapToGrid w:val="0"/>
          <w:color w:val="000000" w:themeColor="text1"/>
          <w:sz w:val="24"/>
          <w:szCs w:val="24"/>
          <w:highlight w:val="none"/>
          <w14:textFill>
            <w14:solidFill>
              <w14:schemeClr w14:val="tx1"/>
            </w14:solidFill>
          </w14:textFill>
        </w:rPr>
        <w:t>人应根据施工任务做好工期分析工作，按工期节点要求进行人料机的安排，及时根据计划的实施情况调整人料机的投入。</w:t>
      </w: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中标</w:t>
      </w:r>
      <w:r>
        <w:rPr>
          <w:rFonts w:hint="eastAsia" w:asciiTheme="minorEastAsia" w:hAnsiTheme="minorEastAsia" w:eastAsiaTheme="minorEastAsia" w:cstheme="minorEastAsia"/>
          <w:b/>
          <w:snapToGrid w:val="0"/>
          <w:color w:val="000000" w:themeColor="text1"/>
          <w:sz w:val="24"/>
          <w:szCs w:val="24"/>
          <w:highlight w:val="none"/>
          <w14:textFill>
            <w14:solidFill>
              <w14:schemeClr w14:val="tx1"/>
            </w14:solidFill>
          </w14:textFill>
        </w:rPr>
        <w:t>人作为总承包单位，应合理安排施工工作，统筹各专业单位（如有）的工作界面，不得影响施工进度。</w:t>
      </w: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中标</w:t>
      </w:r>
      <w:r>
        <w:rPr>
          <w:rFonts w:hint="eastAsia" w:asciiTheme="minorEastAsia" w:hAnsiTheme="minorEastAsia" w:eastAsiaTheme="minorEastAsia" w:cstheme="minorEastAsia"/>
          <w:b/>
          <w:snapToGrid w:val="0"/>
          <w:color w:val="000000" w:themeColor="text1"/>
          <w:sz w:val="24"/>
          <w:szCs w:val="24"/>
          <w:highlight w:val="none"/>
          <w14:textFill>
            <w14:solidFill>
              <w14:schemeClr w14:val="tx1"/>
            </w14:solidFill>
          </w14:textFill>
        </w:rPr>
        <w:t>人应根据工作面的变化情况及工程进度要求，合理增配人员及施工机械设备。</w:t>
      </w:r>
    </w:p>
    <w:p>
      <w:pPr>
        <w:pageBreakBefore w:val="0"/>
        <w:kinsoku/>
        <w:wordWrap w:val="0"/>
        <w:overflowPunct/>
        <w:bidi w:val="0"/>
        <w:spacing w:line="360" w:lineRule="auto"/>
        <w:ind w:firstLine="352"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3.27施工视频监控系统必须符合韶市建字〔2014〕163号文件规定，并在投标报价中综合考虑，招标人及项目业主不再另行支付该部分费用。</w:t>
      </w:r>
    </w:p>
    <w:p>
      <w:pPr>
        <w:pageBreakBefore w:val="0"/>
        <w:kinsoku/>
        <w:wordWrap w:val="0"/>
        <w:overflowPunct/>
        <w:bidi w:val="0"/>
        <w:spacing w:line="360" w:lineRule="auto"/>
        <w:ind w:firstLine="420" w:firstLineChars="175"/>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开工一个月内必须按相关规定和要求安装视频监控系统，并接入相关部门监控系统，如未按时安装视频监控系统，发包人有权在措施费中扣除相关费用。</w:t>
      </w:r>
    </w:p>
    <w:p>
      <w:pPr>
        <w:pageBreakBefore w:val="0"/>
        <w:kinsoku/>
        <w:wordWrap w:val="0"/>
        <w:overflowPunct/>
        <w:bidi w:val="0"/>
        <w:spacing w:line="360" w:lineRule="auto"/>
        <w:ind w:firstLine="354"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3.28</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应已详细了解本项目的前期工作（包括征地拆迁），同时也应已勘察施工现场、周围环境、地形、地貌、水文、交通等情况。中标人投标报价应已充分考虑在施工中由于招标人原因造成停工或工期延误等因素所产生的相关费用，招标人不予另计费；中标人不得以不完全了解项目的前期工作（包括征地拆迁）及现场情况为理由，提出因外界因素造成停工或工期延误的额外付款要求；对此类要求，招标人不作任何考虑及答复。</w:t>
      </w:r>
    </w:p>
    <w:p>
      <w:pPr>
        <w:pageBreakBefore w:val="0"/>
        <w:kinsoku/>
        <w:wordWrap w:val="0"/>
        <w:overflowPunct/>
        <w:bidi w:val="0"/>
        <w:spacing w:line="360" w:lineRule="auto"/>
        <w:ind w:firstLine="352"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如因招标人原因（自然灾害等不可抗力因素除外），工程不能按期开工，或开工后全部停滞，工期按相关规定予以顺延。停工发生后，若可复工时，中标人应在收到招标人发出的复工通知书后3日内开始复工。</w:t>
      </w:r>
    </w:p>
    <w:p>
      <w:pPr>
        <w:pageBreakBefore w:val="0"/>
        <w:kinsoku/>
        <w:wordWrap w:val="0"/>
        <w:overflowPunct/>
        <w:bidi w:val="0"/>
        <w:spacing w:line="360" w:lineRule="auto"/>
        <w:ind w:firstLine="560"/>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3.29</w:t>
      </w:r>
      <w:r>
        <w:rPr>
          <w:rFonts w:hint="eastAsia" w:asciiTheme="minorEastAsia" w:hAnsiTheme="minorEastAsia" w:eastAsiaTheme="minorEastAsia" w:cstheme="minorEastAsia"/>
          <w:b/>
          <w:color w:val="000000" w:themeColor="text1"/>
          <w:highlight w:val="none"/>
          <w14:textFill>
            <w14:solidFill>
              <w14:schemeClr w14:val="tx1"/>
            </w14:solidFill>
          </w14:textFill>
        </w:rPr>
        <w:t>中标人必须严格按有关设计规范设计图纸，中标人须秉承合理、经济、环保、适用等原则进行施工图设计，招标人有权委托第三方对中标人每阶段的设计成果文件进行精细化审图、各专业优化工作，招标人将根据第三方出具的有关报告及优化金额对中标人进行考核。若中标人成果的建安投资与优化金额（各分项工程进行对比）误差率在3%范围内则不作违约处理（含3%），否则以优化金额的10%从设计费用中扣取违约金（违约金总额以设计费为限，扣取的违约金作为第三方的咨询费），中标人需无条件根据经招标人确认的精细化审图、结构优化报告进行设计文件修改，费用不另计。</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3.30</w:t>
      </w:r>
      <w:r>
        <w:rPr>
          <w:rFonts w:hint="eastAsia" w:asciiTheme="minorEastAsia" w:hAnsiTheme="minorEastAsia" w:eastAsiaTheme="minorEastAsia" w:cstheme="minorEastAsia"/>
          <w:b/>
          <w:color w:val="000000" w:themeColor="text1"/>
          <w:highlight w:val="none"/>
          <w14:textFill>
            <w14:solidFill>
              <w14:schemeClr w14:val="tx1"/>
            </w14:solidFill>
          </w14:textFill>
        </w:rPr>
        <w:t>中标人须在收到初步设计文件之日起三天内无条件对初步设计文件进行审核，如发现遗漏或错误，须向招标人提出书面报告。</w:t>
      </w:r>
    </w:p>
    <w:p>
      <w:pPr>
        <w:pageBreakBefore w:val="0"/>
        <w:kinsoku/>
        <w:wordWrap w:val="0"/>
        <w:overflowPunct/>
        <w:bidi w:val="0"/>
        <w:spacing w:line="360" w:lineRule="auto"/>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3.31</w:t>
      </w:r>
      <w:r>
        <w:rPr>
          <w:rFonts w:hint="eastAsia" w:asciiTheme="minorEastAsia" w:hAnsiTheme="minorEastAsia" w:eastAsiaTheme="minorEastAsia" w:cstheme="minorEastAsia"/>
          <w:b/>
          <w:color w:val="000000" w:themeColor="text1"/>
          <w:highlight w:val="none"/>
          <w14:textFill>
            <w14:solidFill>
              <w14:schemeClr w14:val="tx1"/>
            </w14:solidFill>
          </w14:textFill>
        </w:rPr>
        <w:t>中标人须在收到中标通知书之日十天内向招标人提交各阶段详细的工期计划承诺书。</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3.32按照《广东省住房和城乡建设厅关于建设工程项目招标中标后监督检查的办法》（粤建市〔2009〕8号）和《韶关市住房和城乡建设局关于加强房屋建筑和市政基础设施工程项目招标中标后监督检查的通知》（韶市建字〔2014〕145号）等相关法律法规。中标人中标之后，工程施工项目负责人和项目管理班子其他成员必须是该工程中标时所承诺的项目管理班子成员。</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项目管理班子成员不得擅自变更，项目管理班子成员因有粤建市〔2009〕8号第九条所述情形之一确属不能履行职责需要变更的，中标单位应向建设行政主管部门填报《建设工程项目管理班子变更情况报告表》并附上有关证明文件，经建设行政主管部门审核同意方可变更。更换后的项目经理与中标单位的投标文件所确定的项目负责人或总监理工程师的主要条件一致。</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若中标单位有下列行为之一的，除依照有关法律、法规进行处罚外，将通过市建设与房地产信息网站予以及时曝光，并作为今后该单位参与投标的评分扣分依据直至取消投标资格。</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1.建设单位违反规定指定分包单位的；</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2.施工单位转包、违法分包或违反投标承诺分包工程的；   </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3.非原参加投标中标的项目经理负责组织施工或在实施过程违反粤建市〔2009〕8号第九条规定更换项目经理的、项目的其他主要管理人员与中标文件确定的人员不相符的；</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4.投标文件确定的大型机械设备没有进入施工现场的；</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5.建设、监理、施工等单位串通，签认虚假工程量或工程造价的；</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6.施工现场管理不到位的；</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7.非本人资格证书登记所在的单位从事工程项目施工管理的；</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8.项目经理同时承担超过一项工程项目的；</w:t>
      </w:r>
    </w:p>
    <w:p>
      <w:pPr>
        <w:pStyle w:val="55"/>
        <w:pageBreakBefore w:val="0"/>
        <w:widowControl/>
        <w:kinsoku/>
        <w:wordWrap w:val="0"/>
        <w:overflowPunct/>
        <w:bidi w:val="0"/>
        <w:spacing w:line="360" w:lineRule="auto"/>
        <w:ind w:firstLine="480"/>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9.违反有关法律、法规、规章规定的其它行为。</w:t>
      </w:r>
    </w:p>
    <w:p>
      <w:pPr>
        <w:pStyle w:val="55"/>
        <w:pageBreakBefore w:val="0"/>
        <w:widowControl/>
        <w:kinsoku/>
        <w:wordWrap w:val="0"/>
        <w:overflowPunct/>
        <w:bidi w:val="0"/>
        <w:spacing w:line="360" w:lineRule="auto"/>
        <w:ind w:firstLine="480"/>
        <w:jc w:val="left"/>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8"/>
          <w:highlight w:val="none"/>
          <w14:textFill>
            <w14:solidFill>
              <w14:schemeClr w14:val="tx1"/>
            </w14:solidFill>
          </w14:textFill>
        </w:rPr>
        <w:t>3.33依据《关于印发&lt;广东省建筑工程领域工人工资支付专用账户管理办法&gt;的通知》（粤人社规[2018]14号）文件精神，中标人必须设立工人工资支付专用账户，专门用于发放作业工人工资。</w:t>
      </w:r>
      <w:bookmarkStart w:id="355" w:name="_Hlt69698776"/>
    </w:p>
    <w:p>
      <w:pPr>
        <w:pStyle w:val="37"/>
        <w:pageBreakBefore w:val="0"/>
        <w:kinsoku/>
        <w:wordWrap w:val="0"/>
        <w:overflowPunct/>
        <w:bidi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根据《韶关市建设领域施工企业工人工资支付保证金管理办法》（韶人社〔2017〕133号）文件规定，中标人中标后，应在30个日历天内按承包合同工程造价5%的比例（不超过300万元）一次性将工人工资保证金存入银行专用存款账户。逾期未交纳的，招标人将扣留与本项目工人工资保证金等额的工程款（工人工资除外），直至中标人按《韶关市建设领域施工企业工人工资支付保证金管理办法》相关文件要求缴纳工人工资保证金。在中标人未按要求缴纳工人工资保证金期间，招标人扣留的工程款将作为工人工资保证金的预备资金，招标人有权将该部分资金用于处理该项目工人工资拖欠等情况的问题。</w:t>
      </w:r>
    </w:p>
    <w:p>
      <w:pPr>
        <w:pStyle w:val="37"/>
        <w:pageBreakBefore w:val="0"/>
        <w:kinsoku/>
        <w:wordWrap w:val="0"/>
        <w:overflowPunct/>
        <w:bidi w:val="0"/>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3.34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中标人在施工图设计前，要充分进行市场调查，主要材料、设备在满足设计规范及建设标准的情况下，尽量采用造价管理机构发布的信息价中有相应型号、规格的标准材料，若必须采用非标准材料的</w:t>
      </w:r>
      <w:r>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必须经招标人同意，否则参照信息价中相近且低于其标准的材料信息价作为该项材料的结算价。</w:t>
      </w:r>
    </w:p>
    <w:p>
      <w:pPr>
        <w:pStyle w:val="37"/>
        <w:pageBreakBefore w:val="0"/>
        <w:kinsoku/>
        <w:wordWrap w:val="0"/>
        <w:overflowPunct/>
        <w:bidi w:val="0"/>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3.35</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中标人应按招标人提供的场地出平图先行进行场地平整。</w:t>
      </w:r>
    </w:p>
    <w:p>
      <w:pPr>
        <w:pStyle w:val="37"/>
        <w:pageBreakBefore w:val="0"/>
        <w:kinsoku/>
        <w:wordWrap w:val="0"/>
        <w:overflowPunct/>
        <w:bidi w:val="0"/>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3.36</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中标人必须根据设计施工图及现场编制施工组织设计及专项施工方案报有关部门审批。</w:t>
      </w:r>
    </w:p>
    <w:p>
      <w:pPr>
        <w:pStyle w:val="57"/>
        <w:pageBreakBefore w:val="0"/>
        <w:kinsoku/>
        <w:wordWrap w:val="0"/>
        <w:overflowPunct/>
        <w:bidi w:val="0"/>
        <w:snapToGrid w:val="0"/>
        <w:ind w:firstLine="482" w:firstLineChars="200"/>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pPr>
      <w:r>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t>3.37危险性较大的分部分项工程安全管理约定</w:t>
      </w:r>
    </w:p>
    <w:p>
      <w:pPr>
        <w:pStyle w:val="57"/>
        <w:pageBreakBefore w:val="0"/>
        <w:kinsoku/>
        <w:wordWrap w:val="0"/>
        <w:overflowPunct/>
        <w:bidi w:val="0"/>
        <w:adjustRightInd w:val="0"/>
        <w:snapToGrid w:val="0"/>
        <w:ind w:firstLine="482" w:firstLineChars="200"/>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pPr>
      <w:r>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t>中标人对危险性较大的工程必须按《危险性较大的分部分项工程安全管理规定》（中华人民共和国住房和城乡建设部令第37号）的规定编制专项施工方案。同时，中标人必须按照《危险性较大的分部分项工程安全管理规定》的规定和经审批的专项施工方案履行安全职责，严格执行国家、地方政府有关施工安全管理方面的法律、法规及规章制度，同时严格执行招标人制订的本项目安全生产管理方面的规章制度、安全检查程序及施工安全管理要求，以及监理人有关安全工作的指令。</w:t>
      </w:r>
    </w:p>
    <w:p>
      <w:pPr>
        <w:pStyle w:val="37"/>
        <w:pageBreakBefore w:val="0"/>
        <w:kinsoku/>
        <w:wordWrap w:val="0"/>
        <w:overflowPunct/>
        <w:bidi w:val="0"/>
        <w:ind w:firstLine="482" w:firstLineChars="200"/>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pPr>
      <w:r>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t>中标人应根据《危险性较大的分部分项工程安全管理规定》（住房城乡建设部令第37号）、《住房城乡建设部办公厅关于实施&lt;危险性较大的分部分项工程安全管理规定&gt;有关问题的通知》（建办质〔2018〕31号）、《广东省住房和城乡建设厅关于房屋市政工程危险性较大的分部分项工程安全管理的实施细则的通知》（粤建规范〔2019〕2号） 和《广东省安全生产委员会办公室 广东省住房和城乡建设厅关于&lt;严格落实危险性较大的分部分项工程“六不施工”要求的通知&gt;》（粤安办〔2020〕151 号）等有关危险性较大的分部分项工程的法规规定通知，履行建设工程安全生产管理职责。</w:t>
      </w:r>
    </w:p>
    <w:p>
      <w:pPr>
        <w:pStyle w:val="37"/>
        <w:pageBreakBefore w:val="0"/>
        <w:kinsoku/>
        <w:wordWrap w:val="0"/>
        <w:overflowPunct/>
        <w:bidi w:val="0"/>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t>3.38</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中标人项目经理和主要管理人员的考勤实行实名制打卡，中标人项目经理和主要管理人员的考勤若发现有弄虚作假行为，发现一次，中标人应承担一般违约责任1次。</w:t>
      </w:r>
    </w:p>
    <w:p>
      <w:pPr>
        <w:pStyle w:val="37"/>
        <w:pageBreakBefore w:val="0"/>
        <w:kinsoku/>
        <w:wordWrap w:val="0"/>
        <w:overflowPunct/>
        <w:bidi w:val="0"/>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t>3.</w:t>
      </w:r>
      <w:r>
        <w:rPr>
          <w:rFonts w:hint="eastAsia" w:asciiTheme="minorEastAsia" w:hAnsiTheme="minorEastAsia" w:eastAsiaTheme="minorEastAsia" w:cstheme="minorEastAsia"/>
          <w:b/>
          <w:color w:val="000000" w:themeColor="text1"/>
          <w:highlight w:val="none"/>
          <w:shd w:val="clear" w:color="auto" w:fill="FFFFFF"/>
          <w:lang w:val="en-US" w:eastAsia="zh-CN"/>
          <w14:textFill>
            <w14:solidFill>
              <w14:schemeClr w14:val="tx1"/>
            </w14:solidFill>
          </w14:textFill>
        </w:rPr>
        <w:t xml:space="preserve">39 </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本项目在建设过程中，中标人的设计及施工的质量安全等相关实施内容要按照业主单位、发包单位的相关管理规定和质量安全考核要求，随时接受业主单位、发包单位自行或委托的第三方的监督检查及考核，中标人必须无条件配合，如中标人不配合或未通过相关的监督检查及考核，中标人须接受业主单位、发包单位的相关管理规定和处罚，并承担相应的责任。</w:t>
      </w:r>
    </w:p>
    <w:p>
      <w:pPr>
        <w:pStyle w:val="37"/>
        <w:pageBreakBefore w:val="0"/>
        <w:kinsoku/>
        <w:wordWrap w:val="0"/>
        <w:overflowPunct/>
        <w:bidi w:val="0"/>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t>3.4</w:t>
      </w:r>
      <w:r>
        <w:rPr>
          <w:rFonts w:hint="eastAsia" w:asciiTheme="minorEastAsia" w:hAnsiTheme="minorEastAsia" w:eastAsiaTheme="minorEastAsia" w:cstheme="minorEastAsia"/>
          <w:b/>
          <w:color w:val="000000" w:themeColor="text1"/>
          <w:highlight w:val="none"/>
          <w:shd w:val="clear" w:color="auto" w:fill="FFFFFF"/>
          <w:lang w:val="en-US" w:eastAsia="zh-CN"/>
          <w14:textFill>
            <w14:solidFill>
              <w14:schemeClr w14:val="tx1"/>
            </w14:solidFill>
          </w14:textFill>
        </w:rPr>
        <w:t>0</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其他事项</w:t>
      </w:r>
    </w:p>
    <w:p>
      <w:pPr>
        <w:pageBreakBefore w:val="0"/>
        <w:kinsoku/>
        <w:wordWrap w:val="0"/>
        <w:overflowPunct/>
        <w:bidi w:val="0"/>
        <w:spacing w:line="360" w:lineRule="auto"/>
        <w:ind w:firstLine="542" w:firstLineChars="225"/>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t>3.4</w:t>
      </w:r>
      <w:r>
        <w:rPr>
          <w:rFonts w:hint="eastAsia" w:asciiTheme="minorEastAsia" w:hAnsiTheme="minorEastAsia" w:eastAsiaTheme="minorEastAsia" w:cstheme="minorEastAsia"/>
          <w:b/>
          <w:color w:val="000000" w:themeColor="text1"/>
          <w:highlight w:val="none"/>
          <w:shd w:val="clear" w:color="auto" w:fill="FFFFFF"/>
          <w:lang w:val="en-US" w:eastAsia="zh-CN"/>
          <w14:textFill>
            <w14:solidFill>
              <w14:schemeClr w14:val="tx1"/>
            </w14:solidFill>
          </w14:textFill>
        </w:rPr>
        <w:t>0</w:t>
      </w:r>
      <w:r>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t xml:space="preserve">.1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招标文件中涉及的合同实质性内容以及拟签合同的主要条款内容、中标须知、相关附件、格式内容等为中标后拟签合同实质性内容，在订立合同时不得擅自进行更改。</w:t>
      </w:r>
    </w:p>
    <w:p>
      <w:pPr>
        <w:pStyle w:val="32"/>
        <w:pageBreakBefore w:val="0"/>
        <w:kinsoku/>
        <w:wordWrap w:val="0"/>
        <w:overflowPunct/>
        <w:bidi w:val="0"/>
        <w:spacing w:line="360" w:lineRule="auto"/>
        <w:ind w:firstLine="480"/>
        <w:jc w:val="left"/>
        <w:rPr>
          <w:rFonts w:hint="eastAsia" w:asciiTheme="minorEastAsia" w:hAnsiTheme="minorEastAsia" w:eastAsiaTheme="minorEastAsia" w:cstheme="minorEastAsia"/>
          <w:b w:val="0"/>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shd w:val="clear" w:color="auto" w:fill="FFFFFF"/>
          <w14:textFill>
            <w14:solidFill>
              <w14:schemeClr w14:val="tx1"/>
            </w14:solidFill>
          </w14:textFill>
        </w:rPr>
        <w:t>3.4</w:t>
      </w:r>
      <w:r>
        <w:rPr>
          <w:rFonts w:hint="eastAsia" w:asciiTheme="minorEastAsia" w:hAnsiTheme="minorEastAsia" w:eastAsiaTheme="minorEastAsia" w:cstheme="minorEastAsia"/>
          <w:color w:val="000000" w:themeColor="text1"/>
          <w:sz w:val="24"/>
          <w:highlight w:val="none"/>
          <w:shd w:val="clear" w:color="auto" w:fill="FFFFFF"/>
          <w:lang w:val="en-US" w:eastAsia="zh-CN"/>
          <w14:textFill>
            <w14:solidFill>
              <w14:schemeClr w14:val="tx1"/>
            </w14:solidFill>
          </w14:textFill>
        </w:rPr>
        <w:t>0</w:t>
      </w:r>
      <w:r>
        <w:rPr>
          <w:rFonts w:hint="eastAsia" w:asciiTheme="minorEastAsia" w:hAnsiTheme="minorEastAsia" w:eastAsiaTheme="minorEastAsia" w:cstheme="minorEastAsia"/>
          <w:color w:val="000000" w:themeColor="text1"/>
          <w:sz w:val="24"/>
          <w:highlight w:val="none"/>
          <w:shd w:val="clear" w:color="auto" w:fill="FFFFFF"/>
          <w14:textFill>
            <w14:solidFill>
              <w14:schemeClr w14:val="tx1"/>
            </w14:solidFill>
          </w14:textFill>
        </w:rPr>
        <w:t>.2</w:t>
      </w:r>
      <w:r>
        <w:rPr>
          <w:rFonts w:hint="eastAsia" w:asciiTheme="minorEastAsia" w:hAnsiTheme="minorEastAsia" w:eastAsiaTheme="minorEastAsia" w:cstheme="minorEastAsia"/>
          <w:b w:val="0"/>
          <w:snapToGrid w:val="0"/>
          <w:color w:val="000000" w:themeColor="text1"/>
          <w:kern w:val="0"/>
          <w:sz w:val="24"/>
          <w:highlight w:val="none"/>
          <w14:textFill>
            <w14:solidFill>
              <w14:schemeClr w14:val="tx1"/>
            </w14:solidFill>
          </w14:textFill>
        </w:rPr>
        <w:t>中标人应按《关于印发&lt;</w:t>
      </w:r>
      <w:r>
        <w:rPr>
          <w:rFonts w:hint="eastAsia" w:asciiTheme="minorEastAsia" w:hAnsiTheme="minorEastAsia" w:eastAsiaTheme="minorEastAsia" w:cstheme="minorEastAsia"/>
          <w:b w:val="0"/>
          <w:snapToGrid w:val="0"/>
          <w:color w:val="000000" w:themeColor="text1"/>
          <w:kern w:val="0"/>
          <w:sz w:val="24"/>
          <w:highlight w:val="none"/>
          <w:lang w:eastAsia="zh-CN"/>
          <w14:textFill>
            <w14:solidFill>
              <w14:schemeClr w14:val="tx1"/>
            </w14:solidFill>
          </w14:textFill>
        </w:rPr>
        <w:t>南雄市</w:t>
      </w:r>
      <w:r>
        <w:rPr>
          <w:rFonts w:hint="eastAsia" w:asciiTheme="minorEastAsia" w:hAnsiTheme="minorEastAsia" w:eastAsiaTheme="minorEastAsia" w:cstheme="minorEastAsia"/>
          <w:b w:val="0"/>
          <w:snapToGrid w:val="0"/>
          <w:color w:val="000000" w:themeColor="text1"/>
          <w:kern w:val="0"/>
          <w:sz w:val="24"/>
          <w:highlight w:val="none"/>
          <w14:textFill>
            <w14:solidFill>
              <w14:schemeClr w14:val="tx1"/>
            </w14:solidFill>
          </w14:textFill>
        </w:rPr>
        <w:t>安全生产责任保险实施方案（2020-2021）年&gt;的通知》文件办理安全生产责任保险。</w:t>
      </w:r>
    </w:p>
    <w:p>
      <w:pPr>
        <w:pStyle w:val="32"/>
        <w:pageBreakBefore w:val="0"/>
        <w:kinsoku/>
        <w:wordWrap w:val="0"/>
        <w:overflowPunct/>
        <w:bidi w:val="0"/>
        <w:spacing w:line="360" w:lineRule="auto"/>
        <w:ind w:firstLine="480"/>
        <w:jc w:val="left"/>
        <w:rPr>
          <w:rFonts w:hint="default" w:eastAsiaTheme="minorEastAsia"/>
          <w:lang w:val="en-US" w:eastAsia="zh-CN"/>
        </w:rPr>
      </w:pPr>
      <w:r>
        <w:rPr>
          <w:rFonts w:hint="eastAsia" w:asciiTheme="minorEastAsia" w:hAnsiTheme="minorEastAsia" w:eastAsiaTheme="minorEastAsia" w:cstheme="minorEastAsia"/>
          <w:b/>
          <w:bCs/>
          <w:snapToGrid w:val="0"/>
          <w:color w:val="000000" w:themeColor="text1"/>
          <w:kern w:val="0"/>
          <w:sz w:val="24"/>
          <w:highlight w:val="none"/>
          <w:lang w:val="en-US" w:eastAsia="zh-CN"/>
          <w14:textFill>
            <w14:solidFill>
              <w14:schemeClr w14:val="tx1"/>
            </w14:solidFill>
          </w14:textFill>
        </w:rPr>
        <w:t>3.40.3</w:t>
      </w:r>
      <w:r>
        <w:rPr>
          <w:rFonts w:hint="eastAsia" w:asciiTheme="minorEastAsia" w:hAnsiTheme="minorEastAsia" w:eastAsiaTheme="minorEastAsia" w:cstheme="minorEastAsia"/>
          <w:b w:val="0"/>
          <w:snapToGrid w:val="0"/>
          <w:color w:val="000000" w:themeColor="text1"/>
          <w:kern w:val="0"/>
          <w:sz w:val="24"/>
          <w:highlight w:val="none"/>
          <w:lang w:val="en-US" w:eastAsia="zh-CN"/>
          <w14:textFill>
            <w14:solidFill>
              <w14:schemeClr w14:val="tx1"/>
            </w14:solidFill>
          </w14:textFill>
        </w:rPr>
        <w:t>本项目由中标人支付招标代理费及评标专家酬劳。招标代理服务费以中标金额为计价基数，参照《招标代理服务收费管理暂行办法》（计价格[2002]1980号）相关规定计算招标代理服务费；评标专家酬劳（包括食宿费用、交通费、专家评审劳务费等）由招标代理机构先垫付，中标人须在中标公告公示期结束后,向招标代理机构一次性付清评标专家酬劳（以当天评委签收为准）。</w:t>
      </w:r>
    </w:p>
    <w:p>
      <w:pPr>
        <w:pStyle w:val="37"/>
        <w:pageBreakBefore w:val="0"/>
        <w:kinsoku/>
        <w:wordWrap w:val="0"/>
        <w:overflowPunct/>
        <w:bidi w:val="0"/>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p>
      <w:pPr>
        <w:pStyle w:val="38"/>
        <w:keepNext/>
        <w:keepLines/>
        <w:pageBreakBefore w:val="0"/>
        <w:tabs>
          <w:tab w:val="left" w:pos="885"/>
        </w:tabs>
        <w:kinsoku/>
        <w:wordWrap w:val="0"/>
        <w:overflowPunct/>
        <w:bidi w:val="0"/>
        <w:jc w:val="cente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44"/>
          <w:sz w:val="24"/>
          <w:highlight w:val="none"/>
          <w14:textFill>
            <w14:solidFill>
              <w14:schemeClr w14:val="tx1"/>
            </w14:solidFill>
          </w14:textFill>
        </w:rPr>
        <w:br w:type="page"/>
      </w:r>
      <w:bookmarkStart w:id="356" w:name="_Toc28028"/>
      <w:bookmarkStart w:id="357" w:name="_Toc20219"/>
      <w:bookmarkStart w:id="358" w:name="_Toc28287"/>
      <w:bookmarkStart w:id="359" w:name="_Toc24187"/>
      <w:bookmarkStart w:id="360" w:name="_Toc18638"/>
      <w:bookmarkStart w:id="361" w:name="_Toc25756"/>
      <w:bookmarkStart w:id="362" w:name="_Toc29153"/>
      <w:bookmarkStart w:id="363" w:name="_Toc27728"/>
      <w:bookmarkStart w:id="364" w:name="_Toc21424"/>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第四</w:t>
      </w:r>
      <w:bookmarkStart w:id="365" w:name="_Hlt69669176"/>
      <w:bookmarkEnd w:id="365"/>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章</w:t>
      </w:r>
      <w:bookmarkStart w:id="366" w:name="_Hlt87793847"/>
      <w:bookmarkEnd w:id="366"/>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 xml:space="preserve"> 投标人提交的其他材料</w:t>
      </w:r>
      <w:bookmarkEnd w:id="356"/>
      <w:bookmarkEnd w:id="357"/>
      <w:bookmarkEnd w:id="358"/>
      <w:bookmarkEnd w:id="359"/>
      <w:bookmarkEnd w:id="360"/>
      <w:bookmarkEnd w:id="361"/>
      <w:bookmarkEnd w:id="362"/>
      <w:bookmarkEnd w:id="363"/>
      <w:bookmarkEnd w:id="364"/>
    </w:p>
    <w:p>
      <w:pPr>
        <w:pStyle w:val="37"/>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p>
    <w:bookmarkEnd w:id="355"/>
    <w:p>
      <w:pPr>
        <w:pStyle w:val="4"/>
        <w:pageBreakBefore w:val="0"/>
        <w:kinsoku/>
        <w:wordWrap w:val="0"/>
        <w:overflowPunct/>
        <w:bidi w:val="0"/>
        <w:spacing w:line="360" w:lineRule="auto"/>
        <w:ind w:firstLine="241" w:firstLineChars="100"/>
        <w:outlineLvl w:val="1"/>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367" w:name="_Hlt66104911"/>
      <w:bookmarkEnd w:id="367"/>
      <w:bookmarkStart w:id="368" w:name="_Hlt66531751"/>
      <w:bookmarkEnd w:id="368"/>
      <w:bookmarkStart w:id="369" w:name="_Toc18673"/>
      <w:bookmarkStart w:id="370" w:name="_Toc28975"/>
      <w:bookmarkStart w:id="371" w:name="_Toc19932"/>
      <w:bookmarkStart w:id="372" w:name="_Toc5994"/>
      <w:bookmarkStart w:id="373" w:name="_Toc12370"/>
      <w:bookmarkStart w:id="374" w:name="_Toc21505"/>
      <w:bookmarkStart w:id="375" w:name="_Toc5733"/>
      <w:bookmarkStart w:id="376" w:name="_Toc31172"/>
      <w:bookmarkStart w:id="377" w:name="_Toc1109"/>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w:t>
      </w:r>
      <w:bookmarkStart w:id="378" w:name="_Hlt69356768"/>
      <w:bookmarkEnd w:id="378"/>
      <w:bookmarkStart w:id="379" w:name="_Hlt66677316"/>
      <w:r>
        <w:rPr>
          <w:rFonts w:hint="eastAsia" w:asciiTheme="minorEastAsia" w:hAnsiTheme="minorEastAsia" w:eastAsiaTheme="minorEastAsia" w:cstheme="minorEastAsia"/>
          <w:b/>
          <w:bCs/>
          <w:color w:val="000000" w:themeColor="text1"/>
          <w:szCs w:val="24"/>
          <w:highlight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投标保证</w:t>
      </w:r>
      <w:bookmarkEnd w:id="369"/>
      <w:bookmarkEnd w:id="370"/>
      <w:bookmarkEnd w:id="371"/>
      <w:bookmarkEnd w:id="372"/>
      <w:bookmarkEnd w:id="373"/>
      <w:bookmarkEnd w:id="374"/>
      <w:bookmarkEnd w:id="375"/>
      <w:bookmarkEnd w:id="376"/>
      <w:bookmarkEnd w:id="377"/>
      <w:bookmarkEnd w:id="379"/>
    </w:p>
    <w:p>
      <w:pPr>
        <w:pageBreakBefore w:val="0"/>
        <w:kinsoku/>
        <w:wordWrap w:val="0"/>
        <w:overflowPunct/>
        <w:bidi w:val="0"/>
        <w:snapToGrid w:val="0"/>
        <w:spacing w:beforeLines="50" w:line="360" w:lineRule="auto"/>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1.1</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投标保证的形式包括投标保证金、投标保证担保、投标保证保险三种，由投标人自主选择。</w:t>
      </w:r>
    </w:p>
    <w:p>
      <w:pPr>
        <w:pStyle w:val="58"/>
        <w:pageBreakBefore w:val="0"/>
        <w:kinsoku/>
        <w:wordWrap w:val="0"/>
        <w:overflowPunct/>
        <w:bidi w:val="0"/>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采用投标保证金的，投标人在建设工程交易系统获取招标文件完毕后，即可在系统申请缴纳投标保证金，获取本次招标投标保证金缴纳账号。投标人必须于投标保证金到账截止时间（见招标文件“重要事项时间地点一览表”）前，从其基本账户将投标保证金转账到指定的缴纳账号。逾期到账的、从非投标人基本账户转出的，其投标无效。</w:t>
      </w:r>
    </w:p>
    <w:p>
      <w:pPr>
        <w:pStyle w:val="58"/>
        <w:pageBreakBefore w:val="0"/>
        <w:kinsoku/>
        <w:wordWrap w:val="0"/>
        <w:overflowPunct/>
        <w:bidi w:val="0"/>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采用投标保证担保的，投标人应提交有效的银行保函，银行保函的有效期不得短于投标有效期。投标人必须在投标保证担保截止时间（见本招标文件“重要事项时间地点一览表”）前，使用工程建设交易系统完成网上办理电子保函。</w:t>
      </w:r>
    </w:p>
    <w:p>
      <w:pPr>
        <w:pStyle w:val="58"/>
        <w:pageBreakBefore w:val="0"/>
        <w:kinsoku/>
        <w:wordWrap w:val="0"/>
        <w:overflowPunct/>
        <w:bidi w:val="0"/>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采用投标保证保险的，投标人须在投标保证保险投保截止时间（见本招标文件“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pPr>
        <w:pStyle w:val="58"/>
        <w:pageBreakBefore w:val="0"/>
        <w:kinsoku/>
        <w:wordWrap w:val="0"/>
        <w:overflowPunct/>
        <w:bidi w:val="0"/>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温馨提醒：投标人采用投标保证担保或投标保证保险的，为避免在评标过程中因有效期发生争议，建议投标人将银行保函或电子保单有效期设置为较招标文件规定的投标有效期延长不少于20个日历天。</w:t>
      </w:r>
    </w:p>
    <w:p>
      <w:pPr>
        <w:pStyle w:val="58"/>
        <w:pageBreakBefore w:val="0"/>
        <w:kinsoku/>
        <w:wordWrap w:val="0"/>
        <w:overflowPunct/>
        <w:bidi w:val="0"/>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1.2</w:t>
      </w:r>
      <w:r>
        <w:rPr>
          <w:rFonts w:hint="eastAsia" w:asciiTheme="minorEastAsia" w:hAnsiTheme="minorEastAsia" w:eastAsiaTheme="minorEastAsia" w:cstheme="minorEastAsia"/>
          <w:color w:val="000000" w:themeColor="text1"/>
          <w:highlight w:val="none"/>
          <w14:textFill>
            <w14:solidFill>
              <w14:schemeClr w14:val="tx1"/>
            </w14:solidFill>
          </w14:textFill>
        </w:rPr>
        <w:t>投标人撤回已提交的投标文件，应当在投标截止时间前书面通知招标人。投标截止后投标人撤销投标文件的，招标人可以不退还投标保证。</w:t>
      </w:r>
    </w:p>
    <w:p>
      <w:pPr>
        <w:pStyle w:val="58"/>
        <w:pageBreakBefore w:val="0"/>
        <w:kinsoku/>
        <w:wordWrap w:val="0"/>
        <w:overflowPunct/>
        <w:bidi w:val="0"/>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1.3</w:t>
      </w:r>
      <w:r>
        <w:rPr>
          <w:rFonts w:hint="eastAsia" w:asciiTheme="minorEastAsia" w:hAnsiTheme="minorEastAsia" w:eastAsiaTheme="minorEastAsia" w:cstheme="minorEastAsia"/>
          <w:color w:val="000000" w:themeColor="text1"/>
          <w:highlight w:val="none"/>
          <w14:textFill>
            <w14:solidFill>
              <w14:schemeClr w14:val="tx1"/>
            </w14:solidFill>
          </w14:textFill>
        </w:rPr>
        <w:t>投标保证的退还方式：</w:t>
      </w:r>
    </w:p>
    <w:p>
      <w:pPr>
        <w:pStyle w:val="58"/>
        <w:pageBreakBefore w:val="0"/>
        <w:kinsoku/>
        <w:wordWrap w:val="0"/>
        <w:overflowPunct/>
        <w:bidi w:val="0"/>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中标候选人公示期满无异议（投诉）后，招标人确定第一中标候选人为中标人，并在中标人确定之日起7个工作日内向中标人发出中标通知书。在中标通知书发出后5个工作日内，韶关市公共资源交易中心将投标保证金（或银行保函）退还给中标候选人以外的投标人。</w:t>
      </w:r>
    </w:p>
    <w:p>
      <w:pPr>
        <w:pStyle w:val="58"/>
        <w:pageBreakBefore w:val="0"/>
        <w:kinsoku/>
        <w:wordWrap w:val="0"/>
        <w:overflowPunct/>
        <w:bidi w:val="0"/>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在书面合同订立之日起2个工作日内，由中标人将合同上传至建设工程交易系统，并发起退还投标保证的申请。韶关市公共资源交易中心在收到申请之日起3个工作日内，将投标保证金（或银行保函）退还给中标人和其他中标候选人。</w:t>
      </w:r>
    </w:p>
    <w:p>
      <w:pPr>
        <w:pStyle w:val="58"/>
        <w:pageBreakBefore w:val="0"/>
        <w:kinsoku/>
        <w:wordWrap w:val="0"/>
        <w:overflowPunct/>
        <w:bidi w:val="0"/>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1.4</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投标人中标后不与招标人依据招标文件要求签订工程合同的，由建设行政主管部门按规定处理其投标保证。</w:t>
      </w:r>
    </w:p>
    <w:p>
      <w:pPr>
        <w:pStyle w:val="58"/>
        <w:pageBreakBefore w:val="0"/>
        <w:kinsoku/>
        <w:wordWrap w:val="0"/>
        <w:overflowPunct/>
        <w:bidi w:val="0"/>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1.5</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组成联合体时由联合体牵头人缴纳投标保证。</w:t>
      </w:r>
    </w:p>
    <w:p>
      <w:pPr>
        <w:pStyle w:val="4"/>
        <w:pageBreakBefore w:val="0"/>
        <w:kinsoku/>
        <w:wordWrap w:val="0"/>
        <w:overflowPunct/>
        <w:bidi w:val="0"/>
        <w:spacing w:line="360" w:lineRule="auto"/>
        <w:ind w:firstLine="241" w:firstLineChars="100"/>
        <w:outlineLvl w:val="1"/>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380" w:name="_Hlt87793359"/>
      <w:bookmarkEnd w:id="380"/>
      <w:bookmarkStart w:id="381" w:name="_Hlt87792499"/>
      <w:bookmarkEnd w:id="381"/>
      <w:bookmarkStart w:id="382" w:name="_Toc23304"/>
      <w:bookmarkStart w:id="383" w:name="_Toc985"/>
      <w:bookmarkStart w:id="384" w:name="_Toc3284"/>
      <w:bookmarkStart w:id="385" w:name="_Toc20998"/>
      <w:bookmarkStart w:id="386" w:name="_Toc19899"/>
      <w:bookmarkStart w:id="387" w:name="_Toc10164"/>
      <w:bookmarkStart w:id="388" w:name="_Toc19536"/>
      <w:bookmarkStart w:id="389" w:name="_Toc3054"/>
      <w:bookmarkStart w:id="390" w:name="_Toc22441"/>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2</w:t>
      </w:r>
      <w:r>
        <w:rPr>
          <w:rFonts w:hint="eastAsia" w:asciiTheme="minorEastAsia" w:hAnsiTheme="minorEastAsia" w:eastAsiaTheme="minorEastAsia" w:cstheme="minorEastAsia"/>
          <w:b/>
          <w:bCs/>
          <w:color w:val="000000" w:themeColor="text1"/>
          <w:szCs w:val="24"/>
          <w:highlight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履约保证金</w:t>
      </w:r>
      <w:bookmarkEnd w:id="382"/>
      <w:bookmarkEnd w:id="383"/>
      <w:bookmarkEnd w:id="384"/>
      <w:bookmarkEnd w:id="385"/>
      <w:bookmarkEnd w:id="386"/>
      <w:bookmarkEnd w:id="387"/>
      <w:bookmarkEnd w:id="388"/>
      <w:bookmarkEnd w:id="389"/>
      <w:bookmarkEnd w:id="390"/>
    </w:p>
    <w:bookmarkEnd w:id="1"/>
    <w:p>
      <w:pPr>
        <w:pageBreakBefore w:val="0"/>
        <w:widowControl/>
        <w:kinsoku/>
        <w:wordWrap w:val="0"/>
        <w:overflowPunct/>
        <w:bidi w:val="0"/>
        <w:adjustRightInd/>
        <w:snapToGrid/>
        <w:spacing w:line="360" w:lineRule="auto"/>
        <w:ind w:firstLine="482" w:firstLineChars="200"/>
        <w:jc w:val="left"/>
        <w:rPr>
          <w:rFonts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bookmarkStart w:id="391" w:name="_Toc466640610"/>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2.1</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中标人须在领取中标通知书之日起</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5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个工作日内、签订合同前向招标人提交金额为中标价</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u w:val="single"/>
          <w:lang w:val="en-US" w:eastAsia="zh-CN"/>
          <w14:textFill>
            <w14:solidFill>
              <w14:schemeClr w14:val="tx1"/>
            </w14:solidFill>
          </w14:textFill>
        </w:rPr>
        <w:t>3</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的履约保证。</w:t>
      </w:r>
      <w:r>
        <w:rPr>
          <w:rFonts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联合体中标的，由联合体牵头人提交。同时招标人向中标人提供合同价</w:t>
      </w:r>
      <w:r>
        <w:rPr>
          <w:rFonts w:hint="eastAsia" w:asciiTheme="minorEastAsia" w:hAnsiTheme="minorEastAsia" w:eastAsiaTheme="minorEastAsia" w:cstheme="minorEastAsia"/>
          <w:snapToGrid w:val="0"/>
          <w:color w:val="000000" w:themeColor="text1"/>
          <w:kern w:val="0"/>
          <w:szCs w:val="24"/>
          <w:highlight w:val="none"/>
          <w:u w:val="none"/>
          <w:lang w:val="en-US" w:eastAsia="zh-CN"/>
          <w14:textFill>
            <w14:solidFill>
              <w14:schemeClr w14:val="tx1"/>
            </w14:solidFill>
          </w14:textFill>
        </w:rPr>
        <w:t>3</w:t>
      </w:r>
      <w:r>
        <w:rPr>
          <w:rFonts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%的支付担保，并将工程款支付担保文书作为建设工程合同的组成部分(担保期限届至招标人支付除工程质量保修金以外的全部工程结算款项之日后</w:t>
      </w:r>
      <w:r>
        <w:rPr>
          <w:rFonts w:asciiTheme="minorEastAsia" w:hAnsiTheme="minorEastAsia" w:eastAsiaTheme="minorEastAsia" w:cstheme="minorEastAsia"/>
          <w:snapToGrid w:val="0"/>
          <w:color w:val="000000" w:themeColor="text1"/>
          <w:kern w:val="0"/>
          <w:szCs w:val="24"/>
          <w:highlight w:val="none"/>
          <w:u w:val="none"/>
          <w14:textFill>
            <w14:solidFill>
              <w14:schemeClr w14:val="tx1"/>
            </w14:solidFill>
          </w14:textFill>
        </w:rPr>
        <w:t>30</w:t>
      </w:r>
      <w:r>
        <w:rPr>
          <w:rFonts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天)。</w:t>
      </w:r>
    </w:p>
    <w:p>
      <w:pPr>
        <w:pageBreakBefore w:val="0"/>
        <w:widowControl/>
        <w:kinsoku/>
        <w:wordWrap w:val="0"/>
        <w:overflowPunct/>
        <w:bidi w:val="0"/>
        <w:adjustRightInd/>
        <w:snapToGrid/>
        <w:spacing w:line="360" w:lineRule="auto"/>
        <w:ind w:firstLine="480" w:firstLineChars="200"/>
        <w:jc w:val="lef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val="en-US" w:eastAsia="zh-CN" w:bidi="ar"/>
          <w14:textFill>
            <w14:solidFill>
              <w14:schemeClr w14:val="tx1"/>
            </w14:solidFill>
          </w14:textFill>
        </w:rPr>
        <w:t>注：</w:t>
      </w:r>
      <w:r>
        <w:rPr>
          <w:rFonts w:hint="eastAsia" w:asciiTheme="minorEastAsia" w:hAnsiTheme="minorEastAsia" w:eastAsiaTheme="minorEastAsia" w:cstheme="minorEastAsia"/>
          <w:i w:val="0"/>
          <w:iCs w:val="0"/>
          <w:snapToGrid w:val="0"/>
          <w:color w:val="000000" w:themeColor="text1"/>
          <w:kern w:val="0"/>
          <w:sz w:val="24"/>
          <w:szCs w:val="24"/>
          <w:highlight w:val="none"/>
          <w:lang w:val="en-US" w:eastAsia="zh-CN" w:bidi="ar"/>
          <w14:textFill>
            <w14:solidFill>
              <w14:schemeClr w14:val="tx1"/>
            </w14:solidFill>
          </w14:textFill>
        </w:rPr>
        <w:t>根据《保障农民工工资支付条例》，发包人必须落实工程款支付担保制度， 需有项目预付款。 2017 年 2 月，国务院出台《关于促进建筑业持续健康发展的意见》， 要求“严格执行工程预付款制度，及时按合同约定足额向承包单位支付预付款。通过工 程款支付担保等经济、法律手段约束建设单位履约行为，预防拖欠工程款。”</w:t>
      </w:r>
    </w:p>
    <w:p>
      <w:pPr>
        <w:pageBreakBefore w:val="0"/>
        <w:kinsoku/>
        <w:wordWrap w:val="0"/>
        <w:overflowPunct/>
        <w:bidi w:val="0"/>
        <w:adjustRightInd w:val="0"/>
        <w:snapToGrid w:val="0"/>
        <w:spacing w:line="360" w:lineRule="auto"/>
        <w:ind w:firstLine="562"/>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2.2</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w:t>
      </w:r>
      <w:r>
        <w:rPr>
          <w:rFonts w:asciiTheme="minorEastAsia" w:hAnsiTheme="minorEastAsia" w:eastAsiaTheme="minorEastAsia" w:cstheme="minorEastAsia"/>
          <w:snapToGrid w:val="0"/>
          <w:color w:val="000000" w:themeColor="text1"/>
          <w:kern w:val="0"/>
          <w:szCs w:val="24"/>
          <w:highlight w:val="none"/>
          <w:lang w:bidi="ar"/>
          <w14:textFill>
            <w14:solidFill>
              <w14:schemeClr w14:val="tx1"/>
            </w14:solidFill>
          </w14:textFill>
        </w:rPr>
        <w:t>中标人根据《关于统一在市公共资源交易一体化服务平台缴退工程建设项目履约保证金的通知》办理相关手续，履约保证的形式包括履约保证金、履约保证担保、履约保证保险三种，由中标人自主选择。商业保函、银行保函或保险合同（或保险单）的有效期应当自合同生效之日起至项目通过竣工验收之日后</w:t>
      </w:r>
      <w:r>
        <w:rPr>
          <w:rFonts w:hint="eastAsia" w:asciiTheme="minorEastAsia" w:hAnsiTheme="minorEastAsia" w:eastAsiaTheme="minorEastAsia" w:cstheme="minorEastAsia"/>
          <w:snapToGrid w:val="0"/>
          <w:color w:val="000000" w:themeColor="text1"/>
          <w:kern w:val="0"/>
          <w:szCs w:val="24"/>
          <w:highlight w:val="none"/>
          <w:u w:val="none"/>
          <w:lang w:bidi="ar"/>
          <w14:textFill>
            <w14:solidFill>
              <w14:schemeClr w14:val="tx1"/>
            </w14:solidFill>
          </w14:textFill>
        </w:rPr>
        <w:t>28</w:t>
      </w:r>
      <w:r>
        <w:rPr>
          <w:rFonts w:asciiTheme="minorEastAsia" w:hAnsiTheme="minorEastAsia" w:eastAsiaTheme="minorEastAsia" w:cstheme="minorEastAsia"/>
          <w:snapToGrid w:val="0"/>
          <w:color w:val="000000" w:themeColor="text1"/>
          <w:kern w:val="0"/>
          <w:szCs w:val="24"/>
          <w:highlight w:val="none"/>
          <w:lang w:bidi="ar"/>
          <w14:textFill>
            <w14:solidFill>
              <w14:schemeClr w14:val="tx1"/>
            </w14:solidFill>
          </w14:textFill>
        </w:rPr>
        <w:t>天止。</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2.3</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中标人在领取中标通知书之日起10个工作日内仍未提交履约保证的，招标人发出第一次提醒函；在领取中标通知书之日起15个工作日内仍未提交的，招标人发出第二次提醒函；在领取中标通知书之日起20个工作日内仍未提交的，视其放弃中标。</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2.4</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在工程实施过程中，如果中标人（即招标阶段的中标人，下同）由于自身的资金、技术、质量、非不可抗力等原因给招标人（即招标阶段的招标人，下同）造成经济损失，扣除相应履约保证。</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2.5</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项目通过竣工验收之日后28天内，招标人将履约保证</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或全部履约保证金（不计算利息）</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退还给中标人。</w:t>
      </w:r>
    </w:p>
    <w:p>
      <w:pPr>
        <w:pStyle w:val="4"/>
        <w:pageBreakBefore w:val="0"/>
        <w:kinsoku/>
        <w:wordWrap w:val="0"/>
        <w:overflowPunct/>
        <w:bidi w:val="0"/>
        <w:spacing w:line="360" w:lineRule="auto"/>
        <w:ind w:firstLine="241" w:firstLineChars="100"/>
        <w:outlineLvl w:val="1"/>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392" w:name="_Toc1520"/>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3</w:t>
      </w:r>
      <w:r>
        <w:rPr>
          <w:rFonts w:hint="eastAsia" w:asciiTheme="minorEastAsia" w:hAnsiTheme="minorEastAsia" w:eastAsiaTheme="minorEastAsia" w:cstheme="minorEastAsia"/>
          <w:b/>
          <w:bCs/>
          <w:color w:val="000000" w:themeColor="text1"/>
          <w:szCs w:val="24"/>
          <w:highlight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质量保证</w:t>
      </w:r>
      <w:bookmarkEnd w:id="392"/>
    </w:p>
    <w:p>
      <w:pPr>
        <w:pageBreakBefore w:val="0"/>
        <w:kinsoku/>
        <w:wordWrap w:val="0"/>
        <w:overflowPunct/>
        <w:bidi w:val="0"/>
        <w:adjustRightInd w:val="0"/>
        <w:snapToGrid w:val="0"/>
        <w:spacing w:line="360" w:lineRule="auto"/>
        <w:ind w:firstLine="560"/>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3.1</w:t>
      </w: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 xml:space="preserve"> 本工程缺陷责任期为</w:t>
      </w:r>
      <w:r>
        <w:rPr>
          <w:rFonts w:hint="eastAsia" w:asciiTheme="minorEastAsia" w:hAnsiTheme="minorEastAsia" w:eastAsiaTheme="minorEastAsia" w:cstheme="minorEastAsia"/>
          <w:bCs/>
          <w:snapToGrid w:val="0"/>
          <w:color w:val="000000" w:themeColor="text1"/>
          <w:kern w:val="0"/>
          <w:szCs w:val="24"/>
          <w:highlight w:val="none"/>
          <w:u w:val="single"/>
          <w:lang w:val="en-US" w:eastAsia="zh-CN"/>
          <w14:textFill>
            <w14:solidFill>
              <w14:schemeClr w14:val="tx1"/>
            </w14:solidFill>
          </w14:textFill>
        </w:rPr>
        <w:t xml:space="preserve"> 1 </w:t>
      </w: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年（自通过竣工验收之日起计），在此期间预留金额为结算价</w:t>
      </w:r>
      <w:r>
        <w:rPr>
          <w:rFonts w:hint="eastAsia" w:asciiTheme="minorEastAsia" w:hAnsiTheme="minorEastAsia" w:eastAsiaTheme="minorEastAsia" w:cstheme="minorEastAsia"/>
          <w:bCs/>
          <w:snapToGrid w:val="0"/>
          <w:color w:val="000000" w:themeColor="text1"/>
          <w:kern w:val="0"/>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Cs/>
          <w:snapToGrid w:val="0"/>
          <w:color w:val="000000" w:themeColor="text1"/>
          <w:kern w:val="0"/>
          <w:szCs w:val="24"/>
          <w:highlight w:val="none"/>
          <w:u w:val="single"/>
          <w14:textFill>
            <w14:solidFill>
              <w14:schemeClr w14:val="tx1"/>
            </w14:solidFill>
          </w14:textFill>
        </w:rPr>
        <w:t>3%</w:t>
      </w:r>
      <w:r>
        <w:rPr>
          <w:rFonts w:hint="eastAsia" w:asciiTheme="minorEastAsia" w:hAnsiTheme="minorEastAsia" w:eastAsiaTheme="minorEastAsia" w:cstheme="minorEastAsia"/>
          <w:bCs/>
          <w:snapToGrid w:val="0"/>
          <w:color w:val="000000" w:themeColor="text1"/>
          <w:kern w:val="0"/>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的质量保证。</w:t>
      </w:r>
    </w:p>
    <w:p>
      <w:pPr>
        <w:pageBreakBefore w:val="0"/>
        <w:kinsoku/>
        <w:wordWrap w:val="0"/>
        <w:overflowPunct/>
        <w:bidi w:val="0"/>
        <w:adjustRightInd w:val="0"/>
        <w:snapToGrid w:val="0"/>
        <w:spacing w:line="360" w:lineRule="auto"/>
        <w:ind w:firstLine="560"/>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3.2</w:t>
      </w: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 xml:space="preserve"> 质量保证的形式包括质量保证金、质量保证担保、质量保证保险三种，由中标人自主选择。</w:t>
      </w:r>
    </w:p>
    <w:p>
      <w:pPr>
        <w:pageBreakBefore w:val="0"/>
        <w:kinsoku/>
        <w:wordWrap w:val="0"/>
        <w:overflowPunct/>
        <w:bidi w:val="0"/>
        <w:adjustRightInd w:val="0"/>
        <w:snapToGrid w:val="0"/>
        <w:spacing w:line="360" w:lineRule="auto"/>
        <w:ind w:firstLine="561"/>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（1）采用质量保证金形式的，在结清审定总造价时一次性扣留相应金额作为质量保证金。</w:t>
      </w:r>
    </w:p>
    <w:p>
      <w:pPr>
        <w:pageBreakBefore w:val="0"/>
        <w:kinsoku/>
        <w:wordWrap w:val="0"/>
        <w:overflowPunct/>
        <w:bidi w:val="0"/>
        <w:adjustRightInd w:val="0"/>
        <w:snapToGrid w:val="0"/>
        <w:spacing w:line="360" w:lineRule="auto"/>
        <w:ind w:firstLine="561"/>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（2）采用质量保证担保或质量保证保险的，中标人应在竣工验收时向招标人提交有效的银行保函原件或保险合同原件（或保险单），银行保函或保险合同原件（或保险单）的有效期不得短于缺陷责任期。</w:t>
      </w:r>
    </w:p>
    <w:p>
      <w:pPr>
        <w:pageBreakBefore w:val="0"/>
        <w:kinsoku/>
        <w:wordWrap w:val="0"/>
        <w:overflowPunct/>
        <w:bidi w:val="0"/>
        <w:adjustRightInd w:val="0"/>
        <w:snapToGrid w:val="0"/>
        <w:spacing w:line="360" w:lineRule="auto"/>
        <w:ind w:firstLine="561"/>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3.3</w:t>
      </w: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 xml:space="preserve"> 缺陷责任期内，由中标人原因造成的缺陷，中标人应负责维修，并承担鉴定及维修费用。如果中标人不维修也不承担费用，招标人可按合同约定从质量保证中扣除，维修费用超出保证金额的，招标人可按合同约定向中标人进行索赔。中标人维修并承担相应费用后，不免除对工程的损失赔偿责任。</w:t>
      </w:r>
    </w:p>
    <w:p>
      <w:pPr>
        <w:pageBreakBefore w:val="0"/>
        <w:kinsoku/>
        <w:wordWrap w:val="0"/>
        <w:overflowPunct/>
        <w:bidi w:val="0"/>
        <w:adjustRightInd w:val="0"/>
        <w:snapToGrid w:val="0"/>
        <w:spacing w:line="360" w:lineRule="auto"/>
        <w:ind w:firstLine="561"/>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由他人原因造成的缺陷，招标人负责组织维修，中标人不承担费用，且招标人不得从质量保证中扣除费用。</w:t>
      </w:r>
    </w:p>
    <w:p>
      <w:pPr>
        <w:pageBreakBefore w:val="0"/>
        <w:kinsoku/>
        <w:wordWrap w:val="0"/>
        <w:overflowPunct/>
        <w:bidi w:val="0"/>
        <w:adjustRightInd w:val="0"/>
        <w:snapToGrid w:val="0"/>
        <w:spacing w:line="360" w:lineRule="auto"/>
        <w:ind w:firstLine="561"/>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3.4</w:t>
      </w: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 xml:space="preserve"> 缺陷责任期内，中标人应认真履行合同约定的责任。缺陷责任期到期后，中标人向招标人申请退还质量保证，招标人应按照《建设工程质量保证金管理办法》有关规定将质量保证退还给中标人（不计息）。</w:t>
      </w:r>
    </w:p>
    <w:p>
      <w:pPr>
        <w:pageBreakBefore w:val="0"/>
        <w:kinsoku/>
        <w:wordWrap w:val="0"/>
        <w:overflowPunct/>
        <w:bidi w:val="0"/>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br w:type="page"/>
      </w:r>
    </w:p>
    <w:p>
      <w:pPr>
        <w:pStyle w:val="38"/>
        <w:keepNext/>
        <w:keepLines/>
        <w:pageBreakBefore w:val="0"/>
        <w:tabs>
          <w:tab w:val="left" w:pos="885"/>
        </w:tabs>
        <w:kinsoku/>
        <w:wordWrap w:val="0"/>
        <w:overflowPunct/>
        <w:bidi w:val="0"/>
        <w:spacing w:line="240" w:lineRule="auto"/>
        <w:jc w:val="cente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pPr>
      <w:bookmarkStart w:id="393" w:name="_Toc29236"/>
      <w:bookmarkStart w:id="394" w:name="_Toc16873"/>
      <w:bookmarkStart w:id="395" w:name="_Toc26916"/>
      <w:bookmarkStart w:id="396" w:name="_Toc17661"/>
      <w:bookmarkStart w:id="397" w:name="_Toc25046"/>
      <w:bookmarkStart w:id="398" w:name="_Toc9585"/>
      <w:bookmarkStart w:id="399" w:name="_Toc12936"/>
      <w:bookmarkStart w:id="400" w:name="_Toc22105"/>
      <w:bookmarkStart w:id="401" w:name="_Toc4262"/>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第五章 招标工程的技术要求</w:t>
      </w:r>
      <w:bookmarkEnd w:id="391"/>
      <w:bookmarkEnd w:id="393"/>
      <w:bookmarkEnd w:id="394"/>
      <w:bookmarkEnd w:id="395"/>
      <w:bookmarkEnd w:id="396"/>
      <w:bookmarkEnd w:id="397"/>
      <w:bookmarkEnd w:id="398"/>
      <w:bookmarkEnd w:id="399"/>
      <w:bookmarkEnd w:id="400"/>
      <w:bookmarkEnd w:id="401"/>
    </w:p>
    <w:p>
      <w:pPr>
        <w:pStyle w:val="4"/>
        <w:pageBreakBefore w:val="0"/>
        <w:kinsoku/>
        <w:wordWrap w:val="0"/>
        <w:overflowPunct/>
        <w:bidi w:val="0"/>
        <w:spacing w:line="360" w:lineRule="auto"/>
        <w:ind w:firstLine="241" w:firstLineChars="100"/>
        <w:outlineLvl w:val="1"/>
        <w:rPr>
          <w:rFonts w:hint="eastAsia" w:asciiTheme="minorEastAsia" w:hAnsiTheme="minorEastAsia" w:eastAsiaTheme="minorEastAsia" w:cstheme="minorEastAsia"/>
          <w:b/>
          <w:bCs/>
          <w:color w:val="000000" w:themeColor="text1"/>
          <w:szCs w:val="22"/>
          <w:highlight w:val="none"/>
          <w14:textFill>
            <w14:solidFill>
              <w14:schemeClr w14:val="tx1"/>
            </w14:solidFill>
          </w14:textFill>
        </w:rPr>
      </w:pPr>
      <w:bookmarkStart w:id="402" w:name="_Hlt69265216"/>
      <w:bookmarkEnd w:id="402"/>
      <w:bookmarkStart w:id="403" w:name="_Hlt87793346"/>
      <w:bookmarkEnd w:id="403"/>
      <w:bookmarkStart w:id="404" w:name="_Hlt75685840"/>
      <w:bookmarkEnd w:id="404"/>
      <w:bookmarkStart w:id="405" w:name="_Hlt69357851"/>
      <w:bookmarkEnd w:id="405"/>
      <w:bookmarkStart w:id="406" w:name="_Hlt66104926"/>
      <w:bookmarkEnd w:id="406"/>
      <w:bookmarkStart w:id="407" w:name="_Hlt69358207"/>
      <w:bookmarkEnd w:id="407"/>
      <w:bookmarkStart w:id="408" w:name="_Hlt80411122"/>
      <w:bookmarkEnd w:id="408"/>
      <w:bookmarkStart w:id="409" w:name="_Hlt69359335"/>
      <w:bookmarkEnd w:id="409"/>
      <w:bookmarkStart w:id="410" w:name="_Hlt87793370"/>
      <w:bookmarkEnd w:id="410"/>
      <w:bookmarkStart w:id="411" w:name="_Hlt69116854"/>
      <w:bookmarkEnd w:id="411"/>
      <w:bookmarkStart w:id="412" w:name="_Hlt68774758"/>
      <w:bookmarkEnd w:id="412"/>
      <w:bookmarkStart w:id="413" w:name="_Toc25463"/>
      <w:bookmarkStart w:id="414" w:name="_Toc1173"/>
      <w:bookmarkStart w:id="415" w:name="_Toc1436"/>
      <w:bookmarkStart w:id="416" w:name="_Toc8935"/>
      <w:bookmarkStart w:id="417" w:name="_Toc466640611"/>
      <w:bookmarkStart w:id="418" w:name="_Toc31511"/>
      <w:bookmarkStart w:id="419" w:name="_Toc7837"/>
      <w:bookmarkStart w:id="420" w:name="_Toc21545"/>
      <w:bookmarkStart w:id="421" w:name="_Toc5215"/>
    </w:p>
    <w:p>
      <w:pPr>
        <w:pStyle w:val="4"/>
        <w:pageBreakBefore w:val="0"/>
        <w:kinsoku/>
        <w:wordWrap w:val="0"/>
        <w:overflowPunct/>
        <w:bidi w:val="0"/>
        <w:spacing w:line="360" w:lineRule="auto"/>
        <w:ind w:firstLine="241" w:firstLineChars="100"/>
        <w:outlineLvl w:val="1"/>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bookmarkStart w:id="422" w:name="_Toc2180"/>
      <w:bookmarkStart w:id="423" w:name="_Toc16955"/>
      <w:r>
        <w:rPr>
          <w:rFonts w:hint="eastAsia" w:asciiTheme="minorEastAsia" w:hAnsiTheme="minorEastAsia" w:eastAsiaTheme="minorEastAsia" w:cstheme="minorEastAsia"/>
          <w:b/>
          <w:bCs/>
          <w:color w:val="000000" w:themeColor="text1"/>
          <w:szCs w:val="22"/>
          <w:highlight w:val="none"/>
          <w:lang w:val="en-US" w:eastAsia="zh-CN"/>
          <w14:textFill>
            <w14:solidFill>
              <w14:schemeClr w14:val="tx1"/>
            </w14:solidFill>
          </w14:textFill>
        </w:rPr>
        <w:t>一</w:t>
      </w:r>
      <w:r>
        <w:rPr>
          <w:rFonts w:hint="eastAsia" w:asciiTheme="minorEastAsia" w:hAnsiTheme="minorEastAsia" w:eastAsiaTheme="minorEastAsia" w:cstheme="minorEastAsia"/>
          <w:b/>
          <w:bCs/>
          <w:color w:val="000000" w:themeColor="text1"/>
          <w:szCs w:val="22"/>
          <w:highlight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工程的技术要求</w:t>
      </w:r>
      <w:bookmarkEnd w:id="413"/>
      <w:bookmarkEnd w:id="414"/>
      <w:bookmarkEnd w:id="415"/>
      <w:bookmarkEnd w:id="416"/>
      <w:bookmarkEnd w:id="417"/>
      <w:bookmarkEnd w:id="418"/>
      <w:bookmarkEnd w:id="419"/>
      <w:bookmarkEnd w:id="420"/>
      <w:bookmarkEnd w:id="421"/>
      <w:bookmarkEnd w:id="422"/>
      <w:bookmarkEnd w:id="423"/>
    </w:p>
    <w:p>
      <w:pPr>
        <w:pStyle w:val="4"/>
        <w:pageBreakBefore w:val="0"/>
        <w:kinsoku/>
        <w:wordWrap w:val="0"/>
        <w:overflowPunct/>
        <w:autoSpaceDE/>
        <w:autoSpaceDN/>
        <w:bidi w:val="0"/>
        <w:snapToGrid w:val="0"/>
        <w:spacing w:line="440" w:lineRule="exact"/>
        <w:ind w:firstLine="480"/>
        <w:jc w:val="both"/>
        <w:rPr>
          <w:rFonts w:hint="eastAsia" w:ascii="宋体" w:hAnsi="宋体" w:eastAsia="宋体" w:cs="宋体"/>
          <w:b/>
          <w:color w:val="000000" w:themeColor="text1"/>
          <w:kern w:val="0"/>
          <w:sz w:val="24"/>
          <w:szCs w:val="24"/>
          <w:highlight w:val="none"/>
          <w14:textFill>
            <w14:solidFill>
              <w14:schemeClr w14:val="tx1"/>
            </w14:solidFill>
          </w14:textFill>
        </w:rPr>
      </w:pPr>
      <w:bookmarkStart w:id="424" w:name="_Hlt69359243"/>
      <w:bookmarkEnd w:id="424"/>
      <w:bookmarkStart w:id="425" w:name="_Hlt69635252"/>
      <w:bookmarkEnd w:id="425"/>
      <w:bookmarkStart w:id="426" w:name="_Hlt69116858"/>
      <w:bookmarkEnd w:id="426"/>
      <w:bookmarkStart w:id="427" w:name="_Hlt69359086"/>
      <w:bookmarkEnd w:id="427"/>
      <w:bookmarkStart w:id="428" w:name="_Hlt69358458"/>
      <w:bookmarkEnd w:id="428"/>
      <w:bookmarkStart w:id="429" w:name="_Hlt69359245"/>
      <w:bookmarkEnd w:id="429"/>
      <w:bookmarkStart w:id="430" w:name="_Hlt78709799"/>
      <w:bookmarkEnd w:id="430"/>
      <w:bookmarkStart w:id="431" w:name="_Toc16151"/>
      <w:bookmarkStart w:id="432" w:name="_Toc26078"/>
      <w:bookmarkStart w:id="433" w:name="_Toc16105"/>
      <w:r>
        <w:rPr>
          <w:rFonts w:hint="eastAsia" w:ascii="宋体" w:hAnsi="宋体" w:eastAsia="宋体" w:cs="宋体"/>
          <w:b/>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b/>
          <w:color w:val="000000" w:themeColor="text1"/>
          <w:kern w:val="0"/>
          <w:sz w:val="24"/>
          <w:szCs w:val="24"/>
          <w:highlight w:val="none"/>
          <w14:textFill>
            <w14:solidFill>
              <w14:schemeClr w14:val="tx1"/>
            </w14:solidFill>
          </w14:textFill>
        </w:rPr>
        <w:t>工程设计标准规范</w:t>
      </w:r>
      <w:bookmarkEnd w:id="431"/>
      <w:bookmarkEnd w:id="432"/>
      <w:bookmarkEnd w:id="433"/>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本工程设计必须达到且不限于以下规范的要求：</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）《民用建筑设计通则》（GB50352-2019）；</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（2）《城市道路工程设计规范》CJJ37-2012(2016 年版)</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《室外排水设计规范》（GB50013-2006-2016 版）；</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《污水综合排放标准》（GB8978-2015）； </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（5）《建筑与市政工程无障碍通用规范》（GB55019-2021）</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（6）《城市道路工程设计规范》CJJ37-2012(2016 年版)；</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r>
        <w:rPr>
          <w:rFonts w:hint="eastAsia" w:ascii="宋体" w:hAnsi="宋体" w:eastAsia="宋体" w:cs="宋体"/>
          <w:color w:val="000000" w:themeColor="text1"/>
          <w:sz w:val="24"/>
          <w:szCs w:val="24"/>
          <w:highlight w:val="none"/>
          <w:lang w:val="en-US" w:eastAsia="zh-CN"/>
          <w14:textFill>
            <w14:solidFill>
              <w14:schemeClr w14:val="tx1"/>
            </w14:solidFill>
          </w14:textFill>
        </w:rPr>
        <w:t>《镇(乡)村排水工程技术规程》（CJJ124-2008）</w:t>
      </w:r>
      <w:r>
        <w:rPr>
          <w:rFonts w:hint="eastAsia" w:ascii="宋体" w:hAnsi="宋体" w:eastAsia="宋体" w:cs="宋体"/>
          <w:color w:val="000000" w:themeColor="text1"/>
          <w:sz w:val="24"/>
          <w:szCs w:val="24"/>
          <w:highlight w:val="none"/>
          <w14:textFill>
            <w14:solidFill>
              <w14:schemeClr w14:val="tx1"/>
            </w14:solidFill>
          </w14:textFill>
        </w:rPr>
        <w:t>；</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《公共建筑节能设计标准》（GB 50189-2015）；</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9</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《火灾自动报警系统设计规范》（GB50116-2013）</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《建筑给排水设计规范》（GB50015-2019）；</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国家、行业及韶关市地方先行的相关标准及规范。</w:t>
      </w:r>
    </w:p>
    <w:p>
      <w:pPr>
        <w:pageBreakBefore w:val="0"/>
        <w:kinsoku/>
        <w:wordWrap w:val="0"/>
        <w:overflowPunct/>
        <w:bidi w:val="0"/>
        <w:adjustRightInd w:val="0"/>
        <w:snapToGrid w:val="0"/>
        <w:spacing w:line="440" w:lineRule="exact"/>
        <w:ind w:left="420"/>
        <w:rPr>
          <w:rFonts w:hint="eastAsia" w:ascii="宋体" w:hAnsi="宋体" w:eastAsia="宋体" w:cs="宋体"/>
          <w:bCs/>
          <w:snapToGrid w:val="0"/>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注：以上设计规范或规定如有更新，则以更新后的规范及规定为准</w:t>
      </w:r>
      <w:r>
        <w:rPr>
          <w:rFonts w:hint="eastAsia" w:ascii="宋体" w:hAnsi="宋体" w:eastAsia="宋体" w:cs="宋体"/>
          <w:bCs/>
          <w:snapToGrid w:val="0"/>
          <w:color w:val="000000" w:themeColor="text1"/>
          <w:kern w:val="0"/>
          <w:sz w:val="24"/>
          <w:szCs w:val="24"/>
          <w:highlight w:val="none"/>
          <w14:textFill>
            <w14:solidFill>
              <w14:schemeClr w14:val="tx1"/>
            </w14:solidFill>
          </w14:textFill>
        </w:rPr>
        <w:t>。</w:t>
      </w:r>
    </w:p>
    <w:p>
      <w:pPr>
        <w:pStyle w:val="7"/>
        <w:pageBreakBefore w:val="0"/>
        <w:kinsoku/>
        <w:wordWrap w:val="0"/>
        <w:overflowPunct/>
        <w:bidi w:val="0"/>
        <w:rPr>
          <w:rFonts w:hint="eastAsia" w:ascii="宋体" w:hAnsi="宋体" w:eastAsia="宋体" w:cs="宋体"/>
          <w:color w:val="000000" w:themeColor="text1"/>
          <w:sz w:val="24"/>
          <w:szCs w:val="24"/>
          <w:highlight w:val="none"/>
          <w14:textFill>
            <w14:solidFill>
              <w14:schemeClr w14:val="tx1"/>
            </w14:solidFill>
          </w14:textFill>
        </w:rPr>
      </w:pPr>
    </w:p>
    <w:p>
      <w:pPr>
        <w:pStyle w:val="4"/>
        <w:pageBreakBefore w:val="0"/>
        <w:kinsoku/>
        <w:wordWrap w:val="0"/>
        <w:overflowPunct/>
        <w:autoSpaceDE/>
        <w:autoSpaceDN/>
        <w:bidi w:val="0"/>
        <w:snapToGrid w:val="0"/>
        <w:spacing w:line="440" w:lineRule="exact"/>
        <w:ind w:firstLine="480"/>
        <w:jc w:val="both"/>
        <w:rPr>
          <w:rFonts w:hint="eastAsia" w:ascii="宋体" w:hAnsi="宋体" w:eastAsia="宋体" w:cs="宋体"/>
          <w:b/>
          <w:bCs/>
          <w:color w:val="000000" w:themeColor="text1"/>
          <w:sz w:val="24"/>
          <w:szCs w:val="24"/>
          <w:highlight w:val="none"/>
          <w14:textFill>
            <w14:solidFill>
              <w14:schemeClr w14:val="tx1"/>
            </w14:solidFill>
          </w14:textFill>
        </w:rPr>
      </w:pPr>
      <w:bookmarkStart w:id="434" w:name="_Toc25668"/>
      <w:bookmarkStart w:id="435" w:name="_Toc16622"/>
      <w:bookmarkStart w:id="436" w:name="_Toc28294"/>
      <w:r>
        <w:rPr>
          <w:rFonts w:hint="eastAsia" w:ascii="宋体" w:hAnsi="宋体" w:eastAsia="宋体" w:cs="宋体"/>
          <w:b/>
          <w:bCs/>
          <w:color w:val="000000" w:themeColor="text1"/>
          <w:sz w:val="24"/>
          <w:szCs w:val="24"/>
          <w:highlight w:val="none"/>
          <w14:textFill>
            <w14:solidFill>
              <w14:schemeClr w14:val="tx1"/>
            </w14:solidFill>
          </w14:textFill>
        </w:rPr>
        <w:t>2.施工</w:t>
      </w:r>
      <w:r>
        <w:rPr>
          <w:rFonts w:hint="eastAsia" w:ascii="宋体" w:hAnsi="宋体" w:eastAsia="宋体" w:cs="宋体"/>
          <w:b/>
          <w:snapToGrid w:val="0"/>
          <w:color w:val="000000" w:themeColor="text1"/>
          <w:sz w:val="24"/>
          <w:szCs w:val="24"/>
          <w:highlight w:val="none"/>
          <w14:textFill>
            <w14:solidFill>
              <w14:schemeClr w14:val="tx1"/>
            </w14:solidFill>
          </w14:textFill>
        </w:rPr>
        <w:t>规范</w:t>
      </w:r>
      <w:bookmarkEnd w:id="434"/>
      <w:bookmarkEnd w:id="435"/>
      <w:bookmarkEnd w:id="436"/>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2.1</w:t>
      </w:r>
      <w:r>
        <w:rPr>
          <w:rFonts w:hint="eastAsia" w:ascii="宋体" w:hAnsi="宋体" w:eastAsia="宋体" w:cs="宋体"/>
          <w:color w:val="000000" w:themeColor="text1"/>
          <w:sz w:val="24"/>
          <w:szCs w:val="24"/>
          <w:highlight w:val="none"/>
          <w14:textFill>
            <w14:solidFill>
              <w14:schemeClr w14:val="tx1"/>
            </w14:solidFill>
          </w14:textFill>
        </w:rPr>
        <w:t>．市政基础设施工程建设项目</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市政基础设施工程建设项目必须执行的现行技术规范，包括且不限于：</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（1）《公路路基施工技术规范》；</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（2）《市政道路工程质量检验评定标准》；</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（3）《市政排水管渠工程质量检验评定标准》；</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（4）《给水排水管道工程施工及验收规范》；</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（5）《城市道路路基工程施工及验收规范》；</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（6）《水泥砼路面施工及验收规范》；</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（7）《公路水泥砼路面施工技术规范》；</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（8）《埋地硬聚氯乙烯排水管道工程技术规程》；</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（9）《沥青路面施工及验收规范》；</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（10）《广东省市政工程施工质量技术资料统一用表》。</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（11）《城市道路照明设计标准》（CJJ45-2015）；</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（12）《低压配电设计规范》（GB50054-2011）；</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（13）《城市道路照明工程施工及验收规程》（CJJ89-2012）；</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（14）《LED道路照明工程技术规范》（DB44/T 1898-2016）；</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（15）《灯具第1部分：一般要求与试验》（GB7000.1-2015）；</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（16）《电缆工程电缆设计标准》（GB50217-2018）；</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（17）其他现行国家、广东省关于市政工程的技术及验收规范、定额、规程、标准。</w:t>
      </w:r>
    </w:p>
    <w:p>
      <w:pPr>
        <w:pStyle w:val="4"/>
        <w:pageBreakBefore w:val="0"/>
        <w:kinsoku/>
        <w:wordWrap w:val="0"/>
        <w:overflowPunct/>
        <w:autoSpaceDE/>
        <w:autoSpaceDN/>
        <w:bidi w:val="0"/>
        <w:snapToGrid w:val="0"/>
        <w:spacing w:line="440" w:lineRule="exact"/>
        <w:ind w:firstLine="480"/>
        <w:jc w:val="both"/>
        <w:rPr>
          <w:rFonts w:hint="eastAsia" w:ascii="宋体" w:hAnsi="宋体" w:eastAsia="宋体" w:cs="宋体"/>
          <w:b/>
          <w:snapToGrid w:val="0"/>
          <w:color w:val="000000" w:themeColor="text1"/>
          <w:sz w:val="24"/>
          <w:szCs w:val="24"/>
          <w:highlight w:val="none"/>
          <w14:textFill>
            <w14:solidFill>
              <w14:schemeClr w14:val="tx1"/>
            </w14:solidFill>
          </w14:textFill>
        </w:rPr>
      </w:pPr>
      <w:bookmarkStart w:id="437" w:name="_Toc2849"/>
      <w:bookmarkStart w:id="438" w:name="_Toc28818"/>
      <w:bookmarkStart w:id="439" w:name="_Toc16160"/>
      <w:bookmarkStart w:id="440" w:name="_Toc7299"/>
      <w:bookmarkStart w:id="441" w:name="_Toc31093"/>
      <w:bookmarkStart w:id="442" w:name="_Toc30285"/>
      <w:bookmarkStart w:id="443" w:name="_Toc27980"/>
      <w:r>
        <w:rPr>
          <w:rFonts w:hint="eastAsia" w:ascii="宋体" w:hAnsi="宋体" w:eastAsia="宋体" w:cs="宋体"/>
          <w:b/>
          <w:snapToGrid w:val="0"/>
          <w:color w:val="000000" w:themeColor="text1"/>
          <w:sz w:val="24"/>
          <w:szCs w:val="24"/>
          <w:highlight w:val="none"/>
          <w14:textFill>
            <w14:solidFill>
              <w14:schemeClr w14:val="tx1"/>
            </w14:solidFill>
          </w14:textFill>
        </w:rPr>
        <w:t>3</w:t>
      </w:r>
      <w:r>
        <w:rPr>
          <w:rFonts w:hint="eastAsia" w:hAnsi="宋体" w:eastAsia="宋体" w:cs="宋体"/>
          <w:b/>
          <w:snapToGrid w:val="0"/>
          <w:color w:val="000000" w:themeColor="text1"/>
          <w:sz w:val="24"/>
          <w:szCs w:val="24"/>
          <w:highlight w:val="none"/>
          <w:lang w:val="en-US" w:eastAsia="zh-CN"/>
          <w14:textFill>
            <w14:solidFill>
              <w14:schemeClr w14:val="tx1"/>
            </w14:solidFill>
          </w14:textFill>
        </w:rPr>
        <w:t>.</w:t>
      </w:r>
      <w:r>
        <w:rPr>
          <w:rFonts w:hint="eastAsia" w:ascii="宋体" w:hAnsi="宋体" w:eastAsia="宋体" w:cs="宋体"/>
          <w:b/>
          <w:snapToGrid w:val="0"/>
          <w:color w:val="000000" w:themeColor="text1"/>
          <w:sz w:val="24"/>
          <w:szCs w:val="24"/>
          <w:highlight w:val="none"/>
          <w14:textFill>
            <w14:solidFill>
              <w14:schemeClr w14:val="tx1"/>
            </w14:solidFill>
          </w14:textFill>
        </w:rPr>
        <w:t>备查要求</w:t>
      </w:r>
      <w:bookmarkEnd w:id="437"/>
      <w:bookmarkEnd w:id="438"/>
      <w:bookmarkEnd w:id="439"/>
      <w:bookmarkEnd w:id="440"/>
      <w:bookmarkEnd w:id="441"/>
      <w:bookmarkEnd w:id="442"/>
      <w:bookmarkEnd w:id="443"/>
    </w:p>
    <w:p>
      <w:pPr>
        <w:pageBreakBefore w:val="0"/>
        <w:tabs>
          <w:tab w:val="left" w:pos="0"/>
        </w:tabs>
        <w:kinsoku/>
        <w:wordWrap w:val="0"/>
        <w:overflowPunct/>
        <w:bidi w:val="0"/>
        <w:adjustRightInd w:val="0"/>
        <w:snapToGrid w:val="0"/>
        <w:ind w:firstLine="480" w:firstLineChars="200"/>
        <w:jc w:val="left"/>
        <w:rPr>
          <w:rFonts w:hint="eastAsia" w:ascii="宋体" w:hAnsi="宋体" w:eastAsia="宋体" w:cs="宋体"/>
          <w:bCs/>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承包</w:t>
      </w:r>
      <w:r>
        <w:rPr>
          <w:rFonts w:hint="eastAsia" w:ascii="宋体" w:hAnsi="宋体" w:eastAsia="宋体" w:cs="宋体"/>
          <w:bCs/>
          <w:snapToGrid w:val="0"/>
          <w:color w:val="000000" w:themeColor="text1"/>
          <w:kern w:val="0"/>
          <w:sz w:val="24"/>
          <w:szCs w:val="24"/>
          <w:highlight w:val="none"/>
          <w14:textFill>
            <w14:solidFill>
              <w14:schemeClr w14:val="tx1"/>
            </w14:solidFill>
          </w14:textFill>
        </w:rPr>
        <w:t>人必须在施工现场准备至少一套上述规范，</w:t>
      </w:r>
      <w:r>
        <w:rPr>
          <w:rFonts w:hint="eastAsia" w:ascii="宋体" w:hAnsi="宋体" w:eastAsia="宋体" w:cs="宋体"/>
          <w:snapToGrid w:val="0"/>
          <w:color w:val="000000" w:themeColor="text1"/>
          <w:kern w:val="0"/>
          <w:sz w:val="24"/>
          <w:szCs w:val="24"/>
          <w:highlight w:val="none"/>
          <w14:textFill>
            <w14:solidFill>
              <w14:schemeClr w14:val="tx1"/>
            </w14:solidFill>
          </w14:textFill>
        </w:rPr>
        <w:t>发包</w:t>
      </w:r>
      <w:r>
        <w:rPr>
          <w:rFonts w:hint="eastAsia" w:ascii="宋体" w:hAnsi="宋体" w:eastAsia="宋体" w:cs="宋体"/>
          <w:bCs/>
          <w:snapToGrid w:val="0"/>
          <w:color w:val="000000" w:themeColor="text1"/>
          <w:kern w:val="0"/>
          <w:sz w:val="24"/>
          <w:szCs w:val="24"/>
          <w:highlight w:val="none"/>
          <w14:textFill>
            <w14:solidFill>
              <w14:schemeClr w14:val="tx1"/>
            </w14:solidFill>
          </w14:textFill>
        </w:rPr>
        <w:t>人和监理单位可随时检查</w:t>
      </w:r>
      <w:r>
        <w:rPr>
          <w:rFonts w:hint="eastAsia" w:ascii="宋体" w:hAnsi="宋体" w:eastAsia="宋体" w:cs="宋体"/>
          <w:snapToGrid w:val="0"/>
          <w:color w:val="000000" w:themeColor="text1"/>
          <w:kern w:val="0"/>
          <w:sz w:val="24"/>
          <w:szCs w:val="24"/>
          <w:highlight w:val="none"/>
          <w14:textFill>
            <w14:solidFill>
              <w14:schemeClr w14:val="tx1"/>
            </w14:solidFill>
          </w14:textFill>
        </w:rPr>
        <w:t>承包</w:t>
      </w:r>
      <w:r>
        <w:rPr>
          <w:rFonts w:hint="eastAsia" w:ascii="宋体" w:hAnsi="宋体" w:eastAsia="宋体" w:cs="宋体"/>
          <w:bCs/>
          <w:snapToGrid w:val="0"/>
          <w:color w:val="000000" w:themeColor="text1"/>
          <w:kern w:val="0"/>
          <w:sz w:val="24"/>
          <w:szCs w:val="24"/>
          <w:highlight w:val="none"/>
          <w14:textFill>
            <w14:solidFill>
              <w14:schemeClr w14:val="tx1"/>
            </w14:solidFill>
          </w14:textFill>
        </w:rPr>
        <w:t>人的上述规范，并监督</w:t>
      </w:r>
      <w:r>
        <w:rPr>
          <w:rFonts w:hint="eastAsia" w:ascii="宋体" w:hAnsi="宋体" w:eastAsia="宋体" w:cs="宋体"/>
          <w:snapToGrid w:val="0"/>
          <w:color w:val="000000" w:themeColor="text1"/>
          <w:kern w:val="0"/>
          <w:sz w:val="24"/>
          <w:szCs w:val="24"/>
          <w:highlight w:val="none"/>
          <w14:textFill>
            <w14:solidFill>
              <w14:schemeClr w14:val="tx1"/>
            </w14:solidFill>
          </w14:textFill>
        </w:rPr>
        <w:t>承包</w:t>
      </w:r>
      <w:r>
        <w:rPr>
          <w:rFonts w:hint="eastAsia" w:ascii="宋体" w:hAnsi="宋体" w:eastAsia="宋体" w:cs="宋体"/>
          <w:bCs/>
          <w:snapToGrid w:val="0"/>
          <w:color w:val="000000" w:themeColor="text1"/>
          <w:kern w:val="0"/>
          <w:sz w:val="24"/>
          <w:szCs w:val="24"/>
          <w:highlight w:val="none"/>
          <w14:textFill>
            <w14:solidFill>
              <w14:schemeClr w14:val="tx1"/>
            </w14:solidFill>
          </w14:textFill>
        </w:rPr>
        <w:t>人按规范要求执行。</w:t>
      </w:r>
    </w:p>
    <w:p>
      <w:pPr>
        <w:pageBreakBefore w:val="0"/>
        <w:kinsoku/>
        <w:wordWrap w:val="0"/>
        <w:overflowPunct/>
        <w:bidi w:val="0"/>
        <w:spacing w:line="360" w:lineRule="auto"/>
        <w:outlineLvl w:val="9"/>
        <w:rPr>
          <w:rFonts w:hint="eastAsia" w:asciiTheme="minorEastAsia" w:hAnsiTheme="minorEastAsia" w:eastAsiaTheme="minorEastAsia" w:cstheme="minorEastAsia"/>
          <w:color w:val="000000" w:themeColor="text1"/>
          <w:szCs w:val="22"/>
          <w:highlight w:val="none"/>
          <w14:textFill>
            <w14:solidFill>
              <w14:schemeClr w14:val="tx1"/>
            </w14:solidFill>
          </w14:textFill>
        </w:rPr>
      </w:pPr>
      <w:bookmarkStart w:id="444" w:name="_Toc466640612"/>
    </w:p>
    <w:bookmarkEnd w:id="444"/>
    <w:p>
      <w:pPr>
        <w:pStyle w:val="6"/>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bookmarkStart w:id="445" w:name="_Hlt69670335"/>
      <w:bookmarkEnd w:id="445"/>
    </w:p>
    <w:p>
      <w:pPr>
        <w:pageBreakBefore w:val="0"/>
        <w:kinsoku/>
        <w:wordWrap w:val="0"/>
        <w:overflowPunct/>
        <w:bidi w:val="0"/>
        <w:rPr>
          <w:rFonts w:hint="eastAsia"/>
          <w:color w:val="000000" w:themeColor="text1"/>
          <w:highlight w:val="none"/>
          <w14:textFill>
            <w14:solidFill>
              <w14:schemeClr w14:val="tx1"/>
            </w14:solidFill>
          </w14:textFill>
        </w:rPr>
      </w:pPr>
      <w:bookmarkStart w:id="446" w:name="_Toc5422"/>
      <w:bookmarkStart w:id="447" w:name="_Toc12955"/>
      <w:bookmarkStart w:id="448" w:name="_Toc466640614"/>
      <w:bookmarkStart w:id="449" w:name="_Toc5639"/>
      <w:bookmarkStart w:id="450" w:name="_Toc16295"/>
      <w:bookmarkStart w:id="451" w:name="_Toc27843"/>
      <w:bookmarkStart w:id="452" w:name="_Toc6133"/>
      <w:bookmarkStart w:id="453" w:name="_Toc23899"/>
      <w:bookmarkStart w:id="454" w:name="_Toc1911"/>
      <w:bookmarkStart w:id="455" w:name="_Hlt69698785"/>
    </w:p>
    <w:p>
      <w:pPr>
        <w:pageBreakBefore w:val="0"/>
        <w:kinsoku/>
        <w:wordWrap w:val="0"/>
        <w:overflowPunct/>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pPr>
        <w:pStyle w:val="2"/>
        <w:pageBreakBefore w:val="0"/>
        <w:kinsoku/>
        <w:wordWrap w:val="0"/>
        <w:overflowPunct/>
        <w:bidi w:val="0"/>
        <w:rPr>
          <w:rFonts w:hint="eastAsia"/>
          <w:color w:val="000000" w:themeColor="text1"/>
          <w:highlight w:val="none"/>
          <w14:textFill>
            <w14:solidFill>
              <w14:schemeClr w14:val="tx1"/>
            </w14:solidFill>
          </w14:textFill>
        </w:rPr>
      </w:pPr>
    </w:p>
    <w:bookmarkEnd w:id="446"/>
    <w:bookmarkEnd w:id="447"/>
    <w:bookmarkEnd w:id="448"/>
    <w:bookmarkEnd w:id="449"/>
    <w:bookmarkEnd w:id="450"/>
    <w:bookmarkEnd w:id="451"/>
    <w:bookmarkEnd w:id="452"/>
    <w:bookmarkEnd w:id="453"/>
    <w:bookmarkEnd w:id="454"/>
    <w:p>
      <w:pPr>
        <w:pStyle w:val="38"/>
        <w:keepNext/>
        <w:keepLines/>
        <w:pageBreakBefore w:val="0"/>
        <w:tabs>
          <w:tab w:val="left" w:pos="885"/>
        </w:tabs>
        <w:kinsoku/>
        <w:wordWrap w:val="0"/>
        <w:overflowPunct/>
        <w:bidi w:val="0"/>
        <w:spacing w:line="240" w:lineRule="auto"/>
        <w:jc w:val="center"/>
        <w:rPr>
          <w:rFonts w:hint="eastAsia" w:asciiTheme="minorEastAsia" w:hAnsiTheme="minorEastAsia" w:eastAsiaTheme="minorEastAsia" w:cstheme="minorEastAsia"/>
          <w:b/>
          <w:color w:val="000000" w:themeColor="text1"/>
          <w:kern w:val="44"/>
          <w:sz w:val="36"/>
          <w:szCs w:val="36"/>
          <w:highlight w:val="none"/>
          <w:lang w:eastAsia="zh-CN"/>
          <w14:textFill>
            <w14:solidFill>
              <w14:schemeClr w14:val="tx1"/>
            </w14:solidFill>
          </w14:textFill>
        </w:rPr>
      </w:pPr>
      <w:bookmarkStart w:id="456" w:name="_Toc12925"/>
      <w:r>
        <w:rPr>
          <w:rFonts w:hint="eastAsia" w:asciiTheme="minorEastAsia" w:hAnsiTheme="minorEastAsia" w:eastAsiaTheme="minorEastAsia" w:cstheme="minorEastAsia"/>
          <w:b/>
          <w:color w:val="000000" w:themeColor="text1"/>
          <w:kern w:val="44"/>
          <w:sz w:val="36"/>
          <w:szCs w:val="36"/>
          <w:highlight w:val="none"/>
          <w:lang w:val="en-US" w:eastAsia="zh-CN"/>
          <w14:textFill>
            <w14:solidFill>
              <w14:schemeClr w14:val="tx1"/>
            </w14:solidFill>
          </w14:textFill>
        </w:rPr>
        <w:t xml:space="preserve">第六章  </w:t>
      </w:r>
      <w:r>
        <w:rPr>
          <w:rFonts w:hint="eastAsia" w:asciiTheme="minorEastAsia" w:hAnsiTheme="minorEastAsia" w:eastAsiaTheme="minorEastAsia" w:cstheme="minorEastAsia"/>
          <w:b/>
          <w:color w:val="000000" w:themeColor="text1"/>
          <w:kern w:val="44"/>
          <w:sz w:val="36"/>
          <w:szCs w:val="36"/>
          <w:highlight w:val="none"/>
          <w:lang w:eastAsia="zh-CN"/>
          <w14:textFill>
            <w14:solidFill>
              <w14:schemeClr w14:val="tx1"/>
            </w14:solidFill>
          </w14:textFill>
        </w:rPr>
        <w:t>投标文件格式</w:t>
      </w:r>
      <w:bookmarkEnd w:id="456"/>
    </w:p>
    <w:p>
      <w:pPr>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p>
    <w:bookmarkEnd w:id="455"/>
    <w:p>
      <w:pPr>
        <w:pStyle w:val="4"/>
        <w:pageBreakBefore w:val="0"/>
        <w:kinsoku/>
        <w:wordWrap w:val="0"/>
        <w:overflowPunct/>
        <w:bidi w:val="0"/>
        <w:spacing w:before="120"/>
        <w:jc w:val="left"/>
        <w:rPr>
          <w:rFonts w:hint="eastAsia" w:asciiTheme="minorEastAsia" w:hAnsiTheme="minorEastAsia" w:eastAsiaTheme="minorEastAsia" w:cstheme="minorEastAsia"/>
          <w:b/>
          <w:snapToGrid w:val="0"/>
          <w:color w:val="000000" w:themeColor="text1"/>
          <w:szCs w:val="24"/>
          <w:highlight w:val="none"/>
          <w14:textFill>
            <w14:solidFill>
              <w14:schemeClr w14:val="tx1"/>
            </w14:solidFill>
          </w14:textFill>
        </w:rPr>
      </w:pPr>
      <w:bookmarkStart w:id="457" w:name="_附件五：综合评审合理低价法"/>
      <w:bookmarkEnd w:id="457"/>
      <w:bookmarkStart w:id="458" w:name="_附件二：近三年度主要施工项目（竣工及在建）一览表"/>
      <w:bookmarkEnd w:id="458"/>
      <w:bookmarkStart w:id="459" w:name="_附件四：工期承诺书"/>
      <w:bookmarkEnd w:id="459"/>
      <w:bookmarkStart w:id="460" w:name="_附件二：工期承诺书"/>
      <w:bookmarkEnd w:id="460"/>
      <w:bookmarkStart w:id="461" w:name="_附件一：对招标文件条款自愿接受承诺书"/>
      <w:bookmarkEnd w:id="461"/>
      <w:bookmarkStart w:id="462" w:name="_附件一：投标函"/>
      <w:bookmarkEnd w:id="462"/>
      <w:bookmarkStart w:id="463" w:name="_Toc12406"/>
      <w:bookmarkStart w:id="464" w:name="_Toc3855"/>
      <w:bookmarkStart w:id="465" w:name="_Toc2902"/>
      <w:bookmarkStart w:id="466" w:name="_Toc39136360"/>
      <w:bookmarkStart w:id="467" w:name="_Toc24188"/>
      <w:bookmarkStart w:id="468" w:name="_Toc12527"/>
      <w:bookmarkStart w:id="469" w:name="_Toc137444778"/>
      <w:bookmarkStart w:id="470" w:name="_Toc78794873"/>
      <w:bookmarkStart w:id="471" w:name="_Toc142468134"/>
      <w:bookmarkStart w:id="472" w:name="_Toc133815902"/>
      <w:bookmarkStart w:id="473" w:name="_Toc132687128"/>
      <w:bookmarkStart w:id="474" w:name="_Toc133160683"/>
      <w:r>
        <w:rPr>
          <w:rFonts w:hint="eastAsia" w:asciiTheme="minorEastAsia" w:hAnsiTheme="minorEastAsia" w:eastAsiaTheme="minorEastAsia" w:cstheme="minorEastAsia"/>
          <w:b/>
          <w:snapToGrid w:val="0"/>
          <w:color w:val="000000" w:themeColor="text1"/>
          <w:szCs w:val="24"/>
          <w:highlight w:val="none"/>
          <w14:textFill>
            <w14:solidFill>
              <w14:schemeClr w14:val="tx1"/>
            </w14:solidFill>
          </w14:textFill>
        </w:rPr>
        <w:t>格式一 封面</w:t>
      </w:r>
      <w:bookmarkEnd w:id="463"/>
      <w:bookmarkEnd w:id="464"/>
      <w:bookmarkEnd w:id="465"/>
      <w:bookmarkEnd w:id="466"/>
      <w:bookmarkEnd w:id="467"/>
      <w:bookmarkEnd w:id="468"/>
    </w:p>
    <w:p>
      <w:pPr>
        <w:pStyle w:val="48"/>
        <w:pageBreakBefore w:val="0"/>
        <w:widowControl w:val="0"/>
        <w:kinsoku/>
        <w:wordWrap w:val="0"/>
        <w:overflowPunct/>
        <w:bidi w:val="0"/>
        <w:adjustRightInd w:val="0"/>
        <w:snapToGrid w:val="0"/>
        <w:rPr>
          <w:rFonts w:hint="eastAsia" w:asciiTheme="minorEastAsia" w:hAnsiTheme="minorEastAsia" w:eastAsiaTheme="minorEastAsia" w:cstheme="minorEastAsia"/>
          <w:b/>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jc w:val="right"/>
        <w:rPr>
          <w:rFonts w:hint="eastAsia" w:asciiTheme="minorEastAsia" w:hAnsiTheme="minorEastAsia" w:eastAsiaTheme="minorEastAsia" w:cstheme="minorEastAsia"/>
          <w:b/>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rPr>
          <w:rFonts w:hint="eastAsia" w:asciiTheme="minorEastAsia" w:hAnsiTheme="minorEastAsia" w:eastAsiaTheme="minorEastAsia" w:cstheme="minorEastAsia"/>
          <w:b/>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rPr>
          <w:rFonts w:hint="eastAsia" w:asciiTheme="minorEastAsia" w:hAnsiTheme="minorEastAsia" w:eastAsiaTheme="minorEastAsia" w:cstheme="minorEastAsia"/>
          <w:b/>
          <w:snapToGrid w:val="0"/>
          <w:color w:val="000000" w:themeColor="text1"/>
          <w:sz w:val="24"/>
          <w:highlight w:val="none"/>
          <w14:textFill>
            <w14:solidFill>
              <w14:schemeClr w14:val="tx1"/>
            </w14:solidFill>
          </w14:textFill>
        </w:rPr>
      </w:pPr>
      <w:bookmarkStart w:id="475" w:name="_附件二十五：综合评审合理低价法"/>
      <w:bookmarkEnd w:id="475"/>
      <w:bookmarkStart w:id="476" w:name="_附件二十四：技术标提问单"/>
      <w:bookmarkEnd w:id="476"/>
      <w:bookmarkStart w:id="477" w:name="_附件十：单项工程费汇总表"/>
      <w:bookmarkEnd w:id="477"/>
      <w:bookmarkStart w:id="478" w:name="_Hlt68774664"/>
      <w:bookmarkEnd w:id="478"/>
      <w:bookmarkStart w:id="479" w:name="_Hlt69116778"/>
      <w:bookmarkEnd w:id="479"/>
      <w:bookmarkStart w:id="480" w:name="_Toc39136361"/>
      <w:bookmarkStart w:id="481" w:name="_Toc26795"/>
      <w:bookmarkStart w:id="482" w:name="_Toc15791"/>
      <w:bookmarkStart w:id="483" w:name="_Toc5872"/>
      <w:bookmarkStart w:id="484" w:name="_Toc28483"/>
      <w:bookmarkStart w:id="485" w:name="_Toc106418843"/>
      <w:bookmarkStart w:id="486" w:name="_Toc66849200"/>
      <w:bookmarkStart w:id="487" w:name="_Toc466640620"/>
      <w:bookmarkStart w:id="488" w:name="_Toc104711098"/>
      <w:bookmarkStart w:id="489" w:name="_Hlt66847557"/>
    </w:p>
    <w:p>
      <w:pPr>
        <w:pStyle w:val="48"/>
        <w:pageBreakBefore w:val="0"/>
        <w:widowControl w:val="0"/>
        <w:kinsoku/>
        <w:wordWrap w:val="0"/>
        <w:overflowPunct/>
        <w:bidi w:val="0"/>
        <w:adjustRightInd w:val="0"/>
        <w:snapToGrid w:val="0"/>
        <w:rPr>
          <w:rFonts w:hint="eastAsia" w:asciiTheme="minorEastAsia" w:hAnsiTheme="minorEastAsia" w:eastAsiaTheme="minorEastAsia" w:cstheme="minorEastAsia"/>
          <w:b/>
          <w:snapToGrid w:val="0"/>
          <w:color w:val="000000" w:themeColor="text1"/>
          <w:sz w:val="24"/>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asciiTheme="minorEastAsia" w:hAnsiTheme="minorEastAsia" w:eastAsiaTheme="minorEastAsia" w:cstheme="minorEastAsia"/>
          <w:b/>
          <w:snapToGrid w:val="0"/>
          <w:color w:val="000000" w:themeColor="text1"/>
          <w:sz w:val="52"/>
          <w:szCs w:val="52"/>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sz w:val="52"/>
          <w:szCs w:val="52"/>
          <w:highlight w:val="none"/>
          <w:u w:val="single"/>
          <w14:textFill>
            <w14:solidFill>
              <w14:schemeClr w14:val="tx1"/>
            </w14:solidFill>
          </w14:textFill>
        </w:rPr>
        <w:t xml:space="preserve">   </w:t>
      </w:r>
      <w:r>
        <w:rPr>
          <w:rFonts w:hint="eastAsia" w:asciiTheme="minorEastAsia" w:hAnsiTheme="minorEastAsia" w:eastAsiaTheme="minorEastAsia" w:cstheme="minorEastAsia"/>
          <w:b/>
          <w:snapToGrid w:val="0"/>
          <w:color w:val="000000" w:themeColor="text1"/>
          <w:sz w:val="52"/>
          <w:szCs w:val="52"/>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snapToGrid w:val="0"/>
          <w:color w:val="000000" w:themeColor="text1"/>
          <w:sz w:val="52"/>
          <w:szCs w:val="52"/>
          <w:highlight w:val="none"/>
          <w:u w:val="single"/>
          <w14:textFill>
            <w14:solidFill>
              <w14:schemeClr w14:val="tx1"/>
            </w14:solidFill>
          </w14:textFill>
        </w:rPr>
        <w:t>（项目名称）</w:t>
      </w:r>
      <w:r>
        <w:rPr>
          <w:rFonts w:hint="eastAsia" w:asciiTheme="minorEastAsia" w:hAnsiTheme="minorEastAsia" w:eastAsiaTheme="minorEastAsia" w:cstheme="minorEastAsia"/>
          <w:b/>
          <w:snapToGrid w:val="0"/>
          <w:color w:val="000000" w:themeColor="text1"/>
          <w:sz w:val="52"/>
          <w:szCs w:val="52"/>
          <w:highlight w:val="none"/>
          <w14:textFill>
            <w14:solidFill>
              <w14:schemeClr w14:val="tx1"/>
            </w14:solidFill>
          </w14:textFill>
        </w:rPr>
        <w:t>招标</w:t>
      </w:r>
    </w:p>
    <w:p>
      <w:pPr>
        <w:pStyle w:val="48"/>
        <w:pageBreakBefore w:val="0"/>
        <w:widowControl w:val="0"/>
        <w:kinsoku/>
        <w:wordWrap w:val="0"/>
        <w:overflowPunct/>
        <w:bidi w:val="0"/>
        <w:adjustRightInd w:val="0"/>
        <w:snapToGrid w:val="0"/>
        <w:ind w:firstLine="0"/>
        <w:jc w:val="center"/>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asciiTheme="minorEastAsia" w:hAnsiTheme="minorEastAsia" w:eastAsiaTheme="minorEastAsia" w:cstheme="minorEastAsia"/>
          <w:b/>
          <w:snapToGrid w:val="0"/>
          <w:color w:val="000000" w:themeColor="text1"/>
          <w:sz w:val="72"/>
          <w:szCs w:val="20"/>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sz w:val="72"/>
          <w:szCs w:val="20"/>
          <w:highlight w:val="none"/>
          <w14:textFill>
            <w14:solidFill>
              <w14:schemeClr w14:val="tx1"/>
            </w14:solidFill>
          </w14:textFill>
        </w:rPr>
        <w:t>投</w:t>
      </w:r>
      <w:r>
        <w:rPr>
          <w:rFonts w:hint="eastAsia" w:asciiTheme="minorEastAsia" w:hAnsiTheme="minorEastAsia" w:eastAsiaTheme="minorEastAsia" w:cstheme="minorEastAsia"/>
          <w:b/>
          <w:snapToGrid w:val="0"/>
          <w:color w:val="000000" w:themeColor="text1"/>
          <w:sz w:val="72"/>
          <w:szCs w:val="20"/>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snapToGrid w:val="0"/>
          <w:color w:val="000000" w:themeColor="text1"/>
          <w:sz w:val="72"/>
          <w:szCs w:val="20"/>
          <w:highlight w:val="none"/>
          <w14:textFill>
            <w14:solidFill>
              <w14:schemeClr w14:val="tx1"/>
            </w14:solidFill>
          </w14:textFill>
        </w:rPr>
        <w:t>标</w:t>
      </w:r>
      <w:r>
        <w:rPr>
          <w:rFonts w:hint="eastAsia" w:asciiTheme="minorEastAsia" w:hAnsiTheme="minorEastAsia" w:eastAsiaTheme="minorEastAsia" w:cstheme="minorEastAsia"/>
          <w:b/>
          <w:snapToGrid w:val="0"/>
          <w:color w:val="000000" w:themeColor="text1"/>
          <w:sz w:val="72"/>
          <w:szCs w:val="20"/>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snapToGrid w:val="0"/>
          <w:color w:val="000000" w:themeColor="text1"/>
          <w:sz w:val="72"/>
          <w:szCs w:val="20"/>
          <w:highlight w:val="none"/>
          <w14:textFill>
            <w14:solidFill>
              <w14:schemeClr w14:val="tx1"/>
            </w14:solidFill>
          </w14:textFill>
        </w:rPr>
        <w:t>文</w:t>
      </w:r>
      <w:r>
        <w:rPr>
          <w:rFonts w:hint="eastAsia" w:asciiTheme="minorEastAsia" w:hAnsiTheme="minorEastAsia" w:eastAsiaTheme="minorEastAsia" w:cstheme="minorEastAsia"/>
          <w:b/>
          <w:snapToGrid w:val="0"/>
          <w:color w:val="000000" w:themeColor="text1"/>
          <w:sz w:val="72"/>
          <w:szCs w:val="20"/>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snapToGrid w:val="0"/>
          <w:color w:val="000000" w:themeColor="text1"/>
          <w:sz w:val="72"/>
          <w:szCs w:val="20"/>
          <w:highlight w:val="none"/>
          <w14:textFill>
            <w14:solidFill>
              <w14:schemeClr w14:val="tx1"/>
            </w14:solidFill>
          </w14:textFill>
        </w:rPr>
        <w:t>件</w:t>
      </w:r>
    </w:p>
    <w:p>
      <w:pPr>
        <w:pStyle w:val="48"/>
        <w:pageBreakBefore w:val="0"/>
        <w:widowControl w:val="0"/>
        <w:kinsoku/>
        <w:wordWrap w:val="0"/>
        <w:overflowPunct/>
        <w:bidi w:val="0"/>
        <w:adjustRightInd w:val="0"/>
        <w:snapToGrid w:val="0"/>
        <w:ind w:firstLine="0"/>
        <w:jc w:val="center"/>
        <w:rPr>
          <w:rFonts w:hint="eastAsia" w:asciiTheme="minorEastAsia" w:hAnsiTheme="minorEastAsia" w:eastAsiaTheme="minorEastAsia" w:cstheme="minorEastAsia"/>
          <w:b/>
          <w:snapToGrid w:val="0"/>
          <w:color w:val="000000" w:themeColor="text1"/>
          <w:sz w:val="56"/>
          <w:szCs w:val="16"/>
          <w:highlight w:val="none"/>
          <w:lang w:eastAsia="zh-CN"/>
          <w14:textFill>
            <w14:solidFill>
              <w14:schemeClr w14:val="tx1"/>
            </w14:solidFill>
          </w14:textFill>
        </w:rPr>
      </w:pPr>
      <w:r>
        <w:rPr>
          <w:rFonts w:hint="eastAsia" w:asciiTheme="minorEastAsia" w:hAnsiTheme="minorEastAsia" w:eastAsiaTheme="minorEastAsia" w:cstheme="minorEastAsia"/>
          <w:b/>
          <w:snapToGrid w:val="0"/>
          <w:color w:val="000000" w:themeColor="text1"/>
          <w:sz w:val="56"/>
          <w:szCs w:val="16"/>
          <w:highlight w:val="none"/>
          <w:lang w:eastAsia="zh-CN"/>
          <w14:textFill>
            <w14:solidFill>
              <w14:schemeClr w14:val="tx1"/>
            </w14:solidFill>
          </w14:textFill>
        </w:rPr>
        <w:t>（</w:t>
      </w:r>
      <w:r>
        <w:rPr>
          <w:rFonts w:hint="eastAsia" w:asciiTheme="minorEastAsia" w:hAnsiTheme="minorEastAsia" w:eastAsiaTheme="minorEastAsia" w:cstheme="minorEastAsia"/>
          <w:b/>
          <w:snapToGrid w:val="0"/>
          <w:color w:val="000000" w:themeColor="text1"/>
          <w:sz w:val="56"/>
          <w:szCs w:val="16"/>
          <w:highlight w:val="none"/>
          <w:lang w:val="en-US" w:eastAsia="zh-CN"/>
          <w14:textFill>
            <w14:solidFill>
              <w14:schemeClr w14:val="tx1"/>
            </w14:solidFill>
          </w14:textFill>
        </w:rPr>
        <w:t>商务技术标书</w:t>
      </w:r>
      <w:r>
        <w:rPr>
          <w:rFonts w:hint="eastAsia" w:asciiTheme="minorEastAsia" w:hAnsiTheme="minorEastAsia" w:eastAsiaTheme="minorEastAsia" w:cstheme="minorEastAsia"/>
          <w:b/>
          <w:snapToGrid w:val="0"/>
          <w:color w:val="000000" w:themeColor="text1"/>
          <w:sz w:val="56"/>
          <w:szCs w:val="16"/>
          <w:highlight w:val="none"/>
          <w:lang w:eastAsia="zh-CN"/>
          <w14:textFill>
            <w14:solidFill>
              <w14:schemeClr w14:val="tx1"/>
            </w14:solidFill>
          </w14:textFill>
        </w:rPr>
        <w:t>）</w:t>
      </w:r>
    </w:p>
    <w:p>
      <w:pPr>
        <w:pStyle w:val="48"/>
        <w:pageBreakBefore w:val="0"/>
        <w:widowControl w:val="0"/>
        <w:kinsoku/>
        <w:wordWrap w:val="0"/>
        <w:overflowPunct/>
        <w:bidi w:val="0"/>
        <w:adjustRightInd w:val="0"/>
        <w:snapToGrid w:val="0"/>
        <w:ind w:firstLine="0"/>
        <w:jc w:val="center"/>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hAnsi="宋体" w:eastAsia="宋体" w:cs="宋体"/>
          <w:bCs/>
          <w:snapToGrid w:val="0"/>
          <w:color w:val="000000" w:themeColor="text1"/>
          <w:sz w:val="32"/>
          <w:highlight w:val="none"/>
          <w14:textFill>
            <w14:solidFill>
              <w14:schemeClr w14:val="tx1"/>
            </w14:solidFill>
          </w14:textFill>
        </w:rPr>
      </w:pPr>
      <w:r>
        <w:rPr>
          <w:rFonts w:hint="eastAsia" w:hAnsi="宋体" w:eastAsia="宋体" w:cs="宋体"/>
          <w:bCs/>
          <w:snapToGrid w:val="0"/>
          <w:color w:val="000000" w:themeColor="text1"/>
          <w:sz w:val="32"/>
          <w:highlight w:val="none"/>
          <w14:textFill>
            <w14:solidFill>
              <w14:schemeClr w14:val="tx1"/>
            </w14:solidFill>
          </w14:textFill>
        </w:rPr>
        <w:t>投标人：</w:t>
      </w:r>
      <w:r>
        <w:rPr>
          <w:rFonts w:hint="eastAsia" w:hAnsi="宋体" w:eastAsia="宋体" w:cs="宋体"/>
          <w:bCs/>
          <w:snapToGrid w:val="0"/>
          <w:color w:val="000000" w:themeColor="text1"/>
          <w:sz w:val="32"/>
          <w:highlight w:val="none"/>
          <w:u w:val="single"/>
          <w14:textFill>
            <w14:solidFill>
              <w14:schemeClr w14:val="tx1"/>
            </w14:solidFill>
          </w14:textFill>
        </w:rPr>
        <w:t xml:space="preserve">                                    </w:t>
      </w:r>
      <w:r>
        <w:rPr>
          <w:rFonts w:hint="eastAsia" w:hAnsi="宋体" w:eastAsia="宋体" w:cs="宋体"/>
          <w:bCs/>
          <w:snapToGrid w:val="0"/>
          <w:color w:val="000000" w:themeColor="text1"/>
          <w:sz w:val="32"/>
          <w:highlight w:val="none"/>
          <w14:textFill>
            <w14:solidFill>
              <w14:schemeClr w14:val="tx1"/>
            </w14:solidFill>
          </w14:textFill>
        </w:rPr>
        <w:t>（盖单位章）</w:t>
      </w:r>
    </w:p>
    <w:p>
      <w:pPr>
        <w:pStyle w:val="48"/>
        <w:pageBreakBefore w:val="0"/>
        <w:widowControl w:val="0"/>
        <w:kinsoku/>
        <w:wordWrap w:val="0"/>
        <w:overflowPunct/>
        <w:bidi w:val="0"/>
        <w:adjustRightInd w:val="0"/>
        <w:snapToGrid w:val="0"/>
        <w:ind w:firstLine="0"/>
        <w:jc w:val="center"/>
        <w:rPr>
          <w:rFonts w:hint="eastAsia" w:hAnsi="宋体" w:eastAsia="宋体" w:cs="宋体"/>
          <w:bCs/>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hAnsi="宋体" w:eastAsia="宋体" w:cs="宋体"/>
          <w:bCs/>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hAnsi="宋体" w:eastAsia="宋体" w:cs="宋体"/>
          <w:bCs/>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hAnsi="宋体" w:eastAsia="宋体" w:cs="宋体"/>
          <w:bCs/>
          <w:snapToGrid w:val="0"/>
          <w:color w:val="000000" w:themeColor="text1"/>
          <w:sz w:val="32"/>
          <w:highlight w:val="none"/>
          <w14:textFill>
            <w14:solidFill>
              <w14:schemeClr w14:val="tx1"/>
            </w14:solidFill>
          </w14:textFill>
        </w:rPr>
      </w:pPr>
      <w:r>
        <w:rPr>
          <w:rFonts w:hint="eastAsia" w:hAnsi="宋体" w:eastAsia="宋体" w:cs="宋体"/>
          <w:bCs/>
          <w:snapToGrid w:val="0"/>
          <w:color w:val="000000" w:themeColor="text1"/>
          <w:sz w:val="32"/>
          <w:highlight w:val="none"/>
          <w14:textFill>
            <w14:solidFill>
              <w14:schemeClr w14:val="tx1"/>
            </w14:solidFill>
          </w14:textFill>
        </w:rPr>
        <w:t>法定代表人或其委托代理人：</w:t>
      </w:r>
      <w:r>
        <w:rPr>
          <w:rFonts w:hint="eastAsia" w:hAnsi="宋体" w:eastAsia="宋体" w:cs="宋体"/>
          <w:bCs/>
          <w:snapToGrid w:val="0"/>
          <w:color w:val="000000" w:themeColor="text1"/>
          <w:sz w:val="32"/>
          <w:highlight w:val="none"/>
          <w:u w:val="single"/>
          <w14:textFill>
            <w14:solidFill>
              <w14:schemeClr w14:val="tx1"/>
            </w14:solidFill>
          </w14:textFill>
        </w:rPr>
        <w:t xml:space="preserve">                 </w:t>
      </w:r>
      <w:r>
        <w:rPr>
          <w:rFonts w:hint="eastAsia" w:hAnsi="宋体" w:eastAsia="宋体" w:cs="宋体"/>
          <w:bCs/>
          <w:snapToGrid w:val="0"/>
          <w:color w:val="000000" w:themeColor="text1"/>
          <w:sz w:val="32"/>
          <w:highlight w:val="none"/>
          <w14:textFill>
            <w14:solidFill>
              <w14:schemeClr w14:val="tx1"/>
            </w14:solidFill>
          </w14:textFill>
        </w:rPr>
        <w:t>（签字或盖章）</w:t>
      </w:r>
    </w:p>
    <w:p>
      <w:pPr>
        <w:pStyle w:val="48"/>
        <w:pageBreakBefore w:val="0"/>
        <w:widowControl w:val="0"/>
        <w:kinsoku/>
        <w:wordWrap w:val="0"/>
        <w:overflowPunct/>
        <w:bidi w:val="0"/>
        <w:adjustRightInd w:val="0"/>
        <w:snapToGrid w:val="0"/>
        <w:ind w:firstLine="0"/>
        <w:jc w:val="center"/>
        <w:rPr>
          <w:rFonts w:hint="eastAsia" w:hAnsi="宋体" w:eastAsia="宋体" w:cs="宋体"/>
          <w:bCs/>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hAnsi="宋体" w:eastAsia="宋体" w:cs="宋体"/>
          <w:bCs/>
          <w:snapToGrid w:val="0"/>
          <w:color w:val="000000" w:themeColor="text1"/>
          <w:sz w:val="32"/>
          <w:highlight w:val="none"/>
          <w:u w:val="singl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hAnsi="宋体" w:eastAsia="宋体" w:cs="宋体"/>
          <w:b/>
          <w:snapToGrid w:val="0"/>
          <w:color w:val="000000" w:themeColor="text1"/>
          <w:highlight w:val="none"/>
          <w14:textFill>
            <w14:solidFill>
              <w14:schemeClr w14:val="tx1"/>
            </w14:solidFill>
          </w14:textFill>
        </w:rPr>
      </w:pPr>
      <w:r>
        <w:rPr>
          <w:rFonts w:hint="eastAsia" w:hAnsi="宋体" w:eastAsia="宋体" w:cs="宋体"/>
          <w:bCs/>
          <w:snapToGrid w:val="0"/>
          <w:color w:val="000000" w:themeColor="text1"/>
          <w:sz w:val="32"/>
          <w:highlight w:val="none"/>
          <w:u w:val="single"/>
          <w14:textFill>
            <w14:solidFill>
              <w14:schemeClr w14:val="tx1"/>
            </w14:solidFill>
          </w14:textFill>
        </w:rPr>
        <w:t xml:space="preserve">         </w:t>
      </w:r>
      <w:r>
        <w:rPr>
          <w:rFonts w:hint="eastAsia" w:hAnsi="宋体" w:eastAsia="宋体" w:cs="宋体"/>
          <w:bCs/>
          <w:snapToGrid w:val="0"/>
          <w:color w:val="000000" w:themeColor="text1"/>
          <w:sz w:val="32"/>
          <w:highlight w:val="none"/>
          <w14:textFill>
            <w14:solidFill>
              <w14:schemeClr w14:val="tx1"/>
            </w14:solidFill>
          </w14:textFill>
        </w:rPr>
        <w:t>年</w:t>
      </w:r>
      <w:r>
        <w:rPr>
          <w:rFonts w:hint="eastAsia" w:hAnsi="宋体" w:eastAsia="宋体" w:cs="宋体"/>
          <w:bCs/>
          <w:snapToGrid w:val="0"/>
          <w:color w:val="000000" w:themeColor="text1"/>
          <w:sz w:val="32"/>
          <w:highlight w:val="none"/>
          <w:u w:val="single"/>
          <w14:textFill>
            <w14:solidFill>
              <w14:schemeClr w14:val="tx1"/>
            </w14:solidFill>
          </w14:textFill>
        </w:rPr>
        <w:t xml:space="preserve">      </w:t>
      </w:r>
      <w:r>
        <w:rPr>
          <w:rFonts w:hint="eastAsia" w:hAnsi="宋体" w:eastAsia="宋体" w:cs="宋体"/>
          <w:bCs/>
          <w:snapToGrid w:val="0"/>
          <w:color w:val="000000" w:themeColor="text1"/>
          <w:sz w:val="32"/>
          <w:highlight w:val="none"/>
          <w14:textFill>
            <w14:solidFill>
              <w14:schemeClr w14:val="tx1"/>
            </w14:solidFill>
          </w14:textFill>
        </w:rPr>
        <w:t>月</w:t>
      </w:r>
      <w:r>
        <w:rPr>
          <w:rFonts w:hint="eastAsia" w:hAnsi="宋体" w:eastAsia="宋体" w:cs="宋体"/>
          <w:bCs/>
          <w:snapToGrid w:val="0"/>
          <w:color w:val="000000" w:themeColor="text1"/>
          <w:sz w:val="32"/>
          <w:highlight w:val="none"/>
          <w:u w:val="single"/>
          <w14:textFill>
            <w14:solidFill>
              <w14:schemeClr w14:val="tx1"/>
            </w14:solidFill>
          </w14:textFill>
        </w:rPr>
        <w:t xml:space="preserve">      </w:t>
      </w:r>
      <w:r>
        <w:rPr>
          <w:rFonts w:hint="eastAsia" w:hAnsi="宋体" w:eastAsia="宋体" w:cs="宋体"/>
          <w:bCs/>
          <w:snapToGrid w:val="0"/>
          <w:color w:val="000000" w:themeColor="text1"/>
          <w:sz w:val="32"/>
          <w:highlight w:val="none"/>
          <w14:textFill>
            <w14:solidFill>
              <w14:schemeClr w14:val="tx1"/>
            </w14:solidFill>
          </w14:textFill>
        </w:rPr>
        <w:t>日</w:t>
      </w: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Style w:val="4"/>
        <w:pageBreakBefore w:val="0"/>
        <w:kinsoku/>
        <w:wordWrap w:val="0"/>
        <w:overflowPunct/>
        <w:bidi w:val="0"/>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490" w:name="_Toc6252"/>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格式二 </w:t>
      </w:r>
      <w:bookmarkEnd w:id="480"/>
      <w:bookmarkEnd w:id="481"/>
      <w:bookmarkEnd w:id="482"/>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投标函</w:t>
      </w:r>
      <w:bookmarkEnd w:id="483"/>
      <w:bookmarkEnd w:id="484"/>
      <w:bookmarkEnd w:id="490"/>
    </w:p>
    <w:p>
      <w:pPr>
        <w:pageBreakBefore w:val="0"/>
        <w:kinsoku/>
        <w:wordWrap w:val="0"/>
        <w:overflowPunct/>
        <w:bidi w:val="0"/>
        <w:adjustRightInd w:val="0"/>
        <w:snapToGrid w:val="0"/>
        <w:spacing w:line="440" w:lineRule="exact"/>
        <w:ind w:firstLine="570"/>
        <w:rPr>
          <w:rFonts w:hint="eastAsia" w:asciiTheme="minorEastAsia" w:hAnsiTheme="minorEastAsia" w:eastAsiaTheme="minorEastAsia" w:cstheme="minorEastAsia"/>
          <w:color w:val="000000" w:themeColor="text1"/>
          <w:szCs w:val="22"/>
          <w:highlight w:val="none"/>
          <w14:textFill>
            <w14:solidFill>
              <w14:schemeClr w14:val="tx1"/>
            </w14:solidFill>
          </w14:textFill>
        </w:rPr>
      </w:pPr>
      <w:bookmarkStart w:id="491" w:name="_Toc10604"/>
      <w:bookmarkStart w:id="492" w:name="_Toc8657"/>
      <w:bookmarkStart w:id="493" w:name="_Toc29375"/>
      <w:bookmarkStart w:id="494" w:name="_Toc39136362"/>
      <w:bookmarkStart w:id="495" w:name="_Toc28636"/>
      <w:bookmarkStart w:id="496" w:name="_Toc9280"/>
      <w:bookmarkStart w:id="497" w:name="_Toc27121"/>
      <w:bookmarkStart w:id="498" w:name="_Toc21577"/>
      <w:bookmarkStart w:id="499" w:name="_Toc18294"/>
    </w:p>
    <w:p>
      <w:pPr>
        <w:pageBreakBefore w:val="0"/>
        <w:kinsoku/>
        <w:wordWrap w:val="0"/>
        <w:overflowPunct/>
        <w:bidi w:val="0"/>
        <w:adjustRightInd w:val="0"/>
        <w:snapToGrid w:val="0"/>
        <w:spacing w:line="440" w:lineRule="exact"/>
        <w:jc w:val="center"/>
        <w:rPr>
          <w:rFonts w:hint="eastAsia" w:asciiTheme="minorEastAsia" w:hAnsiTheme="minorEastAsia" w:eastAsiaTheme="minorEastAsia" w:cstheme="minorEastAsia"/>
          <w:b/>
          <w:bCs/>
          <w:color w:val="000000" w:themeColor="text1"/>
          <w:szCs w:val="22"/>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2"/>
          <w:highlight w:val="none"/>
          <w14:textFill>
            <w14:solidFill>
              <w14:schemeClr w14:val="tx1"/>
            </w14:solidFill>
          </w14:textFill>
        </w:rPr>
        <w:t>投  标  函</w:t>
      </w:r>
      <w:bookmarkEnd w:id="491"/>
      <w:bookmarkEnd w:id="492"/>
      <w:bookmarkEnd w:id="493"/>
      <w:bookmarkEnd w:id="494"/>
      <w:bookmarkEnd w:id="495"/>
      <w:bookmarkEnd w:id="496"/>
      <w:bookmarkEnd w:id="497"/>
      <w:bookmarkEnd w:id="498"/>
      <w:bookmarkEnd w:id="499"/>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rPr>
          <w:rFonts w:hint="eastAsia"/>
          <w:color w:val="000000" w:themeColor="text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致：</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（招标人名称）</w:t>
      </w:r>
    </w:p>
    <w:p>
      <w:pPr>
        <w:pageBreakBefore w:val="0"/>
        <w:kinsoku/>
        <w:wordWrap w:val="0"/>
        <w:overflowPunct/>
        <w:bidi w:val="0"/>
        <w:adjustRightInd w:val="0"/>
        <w:snapToGrid w:val="0"/>
        <w:spacing w:line="440" w:lineRule="exact"/>
        <w:ind w:firstLine="570"/>
        <w:rPr>
          <w:rFonts w:hint="eastAsia" w:asciiTheme="minorEastAsia" w:hAnsiTheme="minorEastAsia" w:eastAsiaTheme="minorEastAsia" w:cstheme="minorEastAsia"/>
          <w:color w:val="000000" w:themeColor="text1"/>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1.在研</w:t>
      </w:r>
      <w:r>
        <w:rPr>
          <w:rFonts w:hint="eastAsia" w:asciiTheme="minorEastAsia" w:hAnsiTheme="minorEastAsia" w:eastAsiaTheme="minorEastAsia" w:cstheme="minorEastAsia"/>
          <w:color w:val="000000" w:themeColor="text1"/>
          <w:szCs w:val="22"/>
          <w:highlight w:val="none"/>
          <w:u w:val="none"/>
          <w14:textFill>
            <w14:solidFill>
              <w14:schemeClr w14:val="tx1"/>
            </w14:solidFill>
          </w14:textFill>
        </w:rPr>
        <w:t>究</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（项目名称）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招标文件和其它相关文件，并对现场进行深入了解后，我方（即文末签名人），考虑了本企业的实力和特点，愿意接受招标文件的全部内容和条件，兹以人民币（大写）：</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小写：（¥</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）的投标总价竞投本项目。</w:t>
      </w:r>
    </w:p>
    <w:p>
      <w:pPr>
        <w:pageBreakBefore w:val="0"/>
        <w:kinsoku/>
        <w:wordWrap w:val="0"/>
        <w:overflowPunct/>
        <w:bidi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2.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如果我方中标，我方保证按照合同约定的开工日期开始本项目的</w:t>
      </w:r>
      <w:r>
        <w:rPr>
          <w:rFonts w:hint="eastAsia" w:asciiTheme="minorEastAsia" w:hAnsiTheme="minorEastAsia" w:eastAsiaTheme="minorEastAsia" w:cstheme="minorEastAsia"/>
          <w:color w:val="000000" w:themeColor="text1"/>
          <w:szCs w:val="22"/>
          <w:highlight w:val="none"/>
          <w:lang w:val="en-US" w:eastAsia="zh-CN"/>
          <w14:textFill>
            <w14:solidFill>
              <w14:schemeClr w14:val="tx1"/>
            </w14:solidFill>
          </w14:textFill>
        </w:rPr>
        <w:t>设计、施工</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，本工程</w:t>
      </w:r>
      <w:r>
        <w:rPr>
          <w:rFonts w:hint="eastAsia" w:asciiTheme="minorEastAsia" w:hAnsiTheme="minorEastAsia" w:eastAsiaTheme="minorEastAsia" w:cstheme="minorEastAsia"/>
          <w:color w:val="000000" w:themeColor="text1"/>
          <w:szCs w:val="22"/>
          <w:highlight w:val="none"/>
          <w:lang w:val="en-US" w:eastAsia="zh-CN"/>
          <w14:textFill>
            <w14:solidFill>
              <w14:schemeClr w14:val="tx1"/>
            </w14:solidFill>
          </w14:textFill>
        </w:rPr>
        <w:t>设计、施工</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工期为</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个日历天</w:t>
      </w:r>
      <w:r>
        <w:rPr>
          <w:rFonts w:hint="eastAsia" w:asciiTheme="minorEastAsia" w:hAnsiTheme="minorEastAsia" w:eastAsiaTheme="minorEastAsia" w:cstheme="minorEastAsia"/>
          <w:color w:val="000000" w:themeColor="text1"/>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其中：</w:t>
      </w:r>
      <w:r>
        <w:rPr>
          <w:rFonts w:hint="eastAsia" w:asciiTheme="minorEastAsia" w:hAnsiTheme="minorEastAsia" w:eastAsiaTheme="minorEastAsia" w:cstheme="minorEastAsia"/>
          <w:color w:val="000000" w:themeColor="text1"/>
          <w:szCs w:val="22"/>
          <w:highlight w:val="none"/>
          <w:lang w:val="en-US" w:eastAsia="zh-CN"/>
          <w14:textFill>
            <w14:solidFill>
              <w14:schemeClr w14:val="tx1"/>
            </w14:solidFill>
          </w14:textFill>
        </w:rPr>
        <w:t>设计</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工期为</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日历天，施工工期为</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日历天</w:t>
      </w:r>
      <w:r>
        <w:rPr>
          <w:rFonts w:hint="eastAsia" w:asciiTheme="minorEastAsia" w:hAnsiTheme="minorEastAsia" w:eastAsiaTheme="minorEastAsia" w:cstheme="minorEastAsia"/>
          <w:color w:val="000000" w:themeColor="text1"/>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内竣工，并确保工程质量达到</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标准和维修其中的任何缺陷</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p>
      <w:pPr>
        <w:pageBreakBefore w:val="0"/>
        <w:kinsoku/>
        <w:wordWrap w:val="0"/>
        <w:overflowPunct/>
        <w:bidi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 本投标函在你方接收我方递交的投标文件之日起、到招标文件规定的投标有效期期满前对我方具有约束力。我方随时准备接受你方发出的中标通知书。</w:t>
      </w:r>
    </w:p>
    <w:p>
      <w:pPr>
        <w:pageBreakBefore w:val="0"/>
        <w:kinsoku/>
        <w:wordWrap w:val="0"/>
        <w:overflowPunct/>
        <w:bidi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4．我方在此声明，我方不存在本工程招标文件所列示的“禁止投标条款”所列出的任何一种情形，并愿意承担因我方就此弄虚作假所引起的一切法律后果。</w:t>
      </w:r>
    </w:p>
    <w:p>
      <w:pPr>
        <w:pageBreakBefore w:val="0"/>
        <w:kinsoku/>
        <w:wordWrap w:val="0"/>
        <w:overflowPunct/>
        <w:bidi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5．我方在此承诺，所递交投标文件的全部内容均为真实、有效、准确的，并愿意承担因我方就此弄虚作假所引起的一切法律后果，同时理解和同意有可能被要求提供更多的资料。</w:t>
      </w:r>
    </w:p>
    <w:p>
      <w:pPr>
        <w:pageBreakBefore w:val="0"/>
        <w:kinsoku/>
        <w:wordWrap w:val="0"/>
        <w:overflowPunct/>
        <w:bidi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6. 我方理解你方不一定要接纳收到的最低投标总价或任何投标总价的投标人中标，也不要求你方解释我方是否中标的原因。</w:t>
      </w:r>
    </w:p>
    <w:p>
      <w:pPr>
        <w:pageBreakBefore w:val="0"/>
        <w:kinsoku/>
        <w:wordWrap w:val="0"/>
        <w:overflowPunct/>
        <w:bidi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w:t>
      </w: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投标人：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（盖单位章）</w:t>
      </w:r>
    </w:p>
    <w:p>
      <w:pPr>
        <w:pageBreakBefore w:val="0"/>
        <w:kinsoku/>
        <w:wordWrap w:val="0"/>
        <w:overflowPunct/>
        <w:bidi w:val="0"/>
        <w:adjustRightInd w:val="0"/>
        <w:snapToGrid w:val="0"/>
        <w:spacing w:line="440" w:lineRule="exact"/>
        <w:ind w:firstLine="480" w:firstLineChars="200"/>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法定代表人或其委托代理人：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（签字或盖章）</w:t>
      </w:r>
    </w:p>
    <w:p>
      <w:pPr>
        <w:pageBreakBefore w:val="0"/>
        <w:kinsoku/>
        <w:wordWrap w:val="0"/>
        <w:overflowPunct/>
        <w:bidi w:val="0"/>
        <w:adjustRightInd w:val="0"/>
        <w:snapToGrid w:val="0"/>
        <w:spacing w:line="440" w:lineRule="exact"/>
        <w:ind w:firstLine="4080" w:firstLineChars="1700"/>
        <w:jc w:val="lef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日</w:t>
      </w:r>
    </w:p>
    <w:p>
      <w:pPr>
        <w:pageBreakBefore w:val="0"/>
        <w:kinsoku/>
        <w:wordWrap w:val="0"/>
        <w:overflowPunct/>
        <w:bidi w:val="0"/>
        <w:jc w:val="lef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br w:type="page"/>
      </w:r>
    </w:p>
    <w:p>
      <w:pPr>
        <w:pStyle w:val="4"/>
        <w:pageBreakBefore w:val="0"/>
        <w:kinsoku/>
        <w:wordWrap w:val="0"/>
        <w:overflowPunct/>
        <w:bidi w:val="0"/>
        <w:spacing w:before="120"/>
        <w:rPr>
          <w:rStyle w:val="60"/>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bookmarkStart w:id="500" w:name="_Toc68"/>
      <w:r>
        <w:rPr>
          <w:rStyle w:val="60"/>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格式三 工程项目总价表</w:t>
      </w:r>
      <w:bookmarkEnd w:id="500"/>
    </w:p>
    <w:p>
      <w:pPr>
        <w:pageBreakBefore w:val="0"/>
        <w:kinsoku/>
        <w:wordWrap w:val="0"/>
        <w:overflowPunct/>
        <w:bidi w:val="0"/>
        <w:adjustRightInd w:val="0"/>
        <w:snapToGrid w:val="0"/>
        <w:spacing w:line="440" w:lineRule="exact"/>
        <w:jc w:val="center"/>
        <w:rPr>
          <w:rFonts w:hint="eastAsia" w:asciiTheme="minorEastAsia" w:hAnsiTheme="minorEastAsia" w:eastAsiaTheme="minorEastAsia" w:cstheme="minorEastAsia"/>
          <w:b/>
          <w:bCs/>
          <w:color w:val="000000" w:themeColor="text1"/>
          <w:szCs w:val="22"/>
          <w:highlight w:val="none"/>
          <w14:textFill>
            <w14:solidFill>
              <w14:schemeClr w14:val="tx1"/>
            </w14:solidFill>
          </w14:textFill>
        </w:rPr>
      </w:pPr>
      <w:bookmarkStart w:id="501" w:name="_Toc25629"/>
      <w:bookmarkStart w:id="502" w:name="_Toc25829"/>
      <w:bookmarkStart w:id="503" w:name="_Toc5052"/>
      <w:bookmarkStart w:id="504" w:name="_Toc453"/>
      <w:bookmarkStart w:id="505" w:name="_Toc20338"/>
      <w:bookmarkStart w:id="506" w:name="_Toc7915"/>
      <w:bookmarkStart w:id="507" w:name="_Toc39136364"/>
      <w:r>
        <w:rPr>
          <w:rFonts w:hint="eastAsia" w:asciiTheme="minorEastAsia" w:hAnsiTheme="minorEastAsia" w:eastAsiaTheme="minorEastAsia" w:cstheme="minorEastAsia"/>
          <w:b/>
          <w:bCs/>
          <w:color w:val="000000" w:themeColor="text1"/>
          <w:szCs w:val="22"/>
          <w:highlight w:val="none"/>
          <w14:textFill>
            <w14:solidFill>
              <w14:schemeClr w14:val="tx1"/>
            </w14:solidFill>
          </w14:textFill>
        </w:rPr>
        <w:t>工程项目总价表</w:t>
      </w:r>
      <w:bookmarkEnd w:id="501"/>
      <w:bookmarkEnd w:id="502"/>
      <w:bookmarkEnd w:id="503"/>
      <w:bookmarkEnd w:id="504"/>
      <w:bookmarkEnd w:id="505"/>
    </w:p>
    <w:p>
      <w:pPr>
        <w:pageBreakBefore w:val="0"/>
        <w:kinsoku/>
        <w:wordWrap w:val="0"/>
        <w:overflowPunct/>
        <w:bidi w:val="0"/>
        <w:spacing w:line="360" w:lineRule="auto"/>
        <w:ind w:firstLine="480" w:firstLineChars="200"/>
        <w:rPr>
          <w:rFonts w:hint="eastAsia" w:ascii="宋体" w:hAnsi="宋体" w:eastAsia="宋体" w:cs="宋体"/>
          <w:color w:val="000000" w:themeColor="text1"/>
          <w:highlight w:val="none"/>
          <w14:textFill>
            <w14:solidFill>
              <w14:schemeClr w14:val="tx1"/>
            </w14:solidFill>
          </w14:textFill>
        </w:rPr>
      </w:pPr>
    </w:p>
    <w:tbl>
      <w:tblPr>
        <w:tblStyle w:val="22"/>
        <w:tblW w:w="9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994"/>
        <w:gridCol w:w="1706"/>
        <w:gridCol w:w="2057"/>
        <w:gridCol w:w="1347"/>
        <w:gridCol w:w="26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5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序号</w:t>
            </w:r>
          </w:p>
        </w:tc>
        <w:tc>
          <w:tcPr>
            <w:tcW w:w="994"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项目名称</w:t>
            </w:r>
          </w:p>
        </w:tc>
        <w:tc>
          <w:tcPr>
            <w:tcW w:w="170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报价基数（元）</w:t>
            </w:r>
          </w:p>
        </w:tc>
        <w:tc>
          <w:tcPr>
            <w:tcW w:w="2057"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1"/>
                <w:sz w:val="24"/>
                <w:szCs w:val="24"/>
                <w:highlight w:val="none"/>
                <w:lang w:val="zh-CN"/>
                <w14:textFill>
                  <w14:solidFill>
                    <w14:schemeClr w14:val="tx1"/>
                  </w14:solidFill>
                </w14:textFill>
              </w:rPr>
              <w:t>投标费率</w:t>
            </w:r>
            <w:r>
              <w:rPr>
                <w:rFonts w:hint="eastAsia" w:asciiTheme="minorEastAsia" w:hAnsiTheme="minorEastAsia" w:eastAsiaTheme="minorEastAsia" w:cstheme="minorEastAsia"/>
                <w:color w:val="000000" w:themeColor="text1"/>
                <w:kern w:val="1"/>
                <w:sz w:val="24"/>
                <w:szCs w:val="24"/>
                <w:highlight w:val="none"/>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投标下浮率</w:t>
            </w:r>
          </w:p>
        </w:tc>
        <w:tc>
          <w:tcPr>
            <w:tcW w:w="1347"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投标报价</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（元）</w:t>
            </w:r>
          </w:p>
        </w:tc>
        <w:tc>
          <w:tcPr>
            <w:tcW w:w="263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5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1</w:t>
            </w:r>
          </w:p>
        </w:tc>
        <w:tc>
          <w:tcPr>
            <w:tcW w:w="994" w:type="dxa"/>
            <w:noWrap w:val="0"/>
            <w:vAlign w:val="center"/>
          </w:tcPr>
          <w:p>
            <w:pPr>
              <w:pageBreakBefore w:val="0"/>
              <w:widowControl/>
              <w:kinsoku/>
              <w:wordWrap w:val="0"/>
              <w:overflowPunct/>
              <w:bidi w:val="0"/>
              <w:ind w:right="-122" w:rightChars="-51"/>
              <w:jc w:val="cente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设计费</w:t>
            </w:r>
          </w:p>
        </w:tc>
        <w:tc>
          <w:tcPr>
            <w:tcW w:w="170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p>
        </w:tc>
        <w:tc>
          <w:tcPr>
            <w:tcW w:w="2057"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1"/>
                <w:sz w:val="24"/>
                <w:szCs w:val="24"/>
                <w:highlight w:val="none"/>
                <w:lang w:val="zh-CN"/>
                <w14:textFill>
                  <w14:solidFill>
                    <w14:schemeClr w14:val="tx1"/>
                  </w14:solidFill>
                </w14:textFill>
              </w:rPr>
              <w:t>投标费率</w:t>
            </w:r>
            <w:r>
              <w:rPr>
                <w:rFonts w:hint="eastAsia" w:asciiTheme="minorEastAsia" w:hAnsiTheme="minorEastAsia" w:eastAsiaTheme="minorEastAsia" w:cstheme="minorEastAsia"/>
                <w:color w:val="000000" w:themeColor="text1"/>
                <w:kern w:val="0"/>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w:t>
            </w:r>
          </w:p>
        </w:tc>
        <w:tc>
          <w:tcPr>
            <w:tcW w:w="1347" w:type="dxa"/>
            <w:noWrap w:val="0"/>
            <w:vAlign w:val="center"/>
          </w:tcPr>
          <w:p>
            <w:pPr>
              <w:pageBreakBefore w:val="0"/>
              <w:widowControl/>
              <w:kinsoku/>
              <w:wordWrap w:val="0"/>
              <w:overflowPunct/>
              <w:bidi w:val="0"/>
              <w:jc w:val="both"/>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p>
        </w:tc>
        <w:tc>
          <w:tcPr>
            <w:tcW w:w="263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按最高投标限价</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范围内</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自行报</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总</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价及</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投标费</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率。报价基数作为暂定量，仅作为投标报价编制依据，不作为结算依据。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45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2</w:t>
            </w:r>
          </w:p>
        </w:tc>
        <w:tc>
          <w:tcPr>
            <w:tcW w:w="994"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建安工程费</w:t>
            </w:r>
          </w:p>
        </w:tc>
        <w:tc>
          <w:tcPr>
            <w:tcW w:w="170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p>
        </w:tc>
        <w:tc>
          <w:tcPr>
            <w:tcW w:w="2057"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投标下浮率</w:t>
            </w:r>
            <w:r>
              <w:rPr>
                <w:rFonts w:hint="eastAsia" w:asciiTheme="minorEastAsia" w:hAnsiTheme="minorEastAsia" w:eastAsiaTheme="minorEastAsia" w:cstheme="minorEastAsia"/>
                <w:color w:val="000000" w:themeColor="text1"/>
                <w:kern w:val="0"/>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w:t>
            </w:r>
          </w:p>
        </w:tc>
        <w:tc>
          <w:tcPr>
            <w:tcW w:w="1347"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p>
        </w:tc>
        <w:tc>
          <w:tcPr>
            <w:tcW w:w="263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本项目为限额设计，</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工程结算价</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未超过建安工程</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费中标价的</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按实结算，超过建安工程</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费中标价的</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则按建安工程</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费</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中标</w:t>
            </w:r>
            <w:r>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t>价</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结算。建安工程投标报价=</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报价基数</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×（1-投标下浮率）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45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3</w:t>
            </w:r>
          </w:p>
        </w:tc>
        <w:tc>
          <w:tcPr>
            <w:tcW w:w="994"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合计（1+</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w:t>
            </w:r>
          </w:p>
        </w:tc>
        <w:tc>
          <w:tcPr>
            <w:tcW w:w="170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w:t>
            </w:r>
          </w:p>
        </w:tc>
        <w:tc>
          <w:tcPr>
            <w:tcW w:w="2057"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w:t>
            </w:r>
          </w:p>
        </w:tc>
        <w:tc>
          <w:tcPr>
            <w:tcW w:w="1347" w:type="dxa"/>
            <w:noWrap w:val="0"/>
            <w:vAlign w:val="center"/>
          </w:tcPr>
          <w:p>
            <w:pPr>
              <w:pageBreakBefore w:val="0"/>
              <w:widowControl/>
              <w:kinsoku/>
              <w:wordWrap w:val="0"/>
              <w:overflowPunct/>
              <w:bidi w:val="0"/>
              <w:jc w:val="both"/>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p>
        </w:tc>
        <w:tc>
          <w:tcPr>
            <w:tcW w:w="2636" w:type="dxa"/>
            <w:noWrap w:val="0"/>
            <w:vAlign w:val="center"/>
          </w:tcPr>
          <w:p>
            <w:pPr>
              <w:pageBreakBefore w:val="0"/>
              <w:widowControl/>
              <w:kinsoku/>
              <w:wordWrap w:val="0"/>
              <w:overflowPunct/>
              <w:bidi w:val="0"/>
              <w:jc w:val="left"/>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p>
        </w:tc>
      </w:tr>
    </w:tbl>
    <w:p>
      <w:pPr>
        <w:pStyle w:val="32"/>
        <w:pageBreakBefore w:val="0"/>
        <w:kinsoku/>
        <w:wordWrap w:val="0"/>
        <w:overflowPunct/>
        <w:bidi w:val="0"/>
        <w:rPr>
          <w:rFonts w:ascii="宋体" w:hAnsi="宋体" w:cs="宋体"/>
          <w:color w:val="000000" w:themeColor="text1"/>
          <w:sz w:val="24"/>
          <w:highlight w:val="none"/>
          <w:lang w:val="zh-CN"/>
          <w14:textFill>
            <w14:solidFill>
              <w14:schemeClr w14:val="tx1"/>
            </w14:solidFill>
          </w14:textFill>
        </w:rPr>
      </w:pPr>
    </w:p>
    <w:p>
      <w:pPr>
        <w:pStyle w:val="6"/>
        <w:pageBreakBefore w:val="0"/>
        <w:kinsoku/>
        <w:wordWrap w:val="0"/>
        <w:overflowPunct/>
        <w:bidi w:val="0"/>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注：投标报价、</w:t>
      </w:r>
      <w:r>
        <w:rPr>
          <w:rFonts w:hint="eastAsia" w:ascii="宋体" w:hAnsi="宋体" w:eastAsia="宋体" w:cs="宋体"/>
          <w:color w:val="000000" w:themeColor="text1"/>
          <w:szCs w:val="21"/>
          <w:highlight w:val="none"/>
          <w:lang w:eastAsia="zh-CN"/>
          <w14:textFill>
            <w14:solidFill>
              <w14:schemeClr w14:val="tx1"/>
            </w14:solidFill>
          </w14:textFill>
        </w:rPr>
        <w:t>投标下浮</w:t>
      </w:r>
      <w:r>
        <w:rPr>
          <w:rFonts w:hint="eastAsia" w:ascii="宋体" w:hAnsi="宋体" w:eastAsia="宋体" w:cs="宋体"/>
          <w:color w:val="000000" w:themeColor="text1"/>
          <w:szCs w:val="21"/>
          <w:highlight w:val="none"/>
          <w14:textFill>
            <w14:solidFill>
              <w14:schemeClr w14:val="tx1"/>
            </w14:solidFill>
          </w14:textFill>
        </w:rPr>
        <w:t>率均保留至小数点后两位</w:t>
      </w:r>
      <w:r>
        <w:rPr>
          <w:rFonts w:hint="eastAsia" w:ascii="宋体" w:hAnsi="宋体" w:eastAsia="宋体" w:cs="宋体"/>
          <w:color w:val="000000" w:themeColor="text1"/>
          <w:szCs w:val="21"/>
          <w:highlight w:val="none"/>
          <w:lang w:eastAsia="zh-CN"/>
          <w14:textFill>
            <w14:solidFill>
              <w14:schemeClr w14:val="tx1"/>
            </w14:solidFill>
          </w14:textFill>
        </w:rPr>
        <w:t>，投标费率保留至小数点后三位。</w:t>
      </w:r>
    </w:p>
    <w:p>
      <w:pPr>
        <w:pageBreakBefore w:val="0"/>
        <w:kinsoku/>
        <w:wordWrap w:val="0"/>
        <w:overflowPunct/>
        <w:bidi w:val="0"/>
        <w:adjustRightInd w:val="0"/>
        <w:snapToGrid w:val="0"/>
        <w:spacing w:line="276" w:lineRule="auto"/>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outlineLvl w:val="9"/>
        <w:rPr>
          <w:rFonts w:hint="eastAsia" w:asciiTheme="minorEastAsia" w:hAnsiTheme="minorEastAsia" w:eastAsiaTheme="minorEastAsia" w:cstheme="minorEastAsia"/>
          <w:color w:val="000000" w:themeColor="text1"/>
          <w:highlight w:val="none"/>
          <w14:textFill>
            <w14:solidFill>
              <w14:schemeClr w14:val="tx1"/>
            </w14:solidFill>
          </w14:textFill>
        </w:rPr>
      </w:pPr>
    </w:p>
    <w:p>
      <w:pPr>
        <w:pageBreakBefore w:val="0"/>
        <w:kinsoku/>
        <w:wordWrap w:val="0"/>
        <w:overflowPunct/>
        <w:bidi w:val="0"/>
        <w:adjustRightInd w:val="0"/>
        <w:snapToGrid w:val="0"/>
        <w:spacing w:line="276" w:lineRule="auto"/>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投标人：</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（盖单位章）</w:t>
      </w:r>
    </w:p>
    <w:p>
      <w:pPr>
        <w:pageBreakBefore w:val="0"/>
        <w:kinsoku/>
        <w:wordWrap w:val="0"/>
        <w:overflowPunct/>
        <w:bidi w:val="0"/>
        <w:adjustRightInd w:val="0"/>
        <w:snapToGrid w:val="0"/>
        <w:spacing w:line="276" w:lineRule="auto"/>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p>
    <w:p>
      <w:pPr>
        <w:pageBreakBefore w:val="0"/>
        <w:kinsoku/>
        <w:wordWrap w:val="0"/>
        <w:overflowPunct/>
        <w:bidi w:val="0"/>
        <w:adjustRightInd w:val="0"/>
        <w:snapToGrid w:val="0"/>
        <w:spacing w:line="276" w:lineRule="auto"/>
        <w:ind w:firstLine="480" w:firstLineChars="200"/>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法定代表人或其委托代理人：</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（签字或盖章）</w:t>
      </w:r>
    </w:p>
    <w:p>
      <w:pPr>
        <w:pageBreakBefore w:val="0"/>
        <w:kinsoku/>
        <w:wordWrap w:val="0"/>
        <w:overflowPunct/>
        <w:bidi w:val="0"/>
        <w:adjustRightInd w:val="0"/>
        <w:snapToGrid w:val="0"/>
        <w:spacing w:line="276" w:lineRule="auto"/>
        <w:ind w:firstLine="480" w:firstLineChars="200"/>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p>
    <w:p>
      <w:pPr>
        <w:pageBreakBefore w:val="0"/>
        <w:kinsoku/>
        <w:wordWrap w:val="0"/>
        <w:overflowPunct/>
        <w:bidi w:val="0"/>
        <w:spacing w:line="276"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sectPr>
          <w:footerReference r:id="rId6" w:type="default"/>
          <w:endnotePr>
            <w:numFmt w:val="decimal"/>
          </w:endnotePr>
          <w:pgSz w:w="11906" w:h="16838"/>
          <w:pgMar w:top="1701" w:right="1335" w:bottom="1417" w:left="1531" w:header="850" w:footer="992" w:gutter="0"/>
          <w:pgNumType w:fmt="decimal"/>
          <w:cols w:space="720" w:num="1"/>
          <w:docGrid w:linePitch="327" w:charSpace="0"/>
        </w:sectPr>
      </w:pP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年</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月</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日</w:t>
      </w:r>
    </w:p>
    <w:p>
      <w:pPr>
        <w:pStyle w:val="4"/>
        <w:pageBreakBefore w:val="0"/>
        <w:kinsoku/>
        <w:wordWrap w:val="0"/>
        <w:overflowPunct/>
        <w:bidi w:val="0"/>
        <w:spacing w:before="120"/>
        <w:rPr>
          <w:rStyle w:val="60"/>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bookmarkStart w:id="508" w:name="_Toc20987"/>
      <w:bookmarkStart w:id="509" w:name="_Toc919"/>
      <w:bookmarkStart w:id="510" w:name="_Toc22897"/>
      <w:bookmarkStart w:id="511" w:name="_Toc28529"/>
      <w:bookmarkStart w:id="512" w:name="_Toc1017"/>
      <w:bookmarkStart w:id="513" w:name="_Toc21928"/>
      <w:bookmarkStart w:id="514" w:name="_Toc32555"/>
      <w:r>
        <w:rPr>
          <w:rStyle w:val="60"/>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格式</w:t>
      </w:r>
      <w:r>
        <w:rPr>
          <w:rStyle w:val="60"/>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四</w:t>
      </w:r>
      <w:r>
        <w:rPr>
          <w:rStyle w:val="60"/>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xml:space="preserve"> 各项</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承诺</w:t>
      </w:r>
      <w:r>
        <w:rPr>
          <w:rStyle w:val="60"/>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一览表</w:t>
      </w:r>
      <w:bookmarkEnd w:id="506"/>
      <w:bookmarkEnd w:id="507"/>
      <w:bookmarkEnd w:id="508"/>
      <w:bookmarkEnd w:id="509"/>
      <w:bookmarkEnd w:id="510"/>
      <w:bookmarkEnd w:id="511"/>
    </w:p>
    <w:bookmarkEnd w:id="512"/>
    <w:bookmarkEnd w:id="513"/>
    <w:bookmarkEnd w:id="514"/>
    <w:p>
      <w:pPr>
        <w:pageBreakBefore w:val="0"/>
        <w:kinsoku/>
        <w:wordWrap w:val="0"/>
        <w:overflowPunct/>
        <w:bidi w:val="0"/>
        <w:spacing w:line="480" w:lineRule="auto"/>
        <w:jc w:val="cente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15" w:name="_Toc39136365"/>
      <w:bookmarkStart w:id="516" w:name="_Toc21521"/>
      <w:bookmarkStart w:id="517" w:name="_Toc20729"/>
      <w:bookmarkStart w:id="518" w:name="_Toc30877"/>
      <w:bookmarkStart w:id="519" w:name="_Toc15279"/>
      <w:bookmarkStart w:id="520" w:name="_Toc16438"/>
      <w:bookmarkStart w:id="521" w:name="_Toc31113"/>
      <w:bookmarkStart w:id="522" w:name="_Toc18136"/>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各项承诺一览表</w:t>
      </w:r>
      <w:bookmarkEnd w:id="515"/>
      <w:bookmarkEnd w:id="516"/>
      <w:bookmarkEnd w:id="517"/>
      <w:bookmarkEnd w:id="518"/>
    </w:p>
    <w:bookmarkEnd w:id="519"/>
    <w:bookmarkEnd w:id="520"/>
    <w:bookmarkEnd w:id="521"/>
    <w:bookmarkEnd w:id="522"/>
    <w:tbl>
      <w:tblPr>
        <w:tblStyle w:val="22"/>
        <w:tblW w:w="97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6"/>
        <w:gridCol w:w="1081"/>
        <w:gridCol w:w="3226"/>
        <w:gridCol w:w="47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top"/>
          </w:tcPr>
          <w:p>
            <w:pPr>
              <w:pStyle w:val="37"/>
              <w:pageBreakBefore w:val="0"/>
              <w:kinsoku/>
              <w:wordWrap w:val="0"/>
              <w:overflowPunct/>
              <w:bidi w:val="0"/>
              <w:spacing w:line="38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序号</w:t>
            </w:r>
          </w:p>
        </w:tc>
        <w:tc>
          <w:tcPr>
            <w:tcW w:w="1081" w:type="dxa"/>
            <w:noWrap w:val="0"/>
            <w:vAlign w:val="top"/>
          </w:tcPr>
          <w:p>
            <w:pPr>
              <w:pStyle w:val="37"/>
              <w:pageBreakBefore w:val="0"/>
              <w:kinsoku/>
              <w:wordWrap w:val="0"/>
              <w:overflowPunct/>
              <w:bidi w:val="0"/>
              <w:spacing w:line="38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承诺标题</w:t>
            </w:r>
          </w:p>
        </w:tc>
        <w:tc>
          <w:tcPr>
            <w:tcW w:w="3226" w:type="dxa"/>
            <w:noWrap w:val="0"/>
            <w:vAlign w:val="top"/>
          </w:tcPr>
          <w:p>
            <w:pPr>
              <w:pStyle w:val="37"/>
              <w:pageBreakBefore w:val="0"/>
              <w:kinsoku/>
              <w:wordWrap w:val="0"/>
              <w:overflowPunct/>
              <w:bidi w:val="0"/>
              <w:spacing w:line="38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承诺内容</w:t>
            </w:r>
          </w:p>
        </w:tc>
        <w:tc>
          <w:tcPr>
            <w:tcW w:w="4796" w:type="dxa"/>
            <w:tcBorders>
              <w:bottom w:val="single" w:color="auto" w:sz="4" w:space="0"/>
            </w:tcBorders>
            <w:noWrap w:val="0"/>
            <w:vAlign w:val="top"/>
          </w:tcPr>
          <w:p>
            <w:pPr>
              <w:pStyle w:val="37"/>
              <w:pageBreakBefore w:val="0"/>
              <w:kinsoku/>
              <w:wordWrap w:val="0"/>
              <w:overflowPunct/>
              <w:bidi w:val="0"/>
              <w:spacing w:line="38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违约承诺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对招标文件条款自愿接受承诺书</w:t>
            </w:r>
          </w:p>
        </w:tc>
        <w:tc>
          <w:tcPr>
            <w:tcW w:w="3226" w:type="dxa"/>
            <w:noWrap w:val="0"/>
            <w:vAlign w:val="center"/>
          </w:tcPr>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我方保证接受招标文件的所有条款，响应招标文件的所有要求，并同意招标文件为施工承包合同的组成部分</w:t>
            </w:r>
          </w:p>
        </w:tc>
        <w:tc>
          <w:tcPr>
            <w:tcW w:w="4796" w:type="dxa"/>
            <w:tcBorders>
              <w:tr2bl w:val="single" w:color="auto" w:sz="4" w:space="0"/>
            </w:tcBorders>
            <w:noWrap w:val="0"/>
            <w:vAlign w:val="center"/>
          </w:tcPr>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1081" w:type="dxa"/>
            <w:noWrap w:val="0"/>
            <w:vAlign w:val="center"/>
          </w:tcPr>
          <w:p>
            <w:pPr>
              <w:pStyle w:val="62"/>
              <w:pageBreakBefore w:val="0"/>
              <w:kinsoku/>
              <w:wordWrap w:val="0"/>
              <w:overflowPunct/>
              <w:bidi w:val="0"/>
              <w:adjustRightInd w:val="0"/>
              <w:snapToGrid w:val="0"/>
              <w:spacing w:line="380" w:lineRule="exact"/>
              <w:ind w:firstLine="0" w:firstLineChars="0"/>
              <w:jc w:val="center"/>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无禁止投标</w:t>
            </w:r>
          </w:p>
          <w:p>
            <w:pPr>
              <w:pStyle w:val="62"/>
              <w:pageBreakBefore w:val="0"/>
              <w:kinsoku/>
              <w:wordWrap w:val="0"/>
              <w:overflowPunct/>
              <w:bidi w:val="0"/>
              <w:adjustRightInd w:val="0"/>
              <w:snapToGrid w:val="0"/>
              <w:spacing w:line="380" w:lineRule="exact"/>
              <w:ind w:firstLine="0" w:firstLineChars="0"/>
              <w:jc w:val="center"/>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情形的承诺</w:t>
            </w:r>
          </w:p>
        </w:tc>
        <w:tc>
          <w:tcPr>
            <w:tcW w:w="3226" w:type="dxa"/>
            <w:noWrap w:val="0"/>
            <w:vAlign w:val="center"/>
          </w:tcPr>
          <w:p>
            <w:pPr>
              <w:pStyle w:val="62"/>
              <w:pageBreakBefore w:val="0"/>
              <w:kinsoku/>
              <w:wordWrap w:val="0"/>
              <w:overflowPunct/>
              <w:bidi w:val="0"/>
              <w:adjustRightInd w:val="0"/>
              <w:snapToGrid w:val="0"/>
              <w:spacing w:line="380" w:lineRule="exact"/>
              <w:ind w:firstLine="42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我方不存在招标文件第一章第三节第</w:t>
            </w:r>
            <w:r>
              <w:rPr>
                <w:rFonts w:hint="eastAsia" w:ascii="宋体" w:hAnsi="宋体" w:eastAsia="宋体" w:cs="宋体"/>
                <w:b/>
                <w:bCs/>
                <w:snapToGrid w:val="0"/>
                <w:color w:val="000000" w:themeColor="text1"/>
                <w:kern w:val="0"/>
                <w:sz w:val="21"/>
                <w:szCs w:val="21"/>
                <w:highlight w:val="none"/>
                <w14:textFill>
                  <w14:solidFill>
                    <w14:schemeClr w14:val="tx1"/>
                  </w14:solidFill>
                </w14:textFill>
              </w:rPr>
              <w:t>2.4</w:t>
            </w:r>
            <w:r>
              <w:rPr>
                <w:rFonts w:hint="eastAsia" w:ascii="宋体" w:hAnsi="宋体" w:eastAsia="宋体" w:cs="宋体"/>
                <w:snapToGrid w:val="0"/>
                <w:color w:val="000000" w:themeColor="text1"/>
                <w:kern w:val="0"/>
                <w:sz w:val="21"/>
                <w:szCs w:val="21"/>
                <w:highlight w:val="none"/>
                <w14:textFill>
                  <w14:solidFill>
                    <w14:schemeClr w14:val="tx1"/>
                  </w14:solidFill>
                </w14:textFill>
              </w:rPr>
              <w:t>条“禁止投标条款”规定的任何一种情形。</w:t>
            </w:r>
          </w:p>
        </w:tc>
        <w:tc>
          <w:tcPr>
            <w:tcW w:w="4796" w:type="dxa"/>
            <w:noWrap w:val="0"/>
            <w:vAlign w:val="center"/>
          </w:tcPr>
          <w:p>
            <w:pPr>
              <w:pStyle w:val="62"/>
              <w:pageBreakBefore w:val="0"/>
              <w:kinsoku/>
              <w:wordWrap w:val="0"/>
              <w:overflowPunct/>
              <w:bidi w:val="0"/>
              <w:adjustRightInd w:val="0"/>
              <w:snapToGrid w:val="0"/>
              <w:spacing w:line="380" w:lineRule="exact"/>
              <w:ind w:firstLine="42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如果我方有招标文件第一章第三节第</w:t>
            </w:r>
            <w:r>
              <w:rPr>
                <w:rFonts w:hint="eastAsia" w:ascii="宋体" w:hAnsi="宋体" w:eastAsia="宋体" w:cs="宋体"/>
                <w:b/>
                <w:bCs/>
                <w:snapToGrid w:val="0"/>
                <w:color w:val="000000" w:themeColor="text1"/>
                <w:kern w:val="0"/>
                <w:sz w:val="21"/>
                <w:szCs w:val="21"/>
                <w:highlight w:val="none"/>
                <w14:textFill>
                  <w14:solidFill>
                    <w14:schemeClr w14:val="tx1"/>
                  </w14:solidFill>
                </w14:textFill>
              </w:rPr>
              <w:t>2.4</w:t>
            </w:r>
            <w:r>
              <w:rPr>
                <w:rFonts w:hint="eastAsia" w:ascii="宋体" w:hAnsi="宋体" w:eastAsia="宋体" w:cs="宋体"/>
                <w:snapToGrid w:val="0"/>
                <w:color w:val="000000" w:themeColor="text1"/>
                <w:kern w:val="0"/>
                <w:sz w:val="21"/>
                <w:szCs w:val="21"/>
                <w:highlight w:val="none"/>
                <w14:textFill>
                  <w14:solidFill>
                    <w14:schemeClr w14:val="tx1"/>
                  </w14:solidFill>
                </w14:textFill>
              </w:rPr>
              <w:t>条“禁止投标条款”规定的任何一种情形，我方接受招标人或其授权的招标代理机构或其组建的评标委员会依据招标文件作出的相应处理以及有关监督部门作出的行政处罚，并承担由此引起的一切法律后果。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p>
        </w:tc>
        <w:tc>
          <w:tcPr>
            <w:tcW w:w="1081" w:type="dxa"/>
            <w:noWrap w:val="0"/>
            <w:vAlign w:val="center"/>
          </w:tcPr>
          <w:p>
            <w:pPr>
              <w:pStyle w:val="62"/>
              <w:pageBreakBefore w:val="0"/>
              <w:kinsoku/>
              <w:wordWrap w:val="0"/>
              <w:overflowPunct/>
              <w:bidi w:val="0"/>
              <w:adjustRightInd w:val="0"/>
              <w:snapToGrid w:val="0"/>
              <w:spacing w:line="380" w:lineRule="exact"/>
              <w:ind w:firstLine="0" w:firstLineChars="0"/>
              <w:jc w:val="center"/>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自觉抵制围标串标和弄虚作假行为的承诺</w:t>
            </w:r>
          </w:p>
        </w:tc>
        <w:tc>
          <w:tcPr>
            <w:tcW w:w="3226" w:type="dxa"/>
            <w:noWrap w:val="0"/>
            <w:vAlign w:val="center"/>
          </w:tcPr>
          <w:p>
            <w:pPr>
              <w:pStyle w:val="62"/>
              <w:pageBreakBefore w:val="0"/>
              <w:kinsoku/>
              <w:wordWrap w:val="0"/>
              <w:overflowPunct/>
              <w:bidi w:val="0"/>
              <w:adjustRightInd w:val="0"/>
              <w:snapToGrid w:val="0"/>
              <w:spacing w:line="380" w:lineRule="exact"/>
              <w:ind w:firstLine="42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我方合法正当、诚实守信地参与投标，不组织、不参加围标串标违法行为，不通过弄虚作假行为骗取中标。</w:t>
            </w:r>
          </w:p>
        </w:tc>
        <w:tc>
          <w:tcPr>
            <w:tcW w:w="4796" w:type="dxa"/>
            <w:noWrap w:val="0"/>
            <w:vAlign w:val="center"/>
          </w:tcPr>
          <w:p>
            <w:pPr>
              <w:pStyle w:val="62"/>
              <w:pageBreakBefore w:val="0"/>
              <w:kinsoku/>
              <w:wordWrap w:val="0"/>
              <w:overflowPunct/>
              <w:bidi w:val="0"/>
              <w:adjustRightInd w:val="0"/>
              <w:snapToGrid w:val="0"/>
              <w:spacing w:line="380" w:lineRule="exact"/>
              <w:ind w:firstLine="42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1081" w:type="dxa"/>
            <w:noWrap w:val="0"/>
            <w:vAlign w:val="center"/>
          </w:tcPr>
          <w:p>
            <w:pPr>
              <w:pageBreakBefore w:val="0"/>
              <w:kinsoku/>
              <w:wordWrap w:val="0"/>
              <w:overflowPunct/>
              <w:bidi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履约保证的承诺</w:t>
            </w:r>
          </w:p>
        </w:tc>
        <w:tc>
          <w:tcPr>
            <w:tcW w:w="3226" w:type="dxa"/>
            <w:noWrap w:val="0"/>
            <w:vAlign w:val="center"/>
          </w:tcPr>
          <w:p>
            <w:pPr>
              <w:pStyle w:val="62"/>
              <w:pageBreakBefore w:val="0"/>
              <w:kinsoku/>
              <w:wordWrap w:val="0"/>
              <w:overflowPunct/>
              <w:bidi w:val="0"/>
              <w:adjustRightInd w:val="0"/>
              <w:snapToGrid w:val="0"/>
              <w:spacing w:line="38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如果我方中标，我方保证在招标文件规定的时限内全额提交履约保证。</w:t>
            </w:r>
          </w:p>
        </w:tc>
        <w:tc>
          <w:tcPr>
            <w:tcW w:w="4796" w:type="dxa"/>
            <w:noWrap w:val="0"/>
            <w:vAlign w:val="center"/>
          </w:tcPr>
          <w:p>
            <w:pPr>
              <w:pStyle w:val="62"/>
              <w:pageBreakBefore w:val="0"/>
              <w:kinsoku/>
              <w:wordWrap w:val="0"/>
              <w:overflowPunct/>
              <w:bidi w:val="0"/>
              <w:adjustRightInd w:val="0"/>
              <w:snapToGrid w:val="0"/>
              <w:spacing w:line="380" w:lineRule="exact"/>
              <w:ind w:firstLine="0" w:firstLineChars="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 xml:space="preserve">    如果我方未在招标文件规定的时限内全额提交履约保证，我方接受招标人依据招标文件作出的相应处理以及有关监督部门作出的行政处罚，并承担由此引起的一切法律后果。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工期、进度承诺书</w:t>
            </w:r>
          </w:p>
        </w:tc>
        <w:tc>
          <w:tcPr>
            <w:tcW w:w="3226" w:type="dxa"/>
            <w:noWrap w:val="0"/>
            <w:vAlign w:val="center"/>
          </w:tcPr>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我方保证在</w:t>
            </w:r>
            <w:r>
              <w:rPr>
                <w:rFonts w:hint="eastAsia" w:ascii="宋体" w:hAnsi="宋体" w:eastAsia="宋体" w:cs="宋体"/>
                <w:b/>
                <w:bCs/>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b/>
                <w:bCs/>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b/>
                <w:bCs/>
                <w:color w:val="000000" w:themeColor="text1"/>
                <w:sz w:val="21"/>
                <w:szCs w:val="21"/>
                <w:highlight w:val="none"/>
                <w:u w:val="single"/>
                <w14:textFill>
                  <w14:solidFill>
                    <w14:schemeClr w14:val="tx1"/>
                  </w14:solidFill>
                </w14:textFill>
              </w:rPr>
              <w:t>日历天内（</w:t>
            </w:r>
            <w:r>
              <w:rPr>
                <w:rFonts w:hint="eastAsia" w:ascii="宋体" w:hAnsi="宋体" w:eastAsia="宋体" w:cs="宋体"/>
                <w:color w:val="000000" w:themeColor="text1"/>
                <w:sz w:val="21"/>
                <w:szCs w:val="21"/>
                <w:highlight w:val="none"/>
                <w14:textFill>
                  <w14:solidFill>
                    <w14:schemeClr w14:val="tx1"/>
                  </w14:solidFill>
                </w14:textFill>
              </w:rPr>
              <w:t>其中：设计工期</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日历天；施工工期</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日历天</w:t>
            </w:r>
            <w:r>
              <w:rPr>
                <w:rFonts w:hint="eastAsia" w:ascii="宋体" w:hAnsi="宋体" w:eastAsia="宋体" w:cs="宋体"/>
                <w:b/>
                <w:bCs/>
                <w:color w:val="000000" w:themeColor="text1"/>
                <w:sz w:val="21"/>
                <w:szCs w:val="21"/>
                <w:highlight w:val="none"/>
                <w:u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完成工程</w:t>
            </w:r>
            <w:r>
              <w:rPr>
                <w:rFonts w:hint="eastAsia" w:hAnsi="宋体" w:cs="宋体"/>
                <w:color w:val="000000" w:themeColor="text1"/>
                <w:sz w:val="21"/>
                <w:szCs w:val="21"/>
                <w:highlight w:val="none"/>
                <w:lang w:eastAsia="zh-CN"/>
                <w14:textFill>
                  <w14:solidFill>
                    <w14:schemeClr w14:val="tx1"/>
                  </w14:solidFill>
                </w14:textFill>
              </w:rPr>
              <w:t>设计、施工</w:t>
            </w:r>
            <w:r>
              <w:rPr>
                <w:rFonts w:hint="eastAsia" w:ascii="宋体" w:hAnsi="宋体" w:eastAsia="宋体" w:cs="宋体"/>
                <w:color w:val="000000" w:themeColor="text1"/>
                <w:sz w:val="21"/>
                <w:szCs w:val="21"/>
                <w:highlight w:val="none"/>
                <w14:textFill>
                  <w14:solidFill>
                    <w14:schemeClr w14:val="tx1"/>
                  </w14:solidFill>
                </w14:textFill>
              </w:rPr>
              <w:t>并通过竣工验收。</w:t>
            </w:r>
          </w:p>
        </w:tc>
        <w:tc>
          <w:tcPr>
            <w:tcW w:w="4796" w:type="dxa"/>
            <w:noWrap w:val="0"/>
            <w:vAlign w:val="center"/>
          </w:tcPr>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若因我方原因，没有按期完成设计工作的，</w:t>
            </w:r>
            <w:r>
              <w:rPr>
                <w:rFonts w:hint="eastAsia" w:ascii="宋体" w:hAnsi="宋体" w:eastAsia="宋体" w:cs="宋体"/>
                <w:color w:val="000000" w:themeColor="text1"/>
                <w:sz w:val="21"/>
                <w:szCs w:val="21"/>
                <w:highlight w:val="none"/>
                <w:lang w:eastAsia="zh-CN"/>
                <w14:textFill>
                  <w14:solidFill>
                    <w14:schemeClr w14:val="tx1"/>
                  </w14:solidFill>
                </w14:textFill>
              </w:rPr>
              <w:t>我方</w:t>
            </w:r>
            <w:r>
              <w:rPr>
                <w:rFonts w:hint="eastAsia" w:ascii="宋体" w:hAnsi="宋体" w:eastAsia="宋体" w:cs="宋体"/>
                <w:color w:val="000000" w:themeColor="text1"/>
                <w:sz w:val="21"/>
                <w:szCs w:val="21"/>
                <w:highlight w:val="none"/>
                <w14:textFill>
                  <w14:solidFill>
                    <w14:schemeClr w14:val="tx1"/>
                  </w14:solidFill>
                </w14:textFill>
              </w:rPr>
              <w:t>须在逾期第壹天起每天按设计费合同价款的1‰向招标人返纳逾期违约金</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设计</w:t>
            </w:r>
            <w:r>
              <w:rPr>
                <w:rFonts w:hint="eastAsia" w:ascii="宋体" w:hAnsi="宋体" w:eastAsia="宋体" w:cs="宋体"/>
                <w:color w:val="000000" w:themeColor="text1"/>
                <w:sz w:val="21"/>
                <w:szCs w:val="21"/>
                <w:highlight w:val="none"/>
                <w:lang w:eastAsia="zh-CN"/>
                <w14:textFill>
                  <w14:solidFill>
                    <w14:schemeClr w14:val="tx1"/>
                  </w14:solidFill>
                </w14:textFill>
              </w:rPr>
              <w:t>逾期违约金的最高限额为合同</w:t>
            </w:r>
            <w:r>
              <w:rPr>
                <w:rFonts w:hint="eastAsia" w:ascii="宋体" w:hAnsi="宋体" w:eastAsia="宋体" w:cs="宋体"/>
                <w:color w:val="000000" w:themeColor="text1"/>
                <w:sz w:val="21"/>
                <w:szCs w:val="21"/>
                <w:highlight w:val="none"/>
                <w14:textFill>
                  <w14:solidFill>
                    <w14:schemeClr w14:val="tx1"/>
                  </w14:solidFill>
                </w14:textFill>
              </w:rPr>
              <w:t>设计</w:t>
            </w:r>
            <w:r>
              <w:rPr>
                <w:rFonts w:hint="eastAsia" w:ascii="宋体" w:hAnsi="宋体" w:eastAsia="宋体" w:cs="宋体"/>
                <w:color w:val="000000" w:themeColor="text1"/>
                <w:sz w:val="21"/>
                <w:szCs w:val="21"/>
                <w:highlight w:val="none"/>
                <w:lang w:eastAsia="zh-CN"/>
                <w14:textFill>
                  <w14:solidFill>
                    <w14:schemeClr w14:val="tx1"/>
                  </w14:solidFill>
                </w14:textFill>
              </w:rPr>
              <w:t>价款的</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工程没有按期竣工并通过验收时，我方在逾期第壹天起每天按合同价款的</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‰向招标人返纳逾期竣工违约金</w:t>
            </w:r>
            <w:r>
              <w:rPr>
                <w:rFonts w:hint="eastAsia" w:ascii="宋体" w:hAnsi="宋体" w:eastAsia="宋体" w:cs="宋体"/>
                <w:color w:val="000000" w:themeColor="text1"/>
                <w:sz w:val="21"/>
                <w:szCs w:val="21"/>
                <w:highlight w:val="none"/>
                <w:lang w:eastAsia="zh-CN"/>
                <w14:textFill>
                  <w14:solidFill>
                    <w14:schemeClr w14:val="tx1"/>
                  </w14:solidFill>
                </w14:textFill>
              </w:rPr>
              <w:t>，逾期竣工违约金的最高限额为合同施工价款的</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安全、文明施工承诺书</w:t>
            </w:r>
          </w:p>
        </w:tc>
        <w:tc>
          <w:tcPr>
            <w:tcW w:w="3226" w:type="dxa"/>
            <w:noWrap w:val="0"/>
            <w:vAlign w:val="center"/>
          </w:tcPr>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我方保证在施工期间严格遵守国家、省、市有关安全、文明施工规定，确保施工安全和第三者的安全，根据施工现场情况保证安全防护、文明施工措施费投入。</w:t>
            </w:r>
          </w:p>
        </w:tc>
        <w:tc>
          <w:tcPr>
            <w:tcW w:w="4796" w:type="dxa"/>
            <w:noWrap w:val="0"/>
            <w:vAlign w:val="center"/>
          </w:tcPr>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若因我方原因，在施工期间发生安全事故，造成施工人员或第三者的伤亡，我方愿意承担由此造成的一切经济损失和法律责任。</w:t>
            </w:r>
          </w:p>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若我方在施工中发生一般事故及以上等级生产安全事故，可扣除相当于所有“安全防护、文明施工措施费”的管理费。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质量承诺书</w:t>
            </w:r>
          </w:p>
        </w:tc>
        <w:tc>
          <w:tcPr>
            <w:tcW w:w="3226" w:type="dxa"/>
            <w:noWrap w:val="0"/>
            <w:vAlign w:val="center"/>
          </w:tcPr>
          <w:p>
            <w:pPr>
              <w:pStyle w:val="37"/>
              <w:pageBreakBefore w:val="0"/>
              <w:kinsoku/>
              <w:wordWrap w:val="0"/>
              <w:overflowPunct/>
              <w:bidi w:val="0"/>
              <w:spacing w:line="380" w:lineRule="exact"/>
              <w:ind w:firstLine="56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我方保证按照现行的国家和广东省的有关施工技术规范及现行标准，达到合格标准</w:t>
            </w:r>
          </w:p>
        </w:tc>
        <w:tc>
          <w:tcPr>
            <w:tcW w:w="4796" w:type="dxa"/>
            <w:noWrap w:val="0"/>
            <w:vAlign w:val="center"/>
          </w:tcPr>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若因我方原因，工程在竣工验收或分部分项工程验收时没有达到合格标准，我方每次（每分部每分项次）验收检查时按合同价款的1％向招标人缴纳质量违约金。并达到合格标准为止，同时承担所有的责任及经济损失。</w:t>
            </w:r>
          </w:p>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在建设或监理单组织的质量检查中，一次一个分项工程实测或其他项、程序不合格不符合要求的，一次向建设单位交纳质量违约金¥1000元/次项，分部工程不合格的一次、一个分部向建设（委托）单位交纳违约金¥2000元/次、项；</w:t>
            </w:r>
          </w:p>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在省、市监管部门抽查、巡查、专项、随机检查中，一次一个分项工程实测或其他项、程序不合格不符合要求的，一次向建设（委托）单位交纳质量违约金¥2000元/次项，分部工程不合格的一次、一个分部向建设（委托）单位交纳违约金¥5000元/次、项；</w:t>
            </w:r>
          </w:p>
          <w:p>
            <w:pPr>
              <w:pStyle w:val="64"/>
              <w:pageBreakBefore w:val="0"/>
              <w:kinsoku/>
              <w:wordWrap w:val="0"/>
              <w:overflowPunct/>
              <w:bidi w:val="0"/>
              <w:spacing w:line="4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未能在限期内完成质量安全隐患整改的，每逾期一天，向建设单位交纳罚金¥1000元；</w:t>
            </w:r>
          </w:p>
          <w:p>
            <w:pPr>
              <w:pStyle w:val="64"/>
              <w:pageBreakBefore w:val="0"/>
              <w:kinsoku/>
              <w:wordWrap w:val="0"/>
              <w:overflowPunct/>
              <w:bidi w:val="0"/>
              <w:spacing w:line="4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未按规定委派专业人员参加检验批、分部分项工程验收，不及时签署验收记录的，一次向建设（委托）单位交纳违约金¥2000元/次、项；</w:t>
            </w:r>
          </w:p>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不按规定委派相关人员参加项目竣工验收的，一次向建设单位交纳违约金¥50000元/项，不签署意见的交纳违约金¥50000元。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 w:hRule="atLeast"/>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账户承诺</w:t>
            </w:r>
          </w:p>
        </w:tc>
        <w:tc>
          <w:tcPr>
            <w:tcW w:w="3226" w:type="dxa"/>
            <w:noWrap w:val="0"/>
            <w:vAlign w:val="center"/>
          </w:tcPr>
          <w:p>
            <w:pPr>
              <w:pStyle w:val="64"/>
              <w:pageBreakBefore w:val="0"/>
              <w:kinsoku/>
              <w:wordWrap w:val="0"/>
              <w:overflowPunct/>
              <w:bidi w:val="0"/>
              <w:spacing w:line="4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我方保证招标人的资金随时可划入合同中规定的我方账户。</w:t>
            </w:r>
          </w:p>
        </w:tc>
        <w:tc>
          <w:tcPr>
            <w:tcW w:w="4796" w:type="dxa"/>
            <w:noWrap w:val="0"/>
            <w:vAlign w:val="center"/>
          </w:tcPr>
          <w:p>
            <w:pPr>
              <w:pStyle w:val="62"/>
              <w:pageBreakBefore w:val="0"/>
              <w:kinsoku/>
              <w:wordWrap w:val="0"/>
              <w:overflowPunct/>
              <w:bidi w:val="0"/>
              <w:spacing w:line="380" w:lineRule="exact"/>
              <w:ind w:firstLine="412"/>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若因我方原因造成招标人的资金无法划入合同中规定的我方</w:t>
            </w:r>
            <w:r>
              <w:rPr>
                <w:rFonts w:hint="eastAsia" w:ascii="宋体" w:hAnsi="宋体" w:eastAsia="宋体" w:cs="宋体"/>
                <w:color w:val="000000" w:themeColor="text1"/>
                <w:sz w:val="21"/>
                <w:szCs w:val="21"/>
                <w:highlight w:val="none"/>
                <w14:textFill>
                  <w14:solidFill>
                    <w14:schemeClr w14:val="tx1"/>
                  </w14:solidFill>
                </w14:textFill>
              </w:rPr>
              <w:t>账</w:t>
            </w:r>
            <w:r>
              <w:rPr>
                <w:rFonts w:hint="eastAsia" w:ascii="宋体" w:hAnsi="宋体" w:eastAsia="宋体" w:cs="宋体"/>
                <w:color w:val="000000" w:themeColor="text1"/>
                <w:spacing w:val="-2"/>
                <w:sz w:val="21"/>
                <w:szCs w:val="21"/>
                <w:highlight w:val="none"/>
                <w14:textFill>
                  <w14:solidFill>
                    <w14:schemeClr w14:val="tx1"/>
                  </w14:solidFill>
                </w14:textFill>
              </w:rPr>
              <w:t>户，如时间达到30日历天，招标人有权终止合同。我方承担由此造成的所有责任及经济损失。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9</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工程的配合服务承诺</w:t>
            </w:r>
          </w:p>
        </w:tc>
        <w:tc>
          <w:tcPr>
            <w:tcW w:w="3226" w:type="dxa"/>
            <w:noWrap w:val="0"/>
            <w:vAlign w:val="center"/>
          </w:tcPr>
          <w:p>
            <w:pPr>
              <w:pStyle w:val="64"/>
              <w:pageBreakBefore w:val="0"/>
              <w:kinsoku/>
              <w:wordWrap w:val="0"/>
              <w:overflowPunct/>
              <w:bidi w:val="0"/>
              <w:spacing w:line="4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我方服从业主管理，保证配合与工程承包范围内相关的其他标段（工种、分项）工程施工单位的工程施工，不提出额外增加费用的要求。</w:t>
            </w:r>
          </w:p>
        </w:tc>
        <w:tc>
          <w:tcPr>
            <w:tcW w:w="4796" w:type="dxa"/>
            <w:noWrap w:val="0"/>
            <w:vAlign w:val="center"/>
          </w:tcPr>
          <w:p>
            <w:pPr>
              <w:pStyle w:val="62"/>
              <w:pageBreakBefore w:val="0"/>
              <w:kinsoku/>
              <w:wordWrap w:val="0"/>
              <w:overflowPunct/>
              <w:bidi w:val="0"/>
              <w:spacing w:line="380" w:lineRule="exact"/>
              <w:ind w:firstLine="412"/>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若因我方未及时配合与工程承包范围内相关的其他标段（工种、分项）工程施工单位的工程施工，给招标人或其他施工单位造成损失的，我方承担所有的责任及经济损失。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p>
        </w:tc>
        <w:tc>
          <w:tcPr>
            <w:tcW w:w="1081" w:type="dxa"/>
            <w:noWrap w:val="0"/>
            <w:vAlign w:val="center"/>
          </w:tcPr>
          <w:p>
            <w:pPr>
              <w:pStyle w:val="66"/>
              <w:pageBreakBefore w:val="0"/>
              <w:kinsoku/>
              <w:wordWrap w:val="0"/>
              <w:overflowPunct/>
              <w:bidi w:val="0"/>
              <w:spacing w:line="300" w:lineRule="exact"/>
              <w:jc w:val="center"/>
              <w:rPr>
                <w:rFonts w:hint="eastAsia" w:ascii="宋体" w:hAnsi="宋体" w:eastAsia="宋体" w:cs="宋体"/>
                <w:color w:val="000000" w:themeColor="text1"/>
                <w:spacing w:val="-2"/>
                <w:sz w:val="21"/>
                <w:szCs w:val="21"/>
                <w:highlight w:val="none"/>
                <w14:textFill>
                  <w14:solidFill>
                    <w14:schemeClr w14:val="tx1"/>
                  </w14:solidFill>
                </w14:textFill>
              </w:rPr>
            </w:pPr>
          </w:p>
          <w:p>
            <w:pPr>
              <w:pStyle w:val="66"/>
              <w:pageBreakBefore w:val="0"/>
              <w:kinsoku/>
              <w:wordWrap w:val="0"/>
              <w:overflowPunct/>
              <w:bidi w:val="0"/>
              <w:spacing w:line="300" w:lineRule="exact"/>
              <w:jc w:val="center"/>
              <w:rPr>
                <w:rFonts w:hint="eastAsia" w:ascii="宋体" w:hAnsi="宋体" w:eastAsia="宋体" w:cs="宋体"/>
                <w:color w:val="000000" w:themeColor="text1"/>
                <w:spacing w:val="-2"/>
                <w:sz w:val="21"/>
                <w:szCs w:val="21"/>
                <w:highlight w:val="none"/>
                <w14:textFill>
                  <w14:solidFill>
                    <w14:schemeClr w14:val="tx1"/>
                  </w14:solidFill>
                </w14:textFill>
              </w:rPr>
            </w:pPr>
          </w:p>
          <w:p>
            <w:pPr>
              <w:pStyle w:val="66"/>
              <w:pageBreakBefore w:val="0"/>
              <w:kinsoku/>
              <w:wordWrap w:val="0"/>
              <w:overflowPunct/>
              <w:bidi w:val="0"/>
              <w:spacing w:line="300" w:lineRule="exact"/>
              <w:jc w:val="center"/>
              <w:rPr>
                <w:rFonts w:hint="eastAsia" w:ascii="宋体" w:hAnsi="宋体" w:eastAsia="宋体" w:cs="宋体"/>
                <w:color w:val="000000" w:themeColor="text1"/>
                <w:spacing w:val="-2"/>
                <w:sz w:val="21"/>
                <w:szCs w:val="21"/>
                <w:highlight w:val="none"/>
                <w14:textFill>
                  <w14:solidFill>
                    <w14:schemeClr w14:val="tx1"/>
                  </w14:solidFill>
                </w14:textFill>
              </w:rPr>
            </w:pPr>
          </w:p>
          <w:p>
            <w:pPr>
              <w:pStyle w:val="66"/>
              <w:pageBreakBefore w:val="0"/>
              <w:kinsoku/>
              <w:wordWrap w:val="0"/>
              <w:overflowPunct/>
              <w:bidi w:val="0"/>
              <w:spacing w:line="300" w:lineRule="exact"/>
              <w:jc w:val="center"/>
              <w:rPr>
                <w:rFonts w:hint="eastAsia" w:ascii="宋体" w:hAnsi="宋体" w:eastAsia="宋体" w:cs="宋体"/>
                <w:color w:val="000000" w:themeColor="text1"/>
                <w:spacing w:val="-2"/>
                <w:sz w:val="21"/>
                <w:szCs w:val="21"/>
                <w:highlight w:val="none"/>
                <w14:textFill>
                  <w14:solidFill>
                    <w14:schemeClr w14:val="tx1"/>
                  </w14:solidFill>
                </w14:textFill>
              </w:rPr>
            </w:pPr>
          </w:p>
          <w:p>
            <w:pPr>
              <w:pStyle w:val="66"/>
              <w:pageBreakBefore w:val="0"/>
              <w:kinsoku/>
              <w:wordWrap w:val="0"/>
              <w:overflowPunct/>
              <w:bidi w:val="0"/>
              <w:spacing w:line="3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中标人员承诺</w:t>
            </w:r>
          </w:p>
        </w:tc>
        <w:tc>
          <w:tcPr>
            <w:tcW w:w="3226" w:type="dxa"/>
            <w:noWrap w:val="0"/>
            <w:vAlign w:val="center"/>
          </w:tcPr>
          <w:p>
            <w:pPr>
              <w:pStyle w:val="66"/>
              <w:pageBreakBefore w:val="0"/>
              <w:kinsoku/>
              <w:wordWrap w:val="0"/>
              <w:overflowPunct/>
              <w:bidi w:val="0"/>
              <w:spacing w:line="300" w:lineRule="exact"/>
              <w:ind w:firstLine="412" w:firstLineChars="200"/>
              <w:jc w:val="center"/>
              <w:rPr>
                <w:rFonts w:hint="eastAsia" w:ascii="宋体" w:hAnsi="宋体" w:eastAsia="宋体" w:cs="宋体"/>
                <w:color w:val="000000" w:themeColor="text1"/>
                <w:spacing w:val="-2"/>
                <w:sz w:val="21"/>
                <w:szCs w:val="21"/>
                <w:highlight w:val="none"/>
                <w14:textFill>
                  <w14:solidFill>
                    <w14:schemeClr w14:val="tx1"/>
                  </w14:solidFill>
                </w14:textFill>
              </w:rPr>
            </w:pPr>
          </w:p>
          <w:p>
            <w:pPr>
              <w:pStyle w:val="66"/>
              <w:pageBreakBefore w:val="0"/>
              <w:kinsoku/>
              <w:wordWrap w:val="0"/>
              <w:overflowPunct/>
              <w:bidi w:val="0"/>
              <w:spacing w:line="300" w:lineRule="exact"/>
              <w:ind w:firstLine="412" w:firstLineChars="200"/>
              <w:jc w:val="center"/>
              <w:rPr>
                <w:rFonts w:hint="eastAsia" w:ascii="宋体" w:hAnsi="宋体" w:eastAsia="宋体" w:cs="宋体"/>
                <w:color w:val="000000" w:themeColor="text1"/>
                <w:spacing w:val="-2"/>
                <w:sz w:val="21"/>
                <w:szCs w:val="21"/>
                <w:highlight w:val="none"/>
                <w14:textFill>
                  <w14:solidFill>
                    <w14:schemeClr w14:val="tx1"/>
                  </w14:solidFill>
                </w14:textFill>
              </w:rPr>
            </w:pPr>
          </w:p>
          <w:p>
            <w:pPr>
              <w:pStyle w:val="66"/>
              <w:pageBreakBefore w:val="0"/>
              <w:kinsoku/>
              <w:wordWrap w:val="0"/>
              <w:overflowPunct/>
              <w:bidi w:val="0"/>
              <w:spacing w:line="300" w:lineRule="exact"/>
              <w:ind w:firstLine="412" w:firstLineChars="200"/>
              <w:jc w:val="center"/>
              <w:rPr>
                <w:rFonts w:hint="eastAsia" w:ascii="宋体" w:hAnsi="宋体" w:eastAsia="宋体" w:cs="宋体"/>
                <w:color w:val="000000" w:themeColor="text1"/>
                <w:spacing w:val="-2"/>
                <w:sz w:val="21"/>
                <w:szCs w:val="21"/>
                <w:highlight w:val="none"/>
                <w14:textFill>
                  <w14:solidFill>
                    <w14:schemeClr w14:val="tx1"/>
                  </w14:solidFill>
                </w14:textFill>
              </w:rPr>
            </w:pPr>
          </w:p>
          <w:p>
            <w:pPr>
              <w:pStyle w:val="66"/>
              <w:pageBreakBefore w:val="0"/>
              <w:kinsoku/>
              <w:wordWrap w:val="0"/>
              <w:overflowPunct/>
              <w:bidi w:val="0"/>
              <w:spacing w:line="300" w:lineRule="exact"/>
              <w:ind w:firstLine="412" w:firstLineChars="20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我方保证投标文件中所拟派的中标人员全部配合施工现场管理施工。</w:t>
            </w:r>
          </w:p>
        </w:tc>
        <w:tc>
          <w:tcPr>
            <w:tcW w:w="4796" w:type="dxa"/>
            <w:noWrap w:val="0"/>
            <w:vAlign w:val="center"/>
          </w:tcPr>
          <w:p>
            <w:pPr>
              <w:pStyle w:val="67"/>
              <w:pageBreakBefore w:val="0"/>
              <w:kinsoku/>
              <w:wordWrap w:val="0"/>
              <w:overflowPunct/>
              <w:bidi w:val="0"/>
              <w:spacing w:line="300" w:lineRule="exact"/>
              <w:ind w:left="0" w:leftChars="0" w:firstLine="420" w:firstLineChars="200"/>
              <w:rPr>
                <w:rFonts w:hint="eastAsia" w:ascii="宋体" w:hAnsi="宋体" w:eastAsia="宋体" w:cs="宋体"/>
                <w:snapToGrid w:val="0"/>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sz w:val="21"/>
                <w:szCs w:val="21"/>
                <w:highlight w:val="none"/>
                <w14:textFill>
                  <w14:solidFill>
                    <w14:schemeClr w14:val="tx1"/>
                  </w14:solidFill>
                </w14:textFill>
              </w:rPr>
              <w:t>设计单位未能在招标人通知的时间内（提前一天通知，紧急情况随时通知）参加设计交底、处理有关设计问题、参加必要部位隐蔽验收和竣工验收等工作，每人次交纳违约金</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snapToGrid w:val="0"/>
                <w:color w:val="000000" w:themeColor="text1"/>
                <w:sz w:val="21"/>
                <w:szCs w:val="21"/>
                <w:highlight w:val="none"/>
                <w14:textFill>
                  <w14:solidFill>
                    <w14:schemeClr w14:val="tx1"/>
                  </w14:solidFill>
                </w14:textFill>
              </w:rPr>
              <w:t>1000元。</w:t>
            </w:r>
          </w:p>
          <w:p>
            <w:pPr>
              <w:pStyle w:val="67"/>
              <w:pageBreakBefore w:val="0"/>
              <w:kinsoku/>
              <w:wordWrap w:val="0"/>
              <w:overflowPunct/>
              <w:bidi w:val="0"/>
              <w:spacing w:line="300" w:lineRule="exact"/>
              <w:ind w:left="0" w:leftChars="0" w:firstLine="420" w:firstLineChars="200"/>
              <w:rPr>
                <w:rFonts w:hint="eastAsia" w:ascii="宋体" w:hAnsi="宋体" w:eastAsia="宋体" w:cs="宋体"/>
                <w:snapToGrid w:val="0"/>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sz w:val="21"/>
                <w:szCs w:val="21"/>
                <w:highlight w:val="none"/>
                <w14:textFill>
                  <w14:solidFill>
                    <w14:schemeClr w14:val="tx1"/>
                  </w14:solidFill>
                </w14:textFill>
              </w:rPr>
              <w:t>设计单位驻韶办公的</w:t>
            </w:r>
            <w:r>
              <w:rPr>
                <w:rFonts w:hint="eastAsia" w:ascii="宋体" w:hAnsi="宋体" w:eastAsia="宋体" w:cs="宋体"/>
                <w:snapToGrid w:val="0"/>
                <w:color w:val="000000" w:themeColor="text1"/>
                <w:sz w:val="21"/>
                <w:szCs w:val="21"/>
                <w:highlight w:val="none"/>
                <w:lang w:eastAsia="zh-CN"/>
                <w14:textFill>
                  <w14:solidFill>
                    <w14:schemeClr w14:val="tx1"/>
                  </w14:solidFill>
                </w14:textFill>
              </w:rPr>
              <w:t>设计</w:t>
            </w:r>
            <w:r>
              <w:rPr>
                <w:rFonts w:hint="eastAsia" w:ascii="宋体" w:hAnsi="宋体" w:eastAsia="宋体" w:cs="宋体"/>
                <w:snapToGrid w:val="0"/>
                <w:color w:val="000000" w:themeColor="text1"/>
                <w:sz w:val="21"/>
                <w:szCs w:val="21"/>
                <w:highlight w:val="none"/>
                <w14:textFill>
                  <w14:solidFill>
                    <w14:schemeClr w14:val="tx1"/>
                  </w14:solidFill>
                </w14:textFill>
              </w:rPr>
              <w:t>负责人（即投标文件所拟派的</w:t>
            </w:r>
            <w:r>
              <w:rPr>
                <w:rFonts w:hint="eastAsia" w:ascii="宋体" w:hAnsi="宋体" w:eastAsia="宋体" w:cs="宋体"/>
                <w:snapToGrid w:val="0"/>
                <w:color w:val="000000" w:themeColor="text1"/>
                <w:sz w:val="21"/>
                <w:szCs w:val="21"/>
                <w:highlight w:val="none"/>
                <w:lang w:eastAsia="zh-CN"/>
                <w14:textFill>
                  <w14:solidFill>
                    <w14:schemeClr w14:val="tx1"/>
                  </w14:solidFill>
                </w14:textFill>
              </w:rPr>
              <w:t>设计</w:t>
            </w:r>
            <w:r>
              <w:rPr>
                <w:rFonts w:hint="eastAsia" w:ascii="宋体" w:hAnsi="宋体" w:eastAsia="宋体" w:cs="宋体"/>
                <w:snapToGrid w:val="0"/>
                <w:color w:val="000000" w:themeColor="text1"/>
                <w:sz w:val="21"/>
                <w:szCs w:val="21"/>
                <w:highlight w:val="none"/>
                <w14:textFill>
                  <w14:solidFill>
                    <w14:schemeClr w14:val="tx1"/>
                  </w14:solidFill>
                </w14:textFill>
              </w:rPr>
              <w:t>负责人）必须负责本项目设计全过程（包括施工图设计审查、施工图设计修编、跟踪服务、图纸会审和技术交底）。</w:t>
            </w:r>
            <w:r>
              <w:rPr>
                <w:rFonts w:hint="eastAsia" w:ascii="宋体" w:hAnsi="宋体" w:eastAsia="宋体" w:cs="宋体"/>
                <w:snapToGrid w:val="0"/>
                <w:color w:val="000000" w:themeColor="text1"/>
                <w:sz w:val="21"/>
                <w:szCs w:val="21"/>
                <w:highlight w:val="none"/>
                <w:lang w:eastAsia="zh-CN"/>
                <w14:textFill>
                  <w14:solidFill>
                    <w14:schemeClr w14:val="tx1"/>
                  </w14:solidFill>
                </w14:textFill>
              </w:rPr>
              <w:t>设计</w:t>
            </w:r>
            <w:r>
              <w:rPr>
                <w:rFonts w:hint="eastAsia" w:ascii="宋体" w:hAnsi="宋体" w:eastAsia="宋体" w:cs="宋体"/>
                <w:snapToGrid w:val="0"/>
                <w:color w:val="000000" w:themeColor="text1"/>
                <w:sz w:val="21"/>
                <w:szCs w:val="21"/>
                <w:highlight w:val="none"/>
                <w14:textFill>
                  <w14:solidFill>
                    <w14:schemeClr w14:val="tx1"/>
                  </w14:solidFill>
                </w14:textFill>
              </w:rPr>
              <w:t>负责人未准时参加上述环节工作的，每缺席一次交纳违约金</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snapToGrid w:val="0"/>
                <w:color w:val="000000" w:themeColor="text1"/>
                <w:sz w:val="21"/>
                <w:szCs w:val="21"/>
                <w:highlight w:val="none"/>
                <w:lang w:val="en-US" w:eastAsia="zh-CN"/>
                <w14:textFill>
                  <w14:solidFill>
                    <w14:schemeClr w14:val="tx1"/>
                  </w14:solidFill>
                </w14:textFill>
              </w:rPr>
              <w:t>2</w:t>
            </w:r>
            <w:r>
              <w:rPr>
                <w:rFonts w:hint="eastAsia" w:ascii="宋体" w:hAnsi="宋体" w:eastAsia="宋体" w:cs="宋体"/>
                <w:snapToGrid w:val="0"/>
                <w:color w:val="000000" w:themeColor="text1"/>
                <w:sz w:val="21"/>
                <w:szCs w:val="21"/>
                <w:highlight w:val="none"/>
                <w14:textFill>
                  <w14:solidFill>
                    <w14:schemeClr w14:val="tx1"/>
                  </w14:solidFill>
                </w14:textFill>
              </w:rPr>
              <w:t>000元（以招标人发出的违约通知为准）。</w:t>
            </w:r>
          </w:p>
          <w:p>
            <w:pPr>
              <w:pStyle w:val="67"/>
              <w:pageBreakBefore w:val="0"/>
              <w:kinsoku/>
              <w:wordWrap w:val="0"/>
              <w:overflowPunct/>
              <w:bidi w:val="0"/>
              <w:spacing w:line="300" w:lineRule="exact"/>
              <w:ind w:left="0" w:leftChars="0"/>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snapToGrid w:val="0"/>
                <w:color w:val="000000" w:themeColor="text1"/>
                <w:sz w:val="21"/>
                <w:szCs w:val="21"/>
                <w:highlight w:val="none"/>
                <w14:textFill>
                  <w14:solidFill>
                    <w14:schemeClr w14:val="tx1"/>
                  </w14:solidFill>
                </w14:textFill>
              </w:rPr>
              <w:t>设计单位应委派1名参与并熟悉本项目设计任务，有现场处理经验的设计代表常驻项目现场。中标人应为派驻现场的设计工作人员提供工作、生活及交通等方面的便利条件及准备必要的劳动保护装备。在正常施工阶段，每月应保证最少20天在现场。未经招标人书面许可，缺少1天向建设单位每人每天支付违约金¥2000元/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项目管理班子人员承诺</w:t>
            </w:r>
          </w:p>
        </w:tc>
        <w:tc>
          <w:tcPr>
            <w:tcW w:w="3226" w:type="dxa"/>
            <w:noWrap w:val="0"/>
            <w:vAlign w:val="center"/>
          </w:tcPr>
          <w:p>
            <w:pPr>
              <w:pStyle w:val="64"/>
              <w:pageBreakBefore w:val="0"/>
              <w:kinsoku/>
              <w:wordWrap w:val="0"/>
              <w:overflowPunct/>
              <w:bidi w:val="0"/>
              <w:spacing w:line="4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我方保证投标文件中所拟派的项目经理、技术负责人、施工员、质量员、安全员等工程管理人员全部在施工现场管理施工</w:t>
            </w:r>
          </w:p>
        </w:tc>
        <w:tc>
          <w:tcPr>
            <w:tcW w:w="4796" w:type="dxa"/>
            <w:noWrap w:val="0"/>
            <w:vAlign w:val="center"/>
          </w:tcPr>
          <w:p>
            <w:pPr>
              <w:pStyle w:val="62"/>
              <w:pageBreakBefore w:val="0"/>
              <w:kinsoku/>
              <w:wordWrap w:val="0"/>
              <w:overflowPunct/>
              <w:bidi w:val="0"/>
              <w:spacing w:line="380" w:lineRule="exact"/>
              <w:ind w:firstLine="412"/>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承诺施工期间如左所叙施工现场管理人员按要求每日办理签到手续，如未经招标人同意未办理签到，向建设单位每人每天支付违约金</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pacing w:val="-2"/>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pacing w:val="-2"/>
                <w:sz w:val="21"/>
                <w:szCs w:val="21"/>
                <w:highlight w:val="none"/>
                <w14:textFill>
                  <w14:solidFill>
                    <w14:schemeClr w14:val="tx1"/>
                  </w14:solidFill>
                </w14:textFill>
              </w:rPr>
              <w:t>00元（项目经理未签到每天支付违约金</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pacing w:val="-2"/>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pacing w:val="-2"/>
                <w:sz w:val="21"/>
                <w:szCs w:val="21"/>
                <w:highlight w:val="none"/>
                <w14:textFill>
                  <w14:solidFill>
                    <w14:schemeClr w14:val="tx1"/>
                  </w14:solidFill>
                </w14:textFill>
              </w:rPr>
              <w:t>000元）；</w:t>
            </w:r>
          </w:p>
          <w:p>
            <w:pPr>
              <w:pStyle w:val="62"/>
              <w:pageBreakBefore w:val="0"/>
              <w:kinsoku/>
              <w:wordWrap w:val="0"/>
              <w:overflowPunct/>
              <w:bidi w:val="0"/>
              <w:spacing w:line="380" w:lineRule="exact"/>
              <w:ind w:firstLine="412"/>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若我方的投标文件中所拟派的如左所述任何一个管理人员未经招标人或招标人同意擅自离岗，在一个月内达到10次/人，或项目经理、技术负责人在施工过程中每月驻场少于2</w:t>
            </w:r>
            <w:r>
              <w:rPr>
                <w:rFonts w:hint="eastAsia" w:ascii="宋体" w:hAnsi="宋体" w:eastAsia="宋体" w:cs="宋体"/>
                <w:color w:val="000000" w:themeColor="text1"/>
                <w:spacing w:val="-2"/>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pacing w:val="-2"/>
                <w:sz w:val="21"/>
                <w:szCs w:val="21"/>
                <w:highlight w:val="none"/>
                <w14:textFill>
                  <w14:solidFill>
                    <w14:schemeClr w14:val="tx1"/>
                  </w14:solidFill>
                </w14:textFill>
              </w:rPr>
              <w:t>天的，招标人有权终止合同。我方承担由此造成的所有责任及经济损失。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63" w:hRule="atLeast"/>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12</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对支付农民工工资的承诺</w:t>
            </w:r>
          </w:p>
        </w:tc>
        <w:tc>
          <w:tcPr>
            <w:tcW w:w="3226" w:type="dxa"/>
            <w:noWrap w:val="0"/>
            <w:vAlign w:val="center"/>
          </w:tcPr>
          <w:p>
            <w:pPr>
              <w:pStyle w:val="62"/>
              <w:pageBreakBefore w:val="0"/>
              <w:kinsoku/>
              <w:wordWrap w:val="0"/>
              <w:overflowPunct/>
              <w:bidi w:val="0"/>
              <w:spacing w:line="380" w:lineRule="exact"/>
              <w:ind w:firstLine="206" w:firstLineChars="1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如我方中标，我方无条件同意按照用工合同支付</w:t>
            </w:r>
            <w:r>
              <w:rPr>
                <w:rFonts w:hint="eastAsia" w:ascii="宋体" w:hAnsi="宋体" w:eastAsia="宋体" w:cs="宋体"/>
                <w:color w:val="000000" w:themeColor="text1"/>
                <w:sz w:val="21"/>
                <w:szCs w:val="21"/>
                <w:highlight w:val="none"/>
                <w14:textFill>
                  <w14:solidFill>
                    <w14:schemeClr w14:val="tx1"/>
                  </w14:solidFill>
                </w14:textFill>
              </w:rPr>
              <w:t>农民工工资。</w:t>
            </w:r>
          </w:p>
        </w:tc>
        <w:tc>
          <w:tcPr>
            <w:tcW w:w="4796" w:type="dxa"/>
            <w:noWrap w:val="0"/>
            <w:vAlign w:val="center"/>
          </w:tcPr>
          <w:p>
            <w:pPr>
              <w:pStyle w:val="62"/>
              <w:pageBreakBefore w:val="0"/>
              <w:kinsoku/>
              <w:wordWrap w:val="0"/>
              <w:overflowPunct/>
              <w:bidi w:val="0"/>
              <w:spacing w:line="380" w:lineRule="exact"/>
              <w:ind w:firstLine="412"/>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如我方中标，我方无条件同意按照用工合同支付</w:t>
            </w:r>
            <w:r>
              <w:rPr>
                <w:rFonts w:hint="eastAsia" w:ascii="宋体" w:hAnsi="宋体" w:eastAsia="宋体" w:cs="宋体"/>
                <w:color w:val="000000" w:themeColor="text1"/>
                <w:sz w:val="21"/>
                <w:szCs w:val="21"/>
                <w:highlight w:val="none"/>
                <w14:textFill>
                  <w14:solidFill>
                    <w14:schemeClr w14:val="tx1"/>
                  </w14:solidFill>
                </w14:textFill>
              </w:rPr>
              <w:t>农民工工资。否则，招标人有权终止合同，扣除履约保证金，并由招标人先行垫付农民工被拖欠的工资，数额以未结清的工程数为限。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13</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施工组织设计承诺</w:t>
            </w:r>
          </w:p>
        </w:tc>
        <w:tc>
          <w:tcPr>
            <w:tcW w:w="3226" w:type="dxa"/>
            <w:noWrap w:val="0"/>
            <w:vAlign w:val="center"/>
          </w:tcPr>
          <w:p>
            <w:pPr>
              <w:pStyle w:val="62"/>
              <w:pageBreakBefore w:val="0"/>
              <w:kinsoku/>
              <w:wordWrap w:val="0"/>
              <w:overflowPunct/>
              <w:bidi w:val="0"/>
              <w:spacing w:line="380" w:lineRule="exact"/>
              <w:ind w:firstLine="210" w:firstLineChars="1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我方保证施工组织设计按照国家省市有关规定进行编写。</w:t>
            </w:r>
          </w:p>
        </w:tc>
        <w:tc>
          <w:tcPr>
            <w:tcW w:w="4796" w:type="dxa"/>
            <w:noWrap w:val="0"/>
            <w:vAlign w:val="center"/>
          </w:tcPr>
          <w:p>
            <w:pPr>
              <w:pStyle w:val="62"/>
              <w:pageBreakBefore w:val="0"/>
              <w:kinsoku/>
              <w:wordWrap w:val="0"/>
              <w:overflowPunct/>
              <w:bidi w:val="0"/>
              <w:spacing w:line="380" w:lineRule="exact"/>
              <w:ind w:firstLine="210" w:firstLineChars="1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如我方的施工组织设计未根据招标项目情况按照国家省市有关规定进行编写的，扣除全部履约保证金。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56" w:type="dxa"/>
            <w:noWrap w:val="0"/>
            <w:vAlign w:val="center"/>
          </w:tcPr>
          <w:p>
            <w:pPr>
              <w:pStyle w:val="68"/>
              <w:pageBreakBefore w:val="0"/>
              <w:kinsoku/>
              <w:wordWrap w:val="0"/>
              <w:overflowPunct/>
              <w:bidi w:val="0"/>
              <w:spacing w:line="3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14</w:t>
            </w:r>
          </w:p>
        </w:tc>
        <w:tc>
          <w:tcPr>
            <w:tcW w:w="1081" w:type="dxa"/>
            <w:noWrap w:val="0"/>
            <w:vAlign w:val="center"/>
          </w:tcPr>
          <w:p>
            <w:pPr>
              <w:pStyle w:val="68"/>
              <w:pageBreakBefore w:val="0"/>
              <w:kinsoku/>
              <w:wordWrap w:val="0"/>
              <w:overflowPunct/>
              <w:bidi w:val="0"/>
              <w:spacing w:line="3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设计承诺</w:t>
            </w:r>
          </w:p>
        </w:tc>
        <w:tc>
          <w:tcPr>
            <w:tcW w:w="3226" w:type="dxa"/>
            <w:noWrap w:val="0"/>
            <w:vAlign w:val="center"/>
          </w:tcPr>
          <w:p>
            <w:pPr>
              <w:pStyle w:val="69"/>
              <w:pageBreakBefore w:val="0"/>
              <w:kinsoku/>
              <w:wordWrap w:val="0"/>
              <w:overflowPunct/>
              <w:bidi w:val="0"/>
              <w:spacing w:line="300" w:lineRule="exact"/>
              <w:ind w:left="0" w:leftChars="0"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如我方中标，我方保证按设计规范及有关法律法规进行设计，并准时提供相应设计文件经审图机构审查通过。</w:t>
            </w:r>
          </w:p>
        </w:tc>
        <w:tc>
          <w:tcPr>
            <w:tcW w:w="4796" w:type="dxa"/>
            <w:noWrap w:val="0"/>
            <w:vAlign w:val="center"/>
          </w:tcPr>
          <w:p>
            <w:pPr>
              <w:pStyle w:val="69"/>
              <w:pageBreakBefore w:val="0"/>
              <w:kinsoku/>
              <w:wordWrap w:val="0"/>
              <w:overflowPunct/>
              <w:bidi w:val="0"/>
              <w:spacing w:line="300" w:lineRule="exact"/>
              <w:ind w:left="0" w:leftChars="0"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如我方中标，未能按招标文件要求提供设计文件，招标人有权终止合同，扣除设计费的10%作为违约罚款，并由招标人另行委托相应资质的单位进行设计，其费用由中标人支付，施工工期不予顺延且不另外计取赶工措施费。</w:t>
            </w:r>
          </w:p>
          <w:p>
            <w:pPr>
              <w:pStyle w:val="69"/>
              <w:pageBreakBefore w:val="0"/>
              <w:kinsoku/>
              <w:wordWrap w:val="0"/>
              <w:overflowPunct/>
              <w:bidi w:val="0"/>
              <w:spacing w:line="300" w:lineRule="exact"/>
              <w:ind w:left="0" w:leftChars="0"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由于设计人设计工作错误造成工程设计质量事故，根据责任情况，负责赔偿工程损失费，但最高不超过该项目应收设计费总额，负责采取补救措施。</w:t>
            </w:r>
          </w:p>
          <w:p>
            <w:pPr>
              <w:pStyle w:val="69"/>
              <w:pageBreakBefore w:val="0"/>
              <w:kinsoku/>
              <w:wordWrap w:val="0"/>
              <w:overflowPunct/>
              <w:bidi w:val="0"/>
              <w:spacing w:line="300" w:lineRule="exact"/>
              <w:ind w:left="0" w:leftChars="0"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施工期间除发包人要求或特殊地质原因外，因设计质量和深度不够的原因引起的工程返工或需要设计变更引起工程造价增加的，每次扣减设计合同价款中设计费的2％，扣完为止。</w:t>
            </w:r>
          </w:p>
          <w:p>
            <w:pPr>
              <w:pStyle w:val="69"/>
              <w:pageBreakBefore w:val="0"/>
              <w:kinsoku/>
              <w:wordWrap w:val="0"/>
              <w:overflowPunct/>
              <w:bidi w:val="0"/>
              <w:spacing w:line="300" w:lineRule="exact"/>
              <w:ind w:left="0" w:leftChars="0"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因设计单位自身原因造成工程结算超施工招标中标价的，扣除应付设计合同价款中的余款。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03" w:hRule="atLeast"/>
          <w:jc w:val="center"/>
        </w:trPr>
        <w:tc>
          <w:tcPr>
            <w:tcW w:w="656" w:type="dxa"/>
            <w:shd w:val="clear" w:color="auto" w:fill="auto"/>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15</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综合服务能力承诺</w:t>
            </w:r>
          </w:p>
        </w:tc>
        <w:tc>
          <w:tcPr>
            <w:tcW w:w="3226" w:type="dxa"/>
            <w:noWrap w:val="0"/>
            <w:vAlign w:val="center"/>
          </w:tcPr>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我方保证中标后，自行解决施工中遇到的各种外部问题，协调周边企业、村民关系，并承担由此产生的所以责任及损失。</w:t>
            </w:r>
          </w:p>
        </w:tc>
        <w:tc>
          <w:tcPr>
            <w:tcW w:w="4796" w:type="dxa"/>
            <w:noWrap w:val="0"/>
            <w:vAlign w:val="center"/>
          </w:tcPr>
          <w:p>
            <w:pPr>
              <w:pStyle w:val="62"/>
              <w:pageBreakBefore w:val="0"/>
              <w:kinsoku/>
              <w:wordWrap w:val="0"/>
              <w:overflowPunct/>
              <w:bidi w:val="0"/>
              <w:spacing w:line="380" w:lineRule="exact"/>
              <w:ind w:firstLine="42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若我方未能按招标文件所承诺的各项承诺完成时，我方同意按比例扣除相应履约保证金，并承担由此引起的所有责任。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64" w:hRule="atLeast"/>
          <w:jc w:val="center"/>
        </w:trPr>
        <w:tc>
          <w:tcPr>
            <w:tcW w:w="656" w:type="dxa"/>
            <w:shd w:val="clear" w:color="auto" w:fill="auto"/>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16</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廉政承诺</w:t>
            </w:r>
          </w:p>
        </w:tc>
        <w:tc>
          <w:tcPr>
            <w:tcW w:w="3226" w:type="dxa"/>
            <w:noWrap w:val="0"/>
            <w:vAlign w:val="center"/>
          </w:tcPr>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如我方中标，我方将严格执行国家、广东省、韶关市有关工程建设廉政的有关法律法规及双方签订的廉政合同。</w:t>
            </w:r>
          </w:p>
        </w:tc>
        <w:tc>
          <w:tcPr>
            <w:tcW w:w="4796" w:type="dxa"/>
            <w:noWrap w:val="0"/>
            <w:vAlign w:val="center"/>
          </w:tcPr>
          <w:p>
            <w:pPr>
              <w:pStyle w:val="62"/>
              <w:pageBreakBefore w:val="0"/>
              <w:kinsoku/>
              <w:wordWrap w:val="0"/>
              <w:overflowPunct/>
              <w:bidi w:val="0"/>
              <w:spacing w:line="380" w:lineRule="exact"/>
              <w:ind w:firstLine="42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如我方违反国家、广东省、韶关市有关工程建设廉政的有关法律法规及双方签订的廉政合同，受到相关主管部门的通报或查处，招标人可按规定对我方进行处罚，情节严重时招标人可终止合同，我方承担由此造成的所有责任和经济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77" w:hRule="atLeast"/>
          <w:jc w:val="center"/>
        </w:trPr>
        <w:tc>
          <w:tcPr>
            <w:tcW w:w="656" w:type="dxa"/>
            <w:shd w:val="clear" w:color="auto" w:fill="auto"/>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17</w:t>
            </w:r>
          </w:p>
        </w:tc>
        <w:tc>
          <w:tcPr>
            <w:tcW w:w="1081" w:type="dxa"/>
            <w:noWrap w:val="0"/>
            <w:vAlign w:val="center"/>
          </w:tcPr>
          <w:p>
            <w:pPr>
              <w:pageBreakBefore w:val="0"/>
              <w:kinsoku/>
              <w:wordWrap w:val="0"/>
              <w:overflowPunct/>
              <w:bidi w:val="0"/>
              <w:spacing w:line="3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对外协调关系承诺</w:t>
            </w:r>
          </w:p>
        </w:tc>
        <w:tc>
          <w:tcPr>
            <w:tcW w:w="3226" w:type="dxa"/>
            <w:noWrap w:val="0"/>
            <w:vAlign w:val="center"/>
          </w:tcPr>
          <w:p>
            <w:pPr>
              <w:pStyle w:val="9"/>
              <w:pageBreakBefore w:val="0"/>
              <w:kinsoku/>
              <w:wordWrap w:val="0"/>
              <w:overflowPunct/>
              <w:bidi w:val="0"/>
              <w:spacing w:line="3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我方保证中标后，自行解决施工中遇到的各种外部问题，协调周边企业、村民关系，并承担由此产生的所有责任及损失。</w:t>
            </w:r>
          </w:p>
        </w:tc>
        <w:tc>
          <w:tcPr>
            <w:tcW w:w="4796" w:type="dxa"/>
            <w:noWrap w:val="0"/>
            <w:vAlign w:val="center"/>
          </w:tcPr>
          <w:p>
            <w:pPr>
              <w:pStyle w:val="9"/>
              <w:pageBreakBefore w:val="0"/>
              <w:kinsoku/>
              <w:wordWrap w:val="0"/>
              <w:overflowPunct/>
              <w:bidi w:val="0"/>
              <w:spacing w:line="3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若我方未能按招标文件所承诺的各项承诺完成时，我方同意按比例扣除相应履约保证金，并承担由此引起的所有责任。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24" w:hRule="atLeast"/>
          <w:jc w:val="center"/>
        </w:trPr>
        <w:tc>
          <w:tcPr>
            <w:tcW w:w="656" w:type="dxa"/>
            <w:shd w:val="clear" w:color="auto" w:fill="auto"/>
            <w:noWrap w:val="0"/>
            <w:vAlign w:val="center"/>
          </w:tcPr>
          <w:p>
            <w:pPr>
              <w:pStyle w:val="37"/>
              <w:pageBreakBefore w:val="0"/>
              <w:kinsoku/>
              <w:wordWrap w:val="0"/>
              <w:overflowPunct/>
              <w:bidi w:val="0"/>
              <w:spacing w:line="240" w:lineRule="auto"/>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18</w:t>
            </w:r>
          </w:p>
        </w:tc>
        <w:tc>
          <w:tcPr>
            <w:tcW w:w="1081" w:type="dxa"/>
            <w:noWrap w:val="0"/>
            <w:vAlign w:val="center"/>
          </w:tcPr>
          <w:p>
            <w:pPr>
              <w:pStyle w:val="62"/>
              <w:pageBreakBefore w:val="0"/>
              <w:kinsoku/>
              <w:wordWrap w:val="0"/>
              <w:overflowPunct/>
              <w:bidi w:val="0"/>
              <w:adjustRightInd w:val="0"/>
              <w:snapToGrid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投标文件信息公开承诺</w:t>
            </w:r>
          </w:p>
        </w:tc>
        <w:tc>
          <w:tcPr>
            <w:tcW w:w="3226" w:type="dxa"/>
            <w:noWrap w:val="0"/>
            <w:vAlign w:val="center"/>
          </w:tcPr>
          <w:p>
            <w:pPr>
              <w:pStyle w:val="62"/>
              <w:pageBreakBefore w:val="0"/>
              <w:kinsoku/>
              <w:wordWrap w:val="0"/>
              <w:overflowPunct/>
              <w:bidi w:val="0"/>
              <w:adjustRightInd w:val="0"/>
              <w:snapToGrid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我方提供完整的电子文件。如</w:t>
            </w:r>
            <w:r>
              <w:rPr>
                <w:rFonts w:hint="eastAsia" w:ascii="宋体" w:hAnsi="宋体" w:eastAsia="宋体" w:cs="宋体"/>
                <w:color w:val="000000" w:themeColor="text1"/>
                <w:sz w:val="21"/>
                <w:szCs w:val="21"/>
                <w:highlight w:val="none"/>
                <w:lang w:eastAsia="zh-CN"/>
                <w14:textFill>
                  <w14:solidFill>
                    <w14:schemeClr w14:val="tx1"/>
                  </w14:solidFill>
                </w14:textFill>
              </w:rPr>
              <w:t>果</w:t>
            </w:r>
            <w:r>
              <w:rPr>
                <w:rFonts w:hint="eastAsia" w:ascii="宋体" w:hAnsi="宋体" w:eastAsia="宋体" w:cs="宋体"/>
                <w:color w:val="000000" w:themeColor="text1"/>
                <w:sz w:val="21"/>
                <w:szCs w:val="21"/>
                <w:highlight w:val="none"/>
                <w14:textFill>
                  <w14:solidFill>
                    <w14:schemeClr w14:val="tx1"/>
                  </w14:solidFill>
                </w14:textFill>
              </w:rPr>
              <w:t>我方成为本项目中标候选人，我方同意并授权招标人</w:t>
            </w:r>
            <w:r>
              <w:rPr>
                <w:rFonts w:hint="eastAsia" w:ascii="宋体" w:hAnsi="宋体" w:eastAsia="宋体" w:cs="宋体"/>
                <w:color w:val="000000" w:themeColor="text1"/>
                <w:sz w:val="21"/>
                <w:szCs w:val="21"/>
                <w:highlight w:val="none"/>
                <w:lang w:eastAsia="zh-CN"/>
                <w14:textFill>
                  <w14:solidFill>
                    <w14:schemeClr w14:val="tx1"/>
                  </w14:solidFill>
                </w14:textFill>
              </w:rPr>
              <w:t>在评标结果公示期内公开</w:t>
            </w:r>
            <w:r>
              <w:rPr>
                <w:rFonts w:hint="eastAsia" w:ascii="宋体" w:hAnsi="宋体" w:eastAsia="宋体" w:cs="宋体"/>
                <w:color w:val="000000" w:themeColor="text1"/>
                <w:sz w:val="21"/>
                <w:szCs w:val="21"/>
                <w:highlight w:val="none"/>
                <w14:textFill>
                  <w14:solidFill>
                    <w14:schemeClr w14:val="tx1"/>
                  </w14:solidFill>
                </w14:textFill>
              </w:rPr>
              <w:t>我方商务部分的</w:t>
            </w:r>
            <w:r>
              <w:rPr>
                <w:rFonts w:hint="eastAsia" w:ascii="宋体" w:hAnsi="宋体" w:eastAsia="宋体" w:cs="宋体"/>
                <w:color w:val="000000" w:themeColor="text1"/>
                <w:sz w:val="21"/>
                <w:szCs w:val="21"/>
                <w:highlight w:val="none"/>
                <w:lang w:eastAsia="zh-CN"/>
                <w14:textFill>
                  <w14:solidFill>
                    <w14:schemeClr w14:val="tx1"/>
                  </w14:solidFill>
                </w14:textFill>
              </w:rPr>
              <w:t>全部</w:t>
            </w:r>
            <w:r>
              <w:rPr>
                <w:rFonts w:hint="eastAsia" w:ascii="宋体" w:hAnsi="宋体" w:eastAsia="宋体" w:cs="宋体"/>
                <w:color w:val="000000" w:themeColor="text1"/>
                <w:sz w:val="21"/>
                <w:szCs w:val="21"/>
                <w:highlight w:val="none"/>
                <w14:textFill>
                  <w14:solidFill>
                    <w14:schemeClr w14:val="tx1"/>
                  </w14:solidFill>
                </w14:textFill>
              </w:rPr>
              <w:t>内容。</w:t>
            </w:r>
          </w:p>
        </w:tc>
        <w:tc>
          <w:tcPr>
            <w:tcW w:w="4796" w:type="dxa"/>
            <w:tcBorders>
              <w:tr2bl w:val="single" w:color="auto" w:sz="4" w:space="0"/>
            </w:tcBorders>
            <w:noWrap w:val="0"/>
            <w:vAlign w:val="center"/>
          </w:tcPr>
          <w:p>
            <w:pPr>
              <w:pStyle w:val="62"/>
              <w:pageBreakBefore w:val="0"/>
              <w:kinsoku/>
              <w:wordWrap w:val="0"/>
              <w:overflowPunct/>
              <w:bidi w:val="0"/>
              <w:adjustRightInd w:val="0"/>
              <w:snapToGrid w:val="0"/>
              <w:spacing w:line="380" w:lineRule="exact"/>
              <w:ind w:firstLine="0" w:firstLineChars="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0" w:hRule="atLeast"/>
          <w:jc w:val="center"/>
        </w:trPr>
        <w:tc>
          <w:tcPr>
            <w:tcW w:w="656" w:type="dxa"/>
            <w:shd w:val="clear" w:color="auto" w:fill="auto"/>
            <w:noWrap w:val="0"/>
            <w:vAlign w:val="center"/>
          </w:tcPr>
          <w:p>
            <w:pPr>
              <w:pStyle w:val="7"/>
              <w:pageBreakBefore w:val="0"/>
              <w:kinsoku/>
              <w:wordWrap w:val="0"/>
              <w:overflowPunct/>
              <w:bidi w:val="0"/>
              <w:spacing w:line="380" w:lineRule="exact"/>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19</w:t>
            </w:r>
          </w:p>
        </w:tc>
        <w:tc>
          <w:tcPr>
            <w:tcW w:w="1081" w:type="dxa"/>
            <w:noWrap w:val="0"/>
            <w:vAlign w:val="center"/>
          </w:tcPr>
          <w:p>
            <w:pPr>
              <w:pageBreakBefore w:val="0"/>
              <w:kinsoku/>
              <w:wordWrap w:val="0"/>
              <w:overflowPunct/>
              <w:bidi w:val="0"/>
              <w:jc w:val="center"/>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按时签订合同的承诺</w:t>
            </w:r>
          </w:p>
        </w:tc>
        <w:tc>
          <w:tcPr>
            <w:tcW w:w="3226" w:type="dxa"/>
            <w:noWrap w:val="0"/>
            <w:vAlign w:val="center"/>
          </w:tcPr>
          <w:p>
            <w:pPr>
              <w:pStyle w:val="62"/>
              <w:pageBreakBefore w:val="0"/>
              <w:kinsoku/>
              <w:wordWrap w:val="0"/>
              <w:overflowPunct/>
              <w:bidi w:val="0"/>
              <w:adjustRightInd w:val="0"/>
              <w:snapToGrid w:val="0"/>
              <w:spacing w:line="380" w:lineRule="exact"/>
              <w:ind w:firstLine="42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如果我方中标，我方保证在招标文件规定的时限内与招标人签订合同，不提出违背或超出招标文件、中标文件的要求。</w:t>
            </w:r>
          </w:p>
        </w:tc>
        <w:tc>
          <w:tcPr>
            <w:tcW w:w="4796" w:type="dxa"/>
            <w:noWrap w:val="0"/>
            <w:vAlign w:val="center"/>
          </w:tcPr>
          <w:p>
            <w:pPr>
              <w:pStyle w:val="62"/>
              <w:pageBreakBefore w:val="0"/>
              <w:kinsoku/>
              <w:wordWrap w:val="0"/>
              <w:overflowPunct/>
              <w:bidi w:val="0"/>
              <w:adjustRightInd w:val="0"/>
              <w:snapToGrid w:val="0"/>
              <w:spacing w:line="380" w:lineRule="exact"/>
              <w:ind w:firstLine="42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7" w:hRule="atLeast"/>
          <w:jc w:val="center"/>
        </w:trPr>
        <w:tc>
          <w:tcPr>
            <w:tcW w:w="656" w:type="dxa"/>
            <w:shd w:val="clear" w:color="auto" w:fill="auto"/>
            <w:noWrap w:val="0"/>
            <w:vAlign w:val="center"/>
          </w:tcPr>
          <w:p>
            <w:pPr>
              <w:pStyle w:val="7"/>
              <w:pageBreakBefore w:val="0"/>
              <w:kinsoku/>
              <w:wordWrap w:val="0"/>
              <w:overflowPunct/>
              <w:bidi w:val="0"/>
              <w:spacing w:line="380" w:lineRule="exact"/>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20</w:t>
            </w:r>
          </w:p>
        </w:tc>
        <w:tc>
          <w:tcPr>
            <w:tcW w:w="1081" w:type="dxa"/>
            <w:noWrap w:val="0"/>
            <w:vAlign w:val="center"/>
          </w:tcPr>
          <w:p>
            <w:pPr>
              <w:pStyle w:val="62"/>
              <w:pageBreakBefore w:val="0"/>
              <w:kinsoku/>
              <w:wordWrap w:val="0"/>
              <w:overflowPunct/>
              <w:bidi w:val="0"/>
              <w:snapToGrid w:val="0"/>
              <w:spacing w:line="40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质量安全受检承诺</w:t>
            </w:r>
          </w:p>
        </w:tc>
        <w:tc>
          <w:tcPr>
            <w:tcW w:w="3226" w:type="dxa"/>
            <w:noWrap w:val="0"/>
            <w:vAlign w:val="center"/>
          </w:tcPr>
          <w:p>
            <w:pPr>
              <w:pStyle w:val="62"/>
              <w:pageBreakBefore w:val="0"/>
              <w:kinsoku/>
              <w:wordWrap w:val="0"/>
              <w:overflowPunct/>
              <w:bidi w:val="0"/>
              <w:snapToGrid w:val="0"/>
              <w:spacing w:line="40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若我方中标，我方承诺本项目在建设过程中，设计及施工的质量安全等相关实施内容按照业主单位、发包单位的相关管理规定和质量安全考核要求，随时接受业主单位、发包单位自行或委托的第三方的监督检查及考核，我方保证无条件配合。</w:t>
            </w:r>
          </w:p>
        </w:tc>
        <w:tc>
          <w:tcPr>
            <w:tcW w:w="4796" w:type="dxa"/>
            <w:noWrap w:val="0"/>
            <w:vAlign w:val="center"/>
          </w:tcPr>
          <w:p>
            <w:pPr>
              <w:pStyle w:val="62"/>
              <w:pageBreakBefore w:val="0"/>
              <w:kinsoku/>
              <w:wordWrap w:val="0"/>
              <w:overflowPunct/>
              <w:bidi w:val="0"/>
              <w:snapToGrid w:val="0"/>
              <w:spacing w:line="400" w:lineRule="exact"/>
              <w:ind w:firstLine="420" w:firstLineChars="20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如我方不配合或未通过相关的监督检查及考核，我方承诺接受业主单位、发包单位的相关管理规定和处罚，并承担相应的责任。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shd w:val="clear" w:color="auto" w:fill="auto"/>
            <w:noWrap w:val="0"/>
            <w:vAlign w:val="center"/>
          </w:tcPr>
          <w:p>
            <w:pPr>
              <w:pStyle w:val="7"/>
              <w:pageBreakBefore w:val="0"/>
              <w:kinsoku/>
              <w:wordWrap w:val="0"/>
              <w:overflowPunct/>
              <w:bidi w:val="0"/>
              <w:spacing w:line="380" w:lineRule="exact"/>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21</w:t>
            </w:r>
          </w:p>
        </w:tc>
        <w:tc>
          <w:tcPr>
            <w:tcW w:w="1081" w:type="dxa"/>
            <w:noWrap w:val="0"/>
            <w:vAlign w:val="center"/>
          </w:tcPr>
          <w:p>
            <w:pPr>
              <w:pStyle w:val="62"/>
              <w:pageBreakBefore w:val="0"/>
              <w:kinsoku/>
              <w:wordWrap w:val="0"/>
              <w:overflowPunct/>
              <w:bidi w:val="0"/>
              <w:snapToGrid w:val="0"/>
              <w:spacing w:line="400" w:lineRule="exact"/>
              <w:ind w:firstLine="0" w:firstLineChars="0"/>
              <w:jc w:val="center"/>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对工程预付款的使用承诺</w:t>
            </w:r>
          </w:p>
        </w:tc>
        <w:tc>
          <w:tcPr>
            <w:tcW w:w="3226" w:type="dxa"/>
            <w:noWrap w:val="0"/>
            <w:vAlign w:val="center"/>
          </w:tcPr>
          <w:p>
            <w:pPr>
              <w:pStyle w:val="62"/>
              <w:pageBreakBefore w:val="0"/>
              <w:kinsoku/>
              <w:wordWrap w:val="0"/>
              <w:overflowPunct/>
              <w:bidi w:val="0"/>
              <w:snapToGrid w:val="0"/>
              <w:spacing w:line="400" w:lineRule="exact"/>
              <w:ind w:firstLine="420" w:firstLineChars="20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我方保证工程预付款用于主要建筑材料的备料及支付工人工资。</w:t>
            </w:r>
          </w:p>
        </w:tc>
        <w:tc>
          <w:tcPr>
            <w:tcW w:w="4796" w:type="dxa"/>
            <w:tcBorders>
              <w:tr2bl w:val="single" w:color="auto" w:sz="4" w:space="0"/>
            </w:tcBorders>
            <w:noWrap w:val="0"/>
            <w:vAlign w:val="center"/>
          </w:tcPr>
          <w:p>
            <w:pPr>
              <w:pStyle w:val="62"/>
              <w:pageBreakBefore w:val="0"/>
              <w:kinsoku/>
              <w:wordWrap w:val="0"/>
              <w:overflowPunct/>
              <w:bidi w:val="0"/>
              <w:adjustRightInd w:val="0"/>
              <w:snapToGrid w:val="0"/>
              <w:spacing w:line="380" w:lineRule="exact"/>
              <w:ind w:firstLine="420"/>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r>
    </w:tbl>
    <w:p>
      <w:pPr>
        <w:pStyle w:val="70"/>
        <w:pageBreakBefore w:val="0"/>
        <w:kinsoku/>
        <w:wordWrap w:val="0"/>
        <w:overflowPunct/>
        <w:bidi w:val="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p>
      <w:pPr>
        <w:pStyle w:val="70"/>
        <w:pageBreakBefore w:val="0"/>
        <w:kinsoku/>
        <w:wordWrap w:val="0"/>
        <w:overflowPunct/>
        <w:bidi w:val="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注：所有违约金均从中标人的进度款中扣除，最终结算以扣除违约金总数后的金额为准。</w:t>
      </w:r>
    </w:p>
    <w:p>
      <w:pPr>
        <w:pStyle w:val="37"/>
        <w:pageBreakBefore w:val="0"/>
        <w:kinsoku/>
        <w:wordWrap w:val="0"/>
        <w:overflowPunct/>
        <w:bidi w:val="0"/>
        <w:spacing w:line="400" w:lineRule="exact"/>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p>
      <w:pPr>
        <w:pStyle w:val="11"/>
        <w:pageBreakBefore w:val="0"/>
        <w:kinsoku/>
        <w:wordWrap w:val="0"/>
        <w:overflowPunct/>
        <w:bidi w:val="0"/>
        <w:adjustRightInd w:val="0"/>
        <w:snapToGrid w:val="0"/>
        <w:spacing w:line="420" w:lineRule="exact"/>
        <w:ind w:firstLine="480" w:firstLineChars="200"/>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投标人：</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（盖单位章）</w:t>
      </w:r>
    </w:p>
    <w:p>
      <w:pPr>
        <w:pStyle w:val="11"/>
        <w:pageBreakBefore w:val="0"/>
        <w:kinsoku/>
        <w:wordWrap w:val="0"/>
        <w:overflowPunct/>
        <w:bidi w:val="0"/>
        <w:adjustRightInd w:val="0"/>
        <w:snapToGrid w:val="0"/>
        <w:spacing w:line="420" w:lineRule="exact"/>
        <w:ind w:firstLine="480" w:firstLineChars="200"/>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p>
    <w:p>
      <w:pPr>
        <w:pStyle w:val="11"/>
        <w:pageBreakBefore w:val="0"/>
        <w:kinsoku/>
        <w:wordWrap w:val="0"/>
        <w:overflowPunct/>
        <w:bidi w:val="0"/>
        <w:adjustRightInd w:val="0"/>
        <w:snapToGrid w:val="0"/>
        <w:spacing w:line="420" w:lineRule="exact"/>
        <w:ind w:firstLine="480" w:firstLineChars="200"/>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法定代表人或其委托代理人：</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（签字或盖章）</w:t>
      </w:r>
    </w:p>
    <w:p>
      <w:pPr>
        <w:pStyle w:val="11"/>
        <w:pageBreakBefore w:val="0"/>
        <w:kinsoku/>
        <w:wordWrap w:val="0"/>
        <w:overflowPunct/>
        <w:bidi w:val="0"/>
        <w:adjustRightInd w:val="0"/>
        <w:snapToGrid w:val="0"/>
        <w:spacing w:line="420" w:lineRule="exact"/>
        <w:ind w:firstLine="480" w:firstLineChars="200"/>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w:t>
      </w:r>
    </w:p>
    <w:p>
      <w:pPr>
        <w:pageBreakBefore w:val="0"/>
        <w:widowControl/>
        <w:kinsoku/>
        <w:wordWrap w:val="0"/>
        <w:overflowPunct/>
        <w:bidi w:val="0"/>
        <w:jc w:val="right"/>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年</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月</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日</w:t>
      </w: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br w:type="page"/>
      </w:r>
    </w:p>
    <w:p>
      <w:pPr>
        <w:pStyle w:val="4"/>
        <w:pageBreakBefore w:val="0"/>
        <w:kinsoku/>
        <w:wordWrap w:val="0"/>
        <w:overflowPunct/>
        <w:bidi w:val="0"/>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23" w:name="_Toc30764"/>
      <w:bookmarkStart w:id="524" w:name="_Toc10981"/>
      <w:bookmarkStart w:id="525" w:name="_Toc30463"/>
      <w:bookmarkStart w:id="526" w:name="_Toc26297"/>
      <w:bookmarkStart w:id="527" w:name="_Toc6896"/>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w:t>
      </w: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五</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授权委托书</w:t>
      </w:r>
      <w:bookmarkEnd w:id="523"/>
      <w:bookmarkEnd w:id="524"/>
      <w:bookmarkEnd w:id="525"/>
      <w:bookmarkEnd w:id="526"/>
      <w:bookmarkEnd w:id="527"/>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before="260" w:after="260" w:line="440" w:lineRule="exact"/>
        <w:jc w:val="cente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t>授权委托书</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本人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（姓名）系</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（投标人名称）的法定代表人，现委托</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（姓名）为我方代理人。代理人根据授权，以我方名义签署、澄清、说明、补正、递交、撤回、修改</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（项目名称）投标文件、签订合同和处理有关事宜，其法律后果由我方承担。</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委托期限：至</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年   月   日</w:t>
      </w:r>
      <w:r>
        <w:rPr>
          <w:rFonts w:hint="eastAsia" w:asciiTheme="minorEastAsia" w:hAnsiTheme="minorEastAsia" w:eastAsiaTheme="minorEastAsia" w:cstheme="minorEastAsia"/>
          <w:i/>
          <w:iCs/>
          <w:snapToGrid w:val="0"/>
          <w:color w:val="000000" w:themeColor="text1"/>
          <w:kern w:val="0"/>
          <w:szCs w:val="24"/>
          <w:highlight w:val="none"/>
          <w:u w:val="single"/>
          <w14:textFill>
            <w14:solidFill>
              <w14:schemeClr w14:val="tx1"/>
            </w14:solidFill>
          </w14:textFill>
        </w:rPr>
        <w:t>（不得短于招标文件规定的投标有效期）</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代理人无转委托权。</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ind w:firstLine="480" w:firstLineChars="200"/>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  标  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（盖单位章）</w:t>
      </w:r>
    </w:p>
    <w:p>
      <w:pPr>
        <w:pageBreakBefore w:val="0"/>
        <w:kinsoku/>
        <w:wordWrap w:val="0"/>
        <w:overflowPunct/>
        <w:bidi w:val="0"/>
        <w:adjustRightInd w:val="0"/>
        <w:snapToGrid w:val="0"/>
        <w:spacing w:line="440" w:lineRule="exact"/>
        <w:ind w:firstLine="480" w:firstLineChars="200"/>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ind w:firstLine="480" w:firstLineChars="200"/>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法定代表人：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（签字或盖章）</w:t>
      </w:r>
    </w:p>
    <w:p>
      <w:pPr>
        <w:pageBreakBefore w:val="0"/>
        <w:kinsoku/>
        <w:wordWrap w:val="0"/>
        <w:overflowPunct/>
        <w:bidi w:val="0"/>
        <w:adjustRightInd w:val="0"/>
        <w:snapToGrid w:val="0"/>
        <w:spacing w:line="440" w:lineRule="exact"/>
        <w:ind w:firstLine="480" w:firstLineChars="200"/>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ind w:firstLine="480" w:firstLineChars="200"/>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委托代理人：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（签字或盖章）</w:t>
      </w:r>
    </w:p>
    <w:p>
      <w:pPr>
        <w:pageBreakBefore w:val="0"/>
        <w:kinsoku/>
        <w:wordWrap w:val="0"/>
        <w:overflowPunct/>
        <w:bidi w:val="0"/>
        <w:adjustRightInd w:val="0"/>
        <w:snapToGrid w:val="0"/>
        <w:spacing w:line="440" w:lineRule="exact"/>
        <w:ind w:firstLine="480" w:firstLineChars="200"/>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日</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ind w:firstLine="5520" w:firstLineChars="23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1466850</wp:posOffset>
                </wp:positionH>
                <wp:positionV relativeFrom="paragraph">
                  <wp:posOffset>33020</wp:posOffset>
                </wp:positionV>
                <wp:extent cx="3190875" cy="1584325"/>
                <wp:effectExtent l="4445" t="4445" r="5080" b="11430"/>
                <wp:wrapNone/>
                <wp:docPr id="10" name="流程图: 可选过程 10"/>
                <wp:cNvGraphicFramePr/>
                <a:graphic xmlns:a="http://schemas.openxmlformats.org/drawingml/2006/main">
                  <a:graphicData uri="http://schemas.microsoft.com/office/word/2010/wordprocessingShape">
                    <wps:wsp>
                      <wps:cNvSpPr/>
                      <wps:spPr>
                        <a:xfrm>
                          <a:off x="0" y="0"/>
                          <a:ext cx="319087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int="default"/>
                                <w:szCs w:val="21"/>
                              </w:rPr>
                            </w:pPr>
                          </w:p>
                          <w:p>
                            <w:pPr>
                              <w:jc w:val="center"/>
                              <w:rPr>
                                <w:rFonts w:hint="default"/>
                                <w:szCs w:val="21"/>
                              </w:rPr>
                            </w:pPr>
                          </w:p>
                          <w:p>
                            <w:pPr>
                              <w:jc w:val="center"/>
                              <w:rPr>
                                <w:rFonts w:hint="default"/>
                                <w:szCs w:val="21"/>
                              </w:rPr>
                            </w:pPr>
                          </w:p>
                          <w:p>
                            <w:pPr>
                              <w:jc w:val="center"/>
                              <w:rPr>
                                <w:rFonts w:hint="eastAsia" w:ascii="宋体" w:hAnsi="宋体" w:eastAsia="宋体" w:cs="宋体"/>
                                <w:szCs w:val="21"/>
                              </w:rPr>
                            </w:pPr>
                            <w:r>
                              <w:rPr>
                                <w:rFonts w:hint="eastAsia" w:ascii="宋体" w:hAnsi="宋体" w:eastAsia="宋体" w:cs="宋体"/>
                                <w:szCs w:val="21"/>
                              </w:rPr>
                              <w:t>委托代理人身份证彩色扫描件正、反面</w:t>
                            </w:r>
                          </w:p>
                        </w:txbxContent>
                      </wps:txbx>
                      <wps:bodyPr wrap="square" upright="1"/>
                    </wps:wsp>
                  </a:graphicData>
                </a:graphic>
              </wp:anchor>
            </w:drawing>
          </mc:Choice>
          <mc:Fallback>
            <w:pict>
              <v:shape id="_x0000_s1026" o:spid="_x0000_s1026" o:spt="176" type="#_x0000_t176" style="position:absolute;left:0pt;margin-left:115.5pt;margin-top:2.6pt;height:124.75pt;width:251.25pt;z-index:251663360;mso-width-relative:page;mso-height-relative:page;" fillcolor="#FFFFFF" filled="t" stroked="t" coordsize="21600,21600" o:gfxdata="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rJ9Os2AAAAAkBAAAPAAAAAAAAAAEAIAAAACIAAABkcnMvZG93&#10;bnJldi54bWxQSwECFAAUAAAACACHTuJAsfZZWzkCAABuBAAADgAAAAAAAAABACAAAAAnAQAAZHJz&#10;L2Uyb0RvYy54bWxQSwUGAAAAAAYABgBZAQAA0gUAAAAA&#10;">
                <v:fill on="t" focussize="0,0"/>
                <v:stroke color="#000000" joinstyle="miter"/>
                <v:imagedata o:title=""/>
                <o:lock v:ext="edit" aspectratio="f"/>
                <v:textbox>
                  <w:txbxContent>
                    <w:p>
                      <w:pPr>
                        <w:jc w:val="center"/>
                        <w:rPr>
                          <w:rFonts w:hint="default"/>
                          <w:szCs w:val="21"/>
                        </w:rPr>
                      </w:pPr>
                    </w:p>
                    <w:p>
                      <w:pPr>
                        <w:jc w:val="center"/>
                        <w:rPr>
                          <w:rFonts w:hint="default"/>
                          <w:szCs w:val="21"/>
                        </w:rPr>
                      </w:pPr>
                    </w:p>
                    <w:p>
                      <w:pPr>
                        <w:jc w:val="center"/>
                        <w:rPr>
                          <w:rFonts w:hint="default"/>
                          <w:szCs w:val="21"/>
                        </w:rPr>
                      </w:pPr>
                    </w:p>
                    <w:p>
                      <w:pPr>
                        <w:jc w:val="center"/>
                        <w:rPr>
                          <w:rFonts w:hint="eastAsia" w:ascii="宋体" w:hAnsi="宋体" w:eastAsia="宋体" w:cs="宋体"/>
                          <w:szCs w:val="21"/>
                        </w:rPr>
                      </w:pPr>
                      <w:r>
                        <w:rPr>
                          <w:rFonts w:hint="eastAsia" w:ascii="宋体" w:hAnsi="宋体" w:eastAsia="宋体" w:cs="宋体"/>
                          <w:szCs w:val="21"/>
                        </w:rPr>
                        <w:t>委托代理人身份证彩色扫描件正、反面</w:t>
                      </w:r>
                    </w:p>
                  </w:txbxContent>
                </v:textbox>
              </v:shape>
            </w:pict>
          </mc:Fallback>
        </mc:AlternateContent>
      </w:r>
    </w:p>
    <w:p>
      <w:pPr>
        <w:pStyle w:val="8"/>
        <w:pageBreakBefore w:val="0"/>
        <w:kinsoku/>
        <w:wordWrap w:val="0"/>
        <w:overflowPunct/>
        <w:bidi w:val="0"/>
        <w:adjustRightInd w:val="0"/>
        <w:snapToGrid w:val="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p>
      <w:pPr>
        <w:pageBreakBefore w:val="0"/>
        <w:kinsoku/>
        <w:wordWrap w:val="0"/>
        <w:overflowPunct/>
        <w:bidi w:val="0"/>
        <w:adjustRightInd w:val="0"/>
        <w:snapToGrid w:val="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sectPr>
          <w:headerReference r:id="rId7" w:type="default"/>
          <w:footerReference r:id="rId8" w:type="default"/>
          <w:endnotePr>
            <w:numFmt w:val="decimal"/>
          </w:endnotePr>
          <w:pgSz w:w="11906" w:h="16838"/>
          <w:pgMar w:top="1701" w:right="1531" w:bottom="1417" w:left="1531" w:header="850" w:footer="737" w:gutter="0"/>
          <w:pgNumType w:fmt="decimal"/>
          <w:cols w:space="720" w:num="1"/>
          <w:docGrid w:linePitch="327" w:charSpace="0"/>
        </w:sectPr>
      </w:pPr>
    </w:p>
    <w:p>
      <w:pPr>
        <w:pStyle w:val="4"/>
        <w:pageBreakBefore w:val="0"/>
        <w:kinsoku/>
        <w:wordWrap w:val="0"/>
        <w:overflowPunct/>
        <w:bidi w:val="0"/>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28" w:name="_Toc21416"/>
      <w:bookmarkStart w:id="529" w:name="_Toc12031"/>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w:t>
      </w: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六</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法定代表人身份证明</w:t>
      </w:r>
      <w:bookmarkEnd w:id="528"/>
      <w:bookmarkEnd w:id="529"/>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before="260" w:after="260" w:line="440" w:lineRule="exact"/>
        <w:jc w:val="cente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t>法定代表人身份证明</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投标人名称：</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姓名：</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性别：</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年龄：</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职务：</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系</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（投标人名称）的法定代表人。</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特此证明。</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（盖单位章）</w:t>
      </w: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法定代表人：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（签字或盖章）</w:t>
      </w: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日       </w:t>
      </w:r>
    </w:p>
    <w:p>
      <w:pPr>
        <w:pageBreakBefore w:val="0"/>
        <w:kinsoku/>
        <w:wordWrap w:val="0"/>
        <w:overflowPunct/>
        <w:bidi w:val="0"/>
        <w:adjustRightInd w:val="0"/>
        <w:snapToGrid w:val="0"/>
        <w:spacing w:line="440" w:lineRule="exact"/>
        <w:ind w:firstLine="720" w:firstLineChars="300"/>
        <w:rPr>
          <w:rFonts w:hint="eastAsia" w:asciiTheme="minorEastAsia" w:hAnsiTheme="minorEastAsia" w:eastAsiaTheme="minorEastAsia" w:cstheme="minorEastAsia"/>
          <w:i/>
          <w:iCs/>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ind w:firstLine="720" w:firstLineChars="300"/>
        <w:rPr>
          <w:rFonts w:hint="eastAsia" w:asciiTheme="minorEastAsia" w:hAnsiTheme="minorEastAsia" w:eastAsiaTheme="minorEastAsia" w:cstheme="minorEastAsia"/>
          <w:i/>
          <w:iCs/>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1619250</wp:posOffset>
                </wp:positionH>
                <wp:positionV relativeFrom="paragraph">
                  <wp:posOffset>20320</wp:posOffset>
                </wp:positionV>
                <wp:extent cx="2825115" cy="1584325"/>
                <wp:effectExtent l="4445" t="4445" r="8890" b="11430"/>
                <wp:wrapNone/>
                <wp:docPr id="9" name="流程图: 可选过程 9"/>
                <wp:cNvGraphicFramePr/>
                <a:graphic xmlns:a="http://schemas.openxmlformats.org/drawingml/2006/main">
                  <a:graphicData uri="http://schemas.microsoft.com/office/word/2010/wordprocessingShape">
                    <wps:wsp>
                      <wps:cNvSpPr/>
                      <wps:spPr>
                        <a:xfrm>
                          <a:off x="0" y="0"/>
                          <a:ext cx="282511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int="default"/>
                                <w:szCs w:val="21"/>
                              </w:rPr>
                            </w:pPr>
                          </w:p>
                          <w:p>
                            <w:pPr>
                              <w:jc w:val="center"/>
                              <w:rPr>
                                <w:rFonts w:hint="default"/>
                                <w:szCs w:val="21"/>
                              </w:rPr>
                            </w:pPr>
                          </w:p>
                          <w:p>
                            <w:pPr>
                              <w:jc w:val="center"/>
                              <w:rPr>
                                <w:rFonts w:hint="default"/>
                                <w:szCs w:val="21"/>
                              </w:rPr>
                            </w:pPr>
                          </w:p>
                          <w:p>
                            <w:pPr>
                              <w:jc w:val="center"/>
                              <w:rPr>
                                <w:rFonts w:hint="eastAsia" w:ascii="宋体" w:hAnsi="宋体" w:eastAsia="宋体" w:cs="宋体"/>
                                <w:szCs w:val="21"/>
                              </w:rPr>
                            </w:pPr>
                            <w:r>
                              <w:rPr>
                                <w:rFonts w:hint="eastAsia" w:ascii="宋体" w:hAnsi="宋体" w:eastAsia="宋体" w:cs="宋体"/>
                                <w:szCs w:val="21"/>
                              </w:rPr>
                              <w:t>法定代表人身份证彩色扫描件正、反面</w:t>
                            </w:r>
                          </w:p>
                        </w:txbxContent>
                      </wps:txbx>
                      <wps:bodyPr wrap="square" upright="1"/>
                    </wps:wsp>
                  </a:graphicData>
                </a:graphic>
              </wp:anchor>
            </w:drawing>
          </mc:Choice>
          <mc:Fallback>
            <w:pict>
              <v:shape id="_x0000_s1026" o:spid="_x0000_s1026" o:spt="176" type="#_x0000_t176" style="position:absolute;left:0pt;margin-left:127.5pt;margin-top:1.6pt;height:124.75pt;width:222.45pt;z-index:251662336;mso-width-relative:page;mso-height-relative:page;" fillcolor="#FFFFFF" filled="t" stroked="t" coordsize="21600,21600" o:gfxdata="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HhXUptgAAAAJAQAADwAAAAAAAAABACAAAAAiAAAAZHJzL2Rvd25y&#10;ZXYueG1sUEsBAhQAFAAAAAgAh07iQEz7asY3AgAAbAQAAA4AAAAAAAAAAQAgAAAAJwEAAGRycy9l&#10;Mm9Eb2MueG1sUEsFBgAAAAAGAAYAWQEAANAFAAAAAA==&#10;">
                <v:fill on="t" focussize="0,0"/>
                <v:stroke color="#000000" joinstyle="miter"/>
                <v:imagedata o:title=""/>
                <o:lock v:ext="edit" aspectratio="f"/>
                <v:textbox>
                  <w:txbxContent>
                    <w:p>
                      <w:pPr>
                        <w:jc w:val="center"/>
                        <w:rPr>
                          <w:rFonts w:hint="default"/>
                          <w:szCs w:val="21"/>
                        </w:rPr>
                      </w:pPr>
                    </w:p>
                    <w:p>
                      <w:pPr>
                        <w:jc w:val="center"/>
                        <w:rPr>
                          <w:rFonts w:hint="default"/>
                          <w:szCs w:val="21"/>
                        </w:rPr>
                      </w:pPr>
                    </w:p>
                    <w:p>
                      <w:pPr>
                        <w:jc w:val="center"/>
                        <w:rPr>
                          <w:rFonts w:hint="default"/>
                          <w:szCs w:val="21"/>
                        </w:rPr>
                      </w:pPr>
                    </w:p>
                    <w:p>
                      <w:pPr>
                        <w:jc w:val="center"/>
                        <w:rPr>
                          <w:rFonts w:hint="eastAsia" w:ascii="宋体" w:hAnsi="宋体" w:eastAsia="宋体" w:cs="宋体"/>
                          <w:szCs w:val="21"/>
                        </w:rPr>
                      </w:pPr>
                      <w:r>
                        <w:rPr>
                          <w:rFonts w:hint="eastAsia" w:ascii="宋体" w:hAnsi="宋体" w:eastAsia="宋体" w:cs="宋体"/>
                          <w:szCs w:val="21"/>
                        </w:rPr>
                        <w:t>法定代表人身份证彩色扫描件正、反面</w:t>
                      </w:r>
                    </w:p>
                  </w:txbxContent>
                </v:textbox>
              </v:shape>
            </w:pict>
          </mc:Fallback>
        </mc:AlternateContent>
      </w:r>
    </w:p>
    <w:p>
      <w:pPr>
        <w:pageBreakBefore w:val="0"/>
        <w:tabs>
          <w:tab w:val="left" w:pos="654"/>
          <w:tab w:val="left" w:pos="1734"/>
          <w:tab w:val="left" w:pos="2814"/>
          <w:tab w:val="left" w:pos="3894"/>
          <w:tab w:val="left" w:pos="5334"/>
          <w:tab w:val="left" w:pos="6414"/>
          <w:tab w:val="left" w:pos="7254"/>
          <w:tab w:val="left" w:pos="8574"/>
          <w:tab w:val="left" w:pos="9654"/>
        </w:tabs>
        <w:kinsoku/>
        <w:wordWrap w:val="0"/>
        <w:overflowPunct/>
        <w:bidi w:val="0"/>
        <w:adjustRightInd w:val="0"/>
        <w:snapToGrid w:val="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80" w:lineRule="exact"/>
        <w:jc w:val="cente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80" w:lineRule="exact"/>
        <w:jc w:val="cente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80" w:lineRule="exact"/>
        <w:jc w:val="cente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p>
      <w:pPr>
        <w:pStyle w:val="4"/>
        <w:pageBreakBefore w:val="0"/>
        <w:kinsoku/>
        <w:wordWrap w:val="0"/>
        <w:overflowPunct/>
        <w:bidi w:val="0"/>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30" w:name="_Toc26395"/>
      <w:bookmarkStart w:id="531" w:name="_Toc26875"/>
      <w:bookmarkStart w:id="532" w:name="_Toc30665"/>
      <w:bookmarkStart w:id="533" w:name="_Toc16430"/>
      <w:bookmarkStart w:id="534" w:name="_Toc28920"/>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w:t>
      </w: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七</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联合体协议书</w:t>
      </w:r>
      <w:bookmarkEnd w:id="530"/>
      <w:bookmarkEnd w:id="531"/>
      <w:bookmarkEnd w:id="532"/>
      <w:bookmarkEnd w:id="533"/>
      <w:bookmarkEnd w:id="534"/>
    </w:p>
    <w:p>
      <w:pPr>
        <w:pStyle w:val="48"/>
        <w:pageBreakBefore w:val="0"/>
        <w:widowControl w:val="0"/>
        <w:kinsoku/>
        <w:wordWrap w:val="0"/>
        <w:overflowPunct/>
        <w:bidi w:val="0"/>
        <w:adjustRightInd w:val="0"/>
        <w:snapToGrid w:val="0"/>
        <w:spacing w:before="240" w:after="240" w:line="440" w:lineRule="exact"/>
        <w:ind w:firstLine="0"/>
        <w:jc w:val="cente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sz w:val="24"/>
          <w:szCs w:val="24"/>
          <w:highlight w:val="none"/>
          <w14:textFill>
            <w14:solidFill>
              <w14:schemeClr w14:val="tx1"/>
            </w14:solidFill>
          </w14:textFill>
        </w:rPr>
        <w:t>联合体协议书</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牵头人名称：</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法定代表人：</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法定住所：</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成员二名称：</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法定代表人：</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法定住所：</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上述各成员单位经过友好协商，自愿组成联合体，共同参加</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（项目名称）（以下简称“本项目”）的投标并争取赢得本项目EPC总承包合同（以下简称合同）。现就联合体投标事宜订立如下协议：</w:t>
      </w:r>
    </w:p>
    <w:p>
      <w:pPr>
        <w:pStyle w:val="48"/>
        <w:pageBreakBefore w:val="0"/>
        <w:widowControl w:val="0"/>
        <w:kinsoku/>
        <w:wordWrap w:val="0"/>
        <w:overflowPunct/>
        <w:bidi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1．</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（某成员单位名称）为联合体牵头人。</w:t>
      </w:r>
    </w:p>
    <w:p>
      <w:pPr>
        <w:pStyle w:val="48"/>
        <w:pageBreakBefore w:val="0"/>
        <w:widowControl w:val="0"/>
        <w:kinsoku/>
        <w:wordWrap w:val="0"/>
        <w:overflowPunct/>
        <w:bidi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2．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pPr>
        <w:pStyle w:val="48"/>
        <w:pageBreakBefore w:val="0"/>
        <w:widowControl w:val="0"/>
        <w:kinsoku/>
        <w:wordWrap w:val="0"/>
        <w:overflowPunct/>
        <w:bidi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3．联合体将严格按照招标文件的各项要求，递交投标文件，履行投标义务和中标后的合同，共同承担合同规定的一切义务和责任，联合体各成员单位按照内部职责的部分，承担各自所负的责任和风险，并向招标人承担相关责任。</w:t>
      </w:r>
    </w:p>
    <w:p>
      <w:pPr>
        <w:pStyle w:val="48"/>
        <w:pageBreakBefore w:val="0"/>
        <w:widowControl w:val="0"/>
        <w:kinsoku/>
        <w:wordWrap w:val="0"/>
        <w:overflowPunct/>
        <w:bidi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4．联合体各成员单位内部的职责分工如下：</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w:t>
      </w:r>
    </w:p>
    <w:p>
      <w:pPr>
        <w:pStyle w:val="48"/>
        <w:pageBreakBefore w:val="0"/>
        <w:widowControl w:val="0"/>
        <w:kinsoku/>
        <w:wordWrap w:val="0"/>
        <w:overflowPunct/>
        <w:bidi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5．投标工作和联合体在中标后工程实施过程中的有关费用按各自承担的工作量分摊。</w:t>
      </w:r>
    </w:p>
    <w:p>
      <w:pPr>
        <w:pStyle w:val="48"/>
        <w:pageBreakBefore w:val="0"/>
        <w:widowControl w:val="0"/>
        <w:kinsoku/>
        <w:wordWrap w:val="0"/>
        <w:overflowPunct/>
        <w:bidi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6．联合体中标后，本联合体协议是合同的附件，对联合体各成员单位有合同约束力。</w:t>
      </w:r>
    </w:p>
    <w:p>
      <w:pPr>
        <w:pStyle w:val="48"/>
        <w:pageBreakBefore w:val="0"/>
        <w:widowControl w:val="0"/>
        <w:kinsoku/>
        <w:wordWrap w:val="0"/>
        <w:overflowPunct/>
        <w:bidi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7．本协议书自签署之日起生效，联合体未中标或者中标时合同履行完毕后自动失效。</w:t>
      </w:r>
    </w:p>
    <w:p>
      <w:pPr>
        <w:pStyle w:val="48"/>
        <w:pageBreakBefore w:val="0"/>
        <w:widowControl w:val="0"/>
        <w:kinsoku/>
        <w:wordWrap w:val="0"/>
        <w:overflowPunct/>
        <w:bidi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8．本协议书一式</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份，联合体成员和招标人各执一份。</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牵头人名称：</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（盖单位章）</w:t>
      </w:r>
    </w:p>
    <w:p>
      <w:pPr>
        <w:pStyle w:val="48"/>
        <w:pageBreakBefore w:val="0"/>
        <w:widowControl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w:t>
      </w:r>
    </w:p>
    <w:p>
      <w:pPr>
        <w:pStyle w:val="48"/>
        <w:pageBreakBefore w:val="0"/>
        <w:widowControl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法定代表人或其委托代理人：</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（签字或盖章）</w:t>
      </w:r>
    </w:p>
    <w:p>
      <w:pPr>
        <w:pStyle w:val="48"/>
        <w:pageBreakBefore w:val="0"/>
        <w:widowControl w:val="0"/>
        <w:kinsoku/>
        <w:wordWrap w:val="0"/>
        <w:overflowPunct/>
        <w:bidi w:val="0"/>
        <w:adjustRightInd w:val="0"/>
        <w:snapToGrid w:val="0"/>
        <w:spacing w:line="440" w:lineRule="exact"/>
        <w:ind w:firstLine="0"/>
        <w:jc w:val="both"/>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成员二名称：</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（盖单位章）</w:t>
      </w:r>
    </w:p>
    <w:p>
      <w:pPr>
        <w:pStyle w:val="48"/>
        <w:pageBreakBefore w:val="0"/>
        <w:widowControl w:val="0"/>
        <w:kinsoku/>
        <w:wordWrap w:val="0"/>
        <w:overflowPunct/>
        <w:bidi w:val="0"/>
        <w:adjustRightInd w:val="0"/>
        <w:snapToGrid w:val="0"/>
        <w:spacing w:line="440" w:lineRule="exact"/>
        <w:ind w:firstLine="0"/>
        <w:jc w:val="both"/>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法定代表人或其委托代理人：</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（签字或盖章）</w:t>
      </w:r>
    </w:p>
    <w:p>
      <w:pPr>
        <w:pStyle w:val="48"/>
        <w:pageBreakBefore w:val="0"/>
        <w:widowControl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ind w:firstLine="3840" w:firstLineChars="160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u w:val="single"/>
          <w:lang w:eastAsia="zh-CN"/>
          <w14:textFill>
            <w14:solidFill>
              <w14:schemeClr w14:val="tx1"/>
            </w14:solidFill>
          </w14:textFill>
        </w:rPr>
        <w:t>日</w:t>
      </w:r>
    </w:p>
    <w:p>
      <w:pPr>
        <w:pStyle w:val="48"/>
        <w:pageBreakBefore w:val="0"/>
        <w:widowControl w:val="0"/>
        <w:kinsoku/>
        <w:wordWrap w:val="0"/>
        <w:overflowPunct/>
        <w:bidi w:val="0"/>
        <w:adjustRightInd w:val="0"/>
        <w:snapToGrid w:val="0"/>
        <w:spacing w:line="440" w:lineRule="exact"/>
        <w:jc w:val="cente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说明：《联合体协议书》由委托代理人签字或盖章的，应附法定代表人签字或盖章的授权委托书。</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p>
      <w:pPr>
        <w:pStyle w:val="4"/>
        <w:pageBreakBefore w:val="0"/>
        <w:kinsoku/>
        <w:wordWrap w:val="0"/>
        <w:overflowPunct/>
        <w:bidi w:val="0"/>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35" w:name="_Toc31264"/>
      <w:bookmarkStart w:id="536" w:name="_Toc17759"/>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w:t>
      </w: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八</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投标人基本情况表</w:t>
      </w:r>
      <w:bookmarkEnd w:id="535"/>
      <w:bookmarkEnd w:id="536"/>
    </w:p>
    <w:p>
      <w:pPr>
        <w:pStyle w:val="48"/>
        <w:pageBreakBefore w:val="0"/>
        <w:widowControl w:val="0"/>
        <w:kinsoku/>
        <w:wordWrap w:val="0"/>
        <w:overflowPunct/>
        <w:bidi w:val="0"/>
        <w:adjustRightInd w:val="0"/>
        <w:snapToGrid w:val="0"/>
        <w:spacing w:before="260" w:after="260" w:line="400" w:lineRule="exact"/>
        <w:ind w:firstLine="0"/>
        <w:jc w:val="cente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sz w:val="24"/>
          <w:szCs w:val="24"/>
          <w:highlight w:val="none"/>
          <w14:textFill>
            <w14:solidFill>
              <w14:schemeClr w14:val="tx1"/>
            </w14:solidFill>
          </w14:textFill>
        </w:rPr>
        <w:t>投标人基本情况表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6"/>
        <w:gridCol w:w="1537"/>
        <w:gridCol w:w="1137"/>
        <w:gridCol w:w="832"/>
        <w:gridCol w:w="458"/>
        <w:gridCol w:w="831"/>
        <w:gridCol w:w="267"/>
        <w:gridCol w:w="733"/>
        <w:gridCol w:w="14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投标人名称</w:t>
            </w:r>
          </w:p>
        </w:tc>
        <w:tc>
          <w:tcPr>
            <w:tcW w:w="7263" w:type="dxa"/>
            <w:gridSpan w:val="8"/>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注册地址</w:t>
            </w:r>
          </w:p>
        </w:tc>
        <w:tc>
          <w:tcPr>
            <w:tcW w:w="3506" w:type="dxa"/>
            <w:gridSpan w:val="3"/>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89"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邮政编码</w:t>
            </w:r>
          </w:p>
        </w:tc>
        <w:tc>
          <w:tcPr>
            <w:tcW w:w="2468" w:type="dxa"/>
            <w:gridSpan w:val="3"/>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exact"/>
          <w:jc w:val="center"/>
        </w:trPr>
        <w:tc>
          <w:tcPr>
            <w:tcW w:w="1536" w:type="dxa"/>
            <w:vMerge w:val="restart"/>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联系方式</w:t>
            </w:r>
          </w:p>
        </w:tc>
        <w:tc>
          <w:tcPr>
            <w:tcW w:w="1537"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联系人</w:t>
            </w:r>
          </w:p>
        </w:tc>
        <w:tc>
          <w:tcPr>
            <w:tcW w:w="1969"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89"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电  话</w:t>
            </w:r>
          </w:p>
        </w:tc>
        <w:tc>
          <w:tcPr>
            <w:tcW w:w="2468" w:type="dxa"/>
            <w:gridSpan w:val="3"/>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exact"/>
          <w:jc w:val="center"/>
        </w:trPr>
        <w:tc>
          <w:tcPr>
            <w:tcW w:w="1536" w:type="dxa"/>
            <w:vMerge w:val="continue"/>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537"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传  真</w:t>
            </w:r>
          </w:p>
        </w:tc>
        <w:tc>
          <w:tcPr>
            <w:tcW w:w="1969"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89"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电子邮箱</w:t>
            </w:r>
          </w:p>
        </w:tc>
        <w:tc>
          <w:tcPr>
            <w:tcW w:w="2468" w:type="dxa"/>
            <w:gridSpan w:val="3"/>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单位性质</w:t>
            </w:r>
          </w:p>
        </w:tc>
        <w:tc>
          <w:tcPr>
            <w:tcW w:w="7263" w:type="dxa"/>
            <w:gridSpan w:val="8"/>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法定代表人</w:t>
            </w:r>
          </w:p>
        </w:tc>
        <w:tc>
          <w:tcPr>
            <w:tcW w:w="1537"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姓名</w:t>
            </w:r>
          </w:p>
        </w:tc>
        <w:tc>
          <w:tcPr>
            <w:tcW w:w="1137"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90"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技术职称</w:t>
            </w:r>
          </w:p>
        </w:tc>
        <w:tc>
          <w:tcPr>
            <w:tcW w:w="1098"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733"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电话</w:t>
            </w:r>
          </w:p>
        </w:tc>
        <w:tc>
          <w:tcPr>
            <w:tcW w:w="1468"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成立时间</w:t>
            </w:r>
          </w:p>
        </w:tc>
        <w:tc>
          <w:tcPr>
            <w:tcW w:w="2674"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4589" w:type="dxa"/>
            <w:gridSpan w:val="6"/>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员工总人数（个）：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企业资质</w:t>
            </w:r>
          </w:p>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类型和等级</w:t>
            </w:r>
          </w:p>
        </w:tc>
        <w:tc>
          <w:tcPr>
            <w:tcW w:w="2674"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90" w:type="dxa"/>
            <w:gridSpan w:val="2"/>
            <w:vMerge w:val="restart"/>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其中</w:t>
            </w:r>
          </w:p>
        </w:tc>
        <w:tc>
          <w:tcPr>
            <w:tcW w:w="1831" w:type="dxa"/>
            <w:gridSpan w:val="3"/>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项目经理</w:t>
            </w:r>
          </w:p>
        </w:tc>
        <w:tc>
          <w:tcPr>
            <w:tcW w:w="1468"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营业执照号</w:t>
            </w:r>
          </w:p>
        </w:tc>
        <w:tc>
          <w:tcPr>
            <w:tcW w:w="2674"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90" w:type="dxa"/>
            <w:gridSpan w:val="2"/>
            <w:vMerge w:val="continue"/>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831" w:type="dxa"/>
            <w:gridSpan w:val="3"/>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高级职称人员</w:t>
            </w:r>
          </w:p>
        </w:tc>
        <w:tc>
          <w:tcPr>
            <w:tcW w:w="1468"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注册资金</w:t>
            </w:r>
          </w:p>
        </w:tc>
        <w:tc>
          <w:tcPr>
            <w:tcW w:w="2674"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90" w:type="dxa"/>
            <w:gridSpan w:val="2"/>
            <w:vMerge w:val="continue"/>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831" w:type="dxa"/>
            <w:gridSpan w:val="3"/>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中级职称人员</w:t>
            </w:r>
          </w:p>
        </w:tc>
        <w:tc>
          <w:tcPr>
            <w:tcW w:w="1468"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基本账户</w:t>
            </w:r>
          </w:p>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开户银行</w:t>
            </w:r>
          </w:p>
        </w:tc>
        <w:tc>
          <w:tcPr>
            <w:tcW w:w="2674"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90" w:type="dxa"/>
            <w:gridSpan w:val="2"/>
            <w:vMerge w:val="continue"/>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831" w:type="dxa"/>
            <w:gridSpan w:val="3"/>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初级职称人员</w:t>
            </w:r>
          </w:p>
        </w:tc>
        <w:tc>
          <w:tcPr>
            <w:tcW w:w="1468"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基本账户</w:t>
            </w:r>
          </w:p>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银行账号</w:t>
            </w:r>
          </w:p>
        </w:tc>
        <w:tc>
          <w:tcPr>
            <w:tcW w:w="2674"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90" w:type="dxa"/>
            <w:gridSpan w:val="2"/>
            <w:vMerge w:val="continue"/>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831" w:type="dxa"/>
            <w:gridSpan w:val="3"/>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技术员</w:t>
            </w:r>
          </w:p>
        </w:tc>
        <w:tc>
          <w:tcPr>
            <w:tcW w:w="1468"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经营范围</w:t>
            </w:r>
          </w:p>
        </w:tc>
        <w:tc>
          <w:tcPr>
            <w:tcW w:w="7263" w:type="dxa"/>
            <w:gridSpan w:val="8"/>
            <w:noWrap/>
            <w:vAlign w:val="center"/>
          </w:tcPr>
          <w:p>
            <w:pPr>
              <w:pStyle w:val="44"/>
              <w:pageBreakBefore w:val="0"/>
              <w:kinsoku/>
              <w:wordWrap w:val="0"/>
              <w:overflowPunct/>
              <w:bidi w:val="0"/>
              <w:adjustRightInd w:val="0"/>
              <w:snapToGrid w:val="0"/>
              <w:jc w:val="left"/>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关联企业情况</w:t>
            </w:r>
          </w:p>
        </w:tc>
        <w:tc>
          <w:tcPr>
            <w:tcW w:w="7263" w:type="dxa"/>
            <w:gridSpan w:val="8"/>
            <w:noWrap/>
            <w:vAlign w:val="center"/>
          </w:tcPr>
          <w:p>
            <w:pPr>
              <w:pStyle w:val="44"/>
              <w:pageBreakBefore w:val="0"/>
              <w:kinsoku/>
              <w:wordWrap w:val="0"/>
              <w:overflowPunct/>
              <w:bidi w:val="0"/>
              <w:adjustRightInd w:val="0"/>
              <w:snapToGrid w:val="0"/>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包括但不限于与投标人存在以下关系的不同单位：</w:t>
            </w:r>
          </w:p>
          <w:p>
            <w:pPr>
              <w:pStyle w:val="44"/>
              <w:pageBreakBefore w:val="0"/>
              <w:kinsoku/>
              <w:wordWrap w:val="0"/>
              <w:overflowPunct/>
              <w:bidi w:val="0"/>
              <w:adjustRightInd w:val="0"/>
              <w:snapToGrid w:val="0"/>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1．法定代表人为同一人的。</w:t>
            </w:r>
          </w:p>
          <w:p>
            <w:pPr>
              <w:pStyle w:val="44"/>
              <w:pageBreakBefore w:val="0"/>
              <w:kinsoku/>
              <w:wordWrap w:val="0"/>
              <w:overflowPunct/>
              <w:bidi w:val="0"/>
              <w:adjustRightInd w:val="0"/>
              <w:snapToGrid w:val="0"/>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2．存在控股、管理关系的。</w:t>
            </w:r>
          </w:p>
          <w:p>
            <w:pPr>
              <w:pStyle w:val="44"/>
              <w:pageBreakBefore w:val="0"/>
              <w:kinsoku/>
              <w:wordWrap w:val="0"/>
              <w:overflowPunct/>
              <w:bidi w:val="0"/>
              <w:adjustRightInd w:val="0"/>
              <w:snapToGrid w:val="0"/>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3．主要人员相互任职的。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备注</w:t>
            </w:r>
          </w:p>
        </w:tc>
        <w:tc>
          <w:tcPr>
            <w:tcW w:w="7263" w:type="dxa"/>
            <w:gridSpan w:val="8"/>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bl>
    <w:p>
      <w:pPr>
        <w:pStyle w:val="44"/>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说明：</w:t>
      </w:r>
    </w:p>
    <w:bookmarkEnd w:id="485"/>
    <w:bookmarkEnd w:id="486"/>
    <w:bookmarkEnd w:id="487"/>
    <w:bookmarkEnd w:id="488"/>
    <w:bookmarkEnd w:id="489"/>
    <w:p>
      <w:pPr>
        <w:pStyle w:val="48"/>
        <w:pageBreakBefore w:val="0"/>
        <w:widowControl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pPr>
      <w:bookmarkStart w:id="537" w:name="_Toc1659"/>
      <w:bookmarkStart w:id="538" w:name="_Toc534641863"/>
      <w:bookmarkStart w:id="539" w:name="_Toc48547015"/>
      <w:bookmarkStart w:id="540" w:name="_Toc118541763"/>
      <w:bookmarkStart w:id="541" w:name="_Toc535300004"/>
      <w:bookmarkStart w:id="542" w:name="_Toc210101349"/>
      <w:r>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t>1．《投标人基本情况表》后应附以下资料：</w:t>
      </w:r>
    </w:p>
    <w:p>
      <w:pPr>
        <w:pStyle w:val="48"/>
        <w:keepNext w:val="0"/>
        <w:keepLines w:val="0"/>
        <w:pageBreakBefore w:val="0"/>
        <w:widowControl w:val="0"/>
        <w:kinsoku/>
        <w:wordWrap w:val="0"/>
        <w:overflowPunct/>
        <w:topLinePunct w:val="0"/>
        <w:autoSpaceDE/>
        <w:autoSpaceDN/>
        <w:bidi w:val="0"/>
        <w:adjustRightInd w:val="0"/>
        <w:snapToGrid w:val="0"/>
        <w:spacing w:line="360" w:lineRule="exact"/>
        <w:ind w:firstLine="420"/>
        <w:textAlignment w:val="auto"/>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t>（1）企业营业执照、资质证书、安全生产许可证</w:t>
      </w:r>
      <w:r>
        <w:rPr>
          <w:rFonts w:hint="eastAsia" w:asciiTheme="minorEastAsia" w:hAnsiTheme="minorEastAsia" w:eastAsiaTheme="minorEastAsia" w:cstheme="minorEastAsia"/>
          <w:snapToGrid w:val="0"/>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sz w:val="21"/>
          <w:szCs w:val="21"/>
          <w:highlight w:val="none"/>
          <w:lang w:val="en-US" w:eastAsia="zh-CN"/>
          <w14:textFill>
            <w14:solidFill>
              <w14:schemeClr w14:val="tx1"/>
            </w14:solidFill>
          </w14:textFill>
        </w:rPr>
        <w:t>施工企业提供</w:t>
      </w:r>
      <w:r>
        <w:rPr>
          <w:rFonts w:hint="eastAsia" w:asciiTheme="minorEastAsia" w:hAnsiTheme="minorEastAsia" w:eastAsiaTheme="minorEastAsia" w:cstheme="minorEastAsia"/>
          <w:snapToGrid w:val="0"/>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snapToGrid w:val="0"/>
          <w:color w:val="000000" w:themeColor="text1"/>
          <w:sz w:val="21"/>
          <w:szCs w:val="21"/>
          <w:highlight w:val="none"/>
          <w:lang w:val="en-US" w:eastAsia="zh-CN"/>
          <w14:textFill>
            <w14:solidFill>
              <w14:schemeClr w14:val="tx1"/>
            </w14:solidFill>
          </w14:textFill>
        </w:rPr>
        <w:t>扫描</w:t>
      </w:r>
      <w:r>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t>件</w:t>
      </w:r>
      <w:r>
        <w:rPr>
          <w:rFonts w:hint="eastAsia" w:asciiTheme="minorEastAsia" w:hAnsiTheme="minorEastAsia" w:eastAsiaTheme="minorEastAsia" w:cstheme="minorEastAsia"/>
          <w:b w:val="0"/>
          <w:bCs w:val="0"/>
          <w:snapToGrid w:val="0"/>
          <w:color w:val="000000" w:themeColor="text1"/>
          <w:sz w:val="21"/>
          <w:szCs w:val="21"/>
          <w:highlight w:val="none"/>
          <w14:textFill>
            <w14:solidFill>
              <w14:schemeClr w14:val="tx1"/>
            </w14:solidFill>
          </w14:textFill>
        </w:rPr>
        <w:t>（因推行电子证照，企业的营业执照、资质证书等可以提供电子证照。为实时掌握项目</w:t>
      </w:r>
      <w:r>
        <w:rPr>
          <w:rFonts w:hint="eastAsia" w:asciiTheme="minorEastAsia" w:hAnsiTheme="minorEastAsia" w:eastAsiaTheme="minorEastAsia" w:cstheme="minorEastAsia"/>
          <w:b/>
          <w:bCs/>
          <w:snapToGrid w:val="0"/>
          <w:color w:val="000000" w:themeColor="text1"/>
          <w:sz w:val="21"/>
          <w:szCs w:val="21"/>
          <w:highlight w:val="none"/>
          <w14:textFill>
            <w14:solidFill>
              <w14:schemeClr w14:val="tx1"/>
            </w14:solidFill>
          </w14:textFill>
        </w:rPr>
        <w:t>投标单位的是否具备企业安全生产条件，企业的安全生产许可证需提供企业实时网页查询页，实时查询页的打印时间应在项目招标公告发布之日起至开标前。如中标后，投标单位安全生产许可证发生被暂扣情形，需双方另行协商）；</w:t>
      </w:r>
    </w:p>
    <w:p>
      <w:pPr>
        <w:pStyle w:val="48"/>
        <w:pageBreakBefore w:val="0"/>
        <w:widowControl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t>（2）外省建筑企业须提供“进粤企业和人员诚信信息登记平台”企业信息情况打印页或网页截图。</w:t>
      </w:r>
    </w:p>
    <w:p>
      <w:pPr>
        <w:pStyle w:val="48"/>
        <w:pageBreakBefore w:val="0"/>
        <w:widowControl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t>2．联合体投标的，联合体成员单位均应填写《投标人基本情况表》并提供以上所需资料。</w:t>
      </w:r>
    </w:p>
    <w:p>
      <w:pPr>
        <w:pStyle w:val="48"/>
        <w:pageBreakBefore w:val="0"/>
        <w:widowControl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sectPr>
          <w:endnotePr>
            <w:numFmt w:val="decimal"/>
          </w:endnotePr>
          <w:pgSz w:w="11906" w:h="16838"/>
          <w:pgMar w:top="1221" w:right="1531" w:bottom="1417" w:left="1531" w:header="850" w:footer="992" w:gutter="0"/>
          <w:pgNumType w:fmt="decimal"/>
          <w:cols w:space="720" w:num="1"/>
          <w:docGrid w:linePitch="327" w:charSpace="0"/>
        </w:sectPr>
      </w:pPr>
      <w:r>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t>3.《法人和非法人组织公共信用信息报告》打印件（在“信用中国”网站企业查询界面中下载）。</w:t>
      </w:r>
    </w:p>
    <w:p>
      <w:pPr>
        <w:pStyle w:val="4"/>
        <w:pageBreakBefore w:val="0"/>
        <w:kinsoku/>
        <w:wordWrap w:val="0"/>
        <w:overflowPunct/>
        <w:bidi w:val="0"/>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43" w:name="_Toc31003"/>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w:t>
      </w: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九</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项目经理简历表</w:t>
      </w:r>
      <w:bookmarkEnd w:id="537"/>
      <w:bookmarkEnd w:id="543"/>
    </w:p>
    <w:p>
      <w:pPr>
        <w:pageBreakBefore w:val="0"/>
        <w:kinsoku/>
        <w:wordWrap w:val="0"/>
        <w:overflowPunct/>
        <w:bidi w:val="0"/>
        <w:adjustRightInd w:val="0"/>
        <w:snapToGrid w:val="0"/>
        <w:spacing w:line="440" w:lineRule="exact"/>
        <w:jc w:val="left"/>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p>
    <w:tbl>
      <w:tblPr>
        <w:tblStyle w:val="22"/>
        <w:tblpPr w:leftFromText="180" w:rightFromText="180" w:vertAnchor="text" w:horzAnchor="page" w:tblpX="1490" w:tblpY="692"/>
        <w:tblOverlap w:val="never"/>
        <w:tblW w:w="919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69"/>
        <w:gridCol w:w="955"/>
        <w:gridCol w:w="580"/>
        <w:gridCol w:w="642"/>
        <w:gridCol w:w="1284"/>
        <w:gridCol w:w="1931"/>
        <w:gridCol w:w="27"/>
        <w:gridCol w:w="1692"/>
        <w:gridCol w:w="131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exact"/>
        </w:trPr>
        <w:tc>
          <w:tcPr>
            <w:tcW w:w="1724"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姓   名</w:t>
            </w:r>
          </w:p>
        </w:tc>
        <w:tc>
          <w:tcPr>
            <w:tcW w:w="122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28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性  别</w:t>
            </w:r>
          </w:p>
        </w:tc>
        <w:tc>
          <w:tcPr>
            <w:tcW w:w="193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19"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   龄</w:t>
            </w:r>
          </w:p>
        </w:tc>
        <w:tc>
          <w:tcPr>
            <w:tcW w:w="131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exact"/>
        </w:trPr>
        <w:tc>
          <w:tcPr>
            <w:tcW w:w="1724"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   务</w:t>
            </w:r>
          </w:p>
        </w:tc>
        <w:tc>
          <w:tcPr>
            <w:tcW w:w="122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28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  称</w:t>
            </w:r>
          </w:p>
        </w:tc>
        <w:tc>
          <w:tcPr>
            <w:tcW w:w="193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19"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学   历</w:t>
            </w:r>
          </w:p>
        </w:tc>
        <w:tc>
          <w:tcPr>
            <w:tcW w:w="131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exact"/>
        </w:trPr>
        <w:tc>
          <w:tcPr>
            <w:tcW w:w="1724"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参加工作时间</w:t>
            </w:r>
          </w:p>
        </w:tc>
        <w:tc>
          <w:tcPr>
            <w:tcW w:w="2506" w:type="dxa"/>
            <w:gridSpan w:val="3"/>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3650" w:type="dxa"/>
            <w:gridSpan w:val="3"/>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从事工程建设项目管理工作年限</w:t>
            </w:r>
          </w:p>
        </w:tc>
        <w:tc>
          <w:tcPr>
            <w:tcW w:w="131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exact"/>
        </w:trPr>
        <w:tc>
          <w:tcPr>
            <w:tcW w:w="9196" w:type="dxa"/>
            <w:gridSpan w:val="9"/>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以项目经理身份参与过的主要业绩（已完工项目）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exact"/>
        </w:trPr>
        <w:tc>
          <w:tcPr>
            <w:tcW w:w="769"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序号</w:t>
            </w:r>
          </w:p>
        </w:tc>
        <w:tc>
          <w:tcPr>
            <w:tcW w:w="1535"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项目名称</w:t>
            </w:r>
          </w:p>
        </w:tc>
        <w:tc>
          <w:tcPr>
            <w:tcW w:w="1926"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建设单位</w:t>
            </w:r>
          </w:p>
        </w:tc>
        <w:tc>
          <w:tcPr>
            <w:tcW w:w="195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建设内容和规模</w:t>
            </w:r>
          </w:p>
        </w:tc>
        <w:tc>
          <w:tcPr>
            <w:tcW w:w="169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开、竣工日期</w:t>
            </w:r>
          </w:p>
        </w:tc>
        <w:tc>
          <w:tcPr>
            <w:tcW w:w="131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质量等级</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exact"/>
        </w:trPr>
        <w:tc>
          <w:tcPr>
            <w:tcW w:w="769"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p>
        </w:tc>
        <w:tc>
          <w:tcPr>
            <w:tcW w:w="1535"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26"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5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69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1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exact"/>
        </w:trPr>
        <w:tc>
          <w:tcPr>
            <w:tcW w:w="769"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w:t>
            </w:r>
          </w:p>
        </w:tc>
        <w:tc>
          <w:tcPr>
            <w:tcW w:w="1535"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26"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5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69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1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exact"/>
        </w:trPr>
        <w:tc>
          <w:tcPr>
            <w:tcW w:w="769"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w:t>
            </w:r>
          </w:p>
        </w:tc>
        <w:tc>
          <w:tcPr>
            <w:tcW w:w="1535"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26"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5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69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1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8" w:hRule="exact"/>
        </w:trPr>
        <w:tc>
          <w:tcPr>
            <w:tcW w:w="769"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tc>
        <w:tc>
          <w:tcPr>
            <w:tcW w:w="1535"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26"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5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69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1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bl>
    <w:p>
      <w:pPr>
        <w:pageBreakBefore w:val="0"/>
        <w:kinsoku/>
        <w:wordWrap w:val="0"/>
        <w:overflowPunct/>
        <w:bidi w:val="0"/>
        <w:adjustRightInd w:val="0"/>
        <w:snapToGrid w:val="0"/>
        <w:spacing w:line="440" w:lineRule="exact"/>
        <w:jc w:val="cente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t>项目经理简历表</w:t>
      </w:r>
    </w:p>
    <w:p>
      <w:pPr>
        <w:pageBreakBefore w:val="0"/>
        <w:kinsoku/>
        <w:wordWrap w:val="0"/>
        <w:overflowPunct/>
        <w:bidi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Style w:val="49"/>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pPr>
        <w:pStyle w:val="49"/>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项目经理：</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（签字）</w:t>
      </w:r>
    </w:p>
    <w:p>
      <w:pPr>
        <w:pStyle w:val="49"/>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pPr>
        <w:pageBreakBefore w:val="0"/>
        <w:kinsoku/>
        <w:wordWrap w:val="0"/>
        <w:overflowPunct/>
        <w:bidi w:val="0"/>
        <w:adjustRightInd w:val="0"/>
        <w:snapToGrid w:val="0"/>
        <w:spacing w:line="400" w:lineRule="exact"/>
        <w:ind w:firstLine="570"/>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日</w:t>
      </w:r>
    </w:p>
    <w:p>
      <w:pPr>
        <w:pageBreakBefore w:val="0"/>
        <w:kinsoku/>
        <w:wordWrap w:val="0"/>
        <w:overflowPunct/>
        <w:bidi w:val="0"/>
        <w:outlineLvl w:val="9"/>
        <w:rPr>
          <w:rFonts w:hint="eastAsia"/>
          <w:color w:val="000000" w:themeColor="text1"/>
          <w:highlight w:val="none"/>
          <w14:textFill>
            <w14:solidFill>
              <w14:schemeClr w14:val="tx1"/>
            </w14:solidFill>
          </w14:textFill>
        </w:rPr>
      </w:pP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说明：《项目经理简历表》后应附拟派项目经理以下资料：</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1．身份证彩色扫描件；</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2．建造师电子注册证书（在使用有效期内的有效电子证书）彩色扫描件；</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3．B类安全生产考核合格证书彩色扫描件或广东省建筑施工企业管理人员安全生产考核系统考核合格信息彩色扫描件；</w:t>
      </w:r>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4．在本单位缴纳社保的证明（</w:t>
      </w: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近一个月，其中必须有2026年8月</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）彩色扫描件；拟派项目经理为退休返聘人员无法提供社保证明的，提供退休证和劳动合同彩色扫描件。</w:t>
      </w:r>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“进粤企业和人员诚信信息登记平台”个人信息情况打印页或网页截图。（适用于省外建筑企业）</w:t>
      </w:r>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p>
      <w:pPr>
        <w:pStyle w:val="4"/>
        <w:pageBreakBefore w:val="0"/>
        <w:kinsoku/>
        <w:wordWrap w:val="0"/>
        <w:overflowPunct/>
        <w:bidi w:val="0"/>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44" w:name="_Toc26944"/>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w:t>
      </w: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十</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项目经理任职声明</w:t>
      </w:r>
      <w:bookmarkEnd w:id="544"/>
    </w:p>
    <w:p>
      <w:pPr>
        <w:pageBreakBefore w:val="0"/>
        <w:kinsoku/>
        <w:wordWrap w:val="0"/>
        <w:overflowPunct/>
        <w:bidi w:val="0"/>
        <w:adjustRightInd w:val="0"/>
        <w:snapToGrid w:val="0"/>
        <w:spacing w:line="440" w:lineRule="exact"/>
        <w:jc w:val="left"/>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before="260" w:after="260" w:line="440" w:lineRule="exact"/>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t>项目经理任职声明</w:t>
      </w:r>
    </w:p>
    <w:p>
      <w:pPr>
        <w:pageBreakBefore w:val="0"/>
        <w:kinsoku/>
        <w:wordWrap w:val="0"/>
        <w:overflowPunct/>
        <w:bidi w:val="0"/>
        <w:adjustRightInd w:val="0"/>
        <w:snapToGrid w:val="0"/>
        <w:spacing w:line="440" w:lineRule="exact"/>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bookmarkStart w:id="545" w:name="_Toc21599"/>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致：</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（招标人名称）：</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我方在此声明，我方拟派往</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（项目名称）的项目经理</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（项目经理姓名）现阶段没有担任任何在施（包括已中标未开工、已开工未竣工）建设工程项目的项目经理。</w:t>
      </w:r>
    </w:p>
    <w:p>
      <w:pPr>
        <w:pageBreakBefore w:val="0"/>
        <w:kinsoku/>
        <w:wordWrap w:val="0"/>
        <w:overflowPunct/>
        <w:bidi w:val="0"/>
        <w:adjustRightInd w:val="0"/>
        <w:snapToGrid w:val="0"/>
        <w:spacing w:line="440" w:lineRule="exact"/>
        <w:ind w:firstLine="48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我方保证上述信息的真实和准确，并愿意承担因我方就此弄虚作假所引起的一切法律后果。</w:t>
      </w:r>
    </w:p>
    <w:p>
      <w:pPr>
        <w:pageBreakBefore w:val="0"/>
        <w:kinsoku/>
        <w:wordWrap w:val="0"/>
        <w:overflowPunct/>
        <w:bidi w:val="0"/>
        <w:adjustRightInd w:val="0"/>
        <w:snapToGrid w:val="0"/>
        <w:spacing w:line="440" w:lineRule="exact"/>
        <w:ind w:firstLine="48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特此承诺　　</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w:t>
      </w: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（盖单位章）</w:t>
      </w: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法定代表人或其委托代理人：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（签字或盖章）</w:t>
      </w: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日</w:t>
      </w: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Style w:val="4"/>
        <w:pageBreakBefore w:val="0"/>
        <w:kinsoku/>
        <w:wordWrap w:val="0"/>
        <w:overflowPunct/>
        <w:bidi w:val="0"/>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46" w:name="_Toc23601"/>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格式十</w:t>
      </w: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一</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项目技术负责人简历表</w:t>
      </w:r>
      <w:bookmarkEnd w:id="545"/>
      <w:bookmarkEnd w:id="546"/>
    </w:p>
    <w:p>
      <w:pPr>
        <w:pageBreakBefore w:val="0"/>
        <w:kinsoku/>
        <w:wordWrap w:val="0"/>
        <w:overflowPunct/>
        <w:bidi w:val="0"/>
        <w:adjustRightInd w:val="0"/>
        <w:snapToGrid w:val="0"/>
        <w:spacing w:line="440" w:lineRule="exact"/>
        <w:jc w:val="left"/>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p>
    <w:tbl>
      <w:tblPr>
        <w:tblStyle w:val="22"/>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姓   名</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29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性  别</w:t>
            </w:r>
          </w:p>
        </w:tc>
        <w:tc>
          <w:tcPr>
            <w:tcW w:w="194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   龄</w:t>
            </w: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   务</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29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  称</w:t>
            </w:r>
          </w:p>
        </w:tc>
        <w:tc>
          <w:tcPr>
            <w:tcW w:w="194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学   历</w:t>
            </w: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3679" w:type="dxa"/>
            <w:gridSpan w:val="3"/>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以项目技术负责人身份参与过的主要业绩（已完工项目）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序号</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建设内容和规模</w:t>
            </w: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开、竣工日期</w:t>
            </w: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质量等级</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bl>
    <w:p>
      <w:pPr>
        <w:pageBreakBefore w:val="0"/>
        <w:kinsoku/>
        <w:wordWrap w:val="0"/>
        <w:overflowPunct/>
        <w:bidi w:val="0"/>
        <w:adjustRightInd w:val="0"/>
        <w:snapToGrid w:val="0"/>
        <w:spacing w:line="440" w:lineRule="exact"/>
        <w:jc w:val="cente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t>项目技术负责人简历表</w:t>
      </w:r>
    </w:p>
    <w:p>
      <w:pPr>
        <w:pStyle w:val="49"/>
        <w:pageBreakBefore w:val="0"/>
        <w:kinsoku/>
        <w:wordWrap w:val="0"/>
        <w:overflowPunct/>
        <w:bidi w:val="0"/>
        <w:adjustRightInd w:val="0"/>
        <w:snapToGrid w:val="0"/>
        <w:spacing w:line="440" w:lineRule="exact"/>
        <w:jc w:val="both"/>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pPr>
        <w:pStyle w:val="49"/>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pPr>
        <w:pStyle w:val="49"/>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项目技术负责人：</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（签字）</w:t>
      </w:r>
    </w:p>
    <w:p>
      <w:pPr>
        <w:pStyle w:val="49"/>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pPr>
        <w:pStyle w:val="49"/>
        <w:pageBreakBefore w:val="0"/>
        <w:kinsoku/>
        <w:wordWrap w:val="0"/>
        <w:overflowPunct/>
        <w:bidi w:val="0"/>
        <w:adjustRightInd w:val="0"/>
        <w:snapToGrid w:val="0"/>
        <w:spacing w:line="440" w:lineRule="exact"/>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日</w:t>
      </w:r>
    </w:p>
    <w:p>
      <w:pPr>
        <w:pageBreakBefore w:val="0"/>
        <w:kinsoku/>
        <w:wordWrap w:val="0"/>
        <w:overflowPunct/>
        <w:bidi w:val="0"/>
        <w:adjustRightInd w:val="0"/>
        <w:snapToGrid w:val="0"/>
        <w:spacing w:line="40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Style w:val="49"/>
        <w:pageBreakBefore w:val="0"/>
        <w:kinsoku/>
        <w:wordWrap w:val="0"/>
        <w:overflowPunct/>
        <w:bidi w:val="0"/>
        <w:adjustRightInd w:val="0"/>
        <w:snapToGrid w:val="0"/>
        <w:spacing w:line="440" w:lineRule="exact"/>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说明：《项目技术负责人简历表》后应附拟派项目技术负责人以下资料：</w:t>
      </w:r>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1．身份证彩色扫描件；</w:t>
      </w:r>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2．职称证彩色扫描件；</w:t>
      </w:r>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3．在本单位缴纳社保的证明（</w:t>
      </w: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近一个月，其中必须有2026年8月</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）彩色扫描件；拟派技术负责人为退休返聘人员无法提供社保证明的，提供退休证和劳动合同彩色扫描件。</w:t>
      </w:r>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szCs w:val="24"/>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“进粤企业和人员诚信信息登记平台”个人信息情况打印页或网页截图。（适用于省外建筑企业）</w:t>
      </w:r>
    </w:p>
    <w:p>
      <w:pPr>
        <w:pStyle w:val="4"/>
        <w:pageBreakBefore w:val="0"/>
        <w:kinsoku/>
        <w:wordWrap w:val="0"/>
        <w:overflowPunct/>
        <w:bidi w:val="0"/>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47" w:name="_Toc31518"/>
      <w:bookmarkStart w:id="548" w:name="_Toc17144"/>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格式十</w:t>
      </w: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二</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项目设计负责人简历表</w:t>
      </w:r>
      <w:bookmarkEnd w:id="547"/>
      <w:bookmarkEnd w:id="548"/>
    </w:p>
    <w:p>
      <w:pPr>
        <w:pageBreakBefore w:val="0"/>
        <w:kinsoku/>
        <w:wordWrap w:val="0"/>
        <w:overflowPunct/>
        <w:bidi w:val="0"/>
        <w:adjustRightInd w:val="0"/>
        <w:snapToGrid w:val="0"/>
        <w:spacing w:line="440" w:lineRule="exact"/>
        <w:jc w:val="left"/>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p>
    <w:tbl>
      <w:tblPr>
        <w:tblStyle w:val="22"/>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姓   名</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29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性  别</w:t>
            </w:r>
          </w:p>
        </w:tc>
        <w:tc>
          <w:tcPr>
            <w:tcW w:w="194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   龄</w:t>
            </w: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   务</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29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  称</w:t>
            </w:r>
          </w:p>
        </w:tc>
        <w:tc>
          <w:tcPr>
            <w:tcW w:w="194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学   历</w:t>
            </w: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3679" w:type="dxa"/>
            <w:gridSpan w:val="3"/>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以项目设计负责人身份参与过的主要业绩（已完工项目）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序号</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建设内容和规模</w:t>
            </w: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开、竣工日期</w:t>
            </w: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质量等级</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bl>
    <w:p>
      <w:pPr>
        <w:pageBreakBefore w:val="0"/>
        <w:kinsoku/>
        <w:wordWrap w:val="0"/>
        <w:overflowPunct/>
        <w:bidi w:val="0"/>
        <w:adjustRightInd w:val="0"/>
        <w:snapToGrid w:val="0"/>
        <w:spacing w:line="440" w:lineRule="exact"/>
        <w:jc w:val="cente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t>项目设计负责人简历表</w:t>
      </w:r>
    </w:p>
    <w:p>
      <w:pPr>
        <w:pageBreakBefore w:val="0"/>
        <w:kinsoku/>
        <w:wordWrap w:val="0"/>
        <w:overflowPunct/>
        <w:bidi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Style w:val="49"/>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pPr>
        <w:pStyle w:val="49"/>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项目</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设计</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负责人：</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（签字）</w:t>
      </w:r>
    </w:p>
    <w:p>
      <w:pPr>
        <w:pStyle w:val="49"/>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pPr>
        <w:pStyle w:val="49"/>
        <w:pageBreakBefore w:val="0"/>
        <w:kinsoku/>
        <w:wordWrap w:val="0"/>
        <w:overflowPunct/>
        <w:bidi w:val="0"/>
        <w:adjustRightInd w:val="0"/>
        <w:snapToGrid w:val="0"/>
        <w:spacing w:line="440" w:lineRule="exact"/>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日</w:t>
      </w:r>
    </w:p>
    <w:p>
      <w:pPr>
        <w:pageBreakBefore w:val="0"/>
        <w:kinsoku/>
        <w:wordWrap w:val="0"/>
        <w:overflowPunct/>
        <w:bidi w:val="0"/>
        <w:adjustRightInd w:val="0"/>
        <w:snapToGrid w:val="0"/>
        <w:spacing w:line="40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0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说明：《项目设计负责人简历表》后应附拟派项目设计负责人以下资料：</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1．身份证彩色扫描件；</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2．</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注册</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证彩色扫描件；</w:t>
      </w:r>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3．在本单位缴纳社保的证明（</w:t>
      </w: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近一个月，其中必须有2026年8月</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）彩色扫描件；拟派设计负责人为退休返聘人员无法提供社保证明的，提供退休证和劳动合同彩色扫描件。</w:t>
      </w:r>
      <w:bookmarkEnd w:id="538"/>
      <w:bookmarkEnd w:id="539"/>
      <w:bookmarkEnd w:id="540"/>
      <w:bookmarkEnd w:id="541"/>
      <w:bookmarkEnd w:id="542"/>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4．“进粤企业和人员诚信信息登记平台”个人信息情况打印页或网页截图。（适用于省外建筑企业）。</w:t>
      </w:r>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br w:type="page"/>
      </w:r>
      <w:bookmarkStart w:id="549" w:name="_Toc10080"/>
      <w:bookmarkStart w:id="550" w:name="_Toc8264"/>
    </w:p>
    <w:p>
      <w:pPr>
        <w:pStyle w:val="4"/>
        <w:pageBreakBefore w:val="0"/>
        <w:kinsoku/>
        <w:wordWrap w:val="0"/>
        <w:overflowPunct/>
        <w:bidi w:val="0"/>
        <w:spacing w:before="120"/>
        <w:rPr>
          <w:rFonts w:hint="eastAsia" w:asciiTheme="minorEastAsia" w:hAnsiTheme="minorEastAsia" w:eastAsiaTheme="minorEastAsia" w:cstheme="minorEastAsia"/>
          <w:bCs/>
          <w:snapToGrid w:val="0"/>
          <w:color w:val="000000" w:themeColor="text1"/>
          <w:szCs w:val="24"/>
          <w:highlight w:val="none"/>
          <w14:textFill>
            <w14:solidFill>
              <w14:schemeClr w14:val="tx1"/>
            </w14:solidFill>
          </w14:textFill>
        </w:rPr>
      </w:pPr>
      <w:bookmarkStart w:id="551" w:name="_Toc14732"/>
      <w:r>
        <w:rPr>
          <w:rFonts w:hint="eastAsia" w:asciiTheme="minorEastAsia" w:hAnsiTheme="minorEastAsia" w:eastAsiaTheme="minorEastAsia" w:cstheme="minorEastAsia"/>
          <w:b/>
          <w:snapToGrid w:val="0"/>
          <w:color w:val="000000" w:themeColor="text1"/>
          <w:szCs w:val="24"/>
          <w:highlight w:val="none"/>
          <w14:textFill>
            <w14:solidFill>
              <w14:schemeClr w14:val="tx1"/>
            </w14:solidFill>
          </w14:textFill>
        </w:rPr>
        <w:t>格式十</w:t>
      </w:r>
      <w:r>
        <w:rPr>
          <w:rFonts w:hint="eastAsia" w:asciiTheme="minorEastAsia" w:hAnsiTheme="minorEastAsia" w:eastAsiaTheme="minorEastAsia" w:cstheme="minorEastAsia"/>
          <w:b/>
          <w:snapToGrid w:val="0"/>
          <w:color w:val="000000" w:themeColor="text1"/>
          <w:szCs w:val="24"/>
          <w:highlight w:val="none"/>
          <w:lang w:val="en-US" w:eastAsia="zh-CN"/>
          <w14:textFill>
            <w14:solidFill>
              <w14:schemeClr w14:val="tx1"/>
            </w14:solidFill>
          </w14:textFill>
        </w:rPr>
        <w:t>三</w:t>
      </w:r>
      <w:r>
        <w:rPr>
          <w:rFonts w:hint="eastAsia" w:asciiTheme="minorEastAsia" w:hAnsiTheme="minorEastAsia" w:eastAsiaTheme="minorEastAsia" w:cstheme="minorEastAsia"/>
          <w:b/>
          <w:snapToGrid w:val="0"/>
          <w:color w:val="000000" w:themeColor="text1"/>
          <w:szCs w:val="24"/>
          <w:highlight w:val="none"/>
          <w14:textFill>
            <w14:solidFill>
              <w14:schemeClr w14:val="tx1"/>
            </w14:solidFill>
          </w14:textFill>
        </w:rPr>
        <w:t xml:space="preserve"> 项目管理机构组成表</w:t>
      </w:r>
      <w:bookmarkEnd w:id="549"/>
      <w:bookmarkEnd w:id="551"/>
    </w:p>
    <w:p>
      <w:pPr>
        <w:pageBreakBefore w:val="0"/>
        <w:kinsoku/>
        <w:wordWrap w:val="0"/>
        <w:overflowPunct/>
        <w:bidi w:val="0"/>
        <w:adjustRightInd w:val="0"/>
        <w:snapToGrid w:val="0"/>
        <w:spacing w:before="260" w:after="260" w:line="440" w:lineRule="exact"/>
        <w:jc w:val="cente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t>项目管理机构组成表</w:t>
      </w:r>
    </w:p>
    <w:tbl>
      <w:tblPr>
        <w:tblStyle w:val="22"/>
        <w:tblW w:w="8957"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44"/>
        <w:gridCol w:w="1424"/>
        <w:gridCol w:w="1358"/>
        <w:gridCol w:w="902"/>
        <w:gridCol w:w="819"/>
        <w:gridCol w:w="1541"/>
        <w:gridCol w:w="216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10" w:hRule="atLeast"/>
        </w:trPr>
        <w:tc>
          <w:tcPr>
            <w:tcW w:w="74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序号</w:t>
            </w:r>
          </w:p>
        </w:tc>
        <w:tc>
          <w:tcPr>
            <w:tcW w:w="142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职务</w:t>
            </w:r>
          </w:p>
        </w:tc>
        <w:tc>
          <w:tcPr>
            <w:tcW w:w="1358"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姓名</w:t>
            </w:r>
          </w:p>
        </w:tc>
        <w:tc>
          <w:tcPr>
            <w:tcW w:w="90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性别</w:t>
            </w:r>
          </w:p>
        </w:tc>
        <w:tc>
          <w:tcPr>
            <w:tcW w:w="81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年龄</w:t>
            </w:r>
          </w:p>
        </w:tc>
        <w:tc>
          <w:tcPr>
            <w:tcW w:w="154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职称</w:t>
            </w:r>
          </w:p>
        </w:tc>
        <w:tc>
          <w:tcPr>
            <w:tcW w:w="216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02" w:hRule="exact"/>
        </w:trPr>
        <w:tc>
          <w:tcPr>
            <w:tcW w:w="744" w:type="dxa"/>
            <w:tcBorders>
              <w:top w:val="single" w:color="auto" w:sz="6" w:space="0"/>
              <w:left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p>
        </w:tc>
        <w:tc>
          <w:tcPr>
            <w:tcW w:w="1424" w:type="dxa"/>
            <w:tcBorders>
              <w:top w:val="single" w:color="auto" w:sz="6" w:space="0"/>
              <w:left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项目经理</w:t>
            </w:r>
          </w:p>
        </w:tc>
        <w:tc>
          <w:tcPr>
            <w:tcW w:w="1358"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73" w:hRule="exact"/>
        </w:trPr>
        <w:tc>
          <w:tcPr>
            <w:tcW w:w="744" w:type="dxa"/>
            <w:tcBorders>
              <w:top w:val="single" w:color="auto" w:sz="6" w:space="0"/>
              <w:left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w:t>
            </w:r>
          </w:p>
        </w:tc>
        <w:tc>
          <w:tcPr>
            <w:tcW w:w="1424" w:type="dxa"/>
            <w:tcBorders>
              <w:top w:val="single" w:color="auto" w:sz="6" w:space="0"/>
              <w:left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项目技术</w:t>
            </w:r>
          </w:p>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负责人</w:t>
            </w:r>
          </w:p>
        </w:tc>
        <w:tc>
          <w:tcPr>
            <w:tcW w:w="1358"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73" w:hRule="exact"/>
        </w:trPr>
        <w:tc>
          <w:tcPr>
            <w:tcW w:w="744" w:type="dxa"/>
            <w:tcBorders>
              <w:top w:val="single" w:color="auto" w:sz="6" w:space="0"/>
              <w:left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w:t>
            </w:r>
          </w:p>
        </w:tc>
        <w:tc>
          <w:tcPr>
            <w:tcW w:w="1424" w:type="dxa"/>
            <w:tcBorders>
              <w:top w:val="single" w:color="auto" w:sz="6" w:space="0"/>
              <w:left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项目设计</w:t>
            </w:r>
          </w:p>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负责人</w:t>
            </w:r>
          </w:p>
        </w:tc>
        <w:tc>
          <w:tcPr>
            <w:tcW w:w="1358"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right w:val="single" w:color="auto" w:sz="6" w:space="0"/>
            </w:tcBorders>
            <w:shd w:val="clear" w:color="auto" w:fill="auto"/>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4</w:t>
            </w:r>
          </w:p>
        </w:tc>
        <w:tc>
          <w:tcPr>
            <w:tcW w:w="142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专职安全员</w:t>
            </w:r>
          </w:p>
        </w:tc>
        <w:tc>
          <w:tcPr>
            <w:tcW w:w="1358"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5</w:t>
            </w:r>
          </w:p>
        </w:tc>
        <w:tc>
          <w:tcPr>
            <w:tcW w:w="142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施工员</w:t>
            </w:r>
          </w:p>
        </w:tc>
        <w:tc>
          <w:tcPr>
            <w:tcW w:w="1358"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6</w:t>
            </w:r>
          </w:p>
        </w:tc>
        <w:tc>
          <w:tcPr>
            <w:tcW w:w="142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质量员</w:t>
            </w:r>
          </w:p>
        </w:tc>
        <w:tc>
          <w:tcPr>
            <w:tcW w:w="1358"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7</w:t>
            </w:r>
          </w:p>
        </w:tc>
        <w:tc>
          <w:tcPr>
            <w:tcW w:w="142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材料员</w:t>
            </w:r>
          </w:p>
        </w:tc>
        <w:tc>
          <w:tcPr>
            <w:tcW w:w="1358"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8</w:t>
            </w:r>
          </w:p>
        </w:tc>
        <w:tc>
          <w:tcPr>
            <w:tcW w:w="142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资料员</w:t>
            </w:r>
          </w:p>
        </w:tc>
        <w:tc>
          <w:tcPr>
            <w:tcW w:w="1358"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26" w:hRule="exact"/>
        </w:trPr>
        <w:tc>
          <w:tcPr>
            <w:tcW w:w="74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42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tc>
        <w:tc>
          <w:tcPr>
            <w:tcW w:w="1358"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bookmarkEnd w:id="550"/>
    </w:tbl>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bookmarkStart w:id="552" w:name="_Toc25577"/>
      <w:bookmarkStart w:id="553" w:name="_Toc8648"/>
      <w:bookmarkStart w:id="554" w:name="_Toc36804690"/>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说明：</w:t>
      </w:r>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1．《项目管理机构组成表》后应附表中拟派人员（项目经理、项目技术负责人、项目设计负责人除外）以下资料：</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（1）身份证证彩色扫描件；</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（2）职称证或岗位证或培训证</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或执业证书</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彩色扫描件；</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（3）专职安全员须提供C类安全生产考核合格证书证彩色扫描件或“广东省建筑施工企业管理人员安全生产考核系统”考核合格信息打印页；</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（4）在本单位缴纳社保的证明（</w:t>
      </w: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近一个月，其中必须有2026年8月</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）彩色扫描件；拟派人员为退休返聘人员无法提供社保证明的，提供退休证和劳动合同彩色扫描件；</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（5）“进粤企业和人员诚信信息登记平台”个人信息情况打印页或网页截图。（适用于省外建筑企业）。</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2．联合体投标的，《项目管理机构组成表》应包括联合体成员单位参与项目管理机构的人员，并提供以上所需资料。。</w:t>
      </w:r>
    </w:p>
    <w:p>
      <w:pPr>
        <w:pageBreakBefore w:val="0"/>
        <w:kinsoku/>
        <w:wordWrap w:val="0"/>
        <w:overflowPunct/>
        <w:bidi w:val="0"/>
        <w:spacing w:before="136"/>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ageBreakBefore w:val="0"/>
        <w:kinsoku/>
        <w:wordWrap w:val="0"/>
        <w:overflowPunct/>
        <w:bidi w:val="0"/>
        <w:spacing w:before="136"/>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bookmarkEnd w:id="552"/>
    <w:bookmarkEnd w:id="553"/>
    <w:bookmarkEnd w:id="554"/>
    <w:p>
      <w:pPr>
        <w:rPr>
          <w:rFonts w:hint="eastAsia" w:asciiTheme="minorEastAsia" w:hAnsiTheme="minorEastAsia" w:eastAsiaTheme="minorEastAsia" w:cstheme="minorEastAsia"/>
          <w:b/>
          <w:color w:val="000000" w:themeColor="text1"/>
          <w:kern w:val="44"/>
          <w:szCs w:val="30"/>
          <w:highlight w:val="none"/>
          <w14:textFill>
            <w14:solidFill>
              <w14:schemeClr w14:val="tx1"/>
            </w14:solidFill>
          </w14:textFill>
        </w:rPr>
      </w:pPr>
      <w:bookmarkStart w:id="555" w:name="_Toc26622"/>
      <w:bookmarkStart w:id="556" w:name="_Toc9816"/>
      <w:bookmarkStart w:id="557" w:name="_Toc6918"/>
      <w:bookmarkStart w:id="558" w:name="_Toc8821"/>
      <w:bookmarkStart w:id="559" w:name="_Toc23446"/>
      <w:bookmarkStart w:id="560" w:name="_Toc22541"/>
      <w:bookmarkStart w:id="561" w:name="_Toc26638"/>
      <w:bookmarkStart w:id="562" w:name="_Toc8121"/>
      <w:r>
        <w:rPr>
          <w:rFonts w:hint="eastAsia" w:asciiTheme="minorEastAsia" w:hAnsiTheme="minorEastAsia" w:eastAsiaTheme="minorEastAsia" w:cstheme="minorEastAsia"/>
          <w:b/>
          <w:color w:val="000000" w:themeColor="text1"/>
          <w:kern w:val="44"/>
          <w:szCs w:val="30"/>
          <w:highlight w:val="none"/>
          <w14:textFill>
            <w14:solidFill>
              <w14:schemeClr w14:val="tx1"/>
            </w14:solidFill>
          </w14:textFill>
        </w:rPr>
        <w:br w:type="page"/>
      </w:r>
    </w:p>
    <w:p>
      <w:pPr>
        <w:pStyle w:val="4"/>
        <w:pageBreakBefore w:val="0"/>
        <w:kinsoku/>
        <w:wordWrap w:val="0"/>
        <w:overflowPunct/>
        <w:bidi w:val="0"/>
        <w:spacing w:before="120"/>
        <w:rPr>
          <w:rFonts w:hint="eastAsia" w:asciiTheme="minorEastAsia" w:hAnsiTheme="minorEastAsia" w:eastAsiaTheme="minorEastAsia" w:cstheme="minorEastAsia"/>
          <w:b/>
          <w:snapToGrid w:val="0"/>
          <w:color w:val="000000" w:themeColor="text1"/>
          <w:szCs w:val="24"/>
          <w:highlight w:val="none"/>
          <w:lang w:val="en-US" w:eastAsia="zh-CN"/>
          <w14:textFill>
            <w14:solidFill>
              <w14:schemeClr w14:val="tx1"/>
            </w14:solidFill>
          </w14:textFill>
        </w:rPr>
      </w:pPr>
      <w:bookmarkStart w:id="563" w:name="_Toc30092"/>
      <w:bookmarkStart w:id="564" w:name="_Toc19935"/>
      <w:bookmarkStart w:id="565" w:name="_Toc26911"/>
      <w:bookmarkStart w:id="566" w:name="_Toc4456"/>
      <w:bookmarkStart w:id="567" w:name="_Toc9141"/>
      <w:r>
        <w:rPr>
          <w:rFonts w:hint="eastAsia" w:asciiTheme="minorEastAsia" w:hAnsiTheme="minorEastAsia" w:eastAsiaTheme="minorEastAsia" w:cstheme="minorEastAsia"/>
          <w:b/>
          <w:snapToGrid w:val="0"/>
          <w:color w:val="000000" w:themeColor="text1"/>
          <w:szCs w:val="24"/>
          <w:highlight w:val="none"/>
          <w:lang w:val="en-US" w:eastAsia="zh-CN"/>
          <w14:textFill>
            <w14:solidFill>
              <w14:schemeClr w14:val="tx1"/>
            </w14:solidFill>
          </w14:textFill>
        </w:rPr>
        <w:t>格式十四 定标文件封面</w:t>
      </w:r>
      <w:bookmarkEnd w:id="563"/>
      <w:bookmarkEnd w:id="564"/>
      <w:bookmarkEnd w:id="565"/>
    </w:p>
    <w:bookmarkEnd w:id="566"/>
    <w:bookmarkEnd w:id="567"/>
    <w:p>
      <w:pPr>
        <w:pStyle w:val="84"/>
        <w:snapToGrid w:val="0"/>
        <w:spacing w:line="240" w:lineRule="auto"/>
        <w:rPr>
          <w:rStyle w:val="52"/>
          <w:rFonts w:hint="eastAsia" w:ascii="宋体" w:hAnsi="宋体" w:eastAsia="宋体" w:cs="宋体"/>
          <w:b/>
          <w:bCs/>
          <w:color w:val="auto"/>
          <w:sz w:val="24"/>
          <w:szCs w:val="24"/>
          <w:highlight w:val="none"/>
        </w:rPr>
      </w:pPr>
    </w:p>
    <w:p>
      <w:pPr>
        <w:pStyle w:val="84"/>
        <w:snapToGrid w:val="0"/>
        <w:spacing w:line="240" w:lineRule="auto"/>
        <w:rPr>
          <w:rStyle w:val="52"/>
          <w:rFonts w:hint="eastAsia" w:ascii="宋体" w:hAnsi="宋体" w:eastAsia="宋体" w:cs="宋体"/>
          <w:b/>
          <w:bCs/>
          <w:color w:val="auto"/>
          <w:sz w:val="24"/>
          <w:szCs w:val="24"/>
          <w:highlight w:val="none"/>
        </w:rPr>
      </w:pPr>
    </w:p>
    <w:p>
      <w:pPr>
        <w:pStyle w:val="84"/>
        <w:snapToGrid w:val="0"/>
        <w:spacing w:line="240" w:lineRule="auto"/>
        <w:rPr>
          <w:rStyle w:val="52"/>
          <w:rFonts w:hint="eastAsia" w:ascii="宋体" w:hAnsi="宋体" w:eastAsia="宋体" w:cs="宋体"/>
          <w:b/>
          <w:bCs/>
          <w:color w:val="auto"/>
          <w:sz w:val="24"/>
          <w:szCs w:val="24"/>
          <w:highlight w:val="none"/>
        </w:rPr>
      </w:pPr>
    </w:p>
    <w:p>
      <w:pPr>
        <w:pStyle w:val="84"/>
        <w:snapToGrid w:val="0"/>
        <w:spacing w:line="240" w:lineRule="auto"/>
        <w:rPr>
          <w:rStyle w:val="52"/>
          <w:rFonts w:hint="eastAsia" w:ascii="宋体" w:hAnsi="宋体" w:eastAsia="宋体" w:cs="宋体"/>
          <w:b/>
          <w:bCs/>
          <w:color w:val="auto"/>
          <w:sz w:val="24"/>
          <w:szCs w:val="24"/>
          <w:highlight w:val="none"/>
        </w:rPr>
      </w:pPr>
    </w:p>
    <w:p>
      <w:pPr>
        <w:pStyle w:val="84"/>
        <w:snapToGrid w:val="0"/>
        <w:spacing w:line="240" w:lineRule="auto"/>
        <w:rPr>
          <w:rStyle w:val="52"/>
          <w:rFonts w:hint="eastAsia" w:ascii="宋体" w:hAnsi="宋体" w:eastAsia="宋体" w:cs="宋体"/>
          <w:b/>
          <w:bCs/>
          <w:color w:val="auto"/>
          <w:sz w:val="24"/>
          <w:szCs w:val="24"/>
          <w:highlight w:val="none"/>
        </w:rPr>
      </w:pPr>
    </w:p>
    <w:p>
      <w:pPr>
        <w:pStyle w:val="84"/>
        <w:snapToGrid w:val="0"/>
        <w:spacing w:line="240" w:lineRule="auto"/>
        <w:rPr>
          <w:rStyle w:val="52"/>
          <w:rFonts w:hint="eastAsia" w:ascii="宋体" w:hAnsi="宋体" w:eastAsia="宋体" w:cs="宋体"/>
          <w:b/>
          <w:bCs/>
          <w:color w:val="auto"/>
          <w:sz w:val="24"/>
          <w:szCs w:val="24"/>
          <w:highlight w:val="none"/>
        </w:rPr>
      </w:pPr>
    </w:p>
    <w:p>
      <w:pPr>
        <w:pStyle w:val="84"/>
        <w:snapToGrid w:val="0"/>
        <w:spacing w:line="240" w:lineRule="auto"/>
        <w:rPr>
          <w:rStyle w:val="52"/>
          <w:rFonts w:hint="eastAsia" w:ascii="宋体" w:hAnsi="宋体" w:eastAsia="宋体" w:cs="宋体"/>
          <w:b/>
          <w:bCs/>
          <w:color w:val="auto"/>
          <w:sz w:val="24"/>
          <w:szCs w:val="24"/>
          <w:highlight w:val="none"/>
        </w:rPr>
      </w:pPr>
    </w:p>
    <w:p>
      <w:pPr>
        <w:pStyle w:val="84"/>
        <w:snapToGrid w:val="0"/>
        <w:spacing w:line="240" w:lineRule="auto"/>
        <w:ind w:firstLine="0"/>
        <w:jc w:val="center"/>
        <w:rPr>
          <w:rStyle w:val="52"/>
          <w:rFonts w:hint="eastAsia" w:ascii="宋体" w:hAnsi="宋体" w:eastAsia="宋体" w:cs="宋体"/>
          <w:b/>
          <w:bCs/>
          <w:color w:val="auto"/>
          <w:sz w:val="52"/>
          <w:szCs w:val="52"/>
          <w:highlight w:val="none"/>
        </w:rPr>
      </w:pPr>
      <w:r>
        <w:rPr>
          <w:rStyle w:val="52"/>
          <w:rFonts w:hint="eastAsia" w:ascii="宋体" w:hAnsi="宋体" w:eastAsia="宋体" w:cs="宋体"/>
          <w:color w:val="auto"/>
          <w:sz w:val="52"/>
          <w:szCs w:val="52"/>
          <w:highlight w:val="none"/>
          <w:u w:val="single"/>
        </w:rPr>
        <w:t xml:space="preserve">       </w:t>
      </w:r>
      <w:r>
        <w:rPr>
          <w:rStyle w:val="52"/>
          <w:rFonts w:hint="eastAsia" w:ascii="宋体" w:hAnsi="宋体" w:eastAsia="宋体" w:cs="宋体"/>
          <w:b/>
          <w:bCs/>
          <w:color w:val="auto"/>
          <w:sz w:val="52"/>
          <w:szCs w:val="52"/>
          <w:highlight w:val="none"/>
          <w:u w:val="single"/>
        </w:rPr>
        <w:t>（</w:t>
      </w:r>
      <w:r>
        <w:rPr>
          <w:rStyle w:val="52"/>
          <w:rFonts w:hint="eastAsia" w:hAnsi="宋体" w:cs="宋体"/>
          <w:b/>
          <w:bCs/>
          <w:color w:val="auto"/>
          <w:sz w:val="52"/>
          <w:szCs w:val="52"/>
          <w:highlight w:val="none"/>
          <w:u w:val="single"/>
        </w:rPr>
        <w:t>项目名称</w:t>
      </w:r>
      <w:r>
        <w:rPr>
          <w:rStyle w:val="52"/>
          <w:rFonts w:hint="eastAsia" w:ascii="宋体" w:hAnsi="宋体" w:eastAsia="宋体" w:cs="宋体"/>
          <w:b/>
          <w:bCs/>
          <w:color w:val="auto"/>
          <w:sz w:val="52"/>
          <w:szCs w:val="52"/>
          <w:highlight w:val="none"/>
          <w:u w:val="single"/>
        </w:rPr>
        <w:t>）</w:t>
      </w:r>
      <w:r>
        <w:rPr>
          <w:rStyle w:val="52"/>
          <w:rFonts w:hint="eastAsia" w:ascii="宋体" w:hAnsi="宋体" w:eastAsia="宋体" w:cs="宋体"/>
          <w:b/>
          <w:bCs/>
          <w:color w:val="auto"/>
          <w:sz w:val="52"/>
          <w:szCs w:val="52"/>
          <w:highlight w:val="none"/>
        </w:rPr>
        <w:t xml:space="preserve">招标 </w:t>
      </w:r>
    </w:p>
    <w:p>
      <w:pPr>
        <w:pStyle w:val="84"/>
        <w:snapToGrid w:val="0"/>
        <w:spacing w:line="240" w:lineRule="auto"/>
        <w:ind w:firstLine="0"/>
        <w:jc w:val="center"/>
        <w:rPr>
          <w:rStyle w:val="52"/>
          <w:rFonts w:hint="eastAsia" w:ascii="宋体" w:hAnsi="宋体" w:eastAsia="宋体" w:cs="宋体"/>
          <w:b/>
          <w:bCs/>
          <w:color w:val="auto"/>
          <w:sz w:val="32"/>
          <w:szCs w:val="32"/>
          <w:highlight w:val="none"/>
        </w:rPr>
      </w:pPr>
    </w:p>
    <w:p>
      <w:pPr>
        <w:pStyle w:val="48"/>
        <w:pageBreakBefore w:val="0"/>
        <w:widowControl w:val="0"/>
        <w:kinsoku/>
        <w:wordWrap w:val="0"/>
        <w:overflowPunct/>
        <w:bidi w:val="0"/>
        <w:adjustRightInd w:val="0"/>
        <w:snapToGrid w:val="0"/>
        <w:ind w:firstLine="0"/>
        <w:jc w:val="center"/>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84"/>
        <w:snapToGrid w:val="0"/>
        <w:spacing w:line="240" w:lineRule="auto"/>
        <w:ind w:firstLine="0"/>
        <w:jc w:val="center"/>
        <w:rPr>
          <w:rStyle w:val="52"/>
          <w:rFonts w:hint="eastAsia" w:ascii="宋体" w:hAnsi="宋体" w:eastAsia="宋体" w:cs="宋体"/>
          <w:b/>
          <w:bCs/>
          <w:color w:val="auto"/>
          <w:sz w:val="72"/>
          <w:szCs w:val="72"/>
          <w:highlight w:val="none"/>
        </w:rPr>
      </w:pPr>
      <w:r>
        <w:rPr>
          <w:rStyle w:val="52"/>
          <w:rFonts w:hint="eastAsia" w:hAnsi="宋体" w:cs="宋体"/>
          <w:b/>
          <w:bCs/>
          <w:color w:val="auto"/>
          <w:sz w:val="72"/>
          <w:szCs w:val="72"/>
          <w:highlight w:val="none"/>
          <w:lang w:val="en-US" w:eastAsia="zh-CN"/>
        </w:rPr>
        <w:t>定</w:t>
      </w:r>
      <w:r>
        <w:rPr>
          <w:rStyle w:val="52"/>
          <w:rFonts w:hint="eastAsia" w:ascii="宋体" w:hAnsi="宋体" w:eastAsia="宋体" w:cs="宋体"/>
          <w:b/>
          <w:bCs/>
          <w:color w:val="auto"/>
          <w:sz w:val="72"/>
          <w:szCs w:val="72"/>
          <w:highlight w:val="none"/>
        </w:rPr>
        <w:t xml:space="preserve">  标  文  件</w:t>
      </w:r>
    </w:p>
    <w:p>
      <w:pPr>
        <w:pStyle w:val="84"/>
        <w:snapToGrid w:val="0"/>
        <w:spacing w:line="240" w:lineRule="auto"/>
        <w:ind w:firstLine="0"/>
        <w:jc w:val="center"/>
        <w:rPr>
          <w:rStyle w:val="52"/>
          <w:rFonts w:hint="eastAsia" w:ascii="宋体" w:hAnsi="宋体" w:eastAsia="宋体" w:cs="宋体"/>
          <w:b/>
          <w:bCs/>
          <w:color w:val="auto"/>
          <w:sz w:val="32"/>
          <w:szCs w:val="32"/>
          <w:highlight w:val="none"/>
        </w:rPr>
      </w:pPr>
    </w:p>
    <w:p>
      <w:pPr>
        <w:pStyle w:val="84"/>
        <w:snapToGrid w:val="0"/>
        <w:spacing w:line="240" w:lineRule="auto"/>
        <w:ind w:firstLine="0"/>
        <w:jc w:val="center"/>
        <w:rPr>
          <w:rStyle w:val="52"/>
          <w:rFonts w:hint="eastAsia" w:ascii="宋体" w:hAnsi="宋体" w:eastAsia="宋体" w:cs="宋体"/>
          <w:b/>
          <w:bCs/>
          <w:color w:val="auto"/>
          <w:sz w:val="40"/>
          <w:szCs w:val="40"/>
          <w:highlight w:val="none"/>
        </w:rPr>
      </w:pPr>
    </w:p>
    <w:p>
      <w:pPr>
        <w:pStyle w:val="84"/>
        <w:snapToGrid w:val="0"/>
        <w:spacing w:line="240" w:lineRule="auto"/>
        <w:jc w:val="center"/>
        <w:rPr>
          <w:rStyle w:val="52"/>
          <w:rFonts w:hint="eastAsia" w:ascii="宋体" w:hAnsi="宋体" w:eastAsia="宋体" w:cs="宋体"/>
          <w:b/>
          <w:bCs/>
          <w:color w:val="auto"/>
          <w:highlight w:val="none"/>
        </w:rPr>
      </w:pPr>
    </w:p>
    <w:p>
      <w:pPr>
        <w:pStyle w:val="84"/>
        <w:snapToGrid w:val="0"/>
        <w:spacing w:line="240" w:lineRule="auto"/>
        <w:jc w:val="center"/>
        <w:rPr>
          <w:rStyle w:val="52"/>
          <w:rFonts w:hint="eastAsia" w:ascii="宋体" w:hAnsi="宋体" w:eastAsia="宋体" w:cs="宋体"/>
          <w:b/>
          <w:bCs/>
          <w:color w:val="auto"/>
          <w:sz w:val="32"/>
          <w:szCs w:val="32"/>
          <w:highlight w:val="none"/>
        </w:rPr>
      </w:pPr>
    </w:p>
    <w:p>
      <w:pPr>
        <w:pStyle w:val="84"/>
        <w:snapToGrid w:val="0"/>
        <w:spacing w:line="240" w:lineRule="auto"/>
        <w:jc w:val="center"/>
        <w:rPr>
          <w:rStyle w:val="52"/>
          <w:rFonts w:hint="eastAsia" w:ascii="宋体" w:hAnsi="宋体" w:eastAsia="宋体" w:cs="宋体"/>
          <w:b/>
          <w:bCs/>
          <w:color w:val="auto"/>
          <w:sz w:val="32"/>
          <w:szCs w:val="32"/>
          <w:highlight w:val="none"/>
        </w:rPr>
      </w:pPr>
    </w:p>
    <w:p>
      <w:pPr>
        <w:pStyle w:val="84"/>
        <w:snapToGrid w:val="0"/>
        <w:spacing w:line="240" w:lineRule="auto"/>
        <w:jc w:val="center"/>
        <w:rPr>
          <w:rStyle w:val="52"/>
          <w:rFonts w:hint="eastAsia" w:ascii="宋体" w:hAnsi="宋体" w:eastAsia="宋体" w:cs="宋体"/>
          <w:b/>
          <w:bCs/>
          <w:color w:val="auto"/>
          <w:sz w:val="32"/>
          <w:szCs w:val="32"/>
          <w:highlight w:val="none"/>
        </w:rPr>
      </w:pPr>
    </w:p>
    <w:p>
      <w:pPr>
        <w:pStyle w:val="84"/>
        <w:snapToGrid w:val="0"/>
        <w:spacing w:line="240" w:lineRule="auto"/>
        <w:jc w:val="center"/>
        <w:rPr>
          <w:rStyle w:val="52"/>
          <w:rFonts w:hint="eastAsia" w:ascii="宋体" w:hAnsi="宋体" w:eastAsia="宋体" w:cs="宋体"/>
          <w:b/>
          <w:bCs/>
          <w:color w:val="auto"/>
          <w:sz w:val="32"/>
          <w:szCs w:val="32"/>
          <w:highlight w:val="none"/>
        </w:rPr>
      </w:pPr>
    </w:p>
    <w:p>
      <w:pPr>
        <w:pStyle w:val="84"/>
        <w:snapToGrid w:val="0"/>
        <w:spacing w:line="240" w:lineRule="auto"/>
        <w:jc w:val="center"/>
        <w:rPr>
          <w:rStyle w:val="52"/>
          <w:rFonts w:hint="eastAsia" w:ascii="宋体" w:hAnsi="宋体" w:eastAsia="宋体" w:cs="宋体"/>
          <w:b/>
          <w:bCs/>
          <w:color w:val="auto"/>
          <w:sz w:val="32"/>
          <w:szCs w:val="32"/>
          <w:highlight w:val="none"/>
        </w:rPr>
      </w:pPr>
    </w:p>
    <w:p>
      <w:pPr>
        <w:pStyle w:val="84"/>
        <w:snapToGrid w:val="0"/>
        <w:spacing w:line="240" w:lineRule="auto"/>
        <w:rPr>
          <w:rStyle w:val="52"/>
          <w:rFonts w:hint="eastAsia" w:ascii="宋体" w:hAnsi="宋体" w:eastAsia="宋体" w:cs="宋体"/>
          <w:b/>
          <w:bCs/>
          <w:color w:val="auto"/>
          <w:sz w:val="32"/>
          <w:szCs w:val="32"/>
          <w:highlight w:val="none"/>
        </w:rPr>
      </w:pPr>
    </w:p>
    <w:p>
      <w:pPr>
        <w:pStyle w:val="84"/>
        <w:snapToGrid w:val="0"/>
        <w:spacing w:line="240" w:lineRule="auto"/>
        <w:ind w:firstLine="0"/>
        <w:jc w:val="center"/>
        <w:rPr>
          <w:rStyle w:val="52"/>
          <w:rFonts w:hint="eastAsia" w:ascii="宋体" w:hAnsi="宋体" w:eastAsia="宋体" w:cs="宋体"/>
          <w:color w:val="auto"/>
          <w:sz w:val="32"/>
          <w:szCs w:val="32"/>
          <w:highlight w:val="none"/>
        </w:rPr>
      </w:pPr>
      <w:r>
        <w:rPr>
          <w:rStyle w:val="52"/>
          <w:rFonts w:hint="eastAsia" w:ascii="宋体" w:hAnsi="宋体" w:eastAsia="宋体" w:cs="宋体"/>
          <w:color w:val="auto"/>
          <w:sz w:val="32"/>
          <w:szCs w:val="32"/>
          <w:highlight w:val="none"/>
        </w:rPr>
        <w:t>投标人：</w:t>
      </w:r>
      <w:r>
        <w:rPr>
          <w:rStyle w:val="52"/>
          <w:rFonts w:hint="eastAsia" w:ascii="宋体" w:hAnsi="宋体" w:eastAsia="宋体" w:cs="宋体"/>
          <w:color w:val="auto"/>
          <w:sz w:val="32"/>
          <w:szCs w:val="32"/>
          <w:highlight w:val="none"/>
          <w:u w:val="single"/>
        </w:rPr>
        <w:t xml:space="preserve">                                   </w:t>
      </w:r>
      <w:r>
        <w:rPr>
          <w:rStyle w:val="52"/>
          <w:rFonts w:hint="eastAsia" w:ascii="宋体" w:hAnsi="宋体" w:eastAsia="宋体" w:cs="宋体"/>
          <w:color w:val="auto"/>
          <w:sz w:val="32"/>
          <w:szCs w:val="32"/>
          <w:highlight w:val="none"/>
        </w:rPr>
        <w:t>（盖单位章）</w:t>
      </w:r>
    </w:p>
    <w:p>
      <w:pPr>
        <w:pStyle w:val="84"/>
        <w:snapToGrid w:val="0"/>
        <w:spacing w:line="240" w:lineRule="auto"/>
        <w:ind w:firstLine="0"/>
        <w:jc w:val="center"/>
        <w:rPr>
          <w:rStyle w:val="52"/>
          <w:rFonts w:hint="eastAsia" w:ascii="宋体" w:hAnsi="宋体" w:eastAsia="宋体" w:cs="宋体"/>
          <w:color w:val="auto"/>
          <w:sz w:val="32"/>
          <w:szCs w:val="32"/>
          <w:highlight w:val="none"/>
        </w:rPr>
      </w:pPr>
    </w:p>
    <w:p>
      <w:pPr>
        <w:pStyle w:val="84"/>
        <w:snapToGrid w:val="0"/>
        <w:spacing w:line="240" w:lineRule="auto"/>
        <w:ind w:firstLine="0"/>
        <w:jc w:val="center"/>
        <w:rPr>
          <w:rStyle w:val="52"/>
          <w:rFonts w:hint="eastAsia" w:ascii="宋体" w:hAnsi="宋体" w:eastAsia="宋体" w:cs="宋体"/>
          <w:color w:val="auto"/>
          <w:sz w:val="32"/>
          <w:szCs w:val="32"/>
          <w:highlight w:val="none"/>
        </w:rPr>
      </w:pPr>
    </w:p>
    <w:p>
      <w:pPr>
        <w:pStyle w:val="84"/>
        <w:snapToGrid w:val="0"/>
        <w:spacing w:line="240" w:lineRule="auto"/>
        <w:ind w:firstLine="0"/>
        <w:jc w:val="center"/>
        <w:rPr>
          <w:rStyle w:val="52"/>
          <w:rFonts w:hint="eastAsia" w:ascii="宋体" w:hAnsi="宋体" w:eastAsia="宋体" w:cs="宋体"/>
          <w:color w:val="auto"/>
          <w:sz w:val="32"/>
          <w:szCs w:val="32"/>
          <w:highlight w:val="none"/>
        </w:rPr>
      </w:pPr>
    </w:p>
    <w:p>
      <w:pPr>
        <w:pStyle w:val="84"/>
        <w:snapToGrid w:val="0"/>
        <w:spacing w:line="240" w:lineRule="auto"/>
        <w:ind w:firstLine="0"/>
        <w:jc w:val="center"/>
        <w:rPr>
          <w:rStyle w:val="52"/>
          <w:rFonts w:hint="eastAsia" w:ascii="宋体" w:hAnsi="宋体" w:eastAsia="宋体" w:cs="宋体"/>
          <w:color w:val="auto"/>
          <w:sz w:val="32"/>
          <w:szCs w:val="32"/>
          <w:highlight w:val="none"/>
        </w:rPr>
      </w:pPr>
      <w:r>
        <w:rPr>
          <w:rStyle w:val="52"/>
          <w:rFonts w:hint="eastAsia" w:ascii="宋体" w:hAnsi="宋体" w:eastAsia="宋体" w:cs="宋体"/>
          <w:color w:val="auto"/>
          <w:sz w:val="32"/>
          <w:szCs w:val="32"/>
          <w:highlight w:val="none"/>
        </w:rPr>
        <w:t>法定代表人或其委托代理人：</w:t>
      </w:r>
      <w:r>
        <w:rPr>
          <w:rStyle w:val="52"/>
          <w:rFonts w:hint="eastAsia" w:ascii="宋体" w:hAnsi="宋体" w:eastAsia="宋体" w:cs="宋体"/>
          <w:color w:val="auto"/>
          <w:sz w:val="32"/>
          <w:szCs w:val="32"/>
          <w:highlight w:val="none"/>
          <w:u w:val="single"/>
        </w:rPr>
        <w:t xml:space="preserve">               </w:t>
      </w:r>
      <w:r>
        <w:rPr>
          <w:rStyle w:val="52"/>
          <w:rFonts w:hint="eastAsia" w:ascii="宋体" w:hAnsi="宋体" w:eastAsia="宋体" w:cs="宋体"/>
          <w:color w:val="auto"/>
          <w:sz w:val="32"/>
          <w:szCs w:val="32"/>
          <w:highlight w:val="none"/>
        </w:rPr>
        <w:t>（签字或盖章）</w:t>
      </w:r>
    </w:p>
    <w:p>
      <w:pPr>
        <w:pStyle w:val="84"/>
        <w:snapToGrid w:val="0"/>
        <w:spacing w:line="240" w:lineRule="auto"/>
        <w:ind w:firstLine="0"/>
        <w:jc w:val="center"/>
        <w:rPr>
          <w:rStyle w:val="52"/>
          <w:rFonts w:hint="eastAsia" w:ascii="宋体" w:hAnsi="宋体" w:eastAsia="宋体" w:cs="宋体"/>
          <w:color w:val="auto"/>
          <w:sz w:val="32"/>
          <w:szCs w:val="32"/>
          <w:highlight w:val="none"/>
        </w:rPr>
      </w:pPr>
    </w:p>
    <w:p>
      <w:pPr>
        <w:pStyle w:val="84"/>
        <w:snapToGrid w:val="0"/>
        <w:spacing w:line="240" w:lineRule="auto"/>
        <w:ind w:firstLine="0"/>
        <w:jc w:val="center"/>
        <w:rPr>
          <w:rStyle w:val="52"/>
          <w:rFonts w:hint="eastAsia" w:ascii="宋体" w:hAnsi="宋体" w:eastAsia="宋体" w:cs="宋体"/>
          <w:color w:val="auto"/>
          <w:sz w:val="32"/>
          <w:szCs w:val="32"/>
          <w:highlight w:val="none"/>
          <w:u w:val="single"/>
        </w:rPr>
      </w:pPr>
    </w:p>
    <w:p>
      <w:pPr>
        <w:pStyle w:val="84"/>
        <w:snapToGrid w:val="0"/>
        <w:spacing w:line="240" w:lineRule="auto"/>
        <w:ind w:firstLine="0"/>
        <w:jc w:val="center"/>
        <w:rPr>
          <w:rStyle w:val="52"/>
          <w:rFonts w:hint="eastAsia" w:ascii="宋体" w:hAnsi="宋体" w:eastAsia="宋体" w:cs="宋体"/>
          <w:b/>
          <w:bCs/>
          <w:color w:val="auto"/>
          <w:highlight w:val="none"/>
        </w:rPr>
      </w:pPr>
      <w:r>
        <w:rPr>
          <w:rStyle w:val="52"/>
          <w:rFonts w:hint="eastAsia" w:ascii="宋体" w:hAnsi="宋体" w:eastAsia="宋体" w:cs="宋体"/>
          <w:color w:val="auto"/>
          <w:sz w:val="32"/>
          <w:szCs w:val="32"/>
          <w:highlight w:val="none"/>
          <w:u w:val="single"/>
        </w:rPr>
        <w:t xml:space="preserve">         </w:t>
      </w:r>
      <w:r>
        <w:rPr>
          <w:rStyle w:val="52"/>
          <w:rFonts w:hint="eastAsia" w:ascii="宋体" w:hAnsi="宋体" w:eastAsia="宋体" w:cs="宋体"/>
          <w:color w:val="auto"/>
          <w:sz w:val="32"/>
          <w:szCs w:val="32"/>
          <w:highlight w:val="none"/>
        </w:rPr>
        <w:t>年</w:t>
      </w:r>
      <w:r>
        <w:rPr>
          <w:rStyle w:val="52"/>
          <w:rFonts w:hint="eastAsia" w:ascii="宋体" w:hAnsi="宋体" w:eastAsia="宋体" w:cs="宋体"/>
          <w:color w:val="auto"/>
          <w:sz w:val="32"/>
          <w:szCs w:val="32"/>
          <w:highlight w:val="none"/>
          <w:u w:val="single"/>
        </w:rPr>
        <w:t xml:space="preserve">      </w:t>
      </w:r>
      <w:r>
        <w:rPr>
          <w:rStyle w:val="52"/>
          <w:rFonts w:hint="eastAsia" w:ascii="宋体" w:hAnsi="宋体" w:eastAsia="宋体" w:cs="宋体"/>
          <w:color w:val="auto"/>
          <w:sz w:val="32"/>
          <w:szCs w:val="32"/>
          <w:highlight w:val="none"/>
        </w:rPr>
        <w:t>月</w:t>
      </w:r>
      <w:r>
        <w:rPr>
          <w:rStyle w:val="52"/>
          <w:rFonts w:hint="eastAsia" w:ascii="宋体" w:hAnsi="宋体" w:eastAsia="宋体" w:cs="宋体"/>
          <w:color w:val="auto"/>
          <w:sz w:val="32"/>
          <w:szCs w:val="32"/>
          <w:highlight w:val="none"/>
          <w:u w:val="single"/>
        </w:rPr>
        <w:t xml:space="preserve">      </w:t>
      </w:r>
      <w:r>
        <w:rPr>
          <w:rStyle w:val="52"/>
          <w:rFonts w:hint="eastAsia" w:ascii="宋体" w:hAnsi="宋体" w:eastAsia="宋体" w:cs="宋体"/>
          <w:color w:val="auto"/>
          <w:sz w:val="32"/>
          <w:szCs w:val="32"/>
          <w:highlight w:val="none"/>
        </w:rPr>
        <w:t>日</w:t>
      </w:r>
    </w:p>
    <w:p>
      <w:pPr>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br w:type="page"/>
      </w:r>
    </w:p>
    <w:p>
      <w:pPr>
        <w:pStyle w:val="4"/>
        <w:pageBreakBefore w:val="0"/>
        <w:kinsoku/>
        <w:wordWrap w:val="0"/>
        <w:overflowPunct/>
        <w:bidi w:val="0"/>
        <w:spacing w:before="120"/>
        <w:rPr>
          <w:rFonts w:hint="eastAsia" w:asciiTheme="minorEastAsia" w:hAnsiTheme="minorEastAsia" w:eastAsiaTheme="minorEastAsia" w:cstheme="minorEastAsia"/>
          <w:b/>
          <w:snapToGrid w:val="0"/>
          <w:color w:val="000000" w:themeColor="text1"/>
          <w:szCs w:val="24"/>
          <w:highlight w:val="none"/>
          <w:lang w:val="en-US" w:eastAsia="zh-CN"/>
          <w14:textFill>
            <w14:solidFill>
              <w14:schemeClr w14:val="tx1"/>
            </w14:solidFill>
          </w14:textFill>
        </w:rPr>
      </w:pPr>
      <w:bookmarkStart w:id="568" w:name="_Toc21858"/>
      <w:bookmarkStart w:id="569" w:name="_Toc6621"/>
      <w:bookmarkStart w:id="570" w:name="_Toc22084"/>
      <w:r>
        <w:rPr>
          <w:rFonts w:hint="eastAsia" w:asciiTheme="minorEastAsia" w:hAnsiTheme="minorEastAsia" w:eastAsiaTheme="minorEastAsia" w:cstheme="minorEastAsia"/>
          <w:b/>
          <w:snapToGrid w:val="0"/>
          <w:color w:val="000000" w:themeColor="text1"/>
          <w:szCs w:val="24"/>
          <w:highlight w:val="none"/>
          <w:lang w:val="en-US" w:eastAsia="zh-CN"/>
          <w14:textFill>
            <w14:solidFill>
              <w14:schemeClr w14:val="tx1"/>
            </w14:solidFill>
          </w14:textFill>
        </w:rPr>
        <w:t>格式十五 定标因素评审资料</w:t>
      </w:r>
      <w:bookmarkEnd w:id="568"/>
    </w:p>
    <w:bookmarkEnd w:id="569"/>
    <w:bookmarkEnd w:id="570"/>
    <w:p>
      <w:pPr>
        <w:jc w:val="left"/>
        <w:rPr>
          <w:rFonts w:hint="eastAsia" w:ascii="宋体" w:hAnsi="宋体" w:eastAsia="宋体" w:cs="宋体"/>
          <w:color w:val="auto"/>
          <w:sz w:val="24"/>
          <w:highlight w:val="none"/>
          <w:lang w:eastAsia="zh-CN"/>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Style w:val="52"/>
          <w:rFonts w:hint="eastAsia" w:ascii="宋体" w:hAnsi="宋体" w:eastAsia="宋体" w:cs="宋体"/>
          <w:b/>
          <w:bCs/>
          <w:color w:val="auto"/>
          <w:sz w:val="24"/>
          <w:szCs w:val="24"/>
          <w:highlight w:val="none"/>
        </w:rPr>
      </w:pPr>
      <w:r>
        <w:rPr>
          <w:rFonts w:hint="eastAsia" w:ascii="宋体" w:hAnsi="宋体" w:eastAsia="宋体" w:cs="宋体"/>
          <w:b w:val="0"/>
          <w:bCs w:val="0"/>
          <w:color w:val="auto"/>
          <w:sz w:val="21"/>
          <w:szCs w:val="21"/>
          <w:highlight w:val="none"/>
          <w:lang w:val="en-US" w:eastAsia="zh-CN"/>
        </w:rPr>
        <w:t>投标人根据“</w:t>
      </w:r>
      <w:r>
        <w:rPr>
          <w:rFonts w:hint="eastAsia" w:ascii="宋体" w:hAnsi="宋体" w:eastAsia="宋体" w:cs="宋体"/>
          <w:b w:val="0"/>
          <w:bCs w:val="0"/>
          <w:color w:val="auto"/>
          <w:sz w:val="21"/>
          <w:szCs w:val="21"/>
          <w:highlight w:val="none"/>
        </w:rPr>
        <w:t>第</w:t>
      </w:r>
      <w:r>
        <w:rPr>
          <w:rFonts w:hint="eastAsia" w:ascii="宋体" w:hAnsi="宋体" w:eastAsia="宋体" w:cs="宋体"/>
          <w:b w:val="0"/>
          <w:bCs w:val="0"/>
          <w:color w:val="auto"/>
          <w:sz w:val="21"/>
          <w:szCs w:val="21"/>
          <w:highlight w:val="none"/>
          <w:lang w:val="en-US" w:eastAsia="zh-CN"/>
        </w:rPr>
        <w:t>一</w:t>
      </w:r>
      <w:r>
        <w:rPr>
          <w:rFonts w:hint="eastAsia" w:ascii="宋体" w:hAnsi="宋体" w:eastAsia="宋体" w:cs="宋体"/>
          <w:b w:val="0"/>
          <w:bCs w:val="0"/>
          <w:color w:val="auto"/>
          <w:sz w:val="21"/>
          <w:szCs w:val="21"/>
          <w:highlight w:val="none"/>
        </w:rPr>
        <w:t>章 第</w:t>
      </w:r>
      <w:r>
        <w:rPr>
          <w:rFonts w:hint="eastAsia" w:hAnsi="宋体" w:eastAsia="宋体" w:cs="宋体"/>
          <w:b w:val="0"/>
          <w:bCs w:val="0"/>
          <w:color w:val="auto"/>
          <w:sz w:val="21"/>
          <w:szCs w:val="21"/>
          <w:highlight w:val="none"/>
          <w:lang w:val="en-US" w:eastAsia="zh-CN"/>
        </w:rPr>
        <w:t>16、</w:t>
      </w:r>
      <w:r>
        <w:rPr>
          <w:rFonts w:hint="eastAsia" w:ascii="宋体" w:hAnsi="宋体" w:eastAsia="宋体" w:cs="宋体"/>
          <w:b w:val="0"/>
          <w:bCs w:val="0"/>
          <w:color w:val="auto"/>
          <w:sz w:val="21"/>
          <w:szCs w:val="21"/>
          <w:highlight w:val="none"/>
        </w:rPr>
        <w:t>定标</w:t>
      </w:r>
      <w:r>
        <w:rPr>
          <w:rFonts w:hint="eastAsia" w:ascii="宋体" w:hAnsi="宋体" w:eastAsia="宋体" w:cs="宋体"/>
          <w:b w:val="0"/>
          <w:bCs w:val="0"/>
          <w:color w:val="auto"/>
          <w:sz w:val="21"/>
          <w:szCs w:val="21"/>
          <w:highlight w:val="none"/>
          <w:lang w:val="en-US" w:eastAsia="zh-CN"/>
        </w:rPr>
        <w:t>”载明的</w:t>
      </w:r>
      <w:r>
        <w:rPr>
          <w:rFonts w:hint="eastAsia" w:ascii="宋体" w:hAnsi="宋体" w:eastAsia="宋体" w:cs="宋体"/>
          <w:b w:val="0"/>
          <w:bCs w:val="0"/>
          <w:color w:val="auto"/>
          <w:sz w:val="21"/>
          <w:szCs w:val="21"/>
          <w:highlight w:val="none"/>
          <w:lang w:eastAsia="zh-CN"/>
        </w:rPr>
        <w:t>定标因素，</w:t>
      </w:r>
      <w:r>
        <w:rPr>
          <w:rFonts w:hint="eastAsia" w:ascii="宋体" w:hAnsi="宋体" w:eastAsia="宋体" w:cs="宋体"/>
          <w:b w:val="0"/>
          <w:bCs w:val="0"/>
          <w:color w:val="auto"/>
          <w:sz w:val="21"/>
          <w:szCs w:val="21"/>
          <w:highlight w:val="none"/>
          <w:lang w:val="en-US" w:eastAsia="zh-CN"/>
        </w:rPr>
        <w:t>提交</w:t>
      </w:r>
      <w:r>
        <w:rPr>
          <w:rFonts w:hint="eastAsia" w:ascii="宋体" w:hAnsi="宋体" w:eastAsia="宋体" w:cs="宋体"/>
          <w:b w:val="0"/>
          <w:bCs w:val="0"/>
          <w:color w:val="auto"/>
          <w:sz w:val="21"/>
          <w:szCs w:val="21"/>
          <w:highlight w:val="none"/>
          <w:lang w:eastAsia="zh-CN"/>
        </w:rPr>
        <w:t>评审资料。</w:t>
      </w:r>
    </w:p>
    <w:p>
      <w:pPr>
        <w:rPr>
          <w:rFonts w:hint="eastAsia" w:asciiTheme="minorEastAsia" w:hAnsiTheme="minorEastAsia" w:eastAsiaTheme="minorEastAsia" w:cstheme="minorEastAsia"/>
          <w:b/>
          <w:color w:val="000000" w:themeColor="text1"/>
          <w:kern w:val="44"/>
          <w:szCs w:val="30"/>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44"/>
          <w:szCs w:val="30"/>
          <w:highlight w:val="none"/>
          <w14:textFill>
            <w14:solidFill>
              <w14:schemeClr w14:val="tx1"/>
            </w14:solidFill>
          </w14:textFill>
        </w:rPr>
        <w:br w:type="page"/>
      </w:r>
    </w:p>
    <w:bookmarkEnd w:id="469"/>
    <w:bookmarkEnd w:id="470"/>
    <w:bookmarkEnd w:id="471"/>
    <w:bookmarkEnd w:id="472"/>
    <w:bookmarkEnd w:id="473"/>
    <w:bookmarkEnd w:id="474"/>
    <w:bookmarkEnd w:id="555"/>
    <w:bookmarkEnd w:id="556"/>
    <w:bookmarkEnd w:id="557"/>
    <w:bookmarkEnd w:id="558"/>
    <w:bookmarkEnd w:id="559"/>
    <w:bookmarkEnd w:id="560"/>
    <w:bookmarkEnd w:id="561"/>
    <w:bookmarkEnd w:id="562"/>
    <w:p>
      <w:pPr>
        <w:pStyle w:val="3"/>
        <w:pageBreakBefore w:val="0"/>
        <w:kinsoku/>
        <w:wordWrap w:val="0"/>
        <w:overflowPunct/>
        <w:bidi w:val="0"/>
        <w:jc w:val="cente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pPr>
      <w:bookmarkStart w:id="571" w:name="_Toc466640622"/>
      <w:bookmarkStart w:id="572" w:name="_Toc19434"/>
      <w:bookmarkStart w:id="573" w:name="_Toc1879"/>
      <w:bookmarkStart w:id="574" w:name="_Toc23853"/>
      <w:bookmarkStart w:id="575" w:name="_Toc7570"/>
      <w:bookmarkStart w:id="576" w:name="_Toc420"/>
      <w:bookmarkStart w:id="577" w:name="_Toc26594"/>
      <w:bookmarkStart w:id="578" w:name="_Toc9802"/>
      <w:bookmarkStart w:id="579" w:name="_Toc3894"/>
      <w:bookmarkStart w:id="580" w:name="_Toc3242"/>
      <w:bookmarkStart w:id="581" w:name="_Toc13641"/>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第</w:t>
      </w:r>
      <w:r>
        <w:rPr>
          <w:rFonts w:hint="eastAsia" w:asciiTheme="minorEastAsia" w:hAnsiTheme="minorEastAsia" w:eastAsiaTheme="minorEastAsia" w:cstheme="minorEastAsia"/>
          <w:b/>
          <w:color w:val="000000" w:themeColor="text1"/>
          <w:kern w:val="44"/>
          <w:sz w:val="36"/>
          <w:szCs w:val="36"/>
          <w:highlight w:val="none"/>
          <w:lang w:val="en-US" w:eastAsia="zh-CN"/>
          <w14:textFill>
            <w14:solidFill>
              <w14:schemeClr w14:val="tx1"/>
            </w14:solidFill>
          </w14:textFill>
        </w:rPr>
        <w:t>七</w:t>
      </w:r>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 xml:space="preserve">章  </w:t>
      </w:r>
      <w:bookmarkEnd w:id="571"/>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建设工程合同</w:t>
      </w:r>
      <w:bookmarkEnd w:id="572"/>
      <w:bookmarkEnd w:id="573"/>
      <w:bookmarkEnd w:id="574"/>
      <w:bookmarkEnd w:id="575"/>
      <w:bookmarkEnd w:id="576"/>
      <w:bookmarkEnd w:id="577"/>
      <w:bookmarkEnd w:id="578"/>
      <w:bookmarkEnd w:id="579"/>
      <w:bookmarkEnd w:id="580"/>
      <w:bookmarkEnd w:id="581"/>
    </w:p>
    <w:p>
      <w:pPr>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略。总承包合同参照住房城乡建设部、国家工商行政管理总局制定的《建设项目工程总承包合同（示范文本）》GF-2020-0216。</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w:t>
      </w:r>
    </w:p>
    <w:p>
      <w:pPr>
        <w:pStyle w:val="5"/>
        <w:pageBreakBefore w:val="0"/>
        <w:kinsoku/>
        <w:wordWrap w:val="0"/>
        <w:overflowPunct/>
        <w:bidi w:val="0"/>
        <w:ind w:left="4511" w:leftChars="174" w:hanging="4093" w:hangingChars="1274"/>
        <w:jc w:val="center"/>
        <w:rPr>
          <w:rFonts w:hint="eastAsia" w:asciiTheme="minorEastAsia" w:hAnsiTheme="minorEastAsia" w:eastAsiaTheme="minorEastAsia" w:cstheme="minorEastAsia"/>
          <w:bCs/>
          <w:color w:val="000000" w:themeColor="text1"/>
          <w:sz w:val="32"/>
          <w:szCs w:val="32"/>
          <w:highlight w:val="none"/>
          <w:lang w:val="en-US" w:eastAsia="zh-CN"/>
          <w14:textFill>
            <w14:solidFill>
              <w14:schemeClr w14:val="tx1"/>
            </w14:solidFill>
          </w14:textFill>
        </w:rPr>
      </w:pPr>
      <w:bookmarkStart w:id="582" w:name="_Toc2994"/>
      <w:bookmarkStart w:id="583" w:name="_Toc32046"/>
      <w:bookmarkStart w:id="584" w:name="_Toc5845"/>
      <w:bookmarkStart w:id="585" w:name="_Toc16029"/>
      <w:bookmarkStart w:id="586" w:name="_Toc10193"/>
      <w:bookmarkStart w:id="587" w:name="_Toc29713"/>
      <w:bookmarkStart w:id="588" w:name="_Toc5870"/>
      <w:bookmarkStart w:id="589" w:name="_Toc30503"/>
      <w:bookmarkStart w:id="590" w:name="_Toc10603"/>
      <w:bookmarkStart w:id="591" w:name="_Toc20232"/>
      <w:bookmarkStart w:id="592" w:name="_Toc30955"/>
      <w:bookmarkStart w:id="593" w:name="_Toc25674"/>
      <w:r>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t>廉政合同</w:t>
      </w:r>
      <w:bookmarkEnd w:id="582"/>
      <w:bookmarkEnd w:id="583"/>
      <w:bookmarkEnd w:id="584"/>
      <w:bookmarkEnd w:id="585"/>
      <w:bookmarkEnd w:id="586"/>
      <w:bookmarkEnd w:id="587"/>
      <w:bookmarkEnd w:id="588"/>
      <w:bookmarkEnd w:id="589"/>
      <w:bookmarkEnd w:id="590"/>
      <w:bookmarkEnd w:id="591"/>
      <w:r>
        <w:rPr>
          <w:rFonts w:hint="eastAsia" w:asciiTheme="minorEastAsia" w:hAnsiTheme="minorEastAsia" w:eastAsiaTheme="minorEastAsia" w:cstheme="minorEastAsia"/>
          <w:bCs/>
          <w:color w:val="000000" w:themeColor="text1"/>
          <w:sz w:val="32"/>
          <w:szCs w:val="32"/>
          <w:highlight w:val="none"/>
          <w:lang w:val="en-US" w:eastAsia="zh-CN"/>
          <w14:textFill>
            <w14:solidFill>
              <w14:schemeClr w14:val="tx1"/>
            </w14:solidFill>
          </w14:textFill>
        </w:rPr>
        <w:t>格式</w:t>
      </w:r>
      <w:bookmarkEnd w:id="592"/>
      <w:bookmarkEnd w:id="593"/>
    </w:p>
    <w:p>
      <w:pPr>
        <w:pageBreakBefore w:val="0"/>
        <w:tabs>
          <w:tab w:val="left" w:pos="9100"/>
        </w:tabs>
        <w:kinsoku/>
        <w:wordWrap w:val="0"/>
        <w:overflowPunct/>
        <w:autoSpaceDE w:val="0"/>
        <w:autoSpaceDN w:val="0"/>
        <w:bidi w:val="0"/>
        <w:adjustRightInd w:val="0"/>
        <w:spacing w:line="460" w:lineRule="atLeast"/>
        <w:ind w:left="101" w:right="101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招标人：（全称）</w:t>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ab/>
      </w:r>
    </w:p>
    <w:p>
      <w:pPr>
        <w:pageBreakBefore w:val="0"/>
        <w:tabs>
          <w:tab w:val="left" w:pos="9100"/>
        </w:tabs>
        <w:kinsoku/>
        <w:wordWrap w:val="0"/>
        <w:overflowPunct/>
        <w:autoSpaceDE w:val="0"/>
        <w:autoSpaceDN w:val="0"/>
        <w:bidi w:val="0"/>
        <w:adjustRightInd w:val="0"/>
        <w:spacing w:line="460" w:lineRule="atLeast"/>
        <w:ind w:left="101" w:right="101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中标人：（全称）</w:t>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ab/>
      </w:r>
    </w:p>
    <w:p>
      <w:pPr>
        <w:pageBreakBefore w:val="0"/>
        <w:kinsoku/>
        <w:wordWrap w:val="0"/>
        <w:overflowPunct/>
        <w:autoSpaceDE w:val="0"/>
        <w:autoSpaceDN w:val="0"/>
        <w:bidi w:val="0"/>
        <w:adjustRightInd w:val="0"/>
        <w:spacing w:before="6" w:line="150" w:lineRule="exact"/>
        <w:jc w:val="left"/>
        <w:rPr>
          <w:rFonts w:hint="eastAsia" w:asciiTheme="minorEastAsia" w:hAnsiTheme="minorEastAsia" w:eastAsiaTheme="minorEastAsia" w:cstheme="minorEastAsia"/>
          <w:color w:val="000000" w:themeColor="text1"/>
          <w:kern w:val="0"/>
          <w:szCs w:val="15"/>
          <w:highlight w:val="none"/>
          <w14:textFill>
            <w14:solidFill>
              <w14:schemeClr w14:val="tx1"/>
            </w14:solidFill>
          </w14:textFill>
        </w:rPr>
      </w:pPr>
    </w:p>
    <w:p>
      <w:pPr>
        <w:pageBreakBefore w:val="0"/>
        <w:kinsoku/>
        <w:wordWrap w:val="0"/>
        <w:overflowPunct/>
        <w:autoSpaceDE w:val="0"/>
        <w:autoSpaceDN w:val="0"/>
        <w:bidi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position w:val="-3"/>
          <w:highlight w:val="none"/>
          <w14:textFill>
            <w14:solidFill>
              <w14:schemeClr w14:val="tx1"/>
            </w14:solidFill>
          </w14:textFill>
        </w:rPr>
        <w:t>根据国家、省有关廉政建设的规定，为做好合同工程的廉政建设，保证工程质量与施工安</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全，提高建设资金的有效使用和投资效益，合同双方当事人就加强合同工程的廉政建设，订立本合同。</w:t>
      </w:r>
    </w:p>
    <w:p>
      <w:pPr>
        <w:pageBreakBefore w:val="0"/>
        <w:kinsoku/>
        <w:wordWrap w:val="0"/>
        <w:overflowPunct/>
        <w:autoSpaceDE w:val="0"/>
        <w:autoSpaceDN w:val="0"/>
        <w:bidi w:val="0"/>
        <w:adjustRightInd w:val="0"/>
        <w:spacing w:line="360" w:lineRule="auto"/>
        <w:ind w:firstLine="482" w:firstLineChars="200"/>
        <w:jc w:val="left"/>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1</w:t>
      </w: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ab/>
      </w:r>
      <w:r>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t>双方权利和义务</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1.1</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严格遵守国家、省有关法律法规的规定。</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1.2</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严格执行合同工程一切合同文件，自觉按合同办事。</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1.3</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合同双方当事人的业务活动应坚持公平</w:t>
      </w:r>
      <w:r>
        <w:rPr>
          <w:rFonts w:hint="eastAsia" w:asciiTheme="minorEastAsia" w:hAnsiTheme="minorEastAsia" w:eastAsiaTheme="minorEastAsia" w:cstheme="minorEastAsia"/>
          <w:color w:val="000000" w:themeColor="text1"/>
          <w:spacing w:val="-12"/>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公开</w:t>
      </w:r>
      <w:r>
        <w:rPr>
          <w:rFonts w:hint="eastAsia" w:asciiTheme="minorEastAsia" w:hAnsiTheme="minorEastAsia" w:eastAsiaTheme="minorEastAsia" w:cstheme="minorEastAsia"/>
          <w:color w:val="000000" w:themeColor="text1"/>
          <w:spacing w:val="-12"/>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公正和诚信的原</w:t>
      </w:r>
      <w:r>
        <w:rPr>
          <w:rFonts w:hint="eastAsia" w:asciiTheme="minorEastAsia" w:hAnsiTheme="minorEastAsia" w:eastAsiaTheme="minorEastAsia" w:cstheme="minorEastAsia"/>
          <w:color w:val="000000" w:themeColor="text1"/>
          <w:spacing w:val="-12"/>
          <w:kern w:val="0"/>
          <w:highlight w:val="none"/>
          <w14:textFill>
            <w14:solidFill>
              <w14:schemeClr w14:val="tx1"/>
            </w14:solidFill>
          </w14:textFill>
        </w:rPr>
        <w:t>则</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（法律认定的商业 秘密和合同文件另有规定除外</w:t>
      </w:r>
      <w:r>
        <w:rPr>
          <w:rFonts w:hint="eastAsia" w:asciiTheme="minorEastAsia" w:hAnsiTheme="minorEastAsia" w:eastAsiaTheme="minorEastAsia" w:cstheme="minorEastAsia"/>
          <w:color w:val="000000" w:themeColor="text1"/>
          <w:spacing w:val="-120"/>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，不得损害国家和集体利益，不得违反工程建设管理规章制度。</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1.4</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建立健全廉政制度</w:t>
      </w:r>
      <w:r>
        <w:rPr>
          <w:rFonts w:hint="eastAsia" w:asciiTheme="minorEastAsia" w:hAnsiTheme="minorEastAsia" w:eastAsiaTheme="minorEastAsia" w:cstheme="minorEastAsia"/>
          <w:color w:val="000000" w:themeColor="text1"/>
          <w:spacing w:val="-10"/>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开展廉政教育</w:t>
      </w:r>
      <w:r>
        <w:rPr>
          <w:rFonts w:hint="eastAsia" w:asciiTheme="minorEastAsia" w:hAnsiTheme="minorEastAsia" w:eastAsiaTheme="minorEastAsia" w:cstheme="minorEastAsia"/>
          <w:color w:val="000000" w:themeColor="text1"/>
          <w:spacing w:val="-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设立廉政告示牌</w:t>
      </w:r>
      <w:r>
        <w:rPr>
          <w:rFonts w:hint="eastAsia" w:asciiTheme="minorEastAsia" w:hAnsiTheme="minorEastAsia" w:eastAsiaTheme="minorEastAsia" w:cstheme="minorEastAsia"/>
          <w:color w:val="000000" w:themeColor="text1"/>
          <w:spacing w:val="-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公布举报电话</w:t>
      </w:r>
      <w:r>
        <w:rPr>
          <w:rFonts w:hint="eastAsia" w:asciiTheme="minorEastAsia" w:hAnsiTheme="minorEastAsia" w:eastAsiaTheme="minorEastAsia" w:cstheme="minorEastAsia"/>
          <w:color w:val="000000" w:themeColor="text1"/>
          <w:spacing w:val="-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监督并认真查 处违法违纪行为。</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1.5</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发现对方在业务活动中有违反廉政建设规定的行为，应及时给予提醒和纠正。</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1.6</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发现对方严重违反合同的行为</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有向其上级部门举报</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建议给予处理并要求告知处理 结果的权利。没有上级部门的，可按本合同第二部分《通用条款》第87 条规定处理。</w:t>
      </w:r>
    </w:p>
    <w:p>
      <w:pPr>
        <w:pageBreakBefore w:val="0"/>
        <w:kinsoku/>
        <w:wordWrap w:val="0"/>
        <w:overflowPunct/>
        <w:autoSpaceDE w:val="0"/>
        <w:autoSpaceDN w:val="0"/>
        <w:bidi w:val="0"/>
        <w:adjustRightInd w:val="0"/>
        <w:spacing w:line="360" w:lineRule="auto"/>
        <w:ind w:firstLine="482" w:firstLineChars="200"/>
        <w:jc w:val="left"/>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2</w:t>
      </w: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ab/>
      </w:r>
      <w:r>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t>招标人义务</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2.1</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招标人及其工作人员不得索取或接受中标人的礼金</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有价证券和贵重物品</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不得在承 包人报销任何应由招标人或其工作人员个人支付的费用。</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2.2</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招标人及其工作人员不得参加中标人安排的宴</w:t>
      </w:r>
      <w:r>
        <w:rPr>
          <w:rFonts w:hint="eastAsia" w:asciiTheme="minorEastAsia" w:hAnsiTheme="minorEastAsia" w:eastAsiaTheme="minorEastAsia" w:cstheme="minorEastAsia"/>
          <w:color w:val="000000" w:themeColor="text1"/>
          <w:spacing w:val="-12"/>
          <w:kern w:val="0"/>
          <w:highlight w:val="none"/>
          <w14:textFill>
            <w14:solidFill>
              <w14:schemeClr w14:val="tx1"/>
            </w14:solidFill>
          </w14:textFill>
        </w:rPr>
        <w:t>请</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（工作餐除外</w:t>
      </w:r>
      <w:r>
        <w:rPr>
          <w:rFonts w:hint="eastAsia" w:asciiTheme="minorEastAsia" w:hAnsiTheme="minorEastAsia" w:eastAsiaTheme="minorEastAsia" w:cstheme="minorEastAsia"/>
          <w:color w:val="000000" w:themeColor="text1"/>
          <w:spacing w:val="-12"/>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和娱乐活动</w:t>
      </w:r>
      <w:r>
        <w:rPr>
          <w:rFonts w:hint="eastAsia" w:asciiTheme="minorEastAsia" w:hAnsiTheme="minorEastAsia" w:eastAsiaTheme="minorEastAsia" w:cstheme="minorEastAsia"/>
          <w:color w:val="000000" w:themeColor="text1"/>
          <w:spacing w:val="-12"/>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不得接受中标人提供的通讯、交通工具和高档办公用品等物品。</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position w:val="-2"/>
          <w:highlight w:val="none"/>
          <w14:textFill>
            <w14:solidFill>
              <w14:schemeClr w14:val="tx1"/>
            </w14:solidFill>
          </w14:textFill>
        </w:rPr>
        <w:t>2.3</w:t>
      </w:r>
      <w:r>
        <w:rPr>
          <w:rFonts w:hint="eastAsia" w:asciiTheme="minorEastAsia" w:hAnsiTheme="minorEastAsia" w:eastAsiaTheme="minorEastAsia" w:cstheme="minorEastAsia"/>
          <w:color w:val="000000" w:themeColor="text1"/>
          <w:kern w:val="0"/>
          <w:position w:val="-2"/>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position w:val="-2"/>
          <w:highlight w:val="none"/>
          <w14:textFill>
            <w14:solidFill>
              <w14:schemeClr w14:val="tx1"/>
            </w14:solidFill>
          </w14:textFill>
        </w:rPr>
        <w:t>招标人及其工作人员不得要求或者接受中标人为其住房装修</w:t>
      </w:r>
      <w:r>
        <w:rPr>
          <w:rFonts w:hint="eastAsia" w:asciiTheme="minorEastAsia" w:hAnsiTheme="minorEastAsia" w:eastAsiaTheme="minorEastAsia" w:cstheme="minorEastAsia"/>
          <w:color w:val="000000" w:themeColor="text1"/>
          <w:spacing w:val="-18"/>
          <w:kern w:val="0"/>
          <w:position w:val="-2"/>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position w:val="-2"/>
          <w:highlight w:val="none"/>
          <w14:textFill>
            <w14:solidFill>
              <w14:schemeClr w14:val="tx1"/>
            </w14:solidFill>
          </w14:textFill>
        </w:rPr>
        <w:t>婚丧嫁娶活动</w:t>
      </w:r>
      <w:r>
        <w:rPr>
          <w:rFonts w:hint="eastAsia" w:asciiTheme="minorEastAsia" w:hAnsiTheme="minorEastAsia" w:eastAsiaTheme="minorEastAsia" w:cstheme="minorEastAsia"/>
          <w:color w:val="000000" w:themeColor="text1"/>
          <w:spacing w:val="-18"/>
          <w:kern w:val="0"/>
          <w:position w:val="-2"/>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position w:val="-2"/>
          <w:highlight w:val="none"/>
          <w14:textFill>
            <w14:solidFill>
              <w14:schemeClr w14:val="tx1"/>
            </w14:solidFill>
          </w14:textFill>
        </w:rPr>
        <w:t>配偶子</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女工作安排以及出国出境、旅游等提供方便。</w:t>
      </w:r>
    </w:p>
    <w:p>
      <w:pPr>
        <w:pageBreakBefore w:val="0"/>
        <w:kinsoku/>
        <w:wordWrap w:val="0"/>
        <w:overflowPunct/>
        <w:autoSpaceDE w:val="0"/>
        <w:autoSpaceDN w:val="0"/>
        <w:bidi w:val="0"/>
        <w:adjustRightInd w:val="0"/>
        <w:spacing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2.4 </w:t>
      </w:r>
      <w:r>
        <w:rPr>
          <w:rFonts w:hint="eastAsia" w:asciiTheme="minorEastAsia" w:hAnsiTheme="minorEastAsia" w:eastAsiaTheme="minorEastAsia" w:cstheme="minorEastAsia"/>
          <w:color w:val="000000" w:themeColor="text1"/>
          <w:spacing w:val="2"/>
          <w:kern w:val="0"/>
          <w:highlight w:val="none"/>
          <w14:textFill>
            <w14:solidFill>
              <w14:schemeClr w14:val="tx1"/>
            </w14:solidFill>
          </w14:textFill>
        </w:rPr>
        <w:t>招标人及其工作人员不得以任何理由向中标人推荐</w:t>
      </w:r>
      <w:r>
        <w:rPr>
          <w:rFonts w:hint="eastAsia" w:asciiTheme="minorEastAsia" w:hAnsiTheme="minorEastAsia" w:eastAsiaTheme="minorEastAsia" w:cstheme="minorEastAsia"/>
          <w:color w:val="000000" w:themeColor="text1"/>
          <w:spacing w:val="1"/>
          <w:kern w:val="0"/>
          <w:highlight w:val="none"/>
          <w14:textFill>
            <w14:solidFill>
              <w14:schemeClr w14:val="tx1"/>
            </w14:solidFill>
          </w14:textFill>
        </w:rPr>
        <w:t>分</w:t>
      </w:r>
      <w:r>
        <w:rPr>
          <w:rFonts w:hint="eastAsia" w:asciiTheme="minorEastAsia" w:hAnsiTheme="minorEastAsia" w:eastAsiaTheme="minorEastAsia" w:cstheme="minorEastAsia"/>
          <w:color w:val="000000" w:themeColor="text1"/>
          <w:spacing w:val="2"/>
          <w:kern w:val="0"/>
          <w:highlight w:val="none"/>
          <w14:textFill>
            <w14:solidFill>
              <w14:schemeClr w14:val="tx1"/>
            </w14:solidFill>
          </w14:textFill>
        </w:rPr>
        <w:t xml:space="preserve">包人、推销材料和工程设备，不 </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得要求中标人购买合同以外的材料和工程设备。</w:t>
      </w:r>
    </w:p>
    <w:p>
      <w:pPr>
        <w:pageBreakBefore w:val="0"/>
        <w:kinsoku/>
        <w:wordWrap w:val="0"/>
        <w:overflowPunct/>
        <w:autoSpaceDE w:val="0"/>
        <w:autoSpaceDN w:val="0"/>
        <w:bidi w:val="0"/>
        <w:adjustRightInd w:val="0"/>
        <w:spacing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2.5</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招标人及其工作人员要秉公办事</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不准营私舞弊</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不准利用职权私自为合同工程安排 施工队伍，也不得从事与合同工程有关的各种有偿中介活动。</w:t>
      </w:r>
    </w:p>
    <w:p>
      <w:pPr>
        <w:pageBreakBefore w:val="0"/>
        <w:kinsoku/>
        <w:wordWrap w:val="0"/>
        <w:overflowPunct/>
        <w:autoSpaceDE w:val="0"/>
        <w:autoSpaceDN w:val="0"/>
        <w:bidi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2.6 </w:t>
      </w:r>
      <w:r>
        <w:rPr>
          <w:rFonts w:hint="eastAsia" w:asciiTheme="minorEastAsia" w:hAnsiTheme="minorEastAsia" w:eastAsiaTheme="minorEastAsia" w:cstheme="minorEastAsia"/>
          <w:color w:val="000000" w:themeColor="text1"/>
          <w:spacing w:val="2"/>
          <w:kern w:val="0"/>
          <w:highlight w:val="none"/>
          <w14:textFill>
            <w14:solidFill>
              <w14:schemeClr w14:val="tx1"/>
            </w14:solidFill>
          </w14:textFill>
        </w:rPr>
        <w:t>招标人及其工作人员（含其配偶、子女）不得从事</w:t>
      </w:r>
      <w:r>
        <w:rPr>
          <w:rFonts w:hint="eastAsia" w:asciiTheme="minorEastAsia" w:hAnsiTheme="minorEastAsia" w:eastAsiaTheme="minorEastAsia" w:cstheme="minorEastAsia"/>
          <w:color w:val="000000" w:themeColor="text1"/>
          <w:spacing w:val="1"/>
          <w:kern w:val="0"/>
          <w:highlight w:val="none"/>
          <w14:textFill>
            <w14:solidFill>
              <w14:schemeClr w14:val="tx1"/>
            </w14:solidFill>
          </w14:textFill>
        </w:rPr>
        <w:t>与</w:t>
      </w:r>
      <w:r>
        <w:rPr>
          <w:rFonts w:hint="eastAsia" w:asciiTheme="minorEastAsia" w:hAnsiTheme="minorEastAsia" w:eastAsiaTheme="minorEastAsia" w:cstheme="minorEastAsia"/>
          <w:color w:val="000000" w:themeColor="text1"/>
          <w:spacing w:val="2"/>
          <w:kern w:val="0"/>
          <w:highlight w:val="none"/>
          <w14:textFill>
            <w14:solidFill>
              <w14:schemeClr w14:val="tx1"/>
            </w14:solidFill>
          </w14:textFill>
        </w:rPr>
        <w:t xml:space="preserve">合同工程有关的材料和工程设备 </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供应、工程分包、劳务等经济活动。</w:t>
      </w:r>
    </w:p>
    <w:p>
      <w:pPr>
        <w:pageBreakBefore w:val="0"/>
        <w:kinsoku/>
        <w:wordWrap w:val="0"/>
        <w:overflowPunct/>
        <w:autoSpaceDE w:val="0"/>
        <w:autoSpaceDN w:val="0"/>
        <w:bidi w:val="0"/>
        <w:adjustRightInd w:val="0"/>
        <w:spacing w:before="72" w:line="360" w:lineRule="auto"/>
        <w:ind w:right="185" w:firstLine="482" w:firstLineChars="200"/>
        <w:jc w:val="left"/>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3</w:t>
      </w: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ab/>
      </w:r>
      <w:r>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t>中标人义务</w:t>
      </w:r>
    </w:p>
    <w:p>
      <w:pPr>
        <w:pageBreakBefore w:val="0"/>
        <w:kinsoku/>
        <w:wordWrap w:val="0"/>
        <w:overflowPunct/>
        <w:autoSpaceDE w:val="0"/>
        <w:autoSpaceDN w:val="0"/>
        <w:bidi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3.1</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中标人不得以任何理由向招标人及其工作人员行贿或馈赠礼金</w:t>
      </w:r>
      <w:r>
        <w:rPr>
          <w:rFonts w:hint="eastAsia" w:asciiTheme="minorEastAsia" w:hAnsiTheme="minorEastAsia" w:eastAsiaTheme="minorEastAsia" w:cstheme="minorEastAsia"/>
          <w:color w:val="000000" w:themeColor="text1"/>
          <w:spacing w:val="-7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有价证券</w:t>
      </w:r>
      <w:r>
        <w:rPr>
          <w:rFonts w:hint="eastAsia" w:asciiTheme="minorEastAsia" w:hAnsiTheme="minorEastAsia" w:eastAsiaTheme="minorEastAsia" w:cstheme="minorEastAsia"/>
          <w:color w:val="000000" w:themeColor="text1"/>
          <w:spacing w:val="-7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贵重礼品。</w:t>
      </w:r>
    </w:p>
    <w:p>
      <w:pPr>
        <w:pageBreakBefore w:val="0"/>
        <w:kinsoku/>
        <w:wordWrap w:val="0"/>
        <w:overflowPunct/>
        <w:autoSpaceDE w:val="0"/>
        <w:autoSpaceDN w:val="0"/>
        <w:bidi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3.2</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spacing w:val="5"/>
          <w:kern w:val="0"/>
          <w:highlight w:val="none"/>
          <w14:textFill>
            <w14:solidFill>
              <w14:schemeClr w14:val="tx1"/>
            </w14:solidFill>
          </w14:textFill>
        </w:rPr>
        <w:t>中标人不得以任何名义为招标人及其</w:t>
      </w:r>
      <w:r>
        <w:rPr>
          <w:rFonts w:hint="eastAsia" w:asciiTheme="minorEastAsia" w:hAnsiTheme="minorEastAsia" w:eastAsiaTheme="minorEastAsia" w:cstheme="minorEastAsia"/>
          <w:color w:val="000000" w:themeColor="text1"/>
          <w:spacing w:val="4"/>
          <w:kern w:val="0"/>
          <w:highlight w:val="none"/>
          <w14:textFill>
            <w14:solidFill>
              <w14:schemeClr w14:val="tx1"/>
            </w14:solidFill>
          </w14:textFill>
        </w:rPr>
        <w:t>工</w:t>
      </w:r>
      <w:r>
        <w:rPr>
          <w:rFonts w:hint="eastAsia" w:asciiTheme="minorEastAsia" w:hAnsiTheme="minorEastAsia" w:eastAsiaTheme="minorEastAsia" w:cstheme="minorEastAsia"/>
          <w:color w:val="000000" w:themeColor="text1"/>
          <w:spacing w:val="6"/>
          <w:kern w:val="0"/>
          <w:highlight w:val="none"/>
          <w14:textFill>
            <w14:solidFill>
              <w14:schemeClr w14:val="tx1"/>
            </w14:solidFill>
          </w14:textFill>
        </w:rPr>
        <w:t xml:space="preserve">作人员报销应由招标人或其工作人员个人支 </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付的任何费用。</w:t>
      </w:r>
    </w:p>
    <w:p>
      <w:pPr>
        <w:pageBreakBefore w:val="0"/>
        <w:kinsoku/>
        <w:wordWrap w:val="0"/>
        <w:overflowPunct/>
        <w:autoSpaceDE w:val="0"/>
        <w:autoSpaceDN w:val="0"/>
        <w:bidi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3.3</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中标人不得以任何理由安排招标人及其工作人员参加宴</w:t>
      </w:r>
      <w:r>
        <w:rPr>
          <w:rFonts w:hint="eastAsia" w:asciiTheme="minorEastAsia" w:hAnsiTheme="minorEastAsia" w:eastAsiaTheme="minorEastAsia" w:cstheme="minorEastAsia"/>
          <w:color w:val="000000" w:themeColor="text1"/>
          <w:spacing w:val="-78"/>
          <w:kern w:val="0"/>
          <w:highlight w:val="none"/>
          <w14:textFill>
            <w14:solidFill>
              <w14:schemeClr w14:val="tx1"/>
            </w14:solidFill>
          </w14:textFill>
        </w:rPr>
        <w:t>请</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（工作餐除外</w:t>
      </w:r>
      <w:r>
        <w:rPr>
          <w:rFonts w:hint="eastAsia" w:asciiTheme="minorEastAsia" w:hAnsiTheme="minorEastAsia" w:eastAsiaTheme="minorEastAsia" w:cstheme="minorEastAsia"/>
          <w:color w:val="000000" w:themeColor="text1"/>
          <w:spacing w:val="-7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及娱乐活动。</w:t>
      </w:r>
    </w:p>
    <w:p>
      <w:pPr>
        <w:pageBreakBefore w:val="0"/>
        <w:kinsoku/>
        <w:wordWrap w:val="0"/>
        <w:overflowPunct/>
        <w:autoSpaceDE w:val="0"/>
        <w:autoSpaceDN w:val="0"/>
        <w:bidi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3.4</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中标人不得为招标人和个人购置或提供通讯、交通工具和高档办公用品等物品。</w:t>
      </w:r>
    </w:p>
    <w:p>
      <w:pPr>
        <w:pageBreakBefore w:val="0"/>
        <w:kinsoku/>
        <w:wordWrap w:val="0"/>
        <w:overflowPunct/>
        <w:autoSpaceDE w:val="0"/>
        <w:autoSpaceDN w:val="0"/>
        <w:bidi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3.5</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中标人不得为招标人及其工作人员的住房装修</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婚丧嫁娶活动</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配偶子女工作安排以 及出国出境、旅游等提供方便。</w:t>
      </w:r>
    </w:p>
    <w:p>
      <w:pPr>
        <w:pageBreakBefore w:val="0"/>
        <w:kinsoku/>
        <w:wordWrap w:val="0"/>
        <w:overflowPunct/>
        <w:autoSpaceDE w:val="0"/>
        <w:autoSpaceDN w:val="0"/>
        <w:bidi w:val="0"/>
        <w:adjustRightInd w:val="0"/>
        <w:spacing w:before="72" w:line="360" w:lineRule="auto"/>
        <w:ind w:right="185" w:firstLine="482" w:firstLineChars="200"/>
        <w:jc w:val="left"/>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4</w:t>
      </w: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ab/>
      </w:r>
      <w:r>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t>违约责任</w:t>
      </w:r>
    </w:p>
    <w:p>
      <w:pPr>
        <w:pageBreakBefore w:val="0"/>
        <w:kinsoku/>
        <w:wordWrap w:val="0"/>
        <w:overflowPunct/>
        <w:autoSpaceDE w:val="0"/>
        <w:autoSpaceDN w:val="0"/>
        <w:bidi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4.1</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招标人及其工作人员违反本合同第1 条和第2 条规定</w:t>
      </w:r>
      <w:r>
        <w:rPr>
          <w:rFonts w:hint="eastAsia" w:asciiTheme="minorEastAsia" w:hAnsiTheme="minorEastAsia" w:eastAsiaTheme="minorEastAsia" w:cstheme="minorEastAsia"/>
          <w:color w:val="000000" w:themeColor="text1"/>
          <w:spacing w:val="-36"/>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应按照廉政建设的有关规定给 予处分；涉嫌犯罪的，移交司法机关追究刑事责任；给中标人造成损失的，应予赔偿。</w:t>
      </w:r>
    </w:p>
    <w:p>
      <w:pPr>
        <w:pageBreakBefore w:val="0"/>
        <w:kinsoku/>
        <w:wordWrap w:val="0"/>
        <w:overflowPunct/>
        <w:autoSpaceDE w:val="0"/>
        <w:autoSpaceDN w:val="0"/>
        <w:bidi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4.2</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中标人及其工作人员违反本合同第1 条和第3 条规定</w:t>
      </w:r>
      <w:r>
        <w:rPr>
          <w:rFonts w:hint="eastAsia" w:asciiTheme="minorEastAsia" w:hAnsiTheme="minorEastAsia" w:eastAsiaTheme="minorEastAsia" w:cstheme="minorEastAsia"/>
          <w:color w:val="000000" w:themeColor="text1"/>
          <w:spacing w:val="-36"/>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应按照廉政建设的有关规定给 予处分</w:t>
      </w:r>
      <w:r>
        <w:rPr>
          <w:rFonts w:hint="eastAsia" w:asciiTheme="minorEastAsia" w:hAnsiTheme="minorEastAsia" w:eastAsiaTheme="minorEastAsia" w:cstheme="minorEastAsia"/>
          <w:color w:val="000000" w:themeColor="text1"/>
          <w:spacing w:val="-24"/>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情节严重的</w:t>
      </w:r>
      <w:r>
        <w:rPr>
          <w:rFonts w:hint="eastAsia" w:asciiTheme="minorEastAsia" w:hAnsiTheme="minorEastAsia" w:eastAsiaTheme="minorEastAsia" w:cstheme="minorEastAsia"/>
          <w:color w:val="000000" w:themeColor="text1"/>
          <w:spacing w:val="-24"/>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给予中标人1～3 年内不得进入工程建设市场的处罚</w:t>
      </w:r>
      <w:r>
        <w:rPr>
          <w:rFonts w:hint="eastAsia" w:asciiTheme="minorEastAsia" w:hAnsiTheme="minorEastAsia" w:eastAsiaTheme="minorEastAsia" w:cstheme="minorEastAsia"/>
          <w:color w:val="000000" w:themeColor="text1"/>
          <w:spacing w:val="-24"/>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涉嫌犯罪的</w:t>
      </w:r>
      <w:r>
        <w:rPr>
          <w:rFonts w:hint="eastAsia" w:asciiTheme="minorEastAsia" w:hAnsiTheme="minorEastAsia" w:eastAsiaTheme="minorEastAsia" w:cstheme="minorEastAsia"/>
          <w:color w:val="000000" w:themeColor="text1"/>
          <w:spacing w:val="-24"/>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移交 司法机关追究刑事责任；给招标人造成损失的，应予赔偿；</w:t>
      </w:r>
    </w:p>
    <w:p>
      <w:pPr>
        <w:pageBreakBefore w:val="0"/>
        <w:kinsoku/>
        <w:wordWrap w:val="0"/>
        <w:overflowPunct/>
        <w:autoSpaceDE w:val="0"/>
        <w:autoSpaceDN w:val="0"/>
        <w:bidi w:val="0"/>
        <w:adjustRightInd w:val="0"/>
        <w:spacing w:before="16" w:line="360" w:lineRule="auto"/>
        <w:jc w:val="left"/>
        <w:rPr>
          <w:rFonts w:hint="eastAsia" w:asciiTheme="minorEastAsia" w:hAnsiTheme="minorEastAsia" w:eastAsiaTheme="minorEastAsia" w:cstheme="minorEastAsia"/>
          <w:color w:val="000000" w:themeColor="text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 xml:space="preserve">    5</w:t>
      </w:r>
      <w:r>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t>双方约定</w:t>
      </w:r>
    </w:p>
    <w:p>
      <w:pPr>
        <w:pageBreakBefore w:val="0"/>
        <w:kinsoku/>
        <w:wordWrap w:val="0"/>
        <w:overflowPunct/>
        <w:autoSpaceDE w:val="0"/>
        <w:autoSpaceDN w:val="0"/>
        <w:bidi w:val="0"/>
        <w:adjustRightInd w:val="0"/>
        <w:spacing w:line="360" w:lineRule="auto"/>
        <w:ind w:right="184" w:firstLine="484"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
          <w:kern w:val="0"/>
          <w:highlight w:val="none"/>
          <w14:textFill>
            <w14:solidFill>
              <w14:schemeClr w14:val="tx1"/>
            </w14:solidFill>
          </w14:textFill>
        </w:rPr>
        <w:t>本合同由合同双方当事人或其上</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级</w:t>
      </w:r>
      <w:r>
        <w:rPr>
          <w:rFonts w:hint="eastAsia" w:asciiTheme="minorEastAsia" w:hAnsiTheme="minorEastAsia" w:eastAsiaTheme="minorEastAsia" w:cstheme="minorEastAsia"/>
          <w:color w:val="000000" w:themeColor="text1"/>
          <w:spacing w:val="1"/>
          <w:kern w:val="0"/>
          <w:highlight w:val="none"/>
          <w14:textFill>
            <w14:solidFill>
              <w14:schemeClr w14:val="tx1"/>
            </w14:solidFill>
          </w14:textFill>
        </w:rPr>
        <w:t>部门负责监督执行，并由合</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同</w:t>
      </w:r>
      <w:r>
        <w:rPr>
          <w:rFonts w:hint="eastAsia" w:asciiTheme="minorEastAsia" w:hAnsiTheme="minorEastAsia" w:eastAsiaTheme="minorEastAsia" w:cstheme="minorEastAsia"/>
          <w:color w:val="000000" w:themeColor="text1"/>
          <w:spacing w:val="1"/>
          <w:kern w:val="0"/>
          <w:highlight w:val="none"/>
          <w14:textFill>
            <w14:solidFill>
              <w14:schemeClr w14:val="tx1"/>
            </w14:solidFill>
          </w14:textFill>
        </w:rPr>
        <w:t xml:space="preserve">双方当事人或其上级部门 </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相互约请对本合同执行情况进行检查。</w:t>
      </w:r>
    </w:p>
    <w:p>
      <w:pPr>
        <w:pageBreakBefore w:val="0"/>
        <w:kinsoku/>
        <w:wordWrap w:val="0"/>
        <w:overflowPunct/>
        <w:autoSpaceDE w:val="0"/>
        <w:autoSpaceDN w:val="0"/>
        <w:bidi w:val="0"/>
        <w:adjustRightInd w:val="0"/>
        <w:spacing w:line="360" w:lineRule="auto"/>
        <w:ind w:right="184" w:firstLine="482" w:firstLineChars="200"/>
        <w:jc w:val="left"/>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6</w:t>
      </w: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ab/>
      </w: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 xml:space="preserve"> 合同法律效力</w:t>
      </w:r>
    </w:p>
    <w:p>
      <w:pPr>
        <w:pageBreakBefore w:val="0"/>
        <w:kinsoku/>
        <w:wordWrap w:val="0"/>
        <w:overflowPunct/>
        <w:autoSpaceDE w:val="0"/>
        <w:autoSpaceDN w:val="0"/>
        <w:bidi w:val="0"/>
        <w:adjustRightInd w:val="0"/>
        <w:spacing w:line="360" w:lineRule="auto"/>
        <w:ind w:right="184"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本合同作为</w:t>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Cs w:val="28"/>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lang w:eastAsia="zh-CN"/>
          <w14:textFill>
            <w14:solidFill>
              <w14:schemeClr w14:val="tx1"/>
            </w14:solidFill>
          </w14:textFill>
        </w:rPr>
        <w:t>项目名称</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工程施工合同的附件，与施工合同具有同等的法律效力。</w:t>
      </w:r>
    </w:p>
    <w:p>
      <w:pPr>
        <w:pageBreakBefore w:val="0"/>
        <w:kinsoku/>
        <w:wordWrap w:val="0"/>
        <w:overflowPunct/>
        <w:autoSpaceDE w:val="0"/>
        <w:autoSpaceDN w:val="0"/>
        <w:bidi w:val="0"/>
        <w:adjustRightInd w:val="0"/>
        <w:spacing w:line="360" w:lineRule="auto"/>
        <w:ind w:right="184" w:firstLine="482" w:firstLineChars="200"/>
        <w:jc w:val="left"/>
        <w:rPr>
          <w:rFonts w:hint="eastAsia" w:asciiTheme="minorEastAsia" w:hAnsiTheme="minorEastAsia" w:eastAsiaTheme="minorEastAsia" w:cstheme="minorEastAsia"/>
          <w:color w:val="000000" w:themeColor="text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7</w:t>
      </w: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ab/>
      </w:r>
      <w:r>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t>合同生效</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本合同自合同双方当事人签署之日起生效，至合同工程竣工验收合格之日后失效。</w:t>
      </w:r>
    </w:p>
    <w:p>
      <w:pPr>
        <w:pageBreakBefore w:val="0"/>
        <w:kinsoku/>
        <w:wordWrap w:val="0"/>
        <w:overflowPunct/>
        <w:autoSpaceDE w:val="0"/>
        <w:autoSpaceDN w:val="0"/>
        <w:bidi w:val="0"/>
        <w:adjustRightInd w:val="0"/>
        <w:spacing w:line="360" w:lineRule="auto"/>
        <w:ind w:firstLine="482" w:firstLineChars="200"/>
        <w:jc w:val="left"/>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8</w:t>
      </w: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ab/>
      </w:r>
      <w:r>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t>合同份数</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本合同一</w:t>
      </w:r>
      <w:r>
        <w:rPr>
          <w:rFonts w:hint="eastAsia" w:asciiTheme="minorEastAsia" w:hAnsiTheme="minorEastAsia" w:eastAsiaTheme="minorEastAsia" w:cstheme="minorEastAsia"/>
          <w:color w:val="000000" w:themeColor="text1"/>
          <w:spacing w:val="1"/>
          <w:kern w:val="0"/>
          <w:highlight w:val="none"/>
          <w14:textFill>
            <w14:solidFill>
              <w14:schemeClr w14:val="tx1"/>
            </w14:solidFill>
          </w14:textFill>
        </w:rPr>
        <w:t>式</w:t>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份，合同双方当事人各</w:t>
      </w:r>
      <w:r>
        <w:rPr>
          <w:rFonts w:hint="eastAsia" w:asciiTheme="minorEastAsia" w:hAnsiTheme="minorEastAsia" w:eastAsiaTheme="minorEastAsia" w:cstheme="minorEastAsia"/>
          <w:color w:val="000000" w:themeColor="text1"/>
          <w:spacing w:val="2"/>
          <w:kern w:val="0"/>
          <w:highlight w:val="none"/>
          <w14:textFill>
            <w14:solidFill>
              <w14:schemeClr w14:val="tx1"/>
            </w14:solidFill>
          </w14:textFill>
        </w:rPr>
        <w:t>执</w:t>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1"/>
          <w:kern w:val="0"/>
          <w:highlight w:val="none"/>
          <w14:textFill>
            <w14:solidFill>
              <w14:schemeClr w14:val="tx1"/>
            </w14:solidFill>
          </w14:textFill>
        </w:rPr>
        <w:t>份。有上级部门的，合同双方当事人应各送</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交其上级部门一份。</w:t>
      </w:r>
    </w:p>
    <w:p>
      <w:pPr>
        <w:pageBreakBefore w:val="0"/>
        <w:kinsoku/>
        <w:wordWrap w:val="0"/>
        <w:overflowPunct/>
        <w:autoSpaceDE w:val="0"/>
        <w:autoSpaceDN w:val="0"/>
        <w:bidi w:val="0"/>
        <w:adjustRightInd w:val="0"/>
        <w:spacing w:before="3" w:line="130" w:lineRule="exact"/>
        <w:jc w:val="left"/>
        <w:rPr>
          <w:rFonts w:hint="eastAsia" w:asciiTheme="minorEastAsia" w:hAnsiTheme="minorEastAsia" w:eastAsiaTheme="minorEastAsia" w:cstheme="minorEastAsia"/>
          <w:color w:val="000000" w:themeColor="text1"/>
          <w:kern w:val="0"/>
          <w:szCs w:val="13"/>
          <w:highlight w:val="none"/>
          <w14:textFill>
            <w14:solidFill>
              <w14:schemeClr w14:val="tx1"/>
            </w14:solidFill>
          </w14:textFill>
        </w:rPr>
      </w:pPr>
    </w:p>
    <w:p>
      <w:pPr>
        <w:pageBreakBefore w:val="0"/>
        <w:kinsoku/>
        <w:wordWrap w:val="0"/>
        <w:overflowPunct/>
        <w:autoSpaceDE w:val="0"/>
        <w:autoSpaceDN w:val="0"/>
        <w:bidi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400" w:lineRule="exact"/>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发 包 人</w:t>
      </w:r>
      <w:r>
        <w:rPr>
          <w:rFonts w:hint="eastAsia" w:asciiTheme="minorEastAsia" w:hAnsiTheme="minorEastAsia" w:eastAsiaTheme="minorEastAsia" w:cstheme="minorEastAsia"/>
          <w:color w:val="000000" w:themeColor="text1"/>
          <w:spacing w:val="-120"/>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（公章）</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 承 包 人 </w:t>
      </w:r>
      <w:r>
        <w:rPr>
          <w:rFonts w:hint="eastAsia" w:asciiTheme="minorEastAsia" w:hAnsiTheme="minorEastAsia" w:eastAsiaTheme="minorEastAsia" w:cstheme="minorEastAsia"/>
          <w:color w:val="000000" w:themeColor="text1"/>
          <w:spacing w:val="-120"/>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（公章） </w:t>
      </w:r>
    </w:p>
    <w:p>
      <w:pPr>
        <w:pageBreakBefore w:val="0"/>
        <w:kinsoku/>
        <w:wordWrap w:val="0"/>
        <w:overflowPunct/>
        <w:autoSpaceDE w:val="0"/>
        <w:autoSpaceDN w:val="0"/>
        <w:bidi w:val="0"/>
        <w:adjustRightInd w:val="0"/>
        <w:spacing w:line="400" w:lineRule="exact"/>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法定代表人</w:t>
      </w:r>
      <w:r>
        <w:rPr>
          <w:rFonts w:hint="eastAsia" w:asciiTheme="minorEastAsia" w:hAnsiTheme="minorEastAsia" w:eastAsiaTheme="minorEastAsia" w:cstheme="minorEastAsia"/>
          <w:color w:val="000000" w:themeColor="text1"/>
          <w:spacing w:val="-120"/>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（签字）</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              法定代表人</w:t>
      </w:r>
      <w:r>
        <w:rPr>
          <w:rFonts w:hint="eastAsia" w:asciiTheme="minorEastAsia" w:hAnsiTheme="minorEastAsia" w:eastAsiaTheme="minorEastAsia" w:cstheme="minorEastAsia"/>
          <w:color w:val="000000" w:themeColor="text1"/>
          <w:spacing w:val="-120"/>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（签字） </w:t>
      </w:r>
    </w:p>
    <w:p>
      <w:pPr>
        <w:pageBreakBefore w:val="0"/>
        <w:kinsoku/>
        <w:wordWrap w:val="0"/>
        <w:overflowPunct/>
        <w:autoSpaceDE w:val="0"/>
        <w:autoSpaceDN w:val="0"/>
        <w:bidi w:val="0"/>
        <w:adjustRightInd w:val="0"/>
        <w:spacing w:line="400" w:lineRule="exact"/>
        <w:ind w:firstLine="480" w:firstLineChars="200"/>
        <w:jc w:val="left"/>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联系电话：</w:t>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                     联系电话：</w:t>
      </w:r>
    </w:p>
    <w:p>
      <w:pPr>
        <w:pageBreakBefore w:val="0"/>
        <w:kinsoku/>
        <w:wordWrap w:val="0"/>
        <w:overflowPunct/>
        <w:autoSpaceDE w:val="0"/>
        <w:autoSpaceDN w:val="0"/>
        <w:bidi w:val="0"/>
        <w:adjustRightInd w:val="0"/>
        <w:spacing w:line="400" w:lineRule="exact"/>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上级部门：（公章）            </w:t>
      </w:r>
      <w:r>
        <w:rPr>
          <w:rFonts w:hint="eastAsia" w:asciiTheme="minorEastAsia" w:hAnsiTheme="minorEastAsia" w:eastAsiaTheme="minorEastAsia" w:cstheme="minorEastAsia"/>
          <w:color w:val="000000" w:themeColor="text1"/>
          <w:kern w:val="0"/>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      上级部门：（公章）</w:t>
      </w:r>
    </w:p>
    <w:p>
      <w:pPr>
        <w:pageBreakBefore w:val="0"/>
        <w:kinsoku/>
        <w:wordWrap w:val="0"/>
        <w:overflowPunct/>
        <w:autoSpaceDE w:val="0"/>
        <w:autoSpaceDN w:val="0"/>
        <w:bidi w:val="0"/>
        <w:adjustRightInd w:val="0"/>
        <w:spacing w:line="400" w:lineRule="exact"/>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400" w:lineRule="exact"/>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400" w:lineRule="exact"/>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          年   月    日                                年   月   日</w:t>
      </w:r>
    </w:p>
    <w:p>
      <w:pPr>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p>
    <w:sectPr>
      <w:headerReference r:id="rId9" w:type="default"/>
      <w:footerReference r:id="rId10" w:type="default"/>
      <w:endnotePr>
        <w:numFmt w:val="decimal"/>
      </w:endnotePr>
      <w:pgSz w:w="11907" w:h="16840"/>
      <w:pgMar w:top="1134" w:right="1134" w:bottom="1021" w:left="1418" w:header="567" w:footer="510" w:gutter="0"/>
      <w:pgNumType w:fmt="decimal"/>
      <w:cols w:space="720" w:num="1"/>
      <w:docGrid w:type="lines" w:linePitch="27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00" w:usb3="00000000" w:csb0="00040000" w:csb1="00000000"/>
  </w:font>
  <w:font w:name="Bodoni MT">
    <w:altName w:val="Segoe Print"/>
    <w:panose1 w:val="02070603080606020203"/>
    <w:charset w:val="00"/>
    <w:family w:val="roman"/>
    <w:pitch w:val="default"/>
    <w:sig w:usb0="00000000" w:usb1="00000000" w:usb2="00000000" w:usb3="00000000" w:csb0="20000001" w:csb1="00000000"/>
  </w:font>
  <w:font w:name="华文新魏">
    <w:altName w:val="宋体"/>
    <w:panose1 w:val="0201080004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1"/>
      <w:tabs>
        <w:tab w:val="left" w:pos="4803"/>
        <w:tab w:val="clear" w:pos="4153"/>
      </w:tabs>
    </w:pPr>
    <w:r>
      <w:rPr>
        <w:rFonts w:hint="eastAsia"/>
      </w:rPr>
      <w:tab/>
    </w:r>
  </w:p>
  <w:p>
    <w:pPr>
      <w:pStyle w:val="7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1"/>
      <w:tabs>
        <w:tab w:val="left" w:pos="4803"/>
        <w:tab w:val="clear" w:pos="4153"/>
      </w:tabs>
    </w:pPr>
    <w:r>
      <w:rPr>
        <w:rFonts w:hint="eastAsia"/>
      </w:rPr>
      <w:tab/>
    </w:r>
  </w:p>
  <w:p>
    <w:pPr>
      <w:pStyle w:val="7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1"/>
      <w:tabs>
        <w:tab w:val="left" w:pos="4803"/>
        <w:tab w:val="clear" w:pos="4153"/>
      </w:tabs>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XxwCskBAACZ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UOG5x4OefP86//px/fyev&#10;sz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lfHAKyQEAAJkDAAAOAAAAAAAAAAEAIAAAAB4BAABkcnMvZTJvRG9j&#10;LnhtbFBLBQYAAAAABgAGAFkBAABZBQAAAAA=&#10;">
              <v:fill on="f" focussize="0,0"/>
              <v:stroke on="f"/>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rPr>
      <w:tab/>
    </w:r>
  </w:p>
  <w:p>
    <w:pPr>
      <w:pStyle w:val="7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1"/>
      <w:tabs>
        <w:tab w:val="left" w:pos="4803"/>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pfMzMkBAACZ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1S4rjFgZ9//jj/ejw/fCdv&#10;sjx9gBqz7gLmpeG9H3BpZj+gM7MeVLT5i3wIxlHc00VcOSQi8qPVcrWqMCQwNl8Qnz09DxHSB+kt&#10;yUZDI06viMqPnyCNqXNKrub8rTamTNC4vxyImT0s9z72mK007IaJ0M63J+TT4+Ab6nDPKTEfHeqa&#10;d2Q24mzsZuMQot53ZYlyPQj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yl8zMyQEAAJkDAAAOAAAAAAAAAAEAIAAAAB4BAABkcnMvZTJvRG9j&#10;LnhtbFBLBQYAAAAABgAGAFkBAABZBQAAAAA=&#10;">
              <v:fill on="f" focussize="0,0"/>
              <v:stroke on="f"/>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rPr>
      <w:tab/>
    </w:r>
  </w:p>
  <w:p>
    <w:pPr>
      <w:pStyle w:val="7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1"/>
      <w:tabs>
        <w:tab w:val="left" w:pos="4803"/>
        <w:tab w:val="clear" w:pos="4153"/>
      </w:tabs>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pPr>
                          <w:r>
                            <w:fldChar w:fldCharType="begin"/>
                          </w:r>
                          <w:r>
                            <w:instrText xml:space="preserve"> PAGE  \* MERGEFORMAT </w:instrText>
                          </w:r>
                          <w:r>
                            <w:fldChar w:fldCharType="separate"/>
                          </w:r>
                          <w:r>
                            <w:t>105</w:t>
                          </w:r>
                          <w: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vF7+8kBAACZAwAADgAAAGRycy9lMm9Eb2MueG1srVPNjtMwEL4j8Q6W&#10;79TZI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eUOG5x4OefP86//px/fydv&#10;sj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C8Xv7yQEAAJkDAAAOAAAAAAAAAAEAIAAAAB4BAABkcnMvZTJvRG9j&#10;LnhtbFBLBQYAAAAABgAGAFkBAABZBQAAAAA=&#10;">
              <v:fill on="f" focussize="0,0"/>
              <v:stroke on="f"/>
              <v:imagedata o:title=""/>
              <o:lock v:ext="edit" aspectratio="f"/>
              <v:textbox inset="0mm,0mm,0mm,0mm" style="mso-fit-shape-to-text:t;">
                <w:txbxContent>
                  <w:p>
                    <w:pPr>
                      <w:pStyle w:val="13"/>
                    </w:pPr>
                    <w:r>
                      <w:fldChar w:fldCharType="begin"/>
                    </w:r>
                    <w:r>
                      <w:instrText xml:space="preserve"> PAGE  \* MERGEFORMAT </w:instrText>
                    </w:r>
                    <w:r>
                      <w:fldChar w:fldCharType="separate"/>
                    </w:r>
                    <w:r>
                      <w:t>105</w:t>
                    </w:r>
                    <w:r>
                      <w:fldChar w:fldCharType="end"/>
                    </w:r>
                  </w:p>
                </w:txbxContent>
              </v:textbox>
            </v:shape>
          </w:pict>
        </mc:Fallback>
      </mc:AlternateContent>
    </w:r>
    <w:r>
      <w:rPr>
        <w:rFonts w:hint="eastAsia"/>
      </w:rPr>
      <w:tab/>
    </w:r>
  </w:p>
  <w:p>
    <w:pPr>
      <w:pStyle w:val="7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default"/>
        <w:szCs w:val="24"/>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pPr>
                          <w:r>
                            <w:fldChar w:fldCharType="begin"/>
                          </w:r>
                          <w:r>
                            <w:instrText xml:space="preserve"> PAGE  \* MERGEFORMAT </w:instrText>
                          </w:r>
                          <w:r>
                            <w:fldChar w:fldCharType="separate"/>
                          </w:r>
                          <w:r>
                            <w:t>117</w:t>
                          </w:r>
                          <w:r>
                            <w:fldChar w:fldCharType="end"/>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W1TIQyQEAAJkDAAAOAAAAAAAAAAEAIAAAAB4BAABkcnMvZTJvRG9j&#10;LnhtbFBLBQYAAAAABgAGAFkBAABZBQAAAAA=&#10;">
              <v:fill on="f" focussize="0,0"/>
              <v:stroke on="f"/>
              <v:imagedata o:title=""/>
              <o:lock v:ext="edit" aspectratio="f"/>
              <v:textbox inset="0mm,0mm,0mm,0mm" style="mso-fit-shape-to-text:t;">
                <w:txbxContent>
                  <w:p>
                    <w:pPr>
                      <w:pStyle w:val="13"/>
                    </w:pPr>
                    <w:r>
                      <w:fldChar w:fldCharType="begin"/>
                    </w:r>
                    <w:r>
                      <w:instrText xml:space="preserve"> PAGE  \* MERGEFORMAT </w:instrText>
                    </w:r>
                    <w:r>
                      <w:fldChar w:fldCharType="separate"/>
                    </w:r>
                    <w:r>
                      <w:t>117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rFonts w:hint="default"/>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rPr>
        <w:rFonts w:hint="defaul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52DEF9"/>
    <w:multiLevelType w:val="singleLevel"/>
    <w:tmpl w:val="8152DEF9"/>
    <w:lvl w:ilvl="0" w:tentative="0">
      <w:start w:val="1"/>
      <w:numFmt w:val="decimal"/>
      <w:suff w:val="nothing"/>
      <w:lvlText w:val="（%1）"/>
      <w:lvlJc w:val="left"/>
    </w:lvl>
  </w:abstractNum>
  <w:abstractNum w:abstractNumId="1">
    <w:nsid w:val="C099E3A4"/>
    <w:multiLevelType w:val="singleLevel"/>
    <w:tmpl w:val="C099E3A4"/>
    <w:lvl w:ilvl="0" w:tentative="0">
      <w:start w:val="1"/>
      <w:numFmt w:val="chineseCounting"/>
      <w:suff w:val="nothing"/>
      <w:lvlText w:val="第%1、"/>
      <w:lvlJc w:val="left"/>
      <w:rPr>
        <w:rFonts w:hint="eastAsia"/>
      </w:rPr>
    </w:lvl>
  </w:abstractNum>
  <w:abstractNum w:abstractNumId="2">
    <w:nsid w:val="CFABDD9F"/>
    <w:multiLevelType w:val="singleLevel"/>
    <w:tmpl w:val="CFABDD9F"/>
    <w:lvl w:ilvl="0" w:tentative="0">
      <w:start w:val="1"/>
      <w:numFmt w:val="decimal"/>
      <w:suff w:val="nothing"/>
      <w:lvlText w:val="（%1）"/>
      <w:lvlJc w:val="left"/>
    </w:lvl>
  </w:abstractNum>
  <w:abstractNum w:abstractNumId="3">
    <w:nsid w:val="00000009"/>
    <w:multiLevelType w:val="multilevel"/>
    <w:tmpl w:val="00000009"/>
    <w:lvl w:ilvl="0" w:tentative="0">
      <w:start w:val="1"/>
      <w:numFmt w:val="bullet"/>
      <w:lvlText w:val=""/>
      <w:lvlJc w:val="left"/>
      <w:pPr>
        <w:tabs>
          <w:tab w:val="left" w:pos="420"/>
        </w:tabs>
        <w:ind w:left="420" w:hanging="420"/>
      </w:pPr>
      <w:rPr>
        <w:rFonts w:hint="default" w:ascii="Wingdings" w:hAnsi="Wingdings"/>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endnotePr>
    <w:numFmt w:val="decimal"/>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lZjFiZmI5NjQxYzVjYjAzNWI4ODRjMWFkMTZhYWQifQ=="/>
    <w:docVar w:name="KSO_WPS_MARK_KEY" w:val="2b56eff9-4bef-4219-8874-9567fb1cde91"/>
  </w:docVars>
  <w:rsids>
    <w:rsidRoot w:val="4C5944B1"/>
    <w:rsid w:val="000B7698"/>
    <w:rsid w:val="000F7646"/>
    <w:rsid w:val="0011760F"/>
    <w:rsid w:val="001E0850"/>
    <w:rsid w:val="00281ECB"/>
    <w:rsid w:val="002F176F"/>
    <w:rsid w:val="003A1942"/>
    <w:rsid w:val="003B643A"/>
    <w:rsid w:val="003E2709"/>
    <w:rsid w:val="004218C1"/>
    <w:rsid w:val="004B2B21"/>
    <w:rsid w:val="004F7FD5"/>
    <w:rsid w:val="0055689E"/>
    <w:rsid w:val="005E6BB8"/>
    <w:rsid w:val="0064163D"/>
    <w:rsid w:val="007C3F91"/>
    <w:rsid w:val="008C4168"/>
    <w:rsid w:val="00901845"/>
    <w:rsid w:val="00936991"/>
    <w:rsid w:val="00943625"/>
    <w:rsid w:val="00954357"/>
    <w:rsid w:val="00954A54"/>
    <w:rsid w:val="009E5347"/>
    <w:rsid w:val="00A322B9"/>
    <w:rsid w:val="00A80EA7"/>
    <w:rsid w:val="00AF685C"/>
    <w:rsid w:val="00B16179"/>
    <w:rsid w:val="00B37196"/>
    <w:rsid w:val="00C04E0C"/>
    <w:rsid w:val="00CB07F4"/>
    <w:rsid w:val="00CB4007"/>
    <w:rsid w:val="00CD4D5B"/>
    <w:rsid w:val="00D561CD"/>
    <w:rsid w:val="00DA5A23"/>
    <w:rsid w:val="00DF3269"/>
    <w:rsid w:val="00E76514"/>
    <w:rsid w:val="00ED4B12"/>
    <w:rsid w:val="00EF5BA2"/>
    <w:rsid w:val="00F95669"/>
    <w:rsid w:val="010F7FF3"/>
    <w:rsid w:val="01284AF4"/>
    <w:rsid w:val="012C10F1"/>
    <w:rsid w:val="012F41F1"/>
    <w:rsid w:val="016A5229"/>
    <w:rsid w:val="01A93FA3"/>
    <w:rsid w:val="01C53654"/>
    <w:rsid w:val="01E704A0"/>
    <w:rsid w:val="01F123E4"/>
    <w:rsid w:val="02251150"/>
    <w:rsid w:val="025D633B"/>
    <w:rsid w:val="02665093"/>
    <w:rsid w:val="02673FAD"/>
    <w:rsid w:val="027F7030"/>
    <w:rsid w:val="028E13EB"/>
    <w:rsid w:val="029933CC"/>
    <w:rsid w:val="02AE7397"/>
    <w:rsid w:val="02D70973"/>
    <w:rsid w:val="02D84414"/>
    <w:rsid w:val="02E1151B"/>
    <w:rsid w:val="032C3B6B"/>
    <w:rsid w:val="033923C2"/>
    <w:rsid w:val="0348159A"/>
    <w:rsid w:val="03724869"/>
    <w:rsid w:val="0385459C"/>
    <w:rsid w:val="0385634A"/>
    <w:rsid w:val="038A7E04"/>
    <w:rsid w:val="038C5CCB"/>
    <w:rsid w:val="03B44328"/>
    <w:rsid w:val="03C50E3C"/>
    <w:rsid w:val="03D319EF"/>
    <w:rsid w:val="03F46BE4"/>
    <w:rsid w:val="041A1188"/>
    <w:rsid w:val="042E69E2"/>
    <w:rsid w:val="04360B53"/>
    <w:rsid w:val="049727D9"/>
    <w:rsid w:val="04BB2CD9"/>
    <w:rsid w:val="04C72908"/>
    <w:rsid w:val="04EA57F9"/>
    <w:rsid w:val="06204F50"/>
    <w:rsid w:val="064E3EFE"/>
    <w:rsid w:val="06656ADB"/>
    <w:rsid w:val="06826B71"/>
    <w:rsid w:val="068308FE"/>
    <w:rsid w:val="068A58D2"/>
    <w:rsid w:val="0694486B"/>
    <w:rsid w:val="06B36609"/>
    <w:rsid w:val="06F37A6F"/>
    <w:rsid w:val="06FF1426"/>
    <w:rsid w:val="07283BBC"/>
    <w:rsid w:val="07312D1A"/>
    <w:rsid w:val="07351E35"/>
    <w:rsid w:val="0741366C"/>
    <w:rsid w:val="074A1D85"/>
    <w:rsid w:val="075E313A"/>
    <w:rsid w:val="077C17D7"/>
    <w:rsid w:val="07A10088"/>
    <w:rsid w:val="07A76DE7"/>
    <w:rsid w:val="07C21547"/>
    <w:rsid w:val="07C40809"/>
    <w:rsid w:val="07E13D6B"/>
    <w:rsid w:val="07E8334B"/>
    <w:rsid w:val="081E0766"/>
    <w:rsid w:val="082D0D5E"/>
    <w:rsid w:val="082D559A"/>
    <w:rsid w:val="083E11BD"/>
    <w:rsid w:val="08733FE5"/>
    <w:rsid w:val="08915791"/>
    <w:rsid w:val="08AA23AF"/>
    <w:rsid w:val="08C47915"/>
    <w:rsid w:val="08E27D9B"/>
    <w:rsid w:val="08E51639"/>
    <w:rsid w:val="08F54BC3"/>
    <w:rsid w:val="092752BD"/>
    <w:rsid w:val="09644C54"/>
    <w:rsid w:val="09B554AF"/>
    <w:rsid w:val="09C86F91"/>
    <w:rsid w:val="09EB1836"/>
    <w:rsid w:val="0A006D29"/>
    <w:rsid w:val="0A0159BF"/>
    <w:rsid w:val="0A1421D6"/>
    <w:rsid w:val="0A3D0CAE"/>
    <w:rsid w:val="0A560A40"/>
    <w:rsid w:val="0A5C2888"/>
    <w:rsid w:val="0A6F38B0"/>
    <w:rsid w:val="0A873975"/>
    <w:rsid w:val="0A9E2D09"/>
    <w:rsid w:val="0AB358B7"/>
    <w:rsid w:val="0AB36DB1"/>
    <w:rsid w:val="0AB80DB3"/>
    <w:rsid w:val="0AD7112E"/>
    <w:rsid w:val="0AFD4502"/>
    <w:rsid w:val="0B633415"/>
    <w:rsid w:val="0B6D7317"/>
    <w:rsid w:val="0B8D2240"/>
    <w:rsid w:val="0BB36CF4"/>
    <w:rsid w:val="0BDA37C7"/>
    <w:rsid w:val="0C183B2E"/>
    <w:rsid w:val="0C3C08C2"/>
    <w:rsid w:val="0C5C7E64"/>
    <w:rsid w:val="0C7358DA"/>
    <w:rsid w:val="0C7D5BCC"/>
    <w:rsid w:val="0C8B1D7C"/>
    <w:rsid w:val="0C8F023A"/>
    <w:rsid w:val="0CBC40CB"/>
    <w:rsid w:val="0CC53C5B"/>
    <w:rsid w:val="0CDD0FA5"/>
    <w:rsid w:val="0CE869F8"/>
    <w:rsid w:val="0D1B00F8"/>
    <w:rsid w:val="0D2B56E9"/>
    <w:rsid w:val="0D5374B9"/>
    <w:rsid w:val="0D724D63"/>
    <w:rsid w:val="0D7C6A10"/>
    <w:rsid w:val="0D8D045B"/>
    <w:rsid w:val="0D9642F0"/>
    <w:rsid w:val="0DA63A8D"/>
    <w:rsid w:val="0DA64E52"/>
    <w:rsid w:val="0DB937C0"/>
    <w:rsid w:val="0DBB25A8"/>
    <w:rsid w:val="0DC53787"/>
    <w:rsid w:val="0DDA28D6"/>
    <w:rsid w:val="0DE6650F"/>
    <w:rsid w:val="0DEF37FE"/>
    <w:rsid w:val="0DF73507"/>
    <w:rsid w:val="0DFA207C"/>
    <w:rsid w:val="0E554708"/>
    <w:rsid w:val="0E554C7C"/>
    <w:rsid w:val="0E625C06"/>
    <w:rsid w:val="0E86165D"/>
    <w:rsid w:val="0EAD0264"/>
    <w:rsid w:val="0EB3119A"/>
    <w:rsid w:val="0F0A0D37"/>
    <w:rsid w:val="0F4E10F7"/>
    <w:rsid w:val="0F640D2F"/>
    <w:rsid w:val="0F670CCA"/>
    <w:rsid w:val="0F930041"/>
    <w:rsid w:val="0FB14F6D"/>
    <w:rsid w:val="0FB24E29"/>
    <w:rsid w:val="0FE90846"/>
    <w:rsid w:val="101C0036"/>
    <w:rsid w:val="10264A11"/>
    <w:rsid w:val="102D3FF1"/>
    <w:rsid w:val="10667503"/>
    <w:rsid w:val="10725EA8"/>
    <w:rsid w:val="10855BDB"/>
    <w:rsid w:val="10AA7A66"/>
    <w:rsid w:val="10BD6F35"/>
    <w:rsid w:val="10CD6B01"/>
    <w:rsid w:val="10CE56DF"/>
    <w:rsid w:val="11584D75"/>
    <w:rsid w:val="1180428A"/>
    <w:rsid w:val="11845E93"/>
    <w:rsid w:val="11D83F48"/>
    <w:rsid w:val="11DB4B38"/>
    <w:rsid w:val="11F8418B"/>
    <w:rsid w:val="121511E1"/>
    <w:rsid w:val="123E21E9"/>
    <w:rsid w:val="13156E63"/>
    <w:rsid w:val="131F5532"/>
    <w:rsid w:val="13426006"/>
    <w:rsid w:val="13451652"/>
    <w:rsid w:val="13491142"/>
    <w:rsid w:val="134F44BE"/>
    <w:rsid w:val="1367007B"/>
    <w:rsid w:val="136E0B00"/>
    <w:rsid w:val="13734957"/>
    <w:rsid w:val="13BD0DD3"/>
    <w:rsid w:val="13E66B49"/>
    <w:rsid w:val="13F37300"/>
    <w:rsid w:val="13F6311E"/>
    <w:rsid w:val="143C0CA7"/>
    <w:rsid w:val="14430A9C"/>
    <w:rsid w:val="144E2788"/>
    <w:rsid w:val="148F7029"/>
    <w:rsid w:val="149763D6"/>
    <w:rsid w:val="14BB4DC8"/>
    <w:rsid w:val="14C3348E"/>
    <w:rsid w:val="14D53AC2"/>
    <w:rsid w:val="14E1675A"/>
    <w:rsid w:val="14E32ED1"/>
    <w:rsid w:val="14EC447B"/>
    <w:rsid w:val="150A49B0"/>
    <w:rsid w:val="1525173B"/>
    <w:rsid w:val="15292570"/>
    <w:rsid w:val="15B7490E"/>
    <w:rsid w:val="15BC4477"/>
    <w:rsid w:val="15C72DBA"/>
    <w:rsid w:val="15FA285E"/>
    <w:rsid w:val="160E6248"/>
    <w:rsid w:val="161F586A"/>
    <w:rsid w:val="16201F02"/>
    <w:rsid w:val="164E4741"/>
    <w:rsid w:val="168B3820"/>
    <w:rsid w:val="16E178E4"/>
    <w:rsid w:val="16E66CA8"/>
    <w:rsid w:val="175E7186"/>
    <w:rsid w:val="17A60298"/>
    <w:rsid w:val="17AF3CDA"/>
    <w:rsid w:val="17B73663"/>
    <w:rsid w:val="17C90AA4"/>
    <w:rsid w:val="17FF3E14"/>
    <w:rsid w:val="182A7068"/>
    <w:rsid w:val="18426433"/>
    <w:rsid w:val="18770500"/>
    <w:rsid w:val="18AE7C99"/>
    <w:rsid w:val="18DC49E3"/>
    <w:rsid w:val="18E25825"/>
    <w:rsid w:val="18F546F2"/>
    <w:rsid w:val="19212219"/>
    <w:rsid w:val="19363AFA"/>
    <w:rsid w:val="196547FC"/>
    <w:rsid w:val="19866520"/>
    <w:rsid w:val="19A370D2"/>
    <w:rsid w:val="19B600B0"/>
    <w:rsid w:val="19B72B7E"/>
    <w:rsid w:val="19CB261C"/>
    <w:rsid w:val="19CB4621"/>
    <w:rsid w:val="19D33448"/>
    <w:rsid w:val="19F37903"/>
    <w:rsid w:val="1A04743A"/>
    <w:rsid w:val="1A241393"/>
    <w:rsid w:val="1A3B37AF"/>
    <w:rsid w:val="1A495ECC"/>
    <w:rsid w:val="1A602AAD"/>
    <w:rsid w:val="1A8506D5"/>
    <w:rsid w:val="1A937147"/>
    <w:rsid w:val="1AA41354"/>
    <w:rsid w:val="1AA650CC"/>
    <w:rsid w:val="1AC63078"/>
    <w:rsid w:val="1ACF42A1"/>
    <w:rsid w:val="1AE479A2"/>
    <w:rsid w:val="1B1742F2"/>
    <w:rsid w:val="1B2E4C6C"/>
    <w:rsid w:val="1B5003E0"/>
    <w:rsid w:val="1B5F6903"/>
    <w:rsid w:val="1B6034CD"/>
    <w:rsid w:val="1B690B70"/>
    <w:rsid w:val="1B754A9E"/>
    <w:rsid w:val="1B8076CB"/>
    <w:rsid w:val="1B8A59D6"/>
    <w:rsid w:val="1B8D3829"/>
    <w:rsid w:val="1B951452"/>
    <w:rsid w:val="1B99253B"/>
    <w:rsid w:val="1BAF4AA0"/>
    <w:rsid w:val="1BC03F6C"/>
    <w:rsid w:val="1BC05D1A"/>
    <w:rsid w:val="1BC11A92"/>
    <w:rsid w:val="1BC62A56"/>
    <w:rsid w:val="1BF80445"/>
    <w:rsid w:val="1C01417E"/>
    <w:rsid w:val="1C4C1CA3"/>
    <w:rsid w:val="1C6061C5"/>
    <w:rsid w:val="1C8F1025"/>
    <w:rsid w:val="1C9A1142"/>
    <w:rsid w:val="1C9F0025"/>
    <w:rsid w:val="1CDD25B2"/>
    <w:rsid w:val="1CDD28FB"/>
    <w:rsid w:val="1CDE71ED"/>
    <w:rsid w:val="1D326551"/>
    <w:rsid w:val="1D53167C"/>
    <w:rsid w:val="1D750002"/>
    <w:rsid w:val="1D7B63DC"/>
    <w:rsid w:val="1D882867"/>
    <w:rsid w:val="1DB4365C"/>
    <w:rsid w:val="1DB7314C"/>
    <w:rsid w:val="1DC615E1"/>
    <w:rsid w:val="1DC85359"/>
    <w:rsid w:val="1DE504BC"/>
    <w:rsid w:val="1DEB51E9"/>
    <w:rsid w:val="1DF36C85"/>
    <w:rsid w:val="1E480248"/>
    <w:rsid w:val="1E5310C7"/>
    <w:rsid w:val="1E787E3F"/>
    <w:rsid w:val="1E896032"/>
    <w:rsid w:val="1EBA1146"/>
    <w:rsid w:val="1ED02718"/>
    <w:rsid w:val="1EFD7044"/>
    <w:rsid w:val="1F0B09EA"/>
    <w:rsid w:val="1F1F3C4D"/>
    <w:rsid w:val="1F26208B"/>
    <w:rsid w:val="1F27633C"/>
    <w:rsid w:val="1F420707"/>
    <w:rsid w:val="1F4549D5"/>
    <w:rsid w:val="1F505606"/>
    <w:rsid w:val="1F657EE2"/>
    <w:rsid w:val="1F7D13AE"/>
    <w:rsid w:val="1F7F413E"/>
    <w:rsid w:val="1F8B7F24"/>
    <w:rsid w:val="1F9951FF"/>
    <w:rsid w:val="1FBD45F2"/>
    <w:rsid w:val="1FCA53B9"/>
    <w:rsid w:val="1FD44704"/>
    <w:rsid w:val="1FD81A51"/>
    <w:rsid w:val="1FE65F6B"/>
    <w:rsid w:val="20012DA5"/>
    <w:rsid w:val="201E74B3"/>
    <w:rsid w:val="20315438"/>
    <w:rsid w:val="206C46C2"/>
    <w:rsid w:val="206C6470"/>
    <w:rsid w:val="20941E5C"/>
    <w:rsid w:val="20B144DF"/>
    <w:rsid w:val="20CB32E8"/>
    <w:rsid w:val="20EF49EE"/>
    <w:rsid w:val="211046C7"/>
    <w:rsid w:val="211D59BC"/>
    <w:rsid w:val="214C62A1"/>
    <w:rsid w:val="21933ED0"/>
    <w:rsid w:val="21DA0780"/>
    <w:rsid w:val="222D1BEC"/>
    <w:rsid w:val="22453D2B"/>
    <w:rsid w:val="2252621C"/>
    <w:rsid w:val="225278E7"/>
    <w:rsid w:val="225615B4"/>
    <w:rsid w:val="225A40A6"/>
    <w:rsid w:val="22765C1A"/>
    <w:rsid w:val="229B05C6"/>
    <w:rsid w:val="22A26860"/>
    <w:rsid w:val="22D10014"/>
    <w:rsid w:val="22DC6741"/>
    <w:rsid w:val="22E42C35"/>
    <w:rsid w:val="23007343"/>
    <w:rsid w:val="2305495A"/>
    <w:rsid w:val="230C5CE8"/>
    <w:rsid w:val="234C5771"/>
    <w:rsid w:val="235F6EB5"/>
    <w:rsid w:val="23A2739A"/>
    <w:rsid w:val="23A76437"/>
    <w:rsid w:val="23BE3486"/>
    <w:rsid w:val="23DF51AB"/>
    <w:rsid w:val="23F207FF"/>
    <w:rsid w:val="23F23130"/>
    <w:rsid w:val="242F6132"/>
    <w:rsid w:val="24491954"/>
    <w:rsid w:val="24704055"/>
    <w:rsid w:val="24B2486E"/>
    <w:rsid w:val="24C3687B"/>
    <w:rsid w:val="24EE1B49"/>
    <w:rsid w:val="25153BB3"/>
    <w:rsid w:val="253B5A69"/>
    <w:rsid w:val="25643FAC"/>
    <w:rsid w:val="25651834"/>
    <w:rsid w:val="2578303A"/>
    <w:rsid w:val="257D5076"/>
    <w:rsid w:val="25972C96"/>
    <w:rsid w:val="259D70CC"/>
    <w:rsid w:val="25A01B67"/>
    <w:rsid w:val="25BF256F"/>
    <w:rsid w:val="25C1100C"/>
    <w:rsid w:val="25C340B6"/>
    <w:rsid w:val="25D36F91"/>
    <w:rsid w:val="25DF2B3E"/>
    <w:rsid w:val="25E8104B"/>
    <w:rsid w:val="266F2816"/>
    <w:rsid w:val="268F110A"/>
    <w:rsid w:val="26A34BB6"/>
    <w:rsid w:val="26C0203C"/>
    <w:rsid w:val="271D6716"/>
    <w:rsid w:val="27277595"/>
    <w:rsid w:val="272F01F7"/>
    <w:rsid w:val="274572A5"/>
    <w:rsid w:val="27462BA9"/>
    <w:rsid w:val="274E2D58"/>
    <w:rsid w:val="275131CB"/>
    <w:rsid w:val="275D6250"/>
    <w:rsid w:val="276445C9"/>
    <w:rsid w:val="278C73F8"/>
    <w:rsid w:val="27AC35F6"/>
    <w:rsid w:val="27BE012C"/>
    <w:rsid w:val="27D668C5"/>
    <w:rsid w:val="27EB411E"/>
    <w:rsid w:val="27EE5228"/>
    <w:rsid w:val="280671AA"/>
    <w:rsid w:val="28310773"/>
    <w:rsid w:val="28335AC5"/>
    <w:rsid w:val="283B4DC5"/>
    <w:rsid w:val="28461C9C"/>
    <w:rsid w:val="286B079C"/>
    <w:rsid w:val="2893029D"/>
    <w:rsid w:val="28C411E9"/>
    <w:rsid w:val="28E55692"/>
    <w:rsid w:val="28FD4CC9"/>
    <w:rsid w:val="292F2731"/>
    <w:rsid w:val="294C5091"/>
    <w:rsid w:val="296A3769"/>
    <w:rsid w:val="297D16EE"/>
    <w:rsid w:val="298F4F7D"/>
    <w:rsid w:val="29B24674"/>
    <w:rsid w:val="2A187669"/>
    <w:rsid w:val="2A475858"/>
    <w:rsid w:val="2A6B3832"/>
    <w:rsid w:val="2A793900"/>
    <w:rsid w:val="2A7F1496"/>
    <w:rsid w:val="2A881CEC"/>
    <w:rsid w:val="2A994305"/>
    <w:rsid w:val="2AA85E3B"/>
    <w:rsid w:val="2AAA4765"/>
    <w:rsid w:val="2AB32EED"/>
    <w:rsid w:val="2AB80DCB"/>
    <w:rsid w:val="2AB90504"/>
    <w:rsid w:val="2AC22A02"/>
    <w:rsid w:val="2AD90BA6"/>
    <w:rsid w:val="2AEA4B61"/>
    <w:rsid w:val="2AFF5F75"/>
    <w:rsid w:val="2B141BDE"/>
    <w:rsid w:val="2B4C6B5C"/>
    <w:rsid w:val="2B7613E8"/>
    <w:rsid w:val="2B8C7C7C"/>
    <w:rsid w:val="2BA456FE"/>
    <w:rsid w:val="2BD113C6"/>
    <w:rsid w:val="2BEF49DC"/>
    <w:rsid w:val="2C1B0D4A"/>
    <w:rsid w:val="2C302A48"/>
    <w:rsid w:val="2C5D5807"/>
    <w:rsid w:val="2C6E3570"/>
    <w:rsid w:val="2C733DC5"/>
    <w:rsid w:val="2C7F577D"/>
    <w:rsid w:val="2C856399"/>
    <w:rsid w:val="2C861EB2"/>
    <w:rsid w:val="2CD57184"/>
    <w:rsid w:val="2CE466AC"/>
    <w:rsid w:val="2CE53DF2"/>
    <w:rsid w:val="2D145EC5"/>
    <w:rsid w:val="2D2B0789"/>
    <w:rsid w:val="2D5C6602"/>
    <w:rsid w:val="2D652012"/>
    <w:rsid w:val="2D6A1F89"/>
    <w:rsid w:val="2DCD0072"/>
    <w:rsid w:val="2DFA155F"/>
    <w:rsid w:val="2E026666"/>
    <w:rsid w:val="2E100D83"/>
    <w:rsid w:val="2E162111"/>
    <w:rsid w:val="2E222864"/>
    <w:rsid w:val="2E312AA7"/>
    <w:rsid w:val="2E5A3DAC"/>
    <w:rsid w:val="2E6C637A"/>
    <w:rsid w:val="2E823302"/>
    <w:rsid w:val="2F0C7FE5"/>
    <w:rsid w:val="2F34284F"/>
    <w:rsid w:val="2F5922B5"/>
    <w:rsid w:val="2F594063"/>
    <w:rsid w:val="2F77098D"/>
    <w:rsid w:val="2F7E7F6E"/>
    <w:rsid w:val="2F7F0633"/>
    <w:rsid w:val="2F8530AA"/>
    <w:rsid w:val="2FC35981"/>
    <w:rsid w:val="2FC608DA"/>
    <w:rsid w:val="2FC90D1F"/>
    <w:rsid w:val="2FEC3129"/>
    <w:rsid w:val="303625F7"/>
    <w:rsid w:val="30890978"/>
    <w:rsid w:val="30AB6B41"/>
    <w:rsid w:val="30AC28B9"/>
    <w:rsid w:val="30FB55CA"/>
    <w:rsid w:val="310B75DF"/>
    <w:rsid w:val="31336B36"/>
    <w:rsid w:val="313C1E8F"/>
    <w:rsid w:val="31491327"/>
    <w:rsid w:val="3150593A"/>
    <w:rsid w:val="315947EF"/>
    <w:rsid w:val="317B7E20"/>
    <w:rsid w:val="31B45EC9"/>
    <w:rsid w:val="31C91C1F"/>
    <w:rsid w:val="31FB42D0"/>
    <w:rsid w:val="320A7220"/>
    <w:rsid w:val="32696CB3"/>
    <w:rsid w:val="326B7E18"/>
    <w:rsid w:val="326E7E26"/>
    <w:rsid w:val="32830F54"/>
    <w:rsid w:val="3286265A"/>
    <w:rsid w:val="32891103"/>
    <w:rsid w:val="329A44C1"/>
    <w:rsid w:val="32B653FC"/>
    <w:rsid w:val="32DE4292"/>
    <w:rsid w:val="32E12CEE"/>
    <w:rsid w:val="32E53E60"/>
    <w:rsid w:val="32EB37B8"/>
    <w:rsid w:val="3337290D"/>
    <w:rsid w:val="335B7731"/>
    <w:rsid w:val="33784CD4"/>
    <w:rsid w:val="33B71CA0"/>
    <w:rsid w:val="33C406F9"/>
    <w:rsid w:val="33CD3272"/>
    <w:rsid w:val="33E800AC"/>
    <w:rsid w:val="33F87B2A"/>
    <w:rsid w:val="33FB1B8D"/>
    <w:rsid w:val="343C4C08"/>
    <w:rsid w:val="34441BD5"/>
    <w:rsid w:val="344A2216"/>
    <w:rsid w:val="346317C9"/>
    <w:rsid w:val="346534AA"/>
    <w:rsid w:val="34A55F9D"/>
    <w:rsid w:val="34A5706F"/>
    <w:rsid w:val="34AB28E5"/>
    <w:rsid w:val="34B14EA3"/>
    <w:rsid w:val="34C33404"/>
    <w:rsid w:val="34FA62E8"/>
    <w:rsid w:val="35156C7E"/>
    <w:rsid w:val="35213875"/>
    <w:rsid w:val="35325511"/>
    <w:rsid w:val="355F7EFA"/>
    <w:rsid w:val="357C24B3"/>
    <w:rsid w:val="358362DE"/>
    <w:rsid w:val="35843E04"/>
    <w:rsid w:val="358E07DF"/>
    <w:rsid w:val="35A65B28"/>
    <w:rsid w:val="35C12962"/>
    <w:rsid w:val="35C4206C"/>
    <w:rsid w:val="360F7B72"/>
    <w:rsid w:val="365437D6"/>
    <w:rsid w:val="365F0C97"/>
    <w:rsid w:val="3670318E"/>
    <w:rsid w:val="36BD5820"/>
    <w:rsid w:val="36BF209F"/>
    <w:rsid w:val="36D13957"/>
    <w:rsid w:val="36D466C5"/>
    <w:rsid w:val="36F11025"/>
    <w:rsid w:val="36FA44D9"/>
    <w:rsid w:val="37133ED5"/>
    <w:rsid w:val="3728071C"/>
    <w:rsid w:val="374C7633"/>
    <w:rsid w:val="37691503"/>
    <w:rsid w:val="376E08C8"/>
    <w:rsid w:val="377C4D93"/>
    <w:rsid w:val="37AF33BA"/>
    <w:rsid w:val="37C37093"/>
    <w:rsid w:val="37D70CAE"/>
    <w:rsid w:val="37DD0002"/>
    <w:rsid w:val="37DF5322"/>
    <w:rsid w:val="37ED2BA2"/>
    <w:rsid w:val="37EF7C5B"/>
    <w:rsid w:val="37FC5ED4"/>
    <w:rsid w:val="381E5756"/>
    <w:rsid w:val="384358B1"/>
    <w:rsid w:val="386859FD"/>
    <w:rsid w:val="38A10829"/>
    <w:rsid w:val="38B44A00"/>
    <w:rsid w:val="38D03858"/>
    <w:rsid w:val="390E5CB1"/>
    <w:rsid w:val="39177E14"/>
    <w:rsid w:val="391A6E08"/>
    <w:rsid w:val="39495F16"/>
    <w:rsid w:val="39657AA9"/>
    <w:rsid w:val="397321C6"/>
    <w:rsid w:val="397D273B"/>
    <w:rsid w:val="39F8091D"/>
    <w:rsid w:val="3A0A0D7C"/>
    <w:rsid w:val="3A21319F"/>
    <w:rsid w:val="3A223F8F"/>
    <w:rsid w:val="3A350062"/>
    <w:rsid w:val="3A55125A"/>
    <w:rsid w:val="3A7C0168"/>
    <w:rsid w:val="3AAF722D"/>
    <w:rsid w:val="3AB510A7"/>
    <w:rsid w:val="3AC24493"/>
    <w:rsid w:val="3ACF398B"/>
    <w:rsid w:val="3AD6600A"/>
    <w:rsid w:val="3AD959D6"/>
    <w:rsid w:val="3AFF5C22"/>
    <w:rsid w:val="3B20637D"/>
    <w:rsid w:val="3B2154F6"/>
    <w:rsid w:val="3B286FE0"/>
    <w:rsid w:val="3B3E2DB3"/>
    <w:rsid w:val="3B602C1D"/>
    <w:rsid w:val="3BB54E46"/>
    <w:rsid w:val="3BCF3541"/>
    <w:rsid w:val="3BEB24E7"/>
    <w:rsid w:val="3C090BBF"/>
    <w:rsid w:val="3C1E33AE"/>
    <w:rsid w:val="3C3001B4"/>
    <w:rsid w:val="3C335C3C"/>
    <w:rsid w:val="3C340332"/>
    <w:rsid w:val="3C421D7A"/>
    <w:rsid w:val="3C836701"/>
    <w:rsid w:val="3C9F74DF"/>
    <w:rsid w:val="3CA52FDE"/>
    <w:rsid w:val="3CC22946"/>
    <w:rsid w:val="3CD01F3B"/>
    <w:rsid w:val="3CD7328C"/>
    <w:rsid w:val="3CE753A4"/>
    <w:rsid w:val="3CF96E86"/>
    <w:rsid w:val="3D204801"/>
    <w:rsid w:val="3D287F80"/>
    <w:rsid w:val="3D361E88"/>
    <w:rsid w:val="3D3A3C3D"/>
    <w:rsid w:val="3D4C4431"/>
    <w:rsid w:val="3D697A37"/>
    <w:rsid w:val="3D7D7AB7"/>
    <w:rsid w:val="3D87623F"/>
    <w:rsid w:val="3D9646D4"/>
    <w:rsid w:val="3D995F73"/>
    <w:rsid w:val="3DC95243"/>
    <w:rsid w:val="3DE07FF0"/>
    <w:rsid w:val="3DF21BF1"/>
    <w:rsid w:val="3DFB1EF6"/>
    <w:rsid w:val="3E047890"/>
    <w:rsid w:val="3E06185A"/>
    <w:rsid w:val="3E0D42F0"/>
    <w:rsid w:val="3E2449C7"/>
    <w:rsid w:val="3E2C6DE7"/>
    <w:rsid w:val="3E3363C7"/>
    <w:rsid w:val="3E976956"/>
    <w:rsid w:val="3F0538C0"/>
    <w:rsid w:val="3F073ADC"/>
    <w:rsid w:val="3F0F2990"/>
    <w:rsid w:val="3F164DF7"/>
    <w:rsid w:val="3F2008F3"/>
    <w:rsid w:val="3F2F6B8F"/>
    <w:rsid w:val="3F390778"/>
    <w:rsid w:val="3F3D6161"/>
    <w:rsid w:val="3F5F71E0"/>
    <w:rsid w:val="3F9966FE"/>
    <w:rsid w:val="3FB5786C"/>
    <w:rsid w:val="3FB672B0"/>
    <w:rsid w:val="3FE306FB"/>
    <w:rsid w:val="3FEA0D08"/>
    <w:rsid w:val="3FEB51AC"/>
    <w:rsid w:val="400242A3"/>
    <w:rsid w:val="400358C7"/>
    <w:rsid w:val="4004001B"/>
    <w:rsid w:val="400B3176"/>
    <w:rsid w:val="401122A5"/>
    <w:rsid w:val="40112738"/>
    <w:rsid w:val="40582115"/>
    <w:rsid w:val="408F11E5"/>
    <w:rsid w:val="4099576A"/>
    <w:rsid w:val="40DC29CF"/>
    <w:rsid w:val="410B1343"/>
    <w:rsid w:val="411C1395"/>
    <w:rsid w:val="414E5376"/>
    <w:rsid w:val="41626E05"/>
    <w:rsid w:val="418952B9"/>
    <w:rsid w:val="418C2076"/>
    <w:rsid w:val="4196079D"/>
    <w:rsid w:val="419D0246"/>
    <w:rsid w:val="41C31810"/>
    <w:rsid w:val="41D0313B"/>
    <w:rsid w:val="41DD28D2"/>
    <w:rsid w:val="41E33C60"/>
    <w:rsid w:val="41E41548"/>
    <w:rsid w:val="42114C71"/>
    <w:rsid w:val="42150157"/>
    <w:rsid w:val="421C10AE"/>
    <w:rsid w:val="422E1516"/>
    <w:rsid w:val="425D3A13"/>
    <w:rsid w:val="42912938"/>
    <w:rsid w:val="429E3AD6"/>
    <w:rsid w:val="42B44D10"/>
    <w:rsid w:val="42BA41B0"/>
    <w:rsid w:val="42C13FA2"/>
    <w:rsid w:val="42C910A8"/>
    <w:rsid w:val="42DB3C12"/>
    <w:rsid w:val="42DE1E2E"/>
    <w:rsid w:val="430C15CB"/>
    <w:rsid w:val="430C699F"/>
    <w:rsid w:val="433F4523"/>
    <w:rsid w:val="435D2698"/>
    <w:rsid w:val="437943F5"/>
    <w:rsid w:val="439E2535"/>
    <w:rsid w:val="43A80694"/>
    <w:rsid w:val="43B6162D"/>
    <w:rsid w:val="43DF5FA7"/>
    <w:rsid w:val="43F403A7"/>
    <w:rsid w:val="44220A07"/>
    <w:rsid w:val="442C5D93"/>
    <w:rsid w:val="442C7B41"/>
    <w:rsid w:val="445F5FF9"/>
    <w:rsid w:val="44A578BE"/>
    <w:rsid w:val="44AD5AB7"/>
    <w:rsid w:val="44AD6ED3"/>
    <w:rsid w:val="44BA339E"/>
    <w:rsid w:val="44F93EC7"/>
    <w:rsid w:val="44FA73AF"/>
    <w:rsid w:val="45045C1E"/>
    <w:rsid w:val="45280308"/>
    <w:rsid w:val="452E517F"/>
    <w:rsid w:val="45322F35"/>
    <w:rsid w:val="453E7B2C"/>
    <w:rsid w:val="45967968"/>
    <w:rsid w:val="459D6B25"/>
    <w:rsid w:val="45AC718B"/>
    <w:rsid w:val="45AD39D7"/>
    <w:rsid w:val="45BC08E0"/>
    <w:rsid w:val="46100AF5"/>
    <w:rsid w:val="46144D30"/>
    <w:rsid w:val="46307F67"/>
    <w:rsid w:val="466C06C8"/>
    <w:rsid w:val="46717A8D"/>
    <w:rsid w:val="46893028"/>
    <w:rsid w:val="46A02C50"/>
    <w:rsid w:val="46A674BD"/>
    <w:rsid w:val="46B458C0"/>
    <w:rsid w:val="46C40504"/>
    <w:rsid w:val="46CB0A3C"/>
    <w:rsid w:val="46E77832"/>
    <w:rsid w:val="46EA736D"/>
    <w:rsid w:val="47134122"/>
    <w:rsid w:val="47213261"/>
    <w:rsid w:val="472879B0"/>
    <w:rsid w:val="474D3AEE"/>
    <w:rsid w:val="474E0CD4"/>
    <w:rsid w:val="47615D53"/>
    <w:rsid w:val="47617388"/>
    <w:rsid w:val="47623A9A"/>
    <w:rsid w:val="47694C08"/>
    <w:rsid w:val="4796702E"/>
    <w:rsid w:val="47A31000"/>
    <w:rsid w:val="47CD33E9"/>
    <w:rsid w:val="48130B4A"/>
    <w:rsid w:val="481608EC"/>
    <w:rsid w:val="48382AE4"/>
    <w:rsid w:val="484418FD"/>
    <w:rsid w:val="485D29BF"/>
    <w:rsid w:val="487429ED"/>
    <w:rsid w:val="487E3BD5"/>
    <w:rsid w:val="48BB1493"/>
    <w:rsid w:val="48C37705"/>
    <w:rsid w:val="48D11064"/>
    <w:rsid w:val="48D577B9"/>
    <w:rsid w:val="48D6451F"/>
    <w:rsid w:val="48FA020D"/>
    <w:rsid w:val="490620D6"/>
    <w:rsid w:val="49105C83"/>
    <w:rsid w:val="49350787"/>
    <w:rsid w:val="493E5947"/>
    <w:rsid w:val="49697141"/>
    <w:rsid w:val="497004D0"/>
    <w:rsid w:val="4999531C"/>
    <w:rsid w:val="49A53A73"/>
    <w:rsid w:val="49B36F80"/>
    <w:rsid w:val="49BA59AE"/>
    <w:rsid w:val="49BE748D"/>
    <w:rsid w:val="49C460CC"/>
    <w:rsid w:val="49D97E23"/>
    <w:rsid w:val="4A080708"/>
    <w:rsid w:val="4A17094B"/>
    <w:rsid w:val="4A1B043B"/>
    <w:rsid w:val="4A4C4A99"/>
    <w:rsid w:val="4A704BFD"/>
    <w:rsid w:val="4A91694F"/>
    <w:rsid w:val="4ABD14F2"/>
    <w:rsid w:val="4B3D2633"/>
    <w:rsid w:val="4B524331"/>
    <w:rsid w:val="4B5E0F27"/>
    <w:rsid w:val="4B9366F7"/>
    <w:rsid w:val="4BC55F37"/>
    <w:rsid w:val="4C03562B"/>
    <w:rsid w:val="4C133101"/>
    <w:rsid w:val="4C1454C5"/>
    <w:rsid w:val="4C1E4213"/>
    <w:rsid w:val="4C35155C"/>
    <w:rsid w:val="4C3C03DF"/>
    <w:rsid w:val="4C51283A"/>
    <w:rsid w:val="4C5944B1"/>
    <w:rsid w:val="4C6F3A23"/>
    <w:rsid w:val="4C8F5C62"/>
    <w:rsid w:val="4CA26BF2"/>
    <w:rsid w:val="4CA77A88"/>
    <w:rsid w:val="4CEC60BF"/>
    <w:rsid w:val="4D0168EA"/>
    <w:rsid w:val="4D027EED"/>
    <w:rsid w:val="4D355CB8"/>
    <w:rsid w:val="4D397206"/>
    <w:rsid w:val="4D4001B9"/>
    <w:rsid w:val="4D4B557E"/>
    <w:rsid w:val="4D4F2E7D"/>
    <w:rsid w:val="4D5D520F"/>
    <w:rsid w:val="4D6E32E7"/>
    <w:rsid w:val="4D9B7347"/>
    <w:rsid w:val="4DA370C6"/>
    <w:rsid w:val="4DB320D6"/>
    <w:rsid w:val="4DD67651"/>
    <w:rsid w:val="4DD75848"/>
    <w:rsid w:val="4DD958BA"/>
    <w:rsid w:val="4DEB3918"/>
    <w:rsid w:val="4DEF4911"/>
    <w:rsid w:val="4E192EE4"/>
    <w:rsid w:val="4E1C4782"/>
    <w:rsid w:val="4E267A1C"/>
    <w:rsid w:val="4E3221F7"/>
    <w:rsid w:val="4E74636C"/>
    <w:rsid w:val="4E875764"/>
    <w:rsid w:val="4EA9414C"/>
    <w:rsid w:val="4EC779CB"/>
    <w:rsid w:val="4EE87ACC"/>
    <w:rsid w:val="4EEF1E97"/>
    <w:rsid w:val="4EFE47D1"/>
    <w:rsid w:val="4F122A8C"/>
    <w:rsid w:val="4F244236"/>
    <w:rsid w:val="4F802EB1"/>
    <w:rsid w:val="4FC7696F"/>
    <w:rsid w:val="4FD30DF9"/>
    <w:rsid w:val="4FE00907"/>
    <w:rsid w:val="4FE97FF4"/>
    <w:rsid w:val="4FF05EC6"/>
    <w:rsid w:val="4FF63749"/>
    <w:rsid w:val="50102AE1"/>
    <w:rsid w:val="50605398"/>
    <w:rsid w:val="507408A5"/>
    <w:rsid w:val="50832EE6"/>
    <w:rsid w:val="508A67B9"/>
    <w:rsid w:val="509E39F8"/>
    <w:rsid w:val="509E3AE8"/>
    <w:rsid w:val="50DE6894"/>
    <w:rsid w:val="510150F1"/>
    <w:rsid w:val="512322CB"/>
    <w:rsid w:val="512A23E5"/>
    <w:rsid w:val="51417EDC"/>
    <w:rsid w:val="51654692"/>
    <w:rsid w:val="51B03B5F"/>
    <w:rsid w:val="51C13FBE"/>
    <w:rsid w:val="51D14ACF"/>
    <w:rsid w:val="51E073BF"/>
    <w:rsid w:val="51FA638D"/>
    <w:rsid w:val="5200056D"/>
    <w:rsid w:val="52181704"/>
    <w:rsid w:val="52291B63"/>
    <w:rsid w:val="523429E2"/>
    <w:rsid w:val="5237602E"/>
    <w:rsid w:val="52392F23"/>
    <w:rsid w:val="525A17EE"/>
    <w:rsid w:val="525A3919"/>
    <w:rsid w:val="52741030"/>
    <w:rsid w:val="527E5A0B"/>
    <w:rsid w:val="527F1783"/>
    <w:rsid w:val="52923265"/>
    <w:rsid w:val="529951F6"/>
    <w:rsid w:val="52A42F98"/>
    <w:rsid w:val="52B11F76"/>
    <w:rsid w:val="52B551A5"/>
    <w:rsid w:val="52C37BA3"/>
    <w:rsid w:val="52D3458B"/>
    <w:rsid w:val="52ED43B9"/>
    <w:rsid w:val="52F83F0A"/>
    <w:rsid w:val="53014291"/>
    <w:rsid w:val="53043E75"/>
    <w:rsid w:val="53084363"/>
    <w:rsid w:val="533D4D64"/>
    <w:rsid w:val="535B3F9E"/>
    <w:rsid w:val="537312E8"/>
    <w:rsid w:val="537C0DFA"/>
    <w:rsid w:val="53A17946"/>
    <w:rsid w:val="53BF452D"/>
    <w:rsid w:val="53F944C5"/>
    <w:rsid w:val="543A0058"/>
    <w:rsid w:val="545A24A8"/>
    <w:rsid w:val="547509DC"/>
    <w:rsid w:val="54A454D1"/>
    <w:rsid w:val="54A82930"/>
    <w:rsid w:val="54DE6C35"/>
    <w:rsid w:val="5521008A"/>
    <w:rsid w:val="553E1687"/>
    <w:rsid w:val="55564A1D"/>
    <w:rsid w:val="555C3AC6"/>
    <w:rsid w:val="556402C9"/>
    <w:rsid w:val="55750DBC"/>
    <w:rsid w:val="558772CD"/>
    <w:rsid w:val="55985036"/>
    <w:rsid w:val="55A44331"/>
    <w:rsid w:val="55C20305"/>
    <w:rsid w:val="55E1008E"/>
    <w:rsid w:val="55E97640"/>
    <w:rsid w:val="55F07786"/>
    <w:rsid w:val="55FE3948"/>
    <w:rsid w:val="56186177"/>
    <w:rsid w:val="561D6585"/>
    <w:rsid w:val="5624780D"/>
    <w:rsid w:val="56290384"/>
    <w:rsid w:val="565A6D84"/>
    <w:rsid w:val="565F5B54"/>
    <w:rsid w:val="56862083"/>
    <w:rsid w:val="569F509D"/>
    <w:rsid w:val="56B20706"/>
    <w:rsid w:val="56CB7566"/>
    <w:rsid w:val="56F73FDE"/>
    <w:rsid w:val="56F774F1"/>
    <w:rsid w:val="570F1E19"/>
    <w:rsid w:val="571738AF"/>
    <w:rsid w:val="571E5A0F"/>
    <w:rsid w:val="57454278"/>
    <w:rsid w:val="574A6804"/>
    <w:rsid w:val="577C3646"/>
    <w:rsid w:val="57827F81"/>
    <w:rsid w:val="57961A49"/>
    <w:rsid w:val="579730CB"/>
    <w:rsid w:val="57CF7F7D"/>
    <w:rsid w:val="57D91936"/>
    <w:rsid w:val="57DF13E7"/>
    <w:rsid w:val="57E304CE"/>
    <w:rsid w:val="58160494"/>
    <w:rsid w:val="582B5282"/>
    <w:rsid w:val="5835523D"/>
    <w:rsid w:val="583D3C73"/>
    <w:rsid w:val="585A4825"/>
    <w:rsid w:val="587B0C5A"/>
    <w:rsid w:val="587D7E5A"/>
    <w:rsid w:val="58874E91"/>
    <w:rsid w:val="5889335C"/>
    <w:rsid w:val="58B8109E"/>
    <w:rsid w:val="58D00F8B"/>
    <w:rsid w:val="58D04CC8"/>
    <w:rsid w:val="58D357E0"/>
    <w:rsid w:val="58D77C23"/>
    <w:rsid w:val="58EF1411"/>
    <w:rsid w:val="58F419FA"/>
    <w:rsid w:val="590B1FC3"/>
    <w:rsid w:val="591E1CF6"/>
    <w:rsid w:val="594340A3"/>
    <w:rsid w:val="596021C9"/>
    <w:rsid w:val="59725B9E"/>
    <w:rsid w:val="59975605"/>
    <w:rsid w:val="59B166C6"/>
    <w:rsid w:val="59DD570D"/>
    <w:rsid w:val="5A250E62"/>
    <w:rsid w:val="5A627366"/>
    <w:rsid w:val="5A78276B"/>
    <w:rsid w:val="5AA9356E"/>
    <w:rsid w:val="5AC5796A"/>
    <w:rsid w:val="5AE34FA5"/>
    <w:rsid w:val="5AE66844"/>
    <w:rsid w:val="5AF820D3"/>
    <w:rsid w:val="5B1D63D9"/>
    <w:rsid w:val="5B2E3D47"/>
    <w:rsid w:val="5B3B494B"/>
    <w:rsid w:val="5BA1276A"/>
    <w:rsid w:val="5BA142A2"/>
    <w:rsid w:val="5BA32F4B"/>
    <w:rsid w:val="5BC22E0D"/>
    <w:rsid w:val="5BC40C35"/>
    <w:rsid w:val="5BDC19F5"/>
    <w:rsid w:val="5BDD7C46"/>
    <w:rsid w:val="5C0C052C"/>
    <w:rsid w:val="5C0E3D80"/>
    <w:rsid w:val="5C2A09B2"/>
    <w:rsid w:val="5C3754AC"/>
    <w:rsid w:val="5C6A0DAE"/>
    <w:rsid w:val="5C6C38DE"/>
    <w:rsid w:val="5C9658DF"/>
    <w:rsid w:val="5C9B365E"/>
    <w:rsid w:val="5CA5200E"/>
    <w:rsid w:val="5CE943C9"/>
    <w:rsid w:val="5CEA18F9"/>
    <w:rsid w:val="5D5A7075"/>
    <w:rsid w:val="5D641CA2"/>
    <w:rsid w:val="5D6F2B20"/>
    <w:rsid w:val="5D8D288B"/>
    <w:rsid w:val="5DE80ECD"/>
    <w:rsid w:val="5DE828D3"/>
    <w:rsid w:val="5E062D59"/>
    <w:rsid w:val="5E190CDE"/>
    <w:rsid w:val="5E2D1110"/>
    <w:rsid w:val="5E6006BB"/>
    <w:rsid w:val="5E677C9B"/>
    <w:rsid w:val="5E6A778C"/>
    <w:rsid w:val="5EA70098"/>
    <w:rsid w:val="5EAA7148"/>
    <w:rsid w:val="5ED25E09"/>
    <w:rsid w:val="5F217E4A"/>
    <w:rsid w:val="5FA35AB4"/>
    <w:rsid w:val="5FB02275"/>
    <w:rsid w:val="5FB4382E"/>
    <w:rsid w:val="600D2A18"/>
    <w:rsid w:val="600F05EB"/>
    <w:rsid w:val="60152BED"/>
    <w:rsid w:val="601C6864"/>
    <w:rsid w:val="605635E0"/>
    <w:rsid w:val="60885E2E"/>
    <w:rsid w:val="60A03B80"/>
    <w:rsid w:val="60C03693"/>
    <w:rsid w:val="60C77753"/>
    <w:rsid w:val="613A1697"/>
    <w:rsid w:val="613B0F6B"/>
    <w:rsid w:val="615C359C"/>
    <w:rsid w:val="615D7326"/>
    <w:rsid w:val="61A415D4"/>
    <w:rsid w:val="61B72CE8"/>
    <w:rsid w:val="61E0223F"/>
    <w:rsid w:val="61F36EFF"/>
    <w:rsid w:val="62065A1D"/>
    <w:rsid w:val="620A016C"/>
    <w:rsid w:val="6219424F"/>
    <w:rsid w:val="622163B3"/>
    <w:rsid w:val="6256605D"/>
    <w:rsid w:val="62774225"/>
    <w:rsid w:val="62813D56"/>
    <w:rsid w:val="628A3F58"/>
    <w:rsid w:val="62AD76C0"/>
    <w:rsid w:val="62B66AFB"/>
    <w:rsid w:val="62C507C9"/>
    <w:rsid w:val="62D11B87"/>
    <w:rsid w:val="62DA698E"/>
    <w:rsid w:val="62DB40E8"/>
    <w:rsid w:val="630D7CD1"/>
    <w:rsid w:val="63211AF3"/>
    <w:rsid w:val="63272A98"/>
    <w:rsid w:val="63411071"/>
    <w:rsid w:val="63422A85"/>
    <w:rsid w:val="634405AB"/>
    <w:rsid w:val="638906B4"/>
    <w:rsid w:val="6390559E"/>
    <w:rsid w:val="63B30F2E"/>
    <w:rsid w:val="63B53257"/>
    <w:rsid w:val="640161A2"/>
    <w:rsid w:val="640C1C55"/>
    <w:rsid w:val="643B7C00"/>
    <w:rsid w:val="644B5969"/>
    <w:rsid w:val="64557053"/>
    <w:rsid w:val="645A795A"/>
    <w:rsid w:val="646B1B68"/>
    <w:rsid w:val="64754DD6"/>
    <w:rsid w:val="647E0D38"/>
    <w:rsid w:val="64986EFA"/>
    <w:rsid w:val="64A60857"/>
    <w:rsid w:val="64AB2B3B"/>
    <w:rsid w:val="64ED0C9E"/>
    <w:rsid w:val="64F102BF"/>
    <w:rsid w:val="65041398"/>
    <w:rsid w:val="650A75D2"/>
    <w:rsid w:val="65285AD1"/>
    <w:rsid w:val="65433F0C"/>
    <w:rsid w:val="65532B79"/>
    <w:rsid w:val="65667F56"/>
    <w:rsid w:val="65885901"/>
    <w:rsid w:val="65A63177"/>
    <w:rsid w:val="65B25CA0"/>
    <w:rsid w:val="65D5198E"/>
    <w:rsid w:val="65DE028D"/>
    <w:rsid w:val="660D2ED6"/>
    <w:rsid w:val="662C2107"/>
    <w:rsid w:val="666920D7"/>
    <w:rsid w:val="66A93C9E"/>
    <w:rsid w:val="66BE6020"/>
    <w:rsid w:val="66E77BCB"/>
    <w:rsid w:val="66F525EC"/>
    <w:rsid w:val="66F66060"/>
    <w:rsid w:val="66F93129"/>
    <w:rsid w:val="674E6C15"/>
    <w:rsid w:val="675114E9"/>
    <w:rsid w:val="6760004A"/>
    <w:rsid w:val="67867202"/>
    <w:rsid w:val="679D40EC"/>
    <w:rsid w:val="67A96C2F"/>
    <w:rsid w:val="67AC671F"/>
    <w:rsid w:val="67AE2497"/>
    <w:rsid w:val="67AF7FBD"/>
    <w:rsid w:val="67C617E9"/>
    <w:rsid w:val="67C63C85"/>
    <w:rsid w:val="67E450CE"/>
    <w:rsid w:val="67F52622"/>
    <w:rsid w:val="68282249"/>
    <w:rsid w:val="68300192"/>
    <w:rsid w:val="685D37E3"/>
    <w:rsid w:val="68641653"/>
    <w:rsid w:val="68645737"/>
    <w:rsid w:val="687F09E7"/>
    <w:rsid w:val="688356D2"/>
    <w:rsid w:val="688A4CB2"/>
    <w:rsid w:val="688F59BE"/>
    <w:rsid w:val="68CF0D4C"/>
    <w:rsid w:val="68DE4FFE"/>
    <w:rsid w:val="68E32614"/>
    <w:rsid w:val="68F13666"/>
    <w:rsid w:val="692718FA"/>
    <w:rsid w:val="692D1AE1"/>
    <w:rsid w:val="693410C2"/>
    <w:rsid w:val="693B7312"/>
    <w:rsid w:val="694401A7"/>
    <w:rsid w:val="6949691B"/>
    <w:rsid w:val="695E57DF"/>
    <w:rsid w:val="697274F4"/>
    <w:rsid w:val="69787200"/>
    <w:rsid w:val="697F233D"/>
    <w:rsid w:val="69B2159C"/>
    <w:rsid w:val="69BE7BAE"/>
    <w:rsid w:val="69C90AA3"/>
    <w:rsid w:val="69D106BF"/>
    <w:rsid w:val="69EF3163"/>
    <w:rsid w:val="6A060AF0"/>
    <w:rsid w:val="6A387B61"/>
    <w:rsid w:val="6A542DAB"/>
    <w:rsid w:val="6A616103"/>
    <w:rsid w:val="6A9736B6"/>
    <w:rsid w:val="6ABA1153"/>
    <w:rsid w:val="6ABE0C43"/>
    <w:rsid w:val="6AD13784"/>
    <w:rsid w:val="6AE663EC"/>
    <w:rsid w:val="6B3158B9"/>
    <w:rsid w:val="6B37171D"/>
    <w:rsid w:val="6B3A2BB1"/>
    <w:rsid w:val="6B493A4E"/>
    <w:rsid w:val="6B601CFA"/>
    <w:rsid w:val="6BD75E7E"/>
    <w:rsid w:val="6BE566A3"/>
    <w:rsid w:val="6C3F4006"/>
    <w:rsid w:val="6C4F72C1"/>
    <w:rsid w:val="6C7A503E"/>
    <w:rsid w:val="6C946959"/>
    <w:rsid w:val="6CB9494B"/>
    <w:rsid w:val="6CEB1A97"/>
    <w:rsid w:val="6CF84455"/>
    <w:rsid w:val="6D162FB8"/>
    <w:rsid w:val="6D1B2659"/>
    <w:rsid w:val="6D390A55"/>
    <w:rsid w:val="6D4A2C62"/>
    <w:rsid w:val="6D561607"/>
    <w:rsid w:val="6D5D0BE7"/>
    <w:rsid w:val="6D744821"/>
    <w:rsid w:val="6D8F5206"/>
    <w:rsid w:val="6D91263F"/>
    <w:rsid w:val="6DAF51BB"/>
    <w:rsid w:val="6DD5080B"/>
    <w:rsid w:val="6DEE254B"/>
    <w:rsid w:val="6DF2723B"/>
    <w:rsid w:val="6DFD5F26"/>
    <w:rsid w:val="6E100C6D"/>
    <w:rsid w:val="6E105C5A"/>
    <w:rsid w:val="6E290AC9"/>
    <w:rsid w:val="6E3336F6"/>
    <w:rsid w:val="6E4006B2"/>
    <w:rsid w:val="6E427DDD"/>
    <w:rsid w:val="6E4C65BD"/>
    <w:rsid w:val="6E5B5D88"/>
    <w:rsid w:val="6E62222D"/>
    <w:rsid w:val="6E8B3532"/>
    <w:rsid w:val="6E8F4FD4"/>
    <w:rsid w:val="6E9D4ECA"/>
    <w:rsid w:val="6EF83998"/>
    <w:rsid w:val="6F1060F6"/>
    <w:rsid w:val="6F541B76"/>
    <w:rsid w:val="6F5953DE"/>
    <w:rsid w:val="6F7E1B58"/>
    <w:rsid w:val="6F8B7B20"/>
    <w:rsid w:val="6FA64AAB"/>
    <w:rsid w:val="6FD15B87"/>
    <w:rsid w:val="6FE0165C"/>
    <w:rsid w:val="6FE74798"/>
    <w:rsid w:val="70593DDE"/>
    <w:rsid w:val="70633D9B"/>
    <w:rsid w:val="706A0C87"/>
    <w:rsid w:val="7072466B"/>
    <w:rsid w:val="708741CD"/>
    <w:rsid w:val="709A7A5C"/>
    <w:rsid w:val="70B30B1E"/>
    <w:rsid w:val="70B76860"/>
    <w:rsid w:val="70C66AA3"/>
    <w:rsid w:val="70CE7706"/>
    <w:rsid w:val="70E76A1A"/>
    <w:rsid w:val="70F16E84"/>
    <w:rsid w:val="70F9549B"/>
    <w:rsid w:val="70FA04FB"/>
    <w:rsid w:val="70FF3D63"/>
    <w:rsid w:val="71092E34"/>
    <w:rsid w:val="710E3FA6"/>
    <w:rsid w:val="71127F06"/>
    <w:rsid w:val="713C6D66"/>
    <w:rsid w:val="71445C1A"/>
    <w:rsid w:val="71765B16"/>
    <w:rsid w:val="71A208FD"/>
    <w:rsid w:val="71B11502"/>
    <w:rsid w:val="71C07997"/>
    <w:rsid w:val="71D074AE"/>
    <w:rsid w:val="71F80EDE"/>
    <w:rsid w:val="72203F91"/>
    <w:rsid w:val="723B0B8C"/>
    <w:rsid w:val="724203AC"/>
    <w:rsid w:val="725026E2"/>
    <w:rsid w:val="725325B9"/>
    <w:rsid w:val="725351DA"/>
    <w:rsid w:val="727A15DA"/>
    <w:rsid w:val="72987FCC"/>
    <w:rsid w:val="72D54D7C"/>
    <w:rsid w:val="72E41463"/>
    <w:rsid w:val="72EA7879"/>
    <w:rsid w:val="730F43F8"/>
    <w:rsid w:val="73104006"/>
    <w:rsid w:val="733A1083"/>
    <w:rsid w:val="7343262D"/>
    <w:rsid w:val="7346093C"/>
    <w:rsid w:val="73490DFC"/>
    <w:rsid w:val="736F3422"/>
    <w:rsid w:val="73734595"/>
    <w:rsid w:val="73B9469D"/>
    <w:rsid w:val="73DD1399"/>
    <w:rsid w:val="73EE0CA0"/>
    <w:rsid w:val="74356371"/>
    <w:rsid w:val="74485A21"/>
    <w:rsid w:val="744F0B5E"/>
    <w:rsid w:val="74885923"/>
    <w:rsid w:val="749E6B82"/>
    <w:rsid w:val="74D66009"/>
    <w:rsid w:val="752244C4"/>
    <w:rsid w:val="754461E9"/>
    <w:rsid w:val="75623F7A"/>
    <w:rsid w:val="757203DB"/>
    <w:rsid w:val="75750A98"/>
    <w:rsid w:val="757D05AD"/>
    <w:rsid w:val="75862CA5"/>
    <w:rsid w:val="75C010BA"/>
    <w:rsid w:val="76092CCA"/>
    <w:rsid w:val="76257DC8"/>
    <w:rsid w:val="763837E6"/>
    <w:rsid w:val="76426A32"/>
    <w:rsid w:val="766C59F7"/>
    <w:rsid w:val="767C11D2"/>
    <w:rsid w:val="768A40CF"/>
    <w:rsid w:val="76927FFE"/>
    <w:rsid w:val="76AF7FDA"/>
    <w:rsid w:val="76DA5057"/>
    <w:rsid w:val="76EA0007"/>
    <w:rsid w:val="76F97867"/>
    <w:rsid w:val="76FD0D45"/>
    <w:rsid w:val="77130569"/>
    <w:rsid w:val="7714093C"/>
    <w:rsid w:val="771A5453"/>
    <w:rsid w:val="771D5238"/>
    <w:rsid w:val="77242776"/>
    <w:rsid w:val="77764653"/>
    <w:rsid w:val="777676DF"/>
    <w:rsid w:val="77784870"/>
    <w:rsid w:val="77B238DE"/>
    <w:rsid w:val="77B358A8"/>
    <w:rsid w:val="77B876AC"/>
    <w:rsid w:val="77C41863"/>
    <w:rsid w:val="77C43611"/>
    <w:rsid w:val="77C80DE4"/>
    <w:rsid w:val="77C83101"/>
    <w:rsid w:val="77E13BA0"/>
    <w:rsid w:val="77FC724F"/>
    <w:rsid w:val="783B1B25"/>
    <w:rsid w:val="786646C8"/>
    <w:rsid w:val="7871571C"/>
    <w:rsid w:val="78B33397"/>
    <w:rsid w:val="78B54414"/>
    <w:rsid w:val="78BF0CEF"/>
    <w:rsid w:val="78EA76EE"/>
    <w:rsid w:val="78FE2050"/>
    <w:rsid w:val="7955517B"/>
    <w:rsid w:val="79586707"/>
    <w:rsid w:val="79664F44"/>
    <w:rsid w:val="79DF579A"/>
    <w:rsid w:val="79F77CCE"/>
    <w:rsid w:val="79FA5A10"/>
    <w:rsid w:val="7A067F11"/>
    <w:rsid w:val="7A1A0F94"/>
    <w:rsid w:val="7A1B1294"/>
    <w:rsid w:val="7A1B74E4"/>
    <w:rsid w:val="7A1C7878"/>
    <w:rsid w:val="7A2111EE"/>
    <w:rsid w:val="7A2544C3"/>
    <w:rsid w:val="7A2D2A0A"/>
    <w:rsid w:val="7A37631C"/>
    <w:rsid w:val="7A401675"/>
    <w:rsid w:val="7A603412"/>
    <w:rsid w:val="7A8A3C04"/>
    <w:rsid w:val="7A910FA6"/>
    <w:rsid w:val="7A925C48"/>
    <w:rsid w:val="7A955AA3"/>
    <w:rsid w:val="7AB17498"/>
    <w:rsid w:val="7AB20E73"/>
    <w:rsid w:val="7AEB57A3"/>
    <w:rsid w:val="7AF70927"/>
    <w:rsid w:val="7B3B008E"/>
    <w:rsid w:val="7B4231CA"/>
    <w:rsid w:val="7B424F78"/>
    <w:rsid w:val="7B4B7865"/>
    <w:rsid w:val="7B62481E"/>
    <w:rsid w:val="7B902188"/>
    <w:rsid w:val="7B971942"/>
    <w:rsid w:val="7B9E3DFA"/>
    <w:rsid w:val="7BB63A0E"/>
    <w:rsid w:val="7BD210AC"/>
    <w:rsid w:val="7C0D186A"/>
    <w:rsid w:val="7C137C33"/>
    <w:rsid w:val="7C1C1C6D"/>
    <w:rsid w:val="7C1F2ED6"/>
    <w:rsid w:val="7C501917"/>
    <w:rsid w:val="7C5E5EE7"/>
    <w:rsid w:val="7C7C270C"/>
    <w:rsid w:val="7C857813"/>
    <w:rsid w:val="7CBE4AD3"/>
    <w:rsid w:val="7CC9189C"/>
    <w:rsid w:val="7CD40EEA"/>
    <w:rsid w:val="7CD97EC4"/>
    <w:rsid w:val="7CDC31AB"/>
    <w:rsid w:val="7CF60710"/>
    <w:rsid w:val="7D003100"/>
    <w:rsid w:val="7D40373A"/>
    <w:rsid w:val="7D7F551F"/>
    <w:rsid w:val="7D9B4867"/>
    <w:rsid w:val="7DC3365B"/>
    <w:rsid w:val="7E2F3AA9"/>
    <w:rsid w:val="7E4F2B52"/>
    <w:rsid w:val="7E68119A"/>
    <w:rsid w:val="7E6E5448"/>
    <w:rsid w:val="7E955D07"/>
    <w:rsid w:val="7EC14203"/>
    <w:rsid w:val="7EC16AFC"/>
    <w:rsid w:val="7EDE145C"/>
    <w:rsid w:val="7EEA1BAF"/>
    <w:rsid w:val="7F053548"/>
    <w:rsid w:val="7F1B620C"/>
    <w:rsid w:val="7F231565"/>
    <w:rsid w:val="7F324DAC"/>
    <w:rsid w:val="7F403D11"/>
    <w:rsid w:val="7F631961"/>
    <w:rsid w:val="7F932247"/>
    <w:rsid w:val="7F9E2999"/>
    <w:rsid w:val="7FCA5830"/>
    <w:rsid w:val="7FDD1714"/>
    <w:rsid w:val="7FE42AA2"/>
    <w:rsid w:val="7FF2742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eastAsia" w:ascii="宋体" w:hAnsi="等线" w:eastAsia="等线" w:cs="Times New Roman"/>
      <w:kern w:val="2"/>
      <w:sz w:val="24"/>
      <w:lang w:val="en-US" w:eastAsia="zh-CN" w:bidi="ar-SA"/>
    </w:rPr>
  </w:style>
  <w:style w:type="paragraph" w:styleId="3">
    <w:name w:val="heading 1"/>
    <w:basedOn w:val="1"/>
    <w:next w:val="1"/>
    <w:qFormat/>
    <w:uiPriority w:val="0"/>
    <w:pPr>
      <w:autoSpaceDE w:val="0"/>
      <w:autoSpaceDN w:val="0"/>
      <w:adjustRightInd w:val="0"/>
      <w:jc w:val="left"/>
      <w:outlineLvl w:val="0"/>
    </w:pPr>
    <w:rPr>
      <w:kern w:val="0"/>
      <w:sz w:val="30"/>
    </w:rPr>
  </w:style>
  <w:style w:type="paragraph" w:styleId="4">
    <w:name w:val="heading 2"/>
    <w:basedOn w:val="1"/>
    <w:next w:val="1"/>
    <w:link w:val="83"/>
    <w:qFormat/>
    <w:uiPriority w:val="0"/>
    <w:pPr>
      <w:autoSpaceDE w:val="0"/>
      <w:autoSpaceDN w:val="0"/>
      <w:adjustRightInd w:val="0"/>
      <w:jc w:val="left"/>
      <w:outlineLvl w:val="1"/>
    </w:pPr>
    <w:rPr>
      <w:kern w:val="0"/>
    </w:rPr>
  </w:style>
  <w:style w:type="paragraph" w:styleId="5">
    <w:name w:val="heading 3"/>
    <w:basedOn w:val="1"/>
    <w:next w:val="1"/>
    <w:link w:val="51"/>
    <w:qFormat/>
    <w:uiPriority w:val="0"/>
    <w:pPr>
      <w:keepNext/>
      <w:keepLines/>
      <w:outlineLvl w:val="2"/>
    </w:pPr>
    <w:rPr>
      <w:rFonts w:hint="default" w:ascii="Times New Roman" w:hAnsi="Times New Roman" w:eastAsia="宋体"/>
      <w:b/>
    </w:rPr>
  </w:style>
  <w:style w:type="paragraph" w:styleId="2">
    <w:name w:val="heading 4"/>
    <w:basedOn w:val="1"/>
    <w:next w:val="1"/>
    <w:qFormat/>
    <w:uiPriority w:val="0"/>
    <w:pPr>
      <w:keepNext/>
      <w:keepLines/>
      <w:spacing w:line="372" w:lineRule="auto"/>
      <w:outlineLvl w:val="3"/>
    </w:pPr>
    <w:rPr>
      <w:rFonts w:ascii="Arial" w:hAnsi="Arial" w:eastAsia="黑体"/>
      <w:b/>
      <w:sz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widowControl/>
      <w:ind w:firstLine="420"/>
      <w:jc w:val="left"/>
    </w:pPr>
    <w:rPr>
      <w:kern w:val="0"/>
      <w:sz w:val="20"/>
    </w:rPr>
  </w:style>
  <w:style w:type="paragraph" w:styleId="7">
    <w:name w:val="annotation text"/>
    <w:basedOn w:val="1"/>
    <w:next w:val="1"/>
    <w:qFormat/>
    <w:uiPriority w:val="0"/>
    <w:pPr>
      <w:jc w:val="left"/>
    </w:pPr>
    <w:rPr>
      <w:rFonts w:hint="default" w:ascii="Times New Roman" w:hAnsi="Times New Roman" w:eastAsia="宋体"/>
      <w:sz w:val="21"/>
    </w:rPr>
  </w:style>
  <w:style w:type="paragraph" w:styleId="8">
    <w:name w:val="Body Text"/>
    <w:basedOn w:val="1"/>
    <w:qFormat/>
    <w:uiPriority w:val="0"/>
  </w:style>
  <w:style w:type="paragraph" w:styleId="9">
    <w:name w:val="Body Text Indent"/>
    <w:basedOn w:val="1"/>
    <w:qFormat/>
    <w:uiPriority w:val="0"/>
    <w:pPr>
      <w:ind w:firstLine="560" w:firstLineChars="200"/>
    </w:pPr>
  </w:style>
  <w:style w:type="paragraph" w:styleId="10">
    <w:name w:val="toc 3"/>
    <w:basedOn w:val="1"/>
    <w:next w:val="1"/>
    <w:qFormat/>
    <w:uiPriority w:val="39"/>
    <w:pPr>
      <w:ind w:left="840" w:leftChars="400"/>
    </w:pPr>
  </w:style>
  <w:style w:type="paragraph" w:styleId="11">
    <w:name w:val="Body Text Indent 2"/>
    <w:basedOn w:val="1"/>
    <w:qFormat/>
    <w:uiPriority w:val="0"/>
    <w:pPr>
      <w:spacing w:line="480" w:lineRule="auto"/>
      <w:ind w:firstLine="561"/>
    </w:pPr>
  </w:style>
  <w:style w:type="paragraph" w:styleId="12">
    <w:name w:val="Balloon Text"/>
    <w:basedOn w:val="1"/>
    <w:link w:val="72"/>
    <w:qFormat/>
    <w:uiPriority w:val="0"/>
    <w:rPr>
      <w:sz w:val="18"/>
      <w:szCs w:val="18"/>
    </w:rPr>
  </w:style>
  <w:style w:type="paragraph" w:styleId="13">
    <w:name w:val="footer"/>
    <w:basedOn w:val="1"/>
    <w:next w:val="1"/>
    <w:qFormat/>
    <w:uiPriority w:val="0"/>
    <w:pPr>
      <w:tabs>
        <w:tab w:val="center" w:pos="4153"/>
        <w:tab w:val="right" w:pos="8306"/>
      </w:tabs>
      <w:snapToGrid w:val="0"/>
      <w:jc w:val="left"/>
    </w:pPr>
    <w:rPr>
      <w:sz w:val="18"/>
    </w:rPr>
  </w:style>
  <w:style w:type="paragraph" w:styleId="14">
    <w:name w:val="header"/>
    <w:basedOn w:val="1"/>
    <w:next w:val="1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15">
    <w:name w:val="toc 1"/>
    <w:basedOn w:val="16"/>
    <w:next w:val="1"/>
    <w:qFormat/>
    <w:uiPriority w:val="39"/>
  </w:style>
  <w:style w:type="paragraph" w:styleId="16">
    <w:name w:val="index 1"/>
    <w:basedOn w:val="1"/>
    <w:next w:val="1"/>
    <w:unhideWhenUsed/>
    <w:qFormat/>
    <w:uiPriority w:val="0"/>
  </w:style>
  <w:style w:type="paragraph" w:styleId="17">
    <w:name w:val="toc 4"/>
    <w:basedOn w:val="1"/>
    <w:next w:val="1"/>
    <w:qFormat/>
    <w:uiPriority w:val="0"/>
    <w:pPr>
      <w:ind w:left="1260" w:leftChars="600"/>
    </w:pPr>
  </w:style>
  <w:style w:type="paragraph" w:styleId="18">
    <w:name w:val="toc 2"/>
    <w:basedOn w:val="1"/>
    <w:next w:val="1"/>
    <w:qFormat/>
    <w:uiPriority w:val="39"/>
    <w:pPr>
      <w:ind w:left="420" w:leftChars="200"/>
    </w:pPr>
  </w:style>
  <w:style w:type="paragraph" w:styleId="19">
    <w:name w:val="Body Text 2"/>
    <w:basedOn w:val="1"/>
    <w:next w:val="8"/>
    <w:qFormat/>
    <w:uiPriority w:val="0"/>
    <w:pPr>
      <w:spacing w:line="500" w:lineRule="exact"/>
    </w:pPr>
  </w:style>
  <w:style w:type="paragraph" w:styleId="20">
    <w:name w:val="Normal (Web)"/>
    <w:basedOn w:val="1"/>
    <w:qFormat/>
    <w:uiPriority w:val="0"/>
    <w:pPr>
      <w:widowControl/>
      <w:spacing w:beforeAutospacing="1" w:afterAutospacing="1"/>
      <w:jc w:val="left"/>
    </w:pPr>
    <w:rPr>
      <w:rFonts w:hAnsi="宋体" w:cs="宋体"/>
      <w:color w:val="000000"/>
      <w:kern w:val="0"/>
      <w:szCs w:val="24"/>
    </w:rPr>
  </w:style>
  <w:style w:type="paragraph" w:styleId="21">
    <w:name w:val="Body Text First Indent"/>
    <w:basedOn w:val="8"/>
    <w:qFormat/>
    <w:uiPriority w:val="99"/>
    <w:pPr>
      <w:spacing w:line="240" w:lineRule="auto"/>
      <w:ind w:firstLine="420" w:firstLineChars="100"/>
    </w:pPr>
    <w:rPr>
      <w:rFonts w:ascii="Times New Roman" w:cs="Times New Roman"/>
      <w:sz w:val="20"/>
      <w:szCs w:val="20"/>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rPr>
  </w:style>
  <w:style w:type="character" w:styleId="26">
    <w:name w:val="FollowedHyperlink"/>
    <w:basedOn w:val="24"/>
    <w:qFormat/>
    <w:uiPriority w:val="0"/>
    <w:rPr>
      <w:color w:val="333333"/>
      <w:u w:val="none"/>
    </w:rPr>
  </w:style>
  <w:style w:type="character" w:styleId="27">
    <w:name w:val="Emphasis"/>
    <w:basedOn w:val="24"/>
    <w:qFormat/>
    <w:uiPriority w:val="0"/>
    <w:rPr>
      <w:i/>
    </w:rPr>
  </w:style>
  <w:style w:type="character" w:styleId="28">
    <w:name w:val="HTML Variable"/>
    <w:basedOn w:val="24"/>
    <w:qFormat/>
    <w:uiPriority w:val="0"/>
    <w:rPr>
      <w:i/>
    </w:rPr>
  </w:style>
  <w:style w:type="character" w:styleId="29">
    <w:name w:val="Hyperlink"/>
    <w:basedOn w:val="24"/>
    <w:qFormat/>
    <w:uiPriority w:val="0"/>
    <w:rPr>
      <w:color w:val="333333"/>
      <w:u w:val="none"/>
    </w:rPr>
  </w:style>
  <w:style w:type="character" w:styleId="30">
    <w:name w:val="HTML Code"/>
    <w:basedOn w:val="24"/>
    <w:qFormat/>
    <w:uiPriority w:val="0"/>
    <w:rPr>
      <w:rFonts w:ascii="Courier New" w:hAnsi="Courier New"/>
      <w:sz w:val="20"/>
    </w:rPr>
  </w:style>
  <w:style w:type="character" w:styleId="31">
    <w:name w:val="HTML Cite"/>
    <w:basedOn w:val="24"/>
    <w:qFormat/>
    <w:uiPriority w:val="0"/>
    <w:rPr>
      <w:i/>
    </w:rPr>
  </w:style>
  <w:style w:type="paragraph" w:customStyle="1" w:styleId="32">
    <w:name w:val="样式 宋体 行距: 1.5 倍行距"/>
    <w:basedOn w:val="33"/>
    <w:next w:val="1"/>
    <w:qFormat/>
    <w:uiPriority w:val="0"/>
    <w:pPr>
      <w:jc w:val="center"/>
    </w:pPr>
    <w:rPr>
      <w:rFonts w:ascii="Times New Roman" w:hAnsi="Times New Roman" w:cs="Times New Roman"/>
      <w:b/>
    </w:rPr>
  </w:style>
  <w:style w:type="paragraph" w:customStyle="1" w:styleId="3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32"/>
    <w:qFormat/>
    <w:uiPriority w:val="0"/>
    <w:pPr>
      <w:widowControl w:val="0"/>
      <w:jc w:val="both"/>
    </w:pPr>
    <w:rPr>
      <w:rFonts w:ascii="Calibri" w:hAnsi="Calibri" w:eastAsia="宋体" w:cs="黑体"/>
      <w:kern w:val="2"/>
      <w:sz w:val="21"/>
      <w:szCs w:val="24"/>
      <w:lang w:val="en-US" w:eastAsia="zh-CN" w:bidi="ar-SA"/>
    </w:rPr>
  </w:style>
  <w:style w:type="paragraph" w:customStyle="1" w:styleId="34">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32"/>
    <w:qFormat/>
    <w:uiPriority w:val="0"/>
    <w:pPr>
      <w:widowControl w:val="0"/>
      <w:jc w:val="both"/>
    </w:pPr>
    <w:rPr>
      <w:rFonts w:ascii="Calibri" w:hAnsi="Calibri" w:eastAsia="宋体" w:cs="黑体"/>
      <w:kern w:val="2"/>
      <w:sz w:val="21"/>
      <w:szCs w:val="24"/>
      <w:lang w:val="en-US" w:eastAsia="zh-CN" w:bidi="ar-SA"/>
    </w:rPr>
  </w:style>
  <w:style w:type="paragraph" w:customStyle="1" w:styleId="35">
    <w:name w:val="正文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6">
    <w:name w:val="正文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37">
    <w:name w:val="正文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38">
    <w:name w:val="标题 1 New"/>
    <w:basedOn w:val="37"/>
    <w:next w:val="37"/>
    <w:qFormat/>
    <w:uiPriority w:val="0"/>
    <w:pPr>
      <w:autoSpaceDE w:val="0"/>
      <w:autoSpaceDN w:val="0"/>
      <w:adjustRightInd w:val="0"/>
      <w:jc w:val="left"/>
      <w:outlineLvl w:val="0"/>
    </w:pPr>
    <w:rPr>
      <w:kern w:val="0"/>
      <w:sz w:val="30"/>
    </w:rPr>
  </w:style>
  <w:style w:type="paragraph" w:customStyle="1" w:styleId="39">
    <w:name w:val="标题 2 New New"/>
    <w:basedOn w:val="37"/>
    <w:next w:val="37"/>
    <w:qFormat/>
    <w:uiPriority w:val="0"/>
    <w:pPr>
      <w:autoSpaceDE w:val="0"/>
      <w:autoSpaceDN w:val="0"/>
      <w:adjustRightInd w:val="0"/>
      <w:jc w:val="left"/>
      <w:outlineLvl w:val="1"/>
    </w:pPr>
    <w:rPr>
      <w:kern w:val="0"/>
    </w:rPr>
  </w:style>
  <w:style w:type="paragraph" w:customStyle="1" w:styleId="40">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Normal Indent1"/>
    <w:basedOn w:val="1"/>
    <w:qFormat/>
    <w:uiPriority w:val="0"/>
    <w:pPr>
      <w:widowControl/>
      <w:spacing w:line="360" w:lineRule="auto"/>
      <w:ind w:firstLine="420"/>
      <w:jc w:val="left"/>
    </w:pPr>
    <w:rPr>
      <w:rFonts w:hAnsi="Times New Roman"/>
      <w:kern w:val="0"/>
      <w:sz w:val="20"/>
    </w:rPr>
  </w:style>
  <w:style w:type="paragraph" w:customStyle="1" w:styleId="42">
    <w:name w:val="正文缩进1"/>
    <w:basedOn w:val="1"/>
    <w:qFormat/>
    <w:uiPriority w:val="0"/>
    <w:pPr>
      <w:widowControl/>
      <w:spacing w:line="360" w:lineRule="auto"/>
      <w:ind w:firstLine="420"/>
      <w:jc w:val="left"/>
    </w:pPr>
    <w:rPr>
      <w:rFonts w:hAnsi="Times New Roman"/>
      <w:kern w:val="0"/>
      <w:sz w:val="20"/>
    </w:rPr>
  </w:style>
  <w:style w:type="paragraph" w:customStyle="1" w:styleId="43">
    <w:name w:val="正文 New New New New New New New New New New New New New New New New New New New New New New New New New New New New New New New New New New New New New New New New New New New New New New New New New New New New New New New New New New New New New New Ne1"/>
    <w:next w:val="32"/>
    <w:qFormat/>
    <w:uiPriority w:val="0"/>
    <w:pPr>
      <w:widowControl w:val="0"/>
      <w:jc w:val="both"/>
    </w:pPr>
    <w:rPr>
      <w:rFonts w:ascii="Calibri" w:hAnsi="Calibri" w:eastAsia="宋体" w:cs="黑体"/>
      <w:kern w:val="2"/>
      <w:sz w:val="21"/>
      <w:szCs w:val="24"/>
      <w:lang w:val="en-US" w:eastAsia="zh-CN" w:bidi="ar-SA"/>
    </w:rPr>
  </w:style>
  <w:style w:type="paragraph" w:customStyle="1" w:styleId="44">
    <w:name w:val="正文 New New New New New New New New New New New New New New New New New New New New New New New New New New New New New New New New New New New New New New New New New New New New New New"/>
    <w:qFormat/>
    <w:uiPriority w:val="0"/>
    <w:pPr>
      <w:widowControl w:val="0"/>
      <w:jc w:val="both"/>
    </w:pPr>
    <w:rPr>
      <w:rFonts w:ascii="Bodoni MT" w:hAnsi="Bodoni MT" w:eastAsia="宋体" w:cs="Bodoni MT"/>
      <w:kern w:val="2"/>
      <w:sz w:val="21"/>
      <w:szCs w:val="24"/>
      <w:lang w:val="en-US" w:eastAsia="zh-CN" w:bidi="ar-SA"/>
    </w:rPr>
  </w:style>
  <w:style w:type="paragraph" w:customStyle="1" w:styleId="45">
    <w:name w:val="正文文本缩进 New New"/>
    <w:basedOn w:val="37"/>
    <w:qFormat/>
    <w:uiPriority w:val="0"/>
    <w:pPr>
      <w:ind w:firstLine="560" w:firstLineChars="200"/>
    </w:pPr>
  </w:style>
  <w:style w:type="paragraph" w:customStyle="1" w:styleId="46">
    <w:name w:val="正文文本缩进 3 New"/>
    <w:basedOn w:val="37"/>
    <w:qFormat/>
    <w:uiPriority w:val="0"/>
    <w:pPr>
      <w:ind w:firstLine="560"/>
    </w:pPr>
    <w:rPr>
      <w:color w:val="FF0000"/>
    </w:rPr>
  </w:style>
  <w:style w:type="paragraph" w:customStyle="1" w:styleId="47">
    <w:name w:val="标题 3 New New New"/>
    <w:basedOn w:val="48"/>
    <w:next w:val="48"/>
    <w:qFormat/>
    <w:uiPriority w:val="0"/>
    <w:pPr>
      <w:keepNext/>
      <w:keepLines/>
      <w:jc w:val="center"/>
      <w:outlineLvl w:val="2"/>
    </w:pPr>
    <w:rPr>
      <w:sz w:val="24"/>
    </w:rPr>
  </w:style>
  <w:style w:type="paragraph" w:customStyle="1" w:styleId="48">
    <w:name w:val="正文缩进 New"/>
    <w:basedOn w:val="49"/>
    <w:qFormat/>
    <w:uiPriority w:val="0"/>
    <w:pPr>
      <w:widowControl/>
      <w:ind w:firstLine="420"/>
      <w:jc w:val="left"/>
    </w:pPr>
    <w:rPr>
      <w:kern w:val="0"/>
      <w:sz w:val="20"/>
    </w:rPr>
  </w:style>
  <w:style w:type="paragraph" w:customStyle="1" w:styleId="49">
    <w:name w:val="正文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50">
    <w:name w:val="正文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character" w:customStyle="1" w:styleId="51">
    <w:name w:val="标题 3 Char"/>
    <w:link w:val="5"/>
    <w:qFormat/>
    <w:uiPriority w:val="0"/>
    <w:rPr>
      <w:rFonts w:hint="default" w:ascii="Times New Roman" w:hAnsi="Times New Roman" w:eastAsia="宋体"/>
      <w:b/>
    </w:rPr>
  </w:style>
  <w:style w:type="character" w:customStyle="1" w:styleId="52">
    <w:name w:val="NormalCharacter"/>
    <w:semiHidden/>
    <w:qFormat/>
    <w:uiPriority w:val="0"/>
    <w:rPr>
      <w:rFonts w:ascii="宋体"/>
      <w:kern w:val="2"/>
      <w:sz w:val="24"/>
      <w:lang w:val="en-US" w:eastAsia="zh-CN" w:bidi="ar-SA"/>
    </w:rPr>
  </w:style>
  <w:style w:type="paragraph" w:customStyle="1" w:styleId="53">
    <w:name w:val="标题 2 New New New"/>
    <w:basedOn w:val="54"/>
    <w:next w:val="54"/>
    <w:qFormat/>
    <w:uiPriority w:val="0"/>
    <w:pPr>
      <w:autoSpaceDE w:val="0"/>
      <w:autoSpaceDN w:val="0"/>
      <w:adjustRightInd w:val="0"/>
      <w:jc w:val="left"/>
      <w:outlineLvl w:val="1"/>
    </w:pPr>
  </w:style>
  <w:style w:type="paragraph" w:customStyle="1" w:styleId="54">
    <w:name w:val="正文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55">
    <w:name w:val="普通(网站) New"/>
    <w:basedOn w:val="56"/>
    <w:qFormat/>
    <w:uiPriority w:val="0"/>
    <w:rPr>
      <w:sz w:val="24"/>
    </w:rPr>
  </w:style>
  <w:style w:type="paragraph" w:customStyle="1" w:styleId="56">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7">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58">
    <w:name w:val="正文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59">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60">
    <w:name w:val="YJ22 Char"/>
    <w:link w:val="61"/>
    <w:qFormat/>
    <w:uiPriority w:val="0"/>
    <w:rPr>
      <w:rFonts w:ascii="Times New Roman" w:hAnsi="宋体"/>
      <w:b/>
      <w:kern w:val="0"/>
      <w:sz w:val="20"/>
    </w:rPr>
  </w:style>
  <w:style w:type="paragraph" w:customStyle="1" w:styleId="61">
    <w:name w:val="YJ22"/>
    <w:basedOn w:val="37"/>
    <w:next w:val="37"/>
    <w:link w:val="60"/>
    <w:qFormat/>
    <w:uiPriority w:val="0"/>
    <w:pPr>
      <w:autoSpaceDE w:val="0"/>
      <w:autoSpaceDN w:val="0"/>
      <w:adjustRightInd w:val="0"/>
      <w:jc w:val="left"/>
      <w:outlineLvl w:val="1"/>
    </w:pPr>
    <w:rPr>
      <w:rFonts w:ascii="Times New Roman" w:hAnsi="宋体"/>
      <w:b/>
      <w:kern w:val="0"/>
      <w:sz w:val="20"/>
    </w:rPr>
  </w:style>
  <w:style w:type="paragraph" w:customStyle="1" w:styleId="62">
    <w:name w:val="正文文本缩进 New"/>
    <w:basedOn w:val="63"/>
    <w:qFormat/>
    <w:uiPriority w:val="0"/>
    <w:pPr>
      <w:ind w:firstLine="560" w:firstLineChars="200"/>
    </w:pPr>
  </w:style>
  <w:style w:type="paragraph" w:customStyle="1" w:styleId="63">
    <w:name w:val="正文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4">
    <w:name w:val="正文文本缩进 New New New New"/>
    <w:basedOn w:val="65"/>
    <w:qFormat/>
    <w:uiPriority w:val="0"/>
    <w:pPr>
      <w:ind w:firstLine="560" w:firstLineChars="200"/>
    </w:pPr>
    <w:rPr>
      <w:szCs w:val="28"/>
    </w:rPr>
  </w:style>
  <w:style w:type="paragraph" w:customStyle="1" w:styleId="65">
    <w:name w:val="正文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66">
    <w:name w:val="正文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7">
    <w:name w:val="正文文本缩进 New New New New New New New"/>
    <w:basedOn w:val="66"/>
    <w:qFormat/>
    <w:uiPriority w:val="0"/>
    <w:pPr>
      <w:ind w:left="420" w:leftChars="200"/>
    </w:pPr>
    <w:rPr>
      <w:szCs w:val="24"/>
    </w:rPr>
  </w:style>
  <w:style w:type="paragraph" w:customStyle="1" w:styleId="68">
    <w:name w:val="正文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9">
    <w:name w:val="正文文本缩进 New New New New New New New New"/>
    <w:basedOn w:val="68"/>
    <w:qFormat/>
    <w:uiPriority w:val="0"/>
    <w:pPr>
      <w:ind w:left="420" w:leftChars="200"/>
    </w:pPr>
    <w:rPr>
      <w:szCs w:val="24"/>
    </w:rPr>
  </w:style>
  <w:style w:type="paragraph" w:customStyle="1" w:styleId="70">
    <w:name w:val="正文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71">
    <w:name w:val="页脚 New"/>
    <w:basedOn w:val="37"/>
    <w:qFormat/>
    <w:uiPriority w:val="0"/>
    <w:pPr>
      <w:widowControl/>
      <w:tabs>
        <w:tab w:val="center" w:pos="4153"/>
        <w:tab w:val="right" w:pos="8306"/>
      </w:tabs>
      <w:snapToGrid w:val="0"/>
      <w:jc w:val="left"/>
    </w:pPr>
    <w:rPr>
      <w:kern w:val="0"/>
      <w:sz w:val="18"/>
    </w:rPr>
  </w:style>
  <w:style w:type="character" w:customStyle="1" w:styleId="72">
    <w:name w:val="批注框文本 Char"/>
    <w:basedOn w:val="24"/>
    <w:link w:val="12"/>
    <w:qFormat/>
    <w:uiPriority w:val="0"/>
    <w:rPr>
      <w:rFonts w:ascii="宋体" w:hAnsi="等线" w:eastAsia="等线" w:cs="Times New Roman"/>
      <w:kern w:val="2"/>
      <w:sz w:val="18"/>
      <w:szCs w:val="18"/>
    </w:rPr>
  </w:style>
  <w:style w:type="character" w:customStyle="1" w:styleId="73">
    <w:name w:val="hover21"/>
    <w:basedOn w:val="24"/>
    <w:qFormat/>
    <w:uiPriority w:val="0"/>
    <w:rPr>
      <w:color w:val="5FB878"/>
    </w:rPr>
  </w:style>
  <w:style w:type="character" w:customStyle="1" w:styleId="74">
    <w:name w:val="hover22"/>
    <w:basedOn w:val="24"/>
    <w:qFormat/>
    <w:uiPriority w:val="0"/>
    <w:rPr>
      <w:color w:val="5FB878"/>
    </w:rPr>
  </w:style>
  <w:style w:type="character" w:customStyle="1" w:styleId="75">
    <w:name w:val="hover23"/>
    <w:basedOn w:val="24"/>
    <w:qFormat/>
    <w:uiPriority w:val="0"/>
    <w:rPr>
      <w:color w:val="FFFFFF"/>
    </w:rPr>
  </w:style>
  <w:style w:type="paragraph" w:customStyle="1" w:styleId="76">
    <w:name w:val="正文1"/>
    <w:qFormat/>
    <w:uiPriority w:val="0"/>
    <w:pPr>
      <w:widowControl w:val="0"/>
      <w:spacing w:line="360" w:lineRule="auto"/>
      <w:jc w:val="both"/>
    </w:pPr>
    <w:rPr>
      <w:rFonts w:hint="eastAsia" w:ascii="宋体" w:hAnsi="Calibri" w:eastAsia="宋体" w:cs="Times New Roman"/>
      <w:kern w:val="2"/>
      <w:sz w:val="24"/>
      <w:lang w:val="en-US" w:eastAsia="zh-CN" w:bidi="ar-SA"/>
    </w:rPr>
  </w:style>
  <w:style w:type="paragraph" w:customStyle="1" w:styleId="77">
    <w:name w:val="Default"/>
    <w:basedOn w:val="78"/>
    <w:qFormat/>
    <w:uiPriority w:val="0"/>
    <w:pPr>
      <w:widowControl w:val="0"/>
      <w:autoSpaceDE w:val="0"/>
      <w:autoSpaceDN w:val="0"/>
      <w:adjustRightInd w:val="0"/>
    </w:pPr>
    <w:rPr>
      <w:rFonts w:ascii="华文新魏" w:hAnsi="华文新魏" w:eastAsia="宋体" w:cs="华文新魏"/>
      <w:color w:val="000000"/>
      <w:sz w:val="24"/>
      <w:szCs w:val="24"/>
      <w:lang w:val="en-US" w:eastAsia="zh-CN" w:bidi="ar-SA"/>
    </w:rPr>
  </w:style>
  <w:style w:type="paragraph" w:customStyle="1" w:styleId="78">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79">
    <w:name w:val="Table Text"/>
    <w:basedOn w:val="1"/>
    <w:semiHidden/>
    <w:qFormat/>
    <w:uiPriority w:val="0"/>
    <w:rPr>
      <w:rFonts w:ascii="宋体" w:hAnsi="宋体" w:eastAsia="宋体" w:cs="宋体"/>
      <w:sz w:val="18"/>
      <w:szCs w:val="18"/>
      <w:lang w:val="en-US" w:eastAsia="en-US" w:bidi="ar-SA"/>
    </w:rPr>
  </w:style>
  <w:style w:type="table" w:customStyle="1" w:styleId="80">
    <w:name w:val="Table Normal"/>
    <w:semiHidden/>
    <w:unhideWhenUsed/>
    <w:qFormat/>
    <w:uiPriority w:val="0"/>
    <w:tblPr>
      <w:tblCellMar>
        <w:top w:w="0" w:type="dxa"/>
        <w:left w:w="0" w:type="dxa"/>
        <w:bottom w:w="0" w:type="dxa"/>
        <w:right w:w="0" w:type="dxa"/>
      </w:tblCellMar>
    </w:tblPr>
  </w:style>
  <w:style w:type="paragraph" w:customStyle="1" w:styleId="81">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82">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character" w:customStyle="1" w:styleId="83">
    <w:name w:val="标题 2 Char"/>
    <w:link w:val="4"/>
    <w:qFormat/>
    <w:uiPriority w:val="0"/>
    <w:rPr>
      <w:kern w:val="0"/>
    </w:rPr>
  </w:style>
  <w:style w:type="paragraph" w:customStyle="1" w:styleId="84">
    <w:name w:val="UserStyle_76"/>
    <w:basedOn w:val="85"/>
    <w:qFormat/>
    <w:uiPriority w:val="99"/>
    <w:pPr>
      <w:ind w:firstLine="420"/>
      <w:jc w:val="left"/>
    </w:pPr>
    <w:rPr>
      <w:kern w:val="0"/>
      <w:sz w:val="20"/>
      <w:szCs w:val="20"/>
    </w:rPr>
  </w:style>
  <w:style w:type="paragraph" w:customStyle="1" w:styleId="85">
    <w:name w:val="UserStyle_1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111</Pages>
  <Words>72847</Words>
  <Characters>76541</Characters>
  <Lines>731</Lines>
  <Paragraphs>205</Paragraphs>
  <TotalTime>0</TotalTime>
  <ScaleCrop>false</ScaleCrop>
  <LinksUpToDate>false</LinksUpToDate>
  <CharactersWithSpaces>79587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2023-11-10T02:36:00Z</dcterms:created>
  <dc:creator>Chen~小璇</dc:creator>
  <cp:lastModifiedBy>Macho</cp:lastModifiedBy>
  <cp:lastPrinted>2026-09-17T07:16:00Z</cp:lastPrinted>
  <dcterms:modified xsi:type="dcterms:W3CDTF">2026-09-21T09:55:59Z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1B806E38D727462CAFB4745D023DFC03_13</vt:lpwstr>
  </property>
  <property fmtid="{D5CDD505-2E9C-101B-9397-08002B2CF9AE}" pid="4" name="KSOTemplateDocerSaveRecord">
    <vt:lpwstr>eyJoZGlkIjoiNTAzODI3ODExOWNmMGZkMzQwYzVlMTg2ZjljZTJiMTYiLCJ1c2VySWQiOiIyMDY3NjIxMDMifQ==</vt:lpwstr>
  </property>
</Properties>
</file>